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密云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区科技成果转化“拨投联动”实施方案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为贯彻《北京市推进科技成果转化落地行动方案（2025-2027年）》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要求，加强市区“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拨投联动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”政策衔接，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通过财政资金先行投入，引导多元社会资本共同投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资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吸引高校、科研院所、医疗卫生机构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和高新技术企业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科技成果在密云落地转化，促进科技创新与产业创新深度融合，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通过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“拨投联动”模式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，构建“先拨款、后转股、可退出”的财政资金支持机制，补位“耐心资本”供给，撬动社会资本，打通科技成果转化“最后一公里”，推动一批科技成果在密云落地实现产业化。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  <w:t>二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（一）概念释义。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“拨投联动”即先期通过科技项目立项，以财政补助的方式拨付资金，支持开展技术研发和成果转化，并约定中期验收，通过或条件触发后转换为股权，股权由国有企业代持，后期根据所占股份，按照“适当收益”原则逐步退出，形成财政资金循环运行的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资金来源。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设置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区科技成果转化“拨投联动”专项资金，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试行3年，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由区财政出资，实行专款专用。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实施过程中的专家评审、专项审计、尽职调查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管理费等相关费用，从“拨投联动”专项资金中据实列支。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三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）支持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条件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项目支持对象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，应满足以下条件：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1.企业或高校、科研院所、医疗卫生机构、国家高新技术企业的创业人才团队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  <w:t>申报支持的项目应具有技术先进性、市场潜力和清晰的产业化路径，知识产权清晰、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无质押查封或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  <w:t>权属争议；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3.企业或创业人才团队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  <w:t>具有较强的技术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研发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  <w:t>能力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和后续商业化能力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</w:rPr>
        <w:t>，可按要求完成项目自筹资金配套。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四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）支持领域。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支持项目应符合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区产业发展布局，重点聚焦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新能源汽车产业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集群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、生命健康服务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产业，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以及先进装备、生态环保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战略性新兴产业和未来产业领域内的科技成果转化项目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五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）支持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方向及金额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鼓励高校、科研院所、医疗卫生机构、国家高新技术企业开展科技成果转化，支持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科技成果在密云转化落地，对符合“拨投联动”支持条件的企业或创业人才团队，经评审确定支持项目，以科研项目方式给予原则上不超过200万元资金支持，资金分两个阶段拨付，立项后拨付第一阶段50%资金，中期评估通过后，拨付第二阶段50%资金。项目从资金拨付到转股，原则上不超过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为培育区域产业发展基础，吸引优秀人才，对评审入围但暂时达不到“拨投联动”支持条件的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择优以科研项目方式给予一次性10万元资金支持。获得支持的项目，一年内应完成企业设立。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  <w:t>三、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（一）管理架构。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成立密云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区成果转化项目“拨投联动”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（以下简称“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”），由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分管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科技工作的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区领导任组长，区科委、区发改委、区国资委、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区财政局、中关村密云园管委会和密云园发展集团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为成员单位。下设办公室，办公室主任由区科委主要负责同志担任。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（二）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职责。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负责组织统筹推进“拨投联动”工作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审议“拨投联动”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项目评审标准、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项目投资协议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等重要文件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审议专项资金年度预算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，组织开展考核工作。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（三）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  <w:t>小组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办公室职责。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小组办公室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负责牵头落实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各项决策要求，统筹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日常工作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。项目立项阶段，负责开展项目征集、形式审查和项目评审；项目实施阶段，负责开展项目中期评估、结题验收。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  <w:t>（四）密云园发展集团职责。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作为受托管理机构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，项目立项阶段，负责尽职调查；项目实施阶段，协助开展中期评估；转股后，作为持股主体，开展股权转化、持股管理、风险防控、股权退出等工作。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  <w:t>四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、工作程序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（一）项目立项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1.项目征集。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区科委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发布申报指南，组织项目申报。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2.形式审查。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区科委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对项目申报资料内容进行审查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，审查通过的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进入项目评审环节。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3.项目评审。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区科委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组织专家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项目的技术创新性和产业化前景等进行评审，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根据评审结果提出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建议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4.尽职调查。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拟按“拨投联动”支持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项目开展尽职调查，形成尽职调查报告，并提出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建议及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5.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项目立项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召开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会议，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研究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确定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支持项目名单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金额、实施周期等事宜。对经会议研究确定的拟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项目向社会公示5个工作日。公示无异议的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，由区科委与项目承担单位签订《科研项目任务书》。“拨投联动”支持的项目另需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由区科委、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与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项目承担单位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签订《项目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投资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协议》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（二）项目实施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.资金拨付。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区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财政局按支持名单，将支持资金（获“拨投联动”支持的项目拨付第一阶段资金）拨付项目承担单位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.中期评估。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获“拨投联动”支持的项目，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增设中期评估环节。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项目实施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周期过半后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，由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区科委、密云园发展集团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组织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开展项目中期评估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。评估通过后，区财政局拨付第二阶段资金。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对实施进度严重滞后或难以达到预期绩效目标的项目，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由区科委负责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督促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加快进度，对不符合继续支持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条件的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取消后续支持。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.结题验收。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项目实施周期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结束1个月内，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区科委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根据《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科研项目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任务书》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要求，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聘请审计公司进行项目经费审计，组织专家开展项目结题评审，未通过验收的项目，根据审计报告收回结余资金。对于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提前达到转股条件的，可提前申请结题验收，验收后进入股权管理阶段；如期达到转股条件的，验收后进入股权转化程序；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到期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未达到转股条件的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按科研项目形式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结题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验收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.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eastAsia="zh-CN"/>
        </w:rPr>
        <w:t>股权转化。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  <w:t>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“拨投联动”支持项目实施期内，达到以下条件之一，即认定为达到转股条件：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（1）企业或创业人才团队项目新设企业进行首次社会融资，有市场化投资资金进入；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（2）企业或创业人才团队项目新设企业挂牌、上市或被并购；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（3）密云园发展集团经评估项目已具备转股条件。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达到转股条件后，支持资金原则上应转尽转。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与达到转股条件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的企业或创业人才团队项目新设企业，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按《项目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投资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协议》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约定事项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签订股权投资协议，并进行股权变更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原则上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密云园发展集团不成为第一大股东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（三）股权管理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1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</w:rPr>
        <w:t>.投后管理。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组织项目投后管理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，持股期原则上不超过5年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持股期内每季度向区科委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提交投后管理报告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企业或创业人才团队项目新设企业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达到退出条件后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《项目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投资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协议》退出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股权退出后本金滚动返回至“拨投联动”专项资金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部分收益作为管理绩效，经工作小组评估后给予密云园发展集团奖励，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剩余收益返回至区财政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  <w:lang w:eastAsia="zh-CN"/>
        </w:rPr>
        <w:t>五、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风险管理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（一）</w:t>
      </w:r>
      <w:r>
        <w:rPr>
          <w:rFonts w:hint="eastAsia" w:ascii="CESI楷体-GB2312" w:hAnsi="CESI楷体-GB2312" w:eastAsia="CESI楷体-GB2312" w:cs="CESI楷体-GB2312"/>
          <w:sz w:val="32"/>
          <w:szCs w:val="32"/>
        </w:rPr>
        <w:t>明确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主体</w:t>
      </w:r>
      <w:r>
        <w:rPr>
          <w:rFonts w:hint="eastAsia" w:ascii="CESI楷体-GB2312" w:hAnsi="CESI楷体-GB2312" w:eastAsia="CESI楷体-GB2312" w:cs="CESI楷体-GB2312"/>
          <w:sz w:val="32"/>
          <w:szCs w:val="32"/>
        </w:rPr>
        <w:t>责任。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获得支持的企业和创业人才团队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对申报项目的真实性、准确性和资金使用的合规性、安全性负主体责任，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应建立健全项目资金管理制度，将项目资金用于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技术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研发和产业化等方面，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并按规定要求实施项目，自觉接受监督。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（二）尽职免责机制。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支持项目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未取得预期效果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但符合法律法规以及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相关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政策规定、程序合法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，免予追究业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务主管部门、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密云园发展集团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三</w:t>
      </w:r>
      <w:r>
        <w:rPr>
          <w:rFonts w:hint="eastAsia" w:ascii="CESI楷体-GB2312" w:hAnsi="CESI楷体-GB2312" w:eastAsia="CESI楷体-GB2312" w:cs="CESI楷体-GB2312"/>
          <w:sz w:val="32"/>
          <w:szCs w:val="32"/>
        </w:rPr>
        <w:t>）</w:t>
      </w: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</w:rPr>
        <w:t>风险管理机制。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区科委应于每年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季度将上一年度项目进展情况向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工作小组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报告。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密云园发展集团应建立项目运营管理机制，强化内部控制，做好风险管理。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1249"/>
    <w:rsid w:val="0493462F"/>
    <w:rsid w:val="05C869C2"/>
    <w:rsid w:val="06D51397"/>
    <w:rsid w:val="0F7C7804"/>
    <w:rsid w:val="11EB7CC0"/>
    <w:rsid w:val="19BD0FF1"/>
    <w:rsid w:val="1AFF964A"/>
    <w:rsid w:val="1CE04199"/>
    <w:rsid w:val="1DAF4BF3"/>
    <w:rsid w:val="1F5F1455"/>
    <w:rsid w:val="238B282D"/>
    <w:rsid w:val="24DB2C16"/>
    <w:rsid w:val="2FF64718"/>
    <w:rsid w:val="2FFF5672"/>
    <w:rsid w:val="30785808"/>
    <w:rsid w:val="350E3B42"/>
    <w:rsid w:val="35EF5320"/>
    <w:rsid w:val="35FF3FD0"/>
    <w:rsid w:val="37FE6E4F"/>
    <w:rsid w:val="38F7C912"/>
    <w:rsid w:val="3AF66D7F"/>
    <w:rsid w:val="3AF78AE9"/>
    <w:rsid w:val="3CFDFBF0"/>
    <w:rsid w:val="3DB9F49C"/>
    <w:rsid w:val="3DDE464B"/>
    <w:rsid w:val="3FDF2FF2"/>
    <w:rsid w:val="3FF52D51"/>
    <w:rsid w:val="413B5A6E"/>
    <w:rsid w:val="42A15FF5"/>
    <w:rsid w:val="45EB7E1A"/>
    <w:rsid w:val="4B77CA65"/>
    <w:rsid w:val="4BFE1DC3"/>
    <w:rsid w:val="4C7B59A6"/>
    <w:rsid w:val="4E7D555B"/>
    <w:rsid w:val="4EF740CB"/>
    <w:rsid w:val="4F69AC7E"/>
    <w:rsid w:val="4FFA2478"/>
    <w:rsid w:val="5076425C"/>
    <w:rsid w:val="54FF1F05"/>
    <w:rsid w:val="57D34A04"/>
    <w:rsid w:val="57F5F7D3"/>
    <w:rsid w:val="5AB7C189"/>
    <w:rsid w:val="5DDBAD4C"/>
    <w:rsid w:val="5FB7C898"/>
    <w:rsid w:val="5FEF04FF"/>
    <w:rsid w:val="5FFB2014"/>
    <w:rsid w:val="6135490B"/>
    <w:rsid w:val="63493E13"/>
    <w:rsid w:val="63B9BA25"/>
    <w:rsid w:val="64868446"/>
    <w:rsid w:val="66DF3B52"/>
    <w:rsid w:val="67EF4DA3"/>
    <w:rsid w:val="69BFECDF"/>
    <w:rsid w:val="6B1F0388"/>
    <w:rsid w:val="6B7CD6E3"/>
    <w:rsid w:val="6BFEFC99"/>
    <w:rsid w:val="6C0015AD"/>
    <w:rsid w:val="6CA6985D"/>
    <w:rsid w:val="6D3E1199"/>
    <w:rsid w:val="6E0CFBA4"/>
    <w:rsid w:val="6E5E22F7"/>
    <w:rsid w:val="6FFF5B38"/>
    <w:rsid w:val="6FFFB1BB"/>
    <w:rsid w:val="750478BE"/>
    <w:rsid w:val="756C2736"/>
    <w:rsid w:val="76A32460"/>
    <w:rsid w:val="77DD159C"/>
    <w:rsid w:val="77FF70F4"/>
    <w:rsid w:val="7BFDB9A5"/>
    <w:rsid w:val="7C7F953A"/>
    <w:rsid w:val="7D55579A"/>
    <w:rsid w:val="7DB3E06D"/>
    <w:rsid w:val="7DFF6B95"/>
    <w:rsid w:val="7DFFBB10"/>
    <w:rsid w:val="7EBF2341"/>
    <w:rsid w:val="7EEFEC05"/>
    <w:rsid w:val="7F436B5F"/>
    <w:rsid w:val="7F5F73FA"/>
    <w:rsid w:val="7FBFDFD6"/>
    <w:rsid w:val="7FD730D5"/>
    <w:rsid w:val="7FE31F6B"/>
    <w:rsid w:val="7FEFC296"/>
    <w:rsid w:val="7FF6CB97"/>
    <w:rsid w:val="7FFFA9E2"/>
    <w:rsid w:val="8FFEAF59"/>
    <w:rsid w:val="95DD3527"/>
    <w:rsid w:val="9B770905"/>
    <w:rsid w:val="9F7FC7B8"/>
    <w:rsid w:val="AB5FADDB"/>
    <w:rsid w:val="ABFFBB80"/>
    <w:rsid w:val="AEBF9FCE"/>
    <w:rsid w:val="AEC6AF27"/>
    <w:rsid w:val="B8408303"/>
    <w:rsid w:val="BB2BB21B"/>
    <w:rsid w:val="BB3DA9E8"/>
    <w:rsid w:val="BBFBFFFB"/>
    <w:rsid w:val="BDF93754"/>
    <w:rsid w:val="BDFF1163"/>
    <w:rsid w:val="BE2A50DD"/>
    <w:rsid w:val="BE3F8860"/>
    <w:rsid w:val="BF3FBC2D"/>
    <w:rsid w:val="BFB5EDD9"/>
    <w:rsid w:val="C9FFBEA0"/>
    <w:rsid w:val="CB7D02B5"/>
    <w:rsid w:val="CBFF76F1"/>
    <w:rsid w:val="CE8D49AC"/>
    <w:rsid w:val="CFB7A859"/>
    <w:rsid w:val="CFE770D9"/>
    <w:rsid w:val="CFF95E1E"/>
    <w:rsid w:val="CFFDC64B"/>
    <w:rsid w:val="D33F7C6A"/>
    <w:rsid w:val="D9FFB29D"/>
    <w:rsid w:val="DF8EAAFF"/>
    <w:rsid w:val="DFE7AD82"/>
    <w:rsid w:val="E2FF3344"/>
    <w:rsid w:val="E9F74D6A"/>
    <w:rsid w:val="EBAC1A8D"/>
    <w:rsid w:val="EC763D56"/>
    <w:rsid w:val="ED3CEC3A"/>
    <w:rsid w:val="F2F680C6"/>
    <w:rsid w:val="F3AFB35E"/>
    <w:rsid w:val="F5DF4522"/>
    <w:rsid w:val="F6D86800"/>
    <w:rsid w:val="F6FD6417"/>
    <w:rsid w:val="F77E5F01"/>
    <w:rsid w:val="F7AB2B78"/>
    <w:rsid w:val="F7DE1296"/>
    <w:rsid w:val="F7FF0C43"/>
    <w:rsid w:val="F7FFE9FC"/>
    <w:rsid w:val="F9D652D6"/>
    <w:rsid w:val="FBFF53A9"/>
    <w:rsid w:val="FBFF782B"/>
    <w:rsid w:val="FDFFBBCA"/>
    <w:rsid w:val="FDFFE4DD"/>
    <w:rsid w:val="FE25A395"/>
    <w:rsid w:val="FF5B95B4"/>
    <w:rsid w:val="FF5F23F5"/>
    <w:rsid w:val="FFB744E0"/>
    <w:rsid w:val="FFDE133E"/>
    <w:rsid w:val="FFEB1963"/>
    <w:rsid w:val="FFFB009E"/>
    <w:rsid w:val="FFFB4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2804</Words>
  <Characters>2844</Characters>
  <TotalTime>18</TotalTime>
  <ScaleCrop>false</ScaleCrop>
  <LinksUpToDate>false</LinksUpToDate>
  <CharactersWithSpaces>2844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2018-12-16T01:47:00Z</dcterms:created>
  <dc:creator>user</dc:creator>
  <cp:lastModifiedBy>user</cp:lastModifiedBy>
  <cp:lastPrinted>2026-02-05T12:49:00Z</cp:lastPrinted>
  <dcterms:modified xsi:type="dcterms:W3CDTF">2026-02-06T08:43:06Z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33E403C308F93D5076CD8169E8052FE0_43</vt:lpwstr>
  </property>
  <property fmtid="{D5CDD505-2E9C-101B-9397-08002B2CF9AE}" pid="4" name="KSOTemplateDocerSaveRecord">
    <vt:lpwstr>eyJoZGlkIjoiZTdjNTcyOGNiNWQ4ZTlkNmNjZGZlMzBhMWJmZDc4YjciLCJ1c2VySWQiOiIyMzkyOTEzNDQifQ==</vt:lpwstr>
  </property>
</Properties>
</file>