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left"/>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附件2：</w:t>
      </w:r>
    </w:p>
    <w:p>
      <w:pPr>
        <w:widowControl/>
        <w:shd w:val="clear" w:color="auto" w:fill="FFFFFF"/>
        <w:spacing w:line="560" w:lineRule="exact"/>
        <w:ind w:firstLine="482"/>
        <w:jc w:val="center"/>
        <w:rPr>
          <w:rFonts w:ascii="华文中宋" w:eastAsia="华文中宋" w:cs="宋体"/>
          <w:b/>
          <w:color w:val="000000"/>
          <w:kern w:val="0"/>
          <w:sz w:val="44"/>
          <w:szCs w:val="44"/>
        </w:rPr>
      </w:pPr>
      <w:r>
        <w:rPr>
          <w:rFonts w:hint="eastAsia" w:ascii="方正小标宋简体" w:eastAsia="方正小标宋简体" w:cs="宋体"/>
          <w:color w:val="000000"/>
          <w:kern w:val="0"/>
          <w:sz w:val="44"/>
          <w:szCs w:val="44"/>
          <w:lang w:val="en-US" w:eastAsia="zh-CN"/>
        </w:rPr>
        <w:t>《北京市怀柔区分散式饮用水水源地水源保护范围划分方案（征求意见稿）》的</w:t>
      </w:r>
      <w:bookmarkStart w:id="0" w:name="_GoBack"/>
      <w:bookmarkEnd w:id="0"/>
      <w:r>
        <w:rPr>
          <w:rFonts w:hint="eastAsia" w:ascii="方正小标宋简体" w:eastAsia="方正小标宋简体" w:cs="宋体"/>
          <w:color w:val="000000"/>
          <w:kern w:val="0"/>
          <w:sz w:val="44"/>
          <w:szCs w:val="44"/>
        </w:rPr>
        <w:t>起草说明</w:t>
      </w:r>
    </w:p>
    <w:p>
      <w:pPr>
        <w:widowControl/>
        <w:shd w:val="clear" w:color="auto" w:fill="FFFFFF"/>
        <w:spacing w:line="360" w:lineRule="auto"/>
        <w:ind w:firstLine="480"/>
        <w:jc w:val="left"/>
        <w:rPr>
          <w:rFonts w:ascii="宋体" w:hAnsi="宋体" w:cs="宋体"/>
          <w:color w:val="000000"/>
          <w:kern w:val="0"/>
          <w:szCs w:val="21"/>
        </w:rPr>
      </w:pPr>
      <w:r>
        <w:rPr>
          <w:rFonts w:hint="eastAsia" w:ascii="宋体" w:hAnsi="宋体" w:cs="宋体"/>
          <w:color w:val="000000"/>
          <w:kern w:val="0"/>
          <w:szCs w:val="21"/>
        </w:rPr>
        <w:t>  </w:t>
      </w:r>
    </w:p>
    <w:p>
      <w:pPr>
        <w:numPr>
          <w:ilvl w:val="0"/>
          <w:numId w:val="1"/>
        </w:numPr>
        <w:spacing w:line="56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lang w:val="en-US" w:eastAsia="zh-CN"/>
        </w:rPr>
        <w:t>方案</w:t>
      </w:r>
      <w:r>
        <w:rPr>
          <w:rFonts w:hint="eastAsia" w:ascii="黑体" w:hAnsi="黑体" w:eastAsia="黑体" w:cs="仿宋_GB2312"/>
          <w:color w:val="000000"/>
          <w:sz w:val="32"/>
          <w:szCs w:val="32"/>
        </w:rPr>
        <w:t>编制思路和宗旨</w:t>
      </w:r>
    </w:p>
    <w:p>
      <w:pPr>
        <w:numPr>
          <w:ilvl w:val="0"/>
          <w:numId w:val="0"/>
        </w:numPr>
        <w:spacing w:line="560" w:lineRule="exact"/>
        <w:ind w:firstLine="640" w:firstLineChars="200"/>
        <w:rPr>
          <w:rFonts w:ascii="黑体" w:hAnsi="黑体" w:eastAsia="黑体" w:cs="仿宋_GB2312"/>
          <w:color w:val="000000"/>
          <w:sz w:val="32"/>
          <w:szCs w:val="32"/>
        </w:rPr>
      </w:pPr>
      <w:r>
        <w:rPr>
          <w:rFonts w:hint="eastAsia" w:ascii="CESI仿宋-GB2312" w:hAnsi="CESI仿宋-GB2312" w:eastAsia="CESI仿宋-GB2312" w:cs="CESI仿宋-GB2312"/>
          <w:color w:val="auto"/>
          <w:kern w:val="0"/>
          <w:sz w:val="32"/>
          <w:szCs w:val="32"/>
          <w:lang w:val="en-US" w:eastAsia="zh-CN" w:bidi="ar"/>
        </w:rPr>
        <w:t>为推进完善全覆盖的饮用水水源地保护管理体系，北京市怀柔区按照《推进美丽北京建设 持续深入打好污染防治攻坚战2025年行动计划》等文件的工作要求，结合怀柔区饮用水水源地名录及区域规划，2025年底前完成了分散式饮用水水源保护范围划分工作，草拟形成了《北京市怀柔区分散式饮用水水源地水源保护范围划分方案（征求意见稿）</w:t>
      </w:r>
      <w:r>
        <w:rPr>
          <w:rFonts w:hint="eastAsia" w:ascii="CESI仿宋-GB2312" w:hAnsi="CESI仿宋-GB2312" w:eastAsia="CESI仿宋-GB2312" w:cs="CESI仿宋-GB2312"/>
          <w:color w:val="auto"/>
          <w:kern w:val="0"/>
          <w:sz w:val="32"/>
          <w:szCs w:val="32"/>
          <w:highlight w:val="none"/>
          <w:lang w:val="en-US" w:eastAsia="zh-CN" w:bidi="ar"/>
        </w:rPr>
        <w:t>》。</w:t>
      </w:r>
    </w:p>
    <w:p>
      <w:pPr>
        <w:numPr>
          <w:ilvl w:val="0"/>
          <w:numId w:val="1"/>
        </w:numPr>
        <w:spacing w:line="56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目标任务</w:t>
      </w:r>
    </w:p>
    <w:p>
      <w:pPr>
        <w:ind w:firstLine="640" w:firstLineChars="200"/>
        <w:rPr>
          <w:rFonts w:hint="eastAsia" w:ascii="CESI仿宋-GB2312" w:hAnsi="CESI仿宋-GB2312" w:eastAsia="CESI仿宋-GB2312" w:cs="CESI仿宋-GB2312"/>
          <w:color w:val="auto"/>
          <w:kern w:val="0"/>
          <w:sz w:val="32"/>
          <w:szCs w:val="32"/>
          <w:lang w:val="en-US" w:eastAsia="zh-CN" w:bidi="ar"/>
        </w:rPr>
      </w:pPr>
      <w:r>
        <w:rPr>
          <w:rFonts w:hint="eastAsia" w:ascii="CESI仿宋-GB2312" w:hAnsi="CESI仿宋-GB2312" w:eastAsia="CESI仿宋-GB2312" w:cs="CESI仿宋-GB2312"/>
          <w:color w:val="auto"/>
          <w:kern w:val="0"/>
          <w:sz w:val="32"/>
          <w:szCs w:val="32"/>
          <w:lang w:val="en-US" w:eastAsia="zh-CN" w:bidi="ar"/>
        </w:rPr>
        <w:t>以水源保护为核心，按饮用水水源地供水类型、规模及现状，推进饮用水水源保护管理科学化、精准化，编制《北京市怀柔区分散式饮用水水源地水源保护范围划分方案》。</w:t>
      </w:r>
    </w:p>
    <w:p>
      <w:pPr>
        <w:numPr>
          <w:ilvl w:val="0"/>
          <w:numId w:val="1"/>
        </w:numPr>
        <w:spacing w:line="56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制定文件的必要性</w:t>
      </w:r>
    </w:p>
    <w:p>
      <w:pPr>
        <w:widowControl/>
        <w:shd w:val="clear" w:color="auto" w:fill="FFFFFF"/>
        <w:spacing w:line="560" w:lineRule="exact"/>
        <w:ind w:firstLine="640" w:firstLineChars="200"/>
        <w:jc w:val="left"/>
        <w:rPr>
          <w:rFonts w:hint="eastAsia" w:ascii="仿宋_GB2312" w:hAnsi="黑体" w:cs="仿宋_GB2312"/>
          <w:sz w:val="32"/>
          <w:szCs w:val="32"/>
        </w:rPr>
      </w:pPr>
      <w:r>
        <w:rPr>
          <w:rFonts w:hint="eastAsia" w:ascii="仿宋_GB2312" w:hAnsi="黑体" w:cs="仿宋_GB2312"/>
          <w:sz w:val="32"/>
          <w:szCs w:val="32"/>
        </w:rPr>
        <w:t>《关于进一步规范本市饮用水水源保护管理工作的通知》（京环办〔2024〕74号）</w:t>
      </w:r>
      <w:r>
        <w:rPr>
          <w:rFonts w:hint="eastAsia" w:ascii="仿宋_GB2312" w:hAnsi="黑体" w:cs="仿宋_GB2312"/>
          <w:sz w:val="32"/>
          <w:szCs w:val="32"/>
          <w:lang w:val="en-US" w:eastAsia="zh-CN"/>
        </w:rPr>
        <w:t>要求：</w:t>
      </w:r>
      <w:r>
        <w:rPr>
          <w:rFonts w:hint="eastAsia" w:ascii="仿宋_GB2312" w:hAnsi="黑体" w:cs="仿宋_GB2312"/>
          <w:sz w:val="32"/>
          <w:szCs w:val="32"/>
        </w:rPr>
        <w:t>各区生态环境、水务部门参照《饮用水水源保护区划分技术规范》（HJ338-2018）、《分散式饮用水水源地环境保护指南（试行）》（环办〔2010〕132号）等文件要求，共同对名录内水源地开展保护区或保护范围的划定。2024年底前完成区级、乡镇级水源地保护区划定，2025年底前完成名录内所有集中式水源地保护区和分散式水源地保护范围划定。</w:t>
      </w:r>
    </w:p>
    <w:p>
      <w:pPr>
        <w:widowControl/>
        <w:shd w:val="clear" w:color="auto" w:fill="FFFFFF"/>
        <w:spacing w:line="560" w:lineRule="exact"/>
        <w:ind w:firstLine="640" w:firstLineChars="200"/>
        <w:jc w:val="left"/>
        <w:rPr>
          <w:rFonts w:hint="eastAsia" w:ascii="仿宋_GB2312" w:hAnsi="黑体" w:cs="仿宋_GB2312"/>
          <w:sz w:val="32"/>
          <w:szCs w:val="32"/>
        </w:rPr>
      </w:pPr>
      <w:r>
        <w:rPr>
          <w:rFonts w:hint="eastAsia" w:ascii="仿宋_GB2312" w:hAnsi="黑体" w:cs="仿宋_GB2312"/>
          <w:sz w:val="32"/>
          <w:szCs w:val="32"/>
        </w:rPr>
        <w:t>2025年1月北京市人民政府办公厅印发《推进美丽北京建设 持续深入打好污染防治攻坚战2025年行动计划》（京政办发〔2025〕3号），要求“结合饮用水水源地名录及区域规划，统筹实施辖区集中式水源地饮用水水源保护区划定调整和分散式水源地饮用水水源保护范围划定，推进完善全覆盖的饮用水水源地保护管理体系。2025年底前完成名录内所有集中式水源地保护区和分散式水源地保护范围划定。”</w:t>
      </w:r>
    </w:p>
    <w:p>
      <w:pPr>
        <w:numPr>
          <w:ilvl w:val="0"/>
          <w:numId w:val="1"/>
        </w:numPr>
        <w:spacing w:line="56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lang w:val="en-US" w:eastAsia="zh-CN"/>
        </w:rPr>
        <w:t>《分散式水源保护范围划分方案》</w:t>
      </w:r>
      <w:r>
        <w:rPr>
          <w:rFonts w:hint="eastAsia" w:ascii="黑体" w:hAnsi="黑体" w:eastAsia="黑体" w:cs="仿宋_GB2312"/>
          <w:color w:val="000000"/>
          <w:sz w:val="32"/>
          <w:szCs w:val="32"/>
        </w:rPr>
        <w:t>的主要内容和重点说明</w:t>
      </w:r>
    </w:p>
    <w:p>
      <w:pPr>
        <w:widowControl/>
        <w:shd w:val="clear" w:color="auto" w:fill="FFFFFF"/>
        <w:spacing w:line="240" w:lineRule="auto"/>
        <w:ind w:firstLine="640" w:firstLineChars="200"/>
        <w:jc w:val="left"/>
        <w:rPr>
          <w:rFonts w:ascii="仿宋_GB2312" w:hAnsi="黑体" w:cs="仿宋_GB2312"/>
          <w:sz w:val="32"/>
          <w:szCs w:val="32"/>
        </w:rPr>
      </w:pPr>
      <w:r>
        <w:rPr>
          <w:rFonts w:hint="eastAsia" w:ascii="CESI仿宋-GB2312" w:hAnsi="CESI仿宋-GB2312" w:eastAsia="CESI仿宋-GB2312" w:cs="CESI仿宋-GB2312"/>
          <w:color w:val="auto"/>
          <w:kern w:val="0"/>
          <w:sz w:val="32"/>
          <w:szCs w:val="32"/>
          <w:lang w:val="en-US" w:eastAsia="zh-CN" w:bidi="ar"/>
        </w:rPr>
        <w:t>《分散式水源保护范围划分方案》</w:t>
      </w:r>
      <w:r>
        <w:rPr>
          <w:rFonts w:hint="eastAsia" w:ascii="仿宋_GB2312" w:hAnsi="黑体" w:cs="仿宋_GB2312"/>
          <w:sz w:val="32"/>
          <w:szCs w:val="32"/>
        </w:rPr>
        <w:t>主要包括工作背景，依据的法律、法规及要求，饮用水水源保护</w:t>
      </w:r>
      <w:r>
        <w:rPr>
          <w:rFonts w:hint="eastAsia" w:ascii="仿宋_GB2312" w:hAnsi="黑体" w:cs="仿宋_GB2312"/>
          <w:sz w:val="32"/>
          <w:szCs w:val="32"/>
          <w:lang w:val="en-US" w:eastAsia="zh-CN"/>
        </w:rPr>
        <w:t>范围</w:t>
      </w:r>
      <w:r>
        <w:rPr>
          <w:rFonts w:hint="eastAsia" w:ascii="仿宋_GB2312" w:hAnsi="黑体" w:cs="仿宋_GB2312"/>
          <w:sz w:val="32"/>
          <w:szCs w:val="32"/>
        </w:rPr>
        <w:t>划分情况和下一步工作</w:t>
      </w:r>
      <w:r>
        <w:rPr>
          <w:rFonts w:hint="eastAsia" w:ascii="仿宋_GB2312" w:hAnsi="黑体" w:cs="仿宋_GB2312"/>
          <w:sz w:val="32"/>
          <w:szCs w:val="32"/>
          <w:lang w:val="en-US" w:eastAsia="zh-CN"/>
        </w:rPr>
        <w:t>四</w:t>
      </w:r>
      <w:r>
        <w:rPr>
          <w:rFonts w:hint="eastAsia" w:ascii="仿宋_GB2312" w:hAnsi="黑体" w:cs="仿宋_GB2312"/>
          <w:sz w:val="32"/>
          <w:szCs w:val="32"/>
        </w:rPr>
        <w:t>部分内容。</w:t>
      </w:r>
    </w:p>
    <w:p>
      <w:pPr>
        <w:pStyle w:val="3"/>
        <w:keepNext w:val="0"/>
        <w:keepLines w:val="0"/>
        <w:pageBreakBefore w:val="0"/>
        <w:widowControl/>
        <w:kinsoku/>
        <w:wordWrap w:val="0"/>
        <w:overflowPunct/>
        <w:topLinePunct w:val="0"/>
        <w:autoSpaceDE/>
        <w:autoSpaceDN/>
        <w:bidi w:val="0"/>
        <w:adjustRightInd/>
        <w:snapToGrid/>
        <w:ind w:firstLine="643" w:firstLineChars="200"/>
        <w:textAlignment w:val="auto"/>
        <w:rPr>
          <w:rFonts w:hint="eastAsia" w:ascii="仿宋_GB2312" w:hAnsi="黑体" w:eastAsia="仿宋_GB2312" w:cs="仿宋_GB2312"/>
          <w:b/>
          <w:kern w:val="2"/>
          <w:sz w:val="32"/>
          <w:szCs w:val="32"/>
          <w:lang w:val="en-US" w:eastAsia="zh-CN" w:bidi="ar-SA"/>
        </w:rPr>
      </w:pPr>
      <w:r>
        <w:rPr>
          <w:rFonts w:hint="eastAsia" w:ascii="仿宋_GB2312" w:hAnsi="黑体" w:eastAsia="仿宋_GB2312" w:cs="仿宋_GB2312"/>
          <w:b/>
          <w:kern w:val="2"/>
          <w:sz w:val="32"/>
          <w:szCs w:val="32"/>
          <w:lang w:val="en-US" w:eastAsia="zh-CN" w:bidi="ar-SA"/>
        </w:rPr>
        <w:t>（一）工作背景</w:t>
      </w:r>
    </w:p>
    <w:p>
      <w:pPr>
        <w:keepNext w:val="0"/>
        <w:keepLines w:val="0"/>
        <w:pageBreakBefore w:val="0"/>
        <w:widowControl w:val="0"/>
        <w:kinsoku/>
        <w:wordWrap/>
        <w:overflowPunct/>
        <w:topLinePunct w:val="0"/>
        <w:autoSpaceDE/>
        <w:autoSpaceDN/>
        <w:bidi w:val="0"/>
        <w:adjustRightInd/>
        <w:snapToGrid/>
        <w:ind w:firstLine="641"/>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开展分散式水源保护范围划分工作，核心是立足城乡供水安全保障与乡村生态振兴发展需求，针对农村地区分散式水源点多面广、规模偏小、管护基础薄弱，且长期面临农业面源、农村生活污水、畜禽养殖等污染风险，成为饮水安全防护薄弱环节的现实问题，依据水法、水污染防治法等上位法规及相关专项政策、技术规范要求，通过科学划定保护范围补齐农村饮水安全短板，构建全域覆盖的饮用水水源保护体系，从源头防控分散式水源污染风险，切实保障农村居民饮用水安全。结合供水实际，我区开展了191个分散式饮用水水源地水源保护范围划分工作，提出了怀柔区分散式饮用水水源地水源保护范围划分方案。</w:t>
      </w:r>
    </w:p>
    <w:p>
      <w:pPr>
        <w:pStyle w:val="3"/>
        <w:keepNext w:val="0"/>
        <w:keepLines w:val="0"/>
        <w:pageBreakBefore w:val="0"/>
        <w:widowControl/>
        <w:kinsoku/>
        <w:wordWrap w:val="0"/>
        <w:overflowPunct/>
        <w:topLinePunct w:val="0"/>
        <w:autoSpaceDE/>
        <w:autoSpaceDN/>
        <w:bidi w:val="0"/>
        <w:adjustRightInd/>
        <w:snapToGrid/>
        <w:ind w:firstLine="643" w:firstLineChars="200"/>
        <w:textAlignment w:val="auto"/>
        <w:rPr>
          <w:rFonts w:hint="eastAsia" w:ascii="仿宋_GB2312" w:hAnsi="黑体" w:eastAsia="仿宋_GB2312" w:cs="仿宋_GB2312"/>
          <w:b/>
          <w:kern w:val="2"/>
          <w:sz w:val="32"/>
          <w:szCs w:val="32"/>
          <w:lang w:val="en-US" w:eastAsia="zh-CN" w:bidi="ar-SA"/>
        </w:rPr>
      </w:pPr>
      <w:r>
        <w:rPr>
          <w:rFonts w:hint="eastAsia" w:ascii="仿宋_GB2312" w:hAnsi="黑体" w:eastAsia="仿宋_GB2312" w:cs="仿宋_GB2312"/>
          <w:b/>
          <w:kern w:val="2"/>
          <w:sz w:val="32"/>
          <w:szCs w:val="32"/>
          <w:lang w:val="en-US" w:eastAsia="zh-CN" w:bidi="ar-SA"/>
        </w:rPr>
        <w:t>（二）依据的法律、法规及要求</w:t>
      </w:r>
    </w:p>
    <w:p>
      <w:pPr>
        <w:pStyle w:val="3"/>
        <w:keepNext w:val="0"/>
        <w:keepLines w:val="0"/>
        <w:pageBreakBefore w:val="0"/>
        <w:widowControl/>
        <w:kinsoku/>
        <w:wordWrap w:val="0"/>
        <w:overflowPunct/>
        <w:topLinePunct w:val="0"/>
        <w:autoSpaceDE/>
        <w:autoSpaceDN/>
        <w:bidi w:val="0"/>
        <w:adjustRightInd/>
        <w:snapToGrid/>
        <w:ind w:firstLine="640" w:firstLineChars="200"/>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关于推进乡镇及以下集中式饮用水水源地生态环境保护工作的指导意见》（环水体函〔2019〕92号）要求；《关于进一步规范本市饮用水水源保护管理工作的通知》（京环办〔2024〕74号）要求；《推进美丽北京建设 持续深入打好污染防治攻坚战2025年行动计划》（京政办发〔2025〕3号）要求。</w:t>
      </w:r>
    </w:p>
    <w:p>
      <w:pPr>
        <w:pStyle w:val="3"/>
        <w:keepNext w:val="0"/>
        <w:keepLines w:val="0"/>
        <w:pageBreakBefore w:val="0"/>
        <w:widowControl/>
        <w:kinsoku/>
        <w:wordWrap w:val="0"/>
        <w:overflowPunct/>
        <w:topLinePunct w:val="0"/>
        <w:autoSpaceDE/>
        <w:autoSpaceDN/>
        <w:bidi w:val="0"/>
        <w:adjustRightInd/>
        <w:snapToGrid/>
        <w:ind w:firstLine="643" w:firstLineChars="200"/>
        <w:textAlignment w:val="auto"/>
        <w:rPr>
          <w:rFonts w:hint="eastAsia" w:ascii="仿宋_GB2312" w:hAnsi="黑体" w:eastAsia="仿宋_GB2312" w:cs="仿宋_GB2312"/>
          <w:b/>
          <w:kern w:val="2"/>
          <w:sz w:val="32"/>
          <w:szCs w:val="32"/>
          <w:lang w:val="en-US" w:eastAsia="zh-CN" w:bidi="ar-SA"/>
        </w:rPr>
      </w:pPr>
      <w:r>
        <w:rPr>
          <w:rFonts w:hint="eastAsia" w:ascii="仿宋_GB2312" w:hAnsi="黑体" w:eastAsia="仿宋_GB2312" w:cs="仿宋_GB2312"/>
          <w:b/>
          <w:kern w:val="2"/>
          <w:sz w:val="32"/>
          <w:szCs w:val="32"/>
          <w:lang w:val="en-US" w:eastAsia="zh-CN" w:bidi="ar-SA"/>
        </w:rPr>
        <w:t>（三）饮用水水源保护范围划分情况</w:t>
      </w:r>
    </w:p>
    <w:p>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根据2025年9月怀柔区水务局发布的《北京市怀柔区饮用水水源地名录》及现场调查结果，怀柔区共有分散式饮用水水源地191个，位于怀柔镇、北房镇、杨宋镇、庙城镇、桥梓镇、雁栖镇、怀北镇、九渡河镇、渤海镇、琉璃庙镇、汤河口镇、宝山镇、长哨营乡、喇叭沟门乡等14个乡镇，目前共有水源井439眼。</w:t>
      </w:r>
    </w:p>
    <w:sectPr>
      <w:pgSz w:w="11906" w:h="16838"/>
      <w:pgMar w:top="1440" w:right="1474"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00000000000000000"/>
    <w:charset w:val="86"/>
    <w:family w:val="script"/>
    <w:pitch w:val="default"/>
    <w:sig w:usb0="00000000" w:usb1="00000000" w:usb2="00000012"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4ED8B"/>
    <w:multiLevelType w:val="singleLevel"/>
    <w:tmpl w:val="2F54ED8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D89"/>
    <w:rsid w:val="000322A8"/>
    <w:rsid w:val="00037067"/>
    <w:rsid w:val="00052764"/>
    <w:rsid w:val="000D5EFA"/>
    <w:rsid w:val="000F3F74"/>
    <w:rsid w:val="00116DA5"/>
    <w:rsid w:val="00134D88"/>
    <w:rsid w:val="001407EE"/>
    <w:rsid w:val="00153FBB"/>
    <w:rsid w:val="00157E1A"/>
    <w:rsid w:val="0016090B"/>
    <w:rsid w:val="001B0DDE"/>
    <w:rsid w:val="001B6751"/>
    <w:rsid w:val="001E4518"/>
    <w:rsid w:val="00242C57"/>
    <w:rsid w:val="002F3F8B"/>
    <w:rsid w:val="0030350E"/>
    <w:rsid w:val="00343FAD"/>
    <w:rsid w:val="0036653F"/>
    <w:rsid w:val="003B28D8"/>
    <w:rsid w:val="003E7511"/>
    <w:rsid w:val="00442250"/>
    <w:rsid w:val="00464B1B"/>
    <w:rsid w:val="00473ED7"/>
    <w:rsid w:val="004749E4"/>
    <w:rsid w:val="004B63CD"/>
    <w:rsid w:val="004D3D7E"/>
    <w:rsid w:val="005106CB"/>
    <w:rsid w:val="00550699"/>
    <w:rsid w:val="005B511E"/>
    <w:rsid w:val="005C462E"/>
    <w:rsid w:val="005E1ABE"/>
    <w:rsid w:val="005E5245"/>
    <w:rsid w:val="005F025D"/>
    <w:rsid w:val="006B2D51"/>
    <w:rsid w:val="00704940"/>
    <w:rsid w:val="00742D89"/>
    <w:rsid w:val="00751090"/>
    <w:rsid w:val="00787C68"/>
    <w:rsid w:val="007D23A7"/>
    <w:rsid w:val="00801B5D"/>
    <w:rsid w:val="00870009"/>
    <w:rsid w:val="00890DE7"/>
    <w:rsid w:val="008F78C0"/>
    <w:rsid w:val="00940066"/>
    <w:rsid w:val="00946E4B"/>
    <w:rsid w:val="0096769C"/>
    <w:rsid w:val="009C43D6"/>
    <w:rsid w:val="009E78C3"/>
    <w:rsid w:val="00A01B5D"/>
    <w:rsid w:val="00A63A2E"/>
    <w:rsid w:val="00AA38AD"/>
    <w:rsid w:val="00AB376F"/>
    <w:rsid w:val="00AC6530"/>
    <w:rsid w:val="00B122C1"/>
    <w:rsid w:val="00B55512"/>
    <w:rsid w:val="00BC69D3"/>
    <w:rsid w:val="00BC6FFD"/>
    <w:rsid w:val="00C11F92"/>
    <w:rsid w:val="00C22A1F"/>
    <w:rsid w:val="00C3576B"/>
    <w:rsid w:val="00C80B7D"/>
    <w:rsid w:val="00CA6472"/>
    <w:rsid w:val="00CC4394"/>
    <w:rsid w:val="00CD010A"/>
    <w:rsid w:val="00D66920"/>
    <w:rsid w:val="00D75BEF"/>
    <w:rsid w:val="00DC51F1"/>
    <w:rsid w:val="00DD0B73"/>
    <w:rsid w:val="00DE21A6"/>
    <w:rsid w:val="00DF762F"/>
    <w:rsid w:val="00E0632E"/>
    <w:rsid w:val="00E347E0"/>
    <w:rsid w:val="00E80337"/>
    <w:rsid w:val="00EB70DC"/>
    <w:rsid w:val="00ED1350"/>
    <w:rsid w:val="00EE1BFE"/>
    <w:rsid w:val="00F23643"/>
    <w:rsid w:val="00F4414C"/>
    <w:rsid w:val="00FA481F"/>
    <w:rsid w:val="00FA4850"/>
    <w:rsid w:val="00FF535A"/>
    <w:rsid w:val="048861BD"/>
    <w:rsid w:val="053B1A79"/>
    <w:rsid w:val="068941A4"/>
    <w:rsid w:val="258B7B79"/>
    <w:rsid w:val="26B411FC"/>
    <w:rsid w:val="2B8B106A"/>
    <w:rsid w:val="2FE741A4"/>
    <w:rsid w:val="3CBF6139"/>
    <w:rsid w:val="53092FC5"/>
    <w:rsid w:val="546567E8"/>
    <w:rsid w:val="5644487F"/>
    <w:rsid w:val="56F45D59"/>
    <w:rsid w:val="59BB5797"/>
    <w:rsid w:val="5B9F378E"/>
    <w:rsid w:val="5C414D27"/>
    <w:rsid w:val="5EB905C3"/>
    <w:rsid w:val="676E209B"/>
    <w:rsid w:val="6A070584"/>
    <w:rsid w:val="6F3A3E57"/>
    <w:rsid w:val="75C62206"/>
    <w:rsid w:val="BD7FE504"/>
    <w:rsid w:val="DEF302AC"/>
    <w:rsid w:val="F6D5B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1"/>
      <w:szCs w:val="22"/>
      <w:lang w:val="en-US" w:eastAsia="zh-CN" w:bidi="ar-SA"/>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customStyle="1" w:styleId="3">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napToGrid w:val="0"/>
      <w:spacing w:line="560" w:lineRule="exact"/>
      <w:ind w:firstLine="200" w:firstLineChars="200"/>
      <w:jc w:val="left"/>
    </w:pPr>
    <w:rPr>
      <w:rFonts w:ascii="微软雅黑" w:hAnsi="微软雅黑" w:eastAsia="微软雅黑"/>
      <w:kern w:val="0"/>
      <w:sz w:val="24"/>
      <w:szCs w:val="24"/>
    </w:r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character" w:customStyle="1" w:styleId="10">
    <w:name w:val="页眉 Char"/>
    <w:basedOn w:val="8"/>
    <w:link w:val="5"/>
    <w:qFormat/>
    <w:uiPriority w:val="99"/>
    <w:rPr>
      <w:rFonts w:ascii="Times New Roman" w:hAnsi="Times New Roman" w:eastAsia="仿宋_GB2312" w:cs="Times New Roman"/>
      <w:sz w:val="18"/>
      <w:szCs w:val="18"/>
    </w:rPr>
  </w:style>
  <w:style w:type="character" w:customStyle="1" w:styleId="11">
    <w:name w:val="页脚 Char"/>
    <w:basedOn w:val="8"/>
    <w:link w:val="4"/>
    <w:qFormat/>
    <w:uiPriority w:val="99"/>
    <w:rPr>
      <w:rFonts w:ascii="Times New Roman" w:hAnsi="Times New Roman" w:eastAsia="仿宋_GB2312" w:cs="Times New Roman"/>
      <w:sz w:val="18"/>
      <w:szCs w:val="18"/>
    </w:rPr>
  </w:style>
  <w:style w:type="paragraph" w:customStyle="1" w:styleId="12">
    <w:name w:val="List Paragraph"/>
    <w:basedOn w:val="1"/>
    <w:qFormat/>
    <w:uiPriority w:val="34"/>
    <w:pPr>
      <w:ind w:firstLine="420" w:firstLineChars="200"/>
    </w:pPr>
  </w:style>
  <w:style w:type="paragraph" w:customStyle="1" w:styleId="13">
    <w:name w:val="Default"/>
    <w:qFormat/>
    <w:uiPriority w:val="0"/>
    <w:pPr>
      <w:widowControl w:val="0"/>
      <w:autoSpaceDE w:val="0"/>
      <w:autoSpaceDN w:val="0"/>
      <w:adjustRightInd w:val="0"/>
    </w:pPr>
    <w:rPr>
      <w:rFonts w:ascii="微软雅黑" w:hAnsi="微软雅黑" w:eastAsia="微软雅黑"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2333</Words>
  <Characters>2476</Characters>
  <Lines>9</Lines>
  <Paragraphs>2</Paragraphs>
  <TotalTime>8</TotalTime>
  <ScaleCrop>false</ScaleCrop>
  <LinksUpToDate>false</LinksUpToDate>
  <CharactersWithSpaces>2484</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2025-11-19T15:18:00Z</dcterms:created>
  <dc:creator>杨 永强</dc:creator>
  <cp:lastModifiedBy>adin</cp:lastModifiedBy>
  <cp:lastPrinted>2026-02-04T16:17:00Z</cp:lastPrinted>
  <dcterms:modified xsi:type="dcterms:W3CDTF">2026-02-05T07:07:28Z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E58B5095E14C4B6FA33DD84E245AFAAC</vt:lpwstr>
  </property>
  <property fmtid="{D5CDD505-2E9C-101B-9397-08002B2CF9AE}" pid="4" name="KSOTemplateDocerSaveRecord">
    <vt:lpwstr>eyJoZGlkIjoiMzZiZWNhMjNlY2Q0ZDQzMzRlYmUzM2RkMDMwYTA1NTciLCJ1c2VySWQiOiIxMTU5NDIzMzA0In0=</vt:lpwstr>
  </property>
</Properties>
</file>