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napToGrid w:val="0"/>
        <w:spacing w:line="560" w:lineRule="exact"/>
        <w:jc w:val="center"/>
        <w:rPr>
          <w:rFonts w:ascii="方正小标宋简体" w:hAnsi="黑体" w:eastAsia="方正小标宋简体" w:cs="黑体"/>
          <w:spacing w:val="6"/>
          <w:sz w:val="44"/>
          <w:szCs w:val="44"/>
          <w:lang w:bidi="ar"/>
        </w:rPr>
      </w:pPr>
      <w:r>
        <w:rPr>
          <w:rFonts w:hint="eastAsia" w:ascii="方正小标宋简体" w:hAnsi="黑体" w:eastAsia="方正小标宋简体" w:cs="黑体"/>
          <w:spacing w:val="6"/>
          <w:sz w:val="44"/>
          <w:szCs w:val="44"/>
          <w:lang w:bidi="ar"/>
        </w:rPr>
        <w:t>关于《</w:t>
      </w:r>
      <w:r>
        <w:rPr>
          <w:rFonts w:hint="eastAsia" w:ascii="方正小标宋简体" w:hAnsi="黑体" w:eastAsia="方正小标宋简体" w:cs="黑体"/>
          <w:spacing w:val="6"/>
          <w:sz w:val="44"/>
          <w:szCs w:val="44"/>
          <w:highlight w:val="none"/>
          <w:lang w:val="en-US" w:eastAsia="zh-CN" w:bidi="ar"/>
        </w:rPr>
        <w:t>北京市</w:t>
      </w:r>
      <w:r>
        <w:rPr>
          <w:rFonts w:hint="eastAsia" w:ascii="方正小标宋简体" w:hAnsi="黑体" w:eastAsia="方正小标宋简体" w:cs="黑体"/>
          <w:spacing w:val="6"/>
          <w:sz w:val="44"/>
          <w:szCs w:val="44"/>
          <w:lang w:bidi="ar"/>
        </w:rPr>
        <w:t>房山区</w:t>
      </w:r>
      <w:bookmarkStart w:id="0" w:name="_GoBack"/>
      <w:bookmarkEnd w:id="0"/>
      <w:r>
        <w:rPr>
          <w:rFonts w:hint="eastAsia" w:ascii="方正小标宋简体" w:hAnsi="黑体" w:eastAsia="方正小标宋简体" w:cs="黑体"/>
          <w:spacing w:val="6"/>
          <w:sz w:val="44"/>
          <w:szCs w:val="44"/>
          <w:lang w:bidi="ar"/>
        </w:rPr>
        <w:t>非建设空间规划（2023年—2035年）（草案）》的起草说明</w:t>
      </w:r>
    </w:p>
    <w:p>
      <w:pPr>
        <w:pStyle w:val="9"/>
        <w:snapToGrid w:val="0"/>
        <w:spacing w:line="540" w:lineRule="exact"/>
        <w:ind w:firstLine="640" w:firstLineChars="200"/>
        <w:jc w:val="both"/>
        <w:rPr>
          <w:rFonts w:ascii="黑体" w:hAnsi="黑体" w:eastAsia="黑体" w:cs="黑体"/>
          <w:color w:val="auto"/>
          <w:kern w:val="2"/>
          <w:sz w:val="32"/>
          <w:szCs w:val="32"/>
        </w:rPr>
      </w:pPr>
    </w:p>
    <w:p>
      <w:pPr>
        <w:pStyle w:val="9"/>
        <w:snapToGrid w:val="0"/>
        <w:spacing w:line="540" w:lineRule="exact"/>
        <w:ind w:firstLine="640" w:firstLineChars="200"/>
        <w:jc w:val="both"/>
        <w:rPr>
          <w:rFonts w:ascii="黑体" w:hAnsi="黑体" w:eastAsia="黑体" w:cs="黑体"/>
          <w:color w:val="auto"/>
          <w:kern w:val="2"/>
          <w:sz w:val="32"/>
          <w:szCs w:val="32"/>
        </w:rPr>
      </w:pPr>
      <w:r>
        <w:rPr>
          <w:rFonts w:hint="eastAsia" w:ascii="黑体" w:hAnsi="黑体" w:eastAsia="黑体" w:cs="黑体"/>
          <w:color w:val="auto"/>
          <w:kern w:val="2"/>
          <w:sz w:val="32"/>
          <w:szCs w:val="32"/>
        </w:rPr>
        <w:t>一、制定背景</w:t>
      </w:r>
    </w:p>
    <w:p>
      <w:pPr>
        <w:pStyle w:val="9"/>
        <w:snapToGrid w:val="0"/>
        <w:spacing w:line="540" w:lineRule="exact"/>
        <w:ind w:firstLine="640" w:firstLineChars="200"/>
        <w:jc w:val="both"/>
        <w:rPr>
          <w:rFonts w:hint="eastAsia" w:hAnsi="仿宋"/>
          <w:sz w:val="32"/>
          <w:szCs w:val="32"/>
        </w:rPr>
      </w:pPr>
      <w:r>
        <w:rPr>
          <w:rFonts w:hint="eastAsia" w:hAnsi="仿宋"/>
          <w:sz w:val="32"/>
          <w:szCs w:val="32"/>
        </w:rPr>
        <w:t>为贯彻落实党的二十大精神和习近平生态文明思想，落实北京城市总体规划的生态战略部署，强化市级生态安全格局专项规划和国土空间生态修复规划的引领作用和有效传导，统筹山水林田湖草沙整体保护、系统修复和综合治理，切实提高首都国土空间规划治理水平，依据《北京城市总体规划（2016-2035年）》《北京市生态安全格局专项规划（2021年—2035年）》《北京市国土空间生态修复规划（2021年—2035年）》（2021年）的相关要求，结合房山区非建设空间工作经验和生态修复的工作基础，编制</w:t>
      </w:r>
      <w:r>
        <w:rPr>
          <w:rFonts w:hint="eastAsia" w:hAnsi="仿宋"/>
          <w:sz w:val="32"/>
          <w:szCs w:val="32"/>
          <w:lang w:eastAsia="zh-CN"/>
        </w:rPr>
        <w:t>《</w:t>
      </w:r>
      <w:r>
        <w:rPr>
          <w:rFonts w:hint="eastAsia" w:hAnsi="仿宋"/>
          <w:sz w:val="32"/>
          <w:szCs w:val="32"/>
          <w:lang w:val="en-US" w:eastAsia="zh-CN"/>
        </w:rPr>
        <w:t>北京市房山区非建设空间规划（2023年—2035年）</w:t>
      </w:r>
      <w:r>
        <w:rPr>
          <w:rFonts w:hint="eastAsia" w:hAnsi="仿宋"/>
          <w:sz w:val="32"/>
          <w:szCs w:val="32"/>
          <w:lang w:eastAsia="zh-CN"/>
        </w:rPr>
        <w:t>（</w:t>
      </w:r>
      <w:r>
        <w:rPr>
          <w:rFonts w:hint="eastAsia" w:hAnsi="仿宋"/>
          <w:sz w:val="32"/>
          <w:szCs w:val="32"/>
        </w:rPr>
        <w:t>草案</w:t>
      </w:r>
      <w:r>
        <w:rPr>
          <w:rFonts w:hint="eastAsia" w:hAnsi="仿宋"/>
          <w:sz w:val="32"/>
          <w:szCs w:val="32"/>
          <w:lang w:eastAsia="zh-CN"/>
        </w:rPr>
        <w:t>）</w:t>
      </w:r>
      <w:r>
        <w:rPr>
          <w:rFonts w:hint="eastAsia" w:hAnsi="仿宋"/>
          <w:sz w:val="32"/>
          <w:szCs w:val="32"/>
          <w:lang w:val="en-US" w:eastAsia="zh-CN"/>
        </w:rPr>
        <w:t>》（以下简称：《规划》），</w:t>
      </w:r>
      <w:r>
        <w:rPr>
          <w:rFonts w:hint="eastAsia" w:hAnsi="仿宋"/>
          <w:sz w:val="32"/>
          <w:szCs w:val="32"/>
        </w:rPr>
        <w:t>推动区级非建设空间相关规划“多规合一”和统筹实施</w:t>
      </w:r>
      <w:r>
        <w:rPr>
          <w:rFonts w:hint="eastAsia" w:hAnsi="仿宋"/>
          <w:sz w:val="32"/>
          <w:szCs w:val="32"/>
          <w:lang w:eastAsia="zh-CN"/>
        </w:rPr>
        <w:t>，</w:t>
      </w:r>
      <w:r>
        <w:rPr>
          <w:rFonts w:hint="eastAsia" w:hAnsi="仿宋"/>
          <w:sz w:val="32"/>
          <w:szCs w:val="32"/>
        </w:rPr>
        <w:t>助力房山区国土空间生态</w:t>
      </w:r>
      <w:r>
        <w:rPr>
          <w:rFonts w:hint="eastAsia" w:hAnsi="仿宋"/>
          <w:sz w:val="32"/>
          <w:szCs w:val="32"/>
          <w:lang w:val="en-US" w:eastAsia="zh-CN"/>
        </w:rPr>
        <w:t>保护</w:t>
      </w:r>
      <w:r>
        <w:rPr>
          <w:rFonts w:hint="eastAsia" w:hAnsi="仿宋"/>
          <w:sz w:val="32"/>
          <w:szCs w:val="32"/>
        </w:rPr>
        <w:t>修复工作</w:t>
      </w:r>
      <w:r>
        <w:rPr>
          <w:rFonts w:hint="eastAsia" w:hAnsi="仿宋"/>
          <w:sz w:val="32"/>
          <w:szCs w:val="32"/>
          <w:lang w:val="en-US" w:eastAsia="zh-CN"/>
        </w:rPr>
        <w:t>有序开展</w:t>
      </w:r>
      <w:r>
        <w:rPr>
          <w:rFonts w:hint="eastAsia" w:hAnsi="仿宋"/>
          <w:sz w:val="32"/>
          <w:szCs w:val="32"/>
        </w:rPr>
        <w:t>，实现“一区一城”新房山高质量发展。</w:t>
      </w:r>
    </w:p>
    <w:p>
      <w:pPr>
        <w:pStyle w:val="9"/>
        <w:snapToGrid w:val="0"/>
        <w:spacing w:line="540" w:lineRule="exact"/>
        <w:ind w:firstLine="664" w:firstLineChars="200"/>
        <w:jc w:val="both"/>
        <w:rPr>
          <w:rFonts w:ascii="黑体" w:hAnsi="黑体" w:eastAsia="黑体" w:cs="黑体"/>
          <w:color w:val="auto"/>
          <w:spacing w:val="6"/>
          <w:kern w:val="2"/>
          <w:sz w:val="32"/>
          <w:szCs w:val="32"/>
        </w:rPr>
      </w:pPr>
      <w:r>
        <w:rPr>
          <w:rFonts w:hint="eastAsia" w:ascii="黑体" w:hAnsi="黑体" w:eastAsia="黑体" w:cs="黑体"/>
          <w:color w:val="auto"/>
          <w:spacing w:val="6"/>
          <w:kern w:val="2"/>
          <w:sz w:val="32"/>
          <w:szCs w:val="32"/>
        </w:rPr>
        <w:t>二、编制情况</w:t>
      </w:r>
    </w:p>
    <w:p>
      <w:pPr>
        <w:pStyle w:val="9"/>
        <w:snapToGrid w:val="0"/>
        <w:spacing w:line="540" w:lineRule="exact"/>
        <w:ind w:firstLine="640" w:firstLineChars="200"/>
        <w:jc w:val="both"/>
        <w:rPr>
          <w:rFonts w:ascii="仿宋_GB2312" w:hAnsi="仿宋_GB2312" w:eastAsia="仿宋_GB2312" w:cs="仿宋_GB2312"/>
          <w:color w:val="auto"/>
          <w:spacing w:val="6"/>
          <w:sz w:val="32"/>
          <w:szCs w:val="32"/>
        </w:rPr>
      </w:pPr>
      <w:r>
        <w:rPr>
          <w:rFonts w:hint="eastAsia" w:hAnsi="仿宋"/>
          <w:sz w:val="32"/>
          <w:szCs w:val="32"/>
        </w:rPr>
        <w:t>按照《区级非建设空间统合编制指南</w:t>
      </w:r>
      <w:r>
        <w:rPr>
          <w:rFonts w:hint="eastAsia" w:hAnsi="仿宋"/>
          <w:sz w:val="32"/>
          <w:szCs w:val="32"/>
          <w:lang w:eastAsia="zh-CN"/>
        </w:rPr>
        <w:t>》（</w:t>
      </w:r>
      <w:r>
        <w:rPr>
          <w:rFonts w:hint="eastAsia" w:hAnsi="仿宋"/>
          <w:sz w:val="32"/>
          <w:szCs w:val="32"/>
          <w:lang w:val="en-US" w:eastAsia="zh-CN"/>
        </w:rPr>
        <w:t>试行</w:t>
      </w:r>
      <w:r>
        <w:rPr>
          <w:rFonts w:hint="eastAsia" w:hAnsi="仿宋"/>
          <w:sz w:val="32"/>
          <w:szCs w:val="32"/>
          <w:lang w:eastAsia="zh-CN"/>
        </w:rPr>
        <w:t>）</w:t>
      </w:r>
      <w:r>
        <w:rPr>
          <w:rFonts w:hint="eastAsia" w:hAnsi="仿宋"/>
          <w:sz w:val="32"/>
          <w:szCs w:val="32"/>
        </w:rPr>
        <w:t>中相关要求，规划期限为1</w:t>
      </w:r>
      <w:r>
        <w:rPr>
          <w:rFonts w:hint="eastAsia" w:hAnsi="仿宋"/>
          <w:sz w:val="32"/>
          <w:szCs w:val="32"/>
          <w:lang w:val="en-US" w:eastAsia="zh-CN"/>
        </w:rPr>
        <w:t>3</w:t>
      </w:r>
      <w:r>
        <w:rPr>
          <w:rFonts w:hAnsi="仿宋"/>
          <w:sz w:val="32"/>
          <w:szCs w:val="32"/>
        </w:rPr>
        <w:t>年</w:t>
      </w:r>
      <w:r>
        <w:rPr>
          <w:rFonts w:hint="eastAsia" w:ascii="仿宋_GB2312" w:hAnsi="仿宋_GB2312" w:eastAsia="仿宋_GB2312" w:cs="仿宋_GB2312"/>
          <w:color w:val="auto"/>
          <w:spacing w:val="6"/>
          <w:sz w:val="32"/>
          <w:szCs w:val="32"/>
        </w:rPr>
        <w:t>（起止20</w:t>
      </w:r>
      <w:r>
        <w:rPr>
          <w:rFonts w:hint="eastAsia" w:ascii="仿宋_GB2312" w:hAnsi="仿宋_GB2312" w:eastAsia="仿宋_GB2312" w:cs="仿宋_GB2312"/>
          <w:color w:val="auto"/>
          <w:spacing w:val="6"/>
          <w:sz w:val="32"/>
          <w:szCs w:val="32"/>
          <w:lang w:val="en-US" w:eastAsia="zh-CN"/>
        </w:rPr>
        <w:t>23</w:t>
      </w:r>
      <w:r>
        <w:rPr>
          <w:rFonts w:hint="eastAsia" w:ascii="仿宋_GB2312" w:hAnsi="仿宋_GB2312" w:eastAsia="仿宋_GB2312" w:cs="仿宋_GB2312"/>
          <w:color w:val="auto"/>
          <w:spacing w:val="6"/>
          <w:sz w:val="32"/>
          <w:szCs w:val="32"/>
        </w:rPr>
        <w:t>年</w:t>
      </w:r>
      <w:r>
        <w:rPr>
          <w:rFonts w:hint="eastAsia" w:ascii="仿宋_GB2312" w:hAnsi="仿宋_GB2312" w:eastAsia="仿宋_GB2312" w:cs="仿宋_GB2312"/>
          <w:color w:val="auto"/>
          <w:spacing w:val="6"/>
          <w:sz w:val="32"/>
          <w:szCs w:val="32"/>
          <w:lang w:eastAsia="zh-CN"/>
        </w:rPr>
        <w:t>—</w:t>
      </w:r>
      <w:r>
        <w:rPr>
          <w:rFonts w:hint="eastAsia" w:ascii="仿宋_GB2312" w:hAnsi="仿宋_GB2312" w:eastAsia="仿宋_GB2312" w:cs="仿宋_GB2312"/>
          <w:color w:val="auto"/>
          <w:spacing w:val="6"/>
          <w:sz w:val="32"/>
          <w:szCs w:val="32"/>
        </w:rPr>
        <w:t>203</w:t>
      </w:r>
      <w:r>
        <w:rPr>
          <w:rFonts w:ascii="仿宋_GB2312" w:hAnsi="仿宋_GB2312" w:eastAsia="仿宋_GB2312" w:cs="仿宋_GB2312"/>
          <w:color w:val="auto"/>
          <w:spacing w:val="6"/>
          <w:sz w:val="32"/>
          <w:szCs w:val="32"/>
        </w:rPr>
        <w:t>5</w:t>
      </w:r>
      <w:r>
        <w:rPr>
          <w:rFonts w:hint="eastAsia" w:ascii="仿宋_GB2312" w:hAnsi="仿宋_GB2312" w:eastAsia="仿宋_GB2312" w:cs="仿宋_GB2312"/>
          <w:color w:val="auto"/>
          <w:spacing w:val="6"/>
          <w:sz w:val="32"/>
          <w:szCs w:val="32"/>
        </w:rPr>
        <w:t>年）。</w:t>
      </w:r>
    </w:p>
    <w:p>
      <w:pPr>
        <w:pStyle w:val="9"/>
        <w:snapToGrid w:val="0"/>
        <w:spacing w:line="540" w:lineRule="exact"/>
        <w:ind w:firstLine="643" w:firstLineChars="200"/>
        <w:jc w:val="both"/>
        <w:rPr>
          <w:rFonts w:ascii="仿宋_GB2312" w:eastAsia="仿宋_GB2312"/>
          <w:b/>
          <w:bCs/>
          <w:sz w:val="32"/>
          <w:szCs w:val="32"/>
        </w:rPr>
      </w:pPr>
      <w:r>
        <w:rPr>
          <w:rFonts w:hint="eastAsia" w:ascii="仿宋_GB2312" w:eastAsia="仿宋_GB2312"/>
          <w:b/>
          <w:bCs/>
          <w:sz w:val="32"/>
          <w:szCs w:val="32"/>
        </w:rPr>
        <w:t>（一）前期准备阶段</w:t>
      </w:r>
    </w:p>
    <w:p>
      <w:pPr>
        <w:pStyle w:val="9"/>
        <w:snapToGrid w:val="0"/>
        <w:spacing w:line="540" w:lineRule="exact"/>
        <w:ind w:firstLine="640" w:firstLineChars="200"/>
        <w:jc w:val="both"/>
        <w:rPr>
          <w:rFonts w:hAnsi="仿宋"/>
          <w:sz w:val="32"/>
          <w:szCs w:val="32"/>
        </w:rPr>
      </w:pPr>
      <w:r>
        <w:rPr>
          <w:rFonts w:hint="eastAsia" w:hAnsi="仿宋"/>
          <w:sz w:val="32"/>
          <w:szCs w:val="32"/>
        </w:rPr>
        <w:t>为确保如期完成编制报审工作，</w:t>
      </w:r>
      <w:r>
        <w:rPr>
          <w:rFonts w:hint="eastAsia" w:hAnsi="仿宋"/>
          <w:sz w:val="32"/>
          <w:szCs w:val="32"/>
          <w:lang w:val="en-US" w:eastAsia="zh-CN"/>
        </w:rPr>
        <w:t>北京市规划和自然资源委员会房山分局</w:t>
      </w:r>
      <w:r>
        <w:rPr>
          <w:rFonts w:hint="eastAsia" w:hAnsi="仿宋"/>
          <w:sz w:val="32"/>
          <w:szCs w:val="32"/>
        </w:rPr>
        <w:t>聘请专业团队编制《规划》。</w:t>
      </w:r>
    </w:p>
    <w:p>
      <w:pPr>
        <w:spacing w:line="580" w:lineRule="exact"/>
        <w:ind w:firstLine="643" w:firstLineChars="200"/>
        <w:jc w:val="left"/>
        <w:rPr>
          <w:rFonts w:ascii="仿宋_GB2312" w:hAnsi="宋体" w:eastAsia="仿宋_GB2312"/>
          <w:b/>
          <w:bCs/>
          <w:sz w:val="32"/>
          <w:szCs w:val="28"/>
        </w:rPr>
      </w:pPr>
      <w:r>
        <w:rPr>
          <w:rFonts w:hint="eastAsia" w:ascii="仿宋_GB2312" w:hAnsi="宋体" w:eastAsia="仿宋_GB2312"/>
          <w:b/>
          <w:bCs/>
          <w:sz w:val="32"/>
          <w:szCs w:val="28"/>
        </w:rPr>
        <w:t>（二）规划起草阶段</w:t>
      </w:r>
    </w:p>
    <w:p>
      <w:pPr>
        <w:pStyle w:val="9"/>
        <w:snapToGrid w:val="0"/>
        <w:spacing w:line="540" w:lineRule="exact"/>
        <w:ind w:firstLine="640" w:firstLineChars="200"/>
        <w:jc w:val="both"/>
        <w:rPr>
          <w:rFonts w:ascii="仿宋_GB2312" w:hAnsi="仿宋_GB2312" w:eastAsia="仿宋_GB2312" w:cs="仿宋_GB2312"/>
          <w:color w:val="auto"/>
          <w:spacing w:val="6"/>
          <w:sz w:val="32"/>
          <w:szCs w:val="32"/>
        </w:rPr>
      </w:pPr>
      <w:r>
        <w:rPr>
          <w:rFonts w:hint="eastAsia" w:hAnsi="仿宋"/>
          <w:sz w:val="32"/>
          <w:szCs w:val="32"/>
        </w:rPr>
        <w:t>按照《区级非建设空间统合编制指南</w:t>
      </w:r>
      <w:r>
        <w:rPr>
          <w:rFonts w:hAnsi="仿宋"/>
          <w:sz w:val="32"/>
          <w:szCs w:val="32"/>
        </w:rPr>
        <w:t>》</w:t>
      </w:r>
      <w:r>
        <w:rPr>
          <w:rFonts w:hint="eastAsia" w:hAnsi="仿宋"/>
          <w:sz w:val="32"/>
          <w:szCs w:val="32"/>
          <w:lang w:eastAsia="zh-CN"/>
        </w:rPr>
        <w:t>（</w:t>
      </w:r>
      <w:r>
        <w:rPr>
          <w:rFonts w:hint="eastAsia" w:hAnsi="仿宋"/>
          <w:sz w:val="32"/>
          <w:szCs w:val="32"/>
          <w:lang w:val="en-US" w:eastAsia="zh-CN"/>
        </w:rPr>
        <w:t>试行</w:t>
      </w:r>
      <w:r>
        <w:rPr>
          <w:rFonts w:hint="eastAsia" w:hAnsi="仿宋"/>
          <w:sz w:val="32"/>
          <w:szCs w:val="32"/>
          <w:lang w:eastAsia="zh-CN"/>
        </w:rPr>
        <w:t>）</w:t>
      </w:r>
      <w:r>
        <w:rPr>
          <w:rFonts w:hint="eastAsia" w:hAnsi="仿宋"/>
          <w:sz w:val="32"/>
          <w:szCs w:val="32"/>
        </w:rPr>
        <w:t>编制要求，</w:t>
      </w:r>
      <w:r>
        <w:rPr>
          <w:rFonts w:hint="eastAsia" w:ascii="仿宋_GB2312" w:hAnsi="仿宋_GB2312" w:eastAsia="仿宋_GB2312" w:cs="仿宋_GB2312"/>
          <w:color w:val="auto"/>
          <w:spacing w:val="6"/>
          <w:sz w:val="32"/>
          <w:szCs w:val="32"/>
        </w:rPr>
        <w:t>专业团队在《规划》编制过程中，通过召开座谈会、实地调研、收集资料等形式，完成《规划》初稿编制。</w:t>
      </w:r>
    </w:p>
    <w:p>
      <w:pPr>
        <w:numPr>
          <w:ilvl w:val="0"/>
          <w:numId w:val="1"/>
        </w:numPr>
        <w:spacing w:line="580" w:lineRule="exact"/>
        <w:ind w:firstLine="643" w:firstLineChars="200"/>
        <w:jc w:val="left"/>
        <w:rPr>
          <w:rFonts w:ascii="仿宋_GB2312" w:hAnsi="宋体" w:eastAsia="仿宋_GB2312"/>
          <w:b/>
          <w:bCs/>
          <w:sz w:val="32"/>
          <w:szCs w:val="28"/>
        </w:rPr>
      </w:pPr>
      <w:r>
        <w:rPr>
          <w:rFonts w:hint="eastAsia" w:ascii="仿宋_GB2312" w:hAnsi="宋体" w:eastAsia="仿宋_GB2312"/>
          <w:b/>
          <w:bCs/>
          <w:sz w:val="32"/>
          <w:szCs w:val="28"/>
        </w:rPr>
        <w:t>修改衔接阶段</w:t>
      </w:r>
    </w:p>
    <w:p>
      <w:pPr>
        <w:pStyle w:val="9"/>
        <w:snapToGrid w:val="0"/>
        <w:spacing w:line="540" w:lineRule="exact"/>
        <w:ind w:firstLine="640" w:firstLineChars="200"/>
        <w:jc w:val="both"/>
        <w:rPr>
          <w:rFonts w:hAnsi="仿宋"/>
          <w:sz w:val="32"/>
          <w:szCs w:val="32"/>
        </w:rPr>
      </w:pPr>
      <w:r>
        <w:rPr>
          <w:rFonts w:hint="eastAsia" w:hAnsi="仿宋"/>
          <w:sz w:val="32"/>
          <w:szCs w:val="32"/>
        </w:rPr>
        <w:t>202</w:t>
      </w:r>
      <w:r>
        <w:rPr>
          <w:rFonts w:hint="eastAsia" w:hAnsi="仿宋"/>
          <w:sz w:val="32"/>
          <w:szCs w:val="32"/>
          <w:lang w:val="en-US" w:eastAsia="zh-CN"/>
        </w:rPr>
        <w:t>5</w:t>
      </w:r>
      <w:r>
        <w:rPr>
          <w:rFonts w:hint="eastAsia" w:hAnsi="仿宋"/>
          <w:sz w:val="32"/>
          <w:szCs w:val="32"/>
        </w:rPr>
        <w:t>年</w:t>
      </w:r>
      <w:r>
        <w:rPr>
          <w:rFonts w:hint="eastAsia" w:hAnsi="仿宋"/>
          <w:sz w:val="32"/>
          <w:szCs w:val="32"/>
          <w:lang w:val="en-US" w:eastAsia="zh-CN"/>
        </w:rPr>
        <w:t>3</w:t>
      </w:r>
      <w:r>
        <w:rPr>
          <w:rFonts w:hint="eastAsia" w:hAnsi="仿宋"/>
          <w:sz w:val="32"/>
          <w:szCs w:val="32"/>
        </w:rPr>
        <w:t>月，管理机构依据各相关部门反馈意见对《规划》进行了修改，完善后《规划》通过专家评审。</w:t>
      </w:r>
    </w:p>
    <w:p>
      <w:pPr>
        <w:adjustRightInd w:val="0"/>
        <w:snapToGrid w:val="0"/>
        <w:spacing w:line="560" w:lineRule="exact"/>
        <w:ind w:firstLine="640" w:firstLineChars="200"/>
        <w:rPr>
          <w:rFonts w:eastAsia="黑体"/>
          <w:sz w:val="32"/>
          <w:szCs w:val="32"/>
        </w:rPr>
      </w:pPr>
      <w:r>
        <w:rPr>
          <w:rFonts w:hAnsi="黑体" w:eastAsia="黑体"/>
          <w:sz w:val="32"/>
          <w:szCs w:val="32"/>
        </w:rPr>
        <w:t>三、《规划》</w:t>
      </w:r>
      <w:r>
        <w:rPr>
          <w:rFonts w:hint="eastAsia" w:hAnsi="黑体" w:eastAsia="黑体"/>
          <w:sz w:val="32"/>
          <w:szCs w:val="32"/>
        </w:rPr>
        <w:t>简要内容</w:t>
      </w:r>
    </w:p>
    <w:p>
      <w:pPr>
        <w:pStyle w:val="9"/>
        <w:snapToGrid w:val="0"/>
        <w:spacing w:line="540" w:lineRule="exact"/>
        <w:ind w:firstLine="640" w:firstLineChars="200"/>
        <w:jc w:val="both"/>
        <w:rPr>
          <w:rFonts w:hint="default" w:hAnsi="仿宋" w:eastAsia="仿宋"/>
          <w:sz w:val="32"/>
          <w:szCs w:val="32"/>
          <w:lang w:val="en-US" w:eastAsia="zh-CN"/>
        </w:rPr>
      </w:pPr>
      <w:r>
        <w:rPr>
          <w:rFonts w:hint="eastAsia" w:hAnsi="仿宋"/>
          <w:sz w:val="32"/>
          <w:szCs w:val="32"/>
        </w:rPr>
        <w:t>房山区作为城乡综合治理重点地区</w:t>
      </w:r>
      <w:r>
        <w:rPr>
          <w:rFonts w:hint="eastAsia" w:hAnsi="仿宋"/>
          <w:sz w:val="32"/>
          <w:szCs w:val="32"/>
          <w:lang w:eastAsia="zh-CN"/>
        </w:rPr>
        <w:t>，</w:t>
      </w:r>
      <w:r>
        <w:rPr>
          <w:rFonts w:hint="eastAsia" w:hAnsi="仿宋"/>
          <w:sz w:val="32"/>
          <w:szCs w:val="32"/>
        </w:rPr>
        <w:t>非建设空间是全域全要素国土空间规划治理的关键环节</w:t>
      </w:r>
      <w:r>
        <w:rPr>
          <w:rFonts w:hint="eastAsia" w:hAnsi="仿宋"/>
          <w:sz w:val="32"/>
          <w:szCs w:val="32"/>
          <w:lang w:eastAsia="zh-CN"/>
        </w:rPr>
        <w:t>，</w:t>
      </w:r>
      <w:r>
        <w:rPr>
          <w:rFonts w:hint="eastAsia" w:hAnsi="仿宋"/>
          <w:sz w:val="32"/>
          <w:szCs w:val="32"/>
          <w:lang w:val="en-US" w:eastAsia="zh-CN"/>
        </w:rPr>
        <w:t>是促进</w:t>
      </w:r>
      <w:r>
        <w:rPr>
          <w:rFonts w:hint="eastAsia" w:hAnsi="仿宋"/>
          <w:sz w:val="32"/>
          <w:szCs w:val="32"/>
        </w:rPr>
        <w:t>首都生态安全、推动首都生态文明建设和绿色高质量发展</w:t>
      </w:r>
      <w:r>
        <w:rPr>
          <w:rFonts w:hint="eastAsia" w:hAnsi="仿宋"/>
          <w:sz w:val="32"/>
          <w:szCs w:val="32"/>
          <w:lang w:val="en-US" w:eastAsia="zh-CN"/>
        </w:rPr>
        <w:t>的重要保障。</w:t>
      </w:r>
    </w:p>
    <w:p>
      <w:pPr>
        <w:pStyle w:val="9"/>
        <w:snapToGrid w:val="0"/>
        <w:spacing w:line="540" w:lineRule="exact"/>
        <w:ind w:firstLine="640" w:firstLineChars="200"/>
        <w:jc w:val="both"/>
        <w:rPr>
          <w:rFonts w:hint="eastAsia" w:hAnsi="仿宋"/>
          <w:sz w:val="32"/>
          <w:szCs w:val="32"/>
        </w:rPr>
      </w:pPr>
      <w:r>
        <w:rPr>
          <w:rFonts w:hint="eastAsia" w:hAnsi="仿宋"/>
          <w:sz w:val="32"/>
          <w:szCs w:val="32"/>
          <w:lang w:val="en-US" w:eastAsia="zh-CN"/>
        </w:rPr>
        <w:t>《</w:t>
      </w:r>
      <w:r>
        <w:rPr>
          <w:rFonts w:hint="eastAsia" w:hAnsi="仿宋"/>
          <w:sz w:val="32"/>
          <w:szCs w:val="32"/>
        </w:rPr>
        <w:t>规划</w:t>
      </w:r>
      <w:r>
        <w:rPr>
          <w:rFonts w:hint="eastAsia" w:hAnsi="仿宋"/>
          <w:sz w:val="32"/>
          <w:szCs w:val="32"/>
          <w:lang w:eastAsia="zh-CN"/>
        </w:rPr>
        <w:t>》</w:t>
      </w:r>
      <w:r>
        <w:rPr>
          <w:rFonts w:hint="eastAsia" w:hAnsi="仿宋"/>
          <w:sz w:val="32"/>
          <w:szCs w:val="32"/>
          <w:lang w:val="en-US" w:eastAsia="zh-CN"/>
        </w:rPr>
        <w:t>在</w:t>
      </w:r>
      <w:r>
        <w:rPr>
          <w:rFonts w:hint="eastAsia" w:hAnsi="仿宋"/>
          <w:sz w:val="32"/>
          <w:szCs w:val="32"/>
        </w:rPr>
        <w:t>守住各类生态要素规模底线的基础上，强化生态安全格局的非建设空间战略引领，协调田林水等各类非建设空间要素合理配置，形成全域非建设空间规划“一张图”，并科学系统部署国土空间生态修复项目，作为重要参考依据，发挥规划引领生态修复储备项目生成的作用机制。据此，促进区内非建设空间资源本底清晰、空间要素矛盾化解、生态修复项目科学布局落位、多元生态功能和价值有效发挥、生态保护修复项目设立审批有据可依。</w:t>
      </w:r>
    </w:p>
    <w:p>
      <w:pPr>
        <w:pStyle w:val="9"/>
        <w:snapToGrid w:val="0"/>
        <w:spacing w:line="540" w:lineRule="exact"/>
        <w:ind w:firstLine="640" w:firstLineChars="200"/>
        <w:jc w:val="both"/>
        <w:rPr>
          <w:rFonts w:hint="eastAsia" w:hAnsi="仿宋"/>
          <w:sz w:val="32"/>
          <w:szCs w:val="32"/>
        </w:rPr>
      </w:pPr>
    </w:p>
    <w:p>
      <w:pPr>
        <w:pStyle w:val="9"/>
        <w:snapToGrid w:val="0"/>
        <w:spacing w:line="540" w:lineRule="exact"/>
        <w:ind w:firstLine="640" w:firstLineChars="200"/>
        <w:jc w:val="both"/>
        <w:rPr>
          <w:rFonts w:hint="eastAsia" w:hAnsi="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3E7AB8"/>
    <w:multiLevelType w:val="singleLevel"/>
    <w:tmpl w:val="693E7AB8"/>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UyOTliOWU4NWE4ZTdmNjFlYmU1YmY5ZGNiOGRhMzIifQ=="/>
  </w:docVars>
  <w:rsids>
    <w:rsidRoot w:val="60232C0D"/>
    <w:rsid w:val="000A006C"/>
    <w:rsid w:val="001553A0"/>
    <w:rsid w:val="00157B48"/>
    <w:rsid w:val="00245113"/>
    <w:rsid w:val="002D2C84"/>
    <w:rsid w:val="003C1925"/>
    <w:rsid w:val="003D1F60"/>
    <w:rsid w:val="004E10D0"/>
    <w:rsid w:val="0058722B"/>
    <w:rsid w:val="006F3921"/>
    <w:rsid w:val="008C1220"/>
    <w:rsid w:val="00973168"/>
    <w:rsid w:val="009F718D"/>
    <w:rsid w:val="00AA675D"/>
    <w:rsid w:val="00AC1AFB"/>
    <w:rsid w:val="00B95876"/>
    <w:rsid w:val="00B9792C"/>
    <w:rsid w:val="00BE01EF"/>
    <w:rsid w:val="00C106B9"/>
    <w:rsid w:val="00C82877"/>
    <w:rsid w:val="00CE5E78"/>
    <w:rsid w:val="00D17947"/>
    <w:rsid w:val="00D95FA0"/>
    <w:rsid w:val="00DB34BD"/>
    <w:rsid w:val="057378BD"/>
    <w:rsid w:val="065A464C"/>
    <w:rsid w:val="06BA5298"/>
    <w:rsid w:val="0851117A"/>
    <w:rsid w:val="08F32C02"/>
    <w:rsid w:val="09B246E4"/>
    <w:rsid w:val="0C1849DB"/>
    <w:rsid w:val="10B65D95"/>
    <w:rsid w:val="16612AE7"/>
    <w:rsid w:val="17CD32CF"/>
    <w:rsid w:val="1A2F5D8B"/>
    <w:rsid w:val="1BA32FD4"/>
    <w:rsid w:val="1BF118B0"/>
    <w:rsid w:val="20FC2382"/>
    <w:rsid w:val="21027150"/>
    <w:rsid w:val="250334D9"/>
    <w:rsid w:val="254C44B6"/>
    <w:rsid w:val="2F5A217D"/>
    <w:rsid w:val="38E10FDE"/>
    <w:rsid w:val="3979665B"/>
    <w:rsid w:val="39AE6230"/>
    <w:rsid w:val="3CBC3DC5"/>
    <w:rsid w:val="3FF13BE9"/>
    <w:rsid w:val="428A01FB"/>
    <w:rsid w:val="440A0005"/>
    <w:rsid w:val="450C32F7"/>
    <w:rsid w:val="476F66C2"/>
    <w:rsid w:val="4E927B8C"/>
    <w:rsid w:val="534645A0"/>
    <w:rsid w:val="539A0485"/>
    <w:rsid w:val="53EB3D73"/>
    <w:rsid w:val="578761A0"/>
    <w:rsid w:val="57E75C5F"/>
    <w:rsid w:val="5C3A1B2A"/>
    <w:rsid w:val="5E3A169C"/>
    <w:rsid w:val="5F814D8D"/>
    <w:rsid w:val="5FEE2140"/>
    <w:rsid w:val="60232C0D"/>
    <w:rsid w:val="625164A1"/>
    <w:rsid w:val="64400BD1"/>
    <w:rsid w:val="67F971AD"/>
    <w:rsid w:val="68C1485B"/>
    <w:rsid w:val="755D42FD"/>
    <w:rsid w:val="76C6008B"/>
    <w:rsid w:val="7A0C53F5"/>
    <w:rsid w:val="7EAD38F9"/>
    <w:rsid w:val="7FB83A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next w:val="1"/>
    <w:unhideWhenUsed/>
    <w:qFormat/>
    <w:uiPriority w:val="99"/>
    <w:pPr>
      <w:tabs>
        <w:tab w:val="center" w:pos="4153"/>
        <w:tab w:val="right" w:pos="8306"/>
      </w:tabs>
      <w:snapToGrid w:val="0"/>
      <w:jc w:val="left"/>
    </w:pPr>
    <w:rPr>
      <w:sz w:val="18"/>
      <w:szCs w:val="18"/>
    </w:rPr>
  </w:style>
  <w:style w:type="paragraph" w:styleId="3">
    <w:name w:val="Normal Indent"/>
    <w:basedOn w:val="1"/>
    <w:qFormat/>
    <w:uiPriority w:val="0"/>
    <w:pPr>
      <w:ind w:firstLine="420"/>
    </w:pPr>
    <w:rPr>
      <w:rFonts w:ascii="Times New Roman" w:hAnsi="Times New Roman"/>
      <w:szCs w:val="20"/>
    </w:rPr>
  </w:style>
  <w:style w:type="paragraph" w:styleId="4">
    <w:name w:val="Body Text"/>
    <w:basedOn w:val="1"/>
    <w:next w:val="1"/>
    <w:qFormat/>
    <w:uiPriority w:val="0"/>
    <w:pPr>
      <w:spacing w:after="120"/>
    </w:pPr>
    <w:rPr>
      <w:rFonts w:ascii="Times New Roman" w:hAnsi="Times New Roman"/>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customStyle="1" w:styleId="9">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character" w:customStyle="1" w:styleId="10">
    <w:name w:val="页眉 字符"/>
    <w:basedOn w:val="8"/>
    <w:link w:val="5"/>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870</Words>
  <Characters>915</Characters>
  <Lines>7</Lines>
  <Paragraphs>2</Paragraphs>
  <TotalTime>1</TotalTime>
  <ScaleCrop>false</ScaleCrop>
  <LinksUpToDate>false</LinksUpToDate>
  <CharactersWithSpaces>915</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2022-11-25T11:15:00Z</dcterms:created>
  <dc:creator>biu～</dc:creator>
  <cp:lastModifiedBy>Administrator</cp:lastModifiedBy>
  <cp:lastPrinted>2019-04-22T01:32:00Z</cp:lastPrinted>
  <dcterms:modified xsi:type="dcterms:W3CDTF">2025-09-29T06:42:29Z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6A2E1780AC2345C785C1D4EC298EAD10_13</vt:lpwstr>
  </property>
  <property fmtid="{D5CDD505-2E9C-101B-9397-08002B2CF9AE}" pid="4" name="KSOTemplateDocerSaveRecord">
    <vt:lpwstr>eyJoZGlkIjoiYmE1NTEzOGNiODE2MDdkNWM5ZmE2NGM2OGQ2MTI1NzciLCJ1c2VySWQiOiI2MTI3MDI2NjUifQ==</vt:lpwstr>
  </property>
</Properties>
</file>