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86F3">
      <w:pPr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7747B6B2">
      <w:pPr>
        <w:spacing w:after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24"/>
        </w:rPr>
        <w:t>关于《</w:t>
      </w:r>
      <w:r>
        <w:rPr>
          <w:rFonts w:ascii="Times New Roman" w:hAnsi="Times New Roman" w:eastAsia="方正小标宋简体" w:cs="Times New Roman"/>
          <w:sz w:val="44"/>
          <w:szCs w:val="44"/>
        </w:rPr>
        <w:t>2025灯光节“闪耀朝阳”消费券</w:t>
      </w:r>
    </w:p>
    <w:p w14:paraId="786EFEDF">
      <w:pPr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发放方案</w:t>
      </w:r>
      <w:r>
        <w:rPr>
          <w:rFonts w:ascii="Times New Roman" w:hAnsi="Times New Roman" w:eastAsia="方正小标宋简体" w:cs="Times New Roman"/>
          <w:bCs/>
          <w:sz w:val="44"/>
          <w:szCs w:val="24"/>
        </w:rPr>
        <w:t>》的起草说明</w:t>
      </w:r>
    </w:p>
    <w:p w14:paraId="55349DF5">
      <w:pPr>
        <w:spacing w:after="0" w:line="600" w:lineRule="exact"/>
        <w:ind w:firstLine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5E9C9E0A">
      <w:pPr>
        <w:widowControl/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为充分激发2025北京朝阳国际灯光节期间消费活力，提振消费信心，推动文商旅体业态融合发展，以“光影+消费”助力区域经济高质量发展，朝阳区拟发放2025灯光节“闪耀朝阳”消费券。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朝阳区商务局、朝阳区文化和旅游局联合</w:t>
      </w:r>
      <w:r>
        <w:rPr>
          <w:rFonts w:ascii="Times New Roman" w:hAnsi="Times New Roman" w:eastAsia="仿宋_GB2312" w:cs="Times New Roman"/>
          <w:sz w:val="32"/>
          <w:szCs w:val="32"/>
        </w:rPr>
        <w:t>研究起草了</w:t>
      </w:r>
      <w:r>
        <w:rPr>
          <w:rFonts w:ascii="Times New Roman" w:hAnsi="Times New Roman" w:eastAsia="仿宋_GB2312" w:cs="Times New Roman"/>
          <w:sz w:val="32"/>
          <w:szCs w:val="40"/>
        </w:rPr>
        <w:t>《2025灯光节“闪耀朝阳”消费券发放方案》，现对起草情况进行说明。</w:t>
      </w:r>
    </w:p>
    <w:p w14:paraId="3967BDE6">
      <w:pPr>
        <w:numPr>
          <w:ilvl w:val="0"/>
          <w:numId w:val="1"/>
        </w:num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起草考虑</w:t>
      </w:r>
    </w:p>
    <w:p w14:paraId="37806373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以来，朝阳区已举办两届北京朝阳国际灯光节。本届灯光节期间，为进一步激发消费活力，放大灯光节综合带动效应，将采用分阶段发放消费券形式，以切实的消费优惠注入朝阳市场，引导市民游客走出家门，进入布满光影的朝阳商圈，推动文商旅体业态融合发展。</w:t>
      </w:r>
    </w:p>
    <w:p w14:paraId="2D26882D">
      <w:pPr>
        <w:numPr>
          <w:ilvl w:val="0"/>
          <w:numId w:val="1"/>
        </w:numPr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主要内容</w:t>
      </w:r>
    </w:p>
    <w:p w14:paraId="3A42ECB5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1.发放规则：</w:t>
      </w:r>
      <w:r>
        <w:rPr>
          <w:rFonts w:ascii="Times New Roman" w:hAnsi="Times New Roman" w:eastAsia="仿宋_GB2312" w:cs="Times New Roman"/>
          <w:sz w:val="32"/>
          <w:szCs w:val="32"/>
        </w:rPr>
        <w:t>将1500万元消费券额度使用权统筹分配至重点平台企业，由企业对消费者进行公平公正公开的发放。</w:t>
      </w:r>
    </w:p>
    <w:p w14:paraId="347FA4BC"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2.核销规则：</w:t>
      </w:r>
      <w:r>
        <w:rPr>
          <w:rFonts w:ascii="Times New Roman" w:hAnsi="Times New Roman" w:eastAsia="仿宋_GB2312" w:cs="Times New Roman"/>
          <w:sz w:val="32"/>
          <w:szCs w:val="32"/>
        </w:rPr>
        <w:t>活动期间由企业进行核销。活动结束后，由企业提交核销明细以及证明完成核销的材料</w:t>
      </w:r>
      <w:r>
        <w:rPr>
          <w:rFonts w:ascii="Times New Roman" w:hAnsi="Times New Roman" w:eastAsia="楷体_GB2312" w:cs="Times New Roman"/>
          <w:sz w:val="28"/>
          <w:szCs w:val="28"/>
        </w:rPr>
        <w:t>（包括但不限于加盖单位公章的核销情况说明、核销明细等）</w:t>
      </w:r>
      <w:r>
        <w:rPr>
          <w:rFonts w:ascii="Times New Roman" w:hAnsi="Times New Roman" w:eastAsia="仿宋_GB2312" w:cs="Times New Roman"/>
          <w:sz w:val="32"/>
          <w:szCs w:val="32"/>
        </w:rPr>
        <w:t>。政府委托第三方审核企业核销材料及核销明细。如材料或核销明细不齐全，应由企业退还相应金额。</w:t>
      </w:r>
    </w:p>
    <w:p w14:paraId="2F439A30"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3.动态监管：朝阳区商务局、朝阳区文化和旅游局对进行消费券发放情况进行动态监管。每轮次发放结束后，发券企业需及时向相关单位真实、准确提供该轮次核销情况，并动态调整下一轮次发放安排。</w:t>
      </w:r>
    </w:p>
    <w:p w14:paraId="1FDF96FE">
      <w:pPr>
        <w:spacing w:after="0"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4.预期效果：</w:t>
      </w: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结合企业发放方案，激发2025北京朝阳国际灯光节期间的消费潜力，推动文商旅体消费业态融合发展。</w:t>
      </w:r>
    </w:p>
    <w:sectPr>
      <w:footerReference r:id="rId5" w:type="default"/>
      <w:pgSz w:w="11906" w:h="16838"/>
      <w:pgMar w:top="2154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szCs w:val="21"/>
      </w:rPr>
      <w:id w:val="122321258"/>
    </w:sdtPr>
    <w:sdtEndPr>
      <w:rPr>
        <w:rFonts w:ascii="Calibri" w:hAnsi="Calibri" w:eastAsia="宋体" w:cs="Calibri"/>
        <w:sz w:val="18"/>
        <w:szCs w:val="18"/>
      </w:rPr>
    </w:sdtEndPr>
    <w:sdtContent>
      <w:p w14:paraId="051A3943">
        <w:pPr>
          <w:snapToGrid w:val="0"/>
          <w:jc w:val="center"/>
          <w:rPr>
            <w:rFonts w:ascii="Calibri" w:hAnsi="Calibri" w:eastAsia="宋体" w:cs="Calibri"/>
            <w:sz w:val="18"/>
            <w:szCs w:val="18"/>
          </w:rPr>
        </w:pPr>
        <w:r>
          <w:rPr>
            <w:rFonts w:ascii="Calibri" w:hAnsi="Calibri" w:eastAsia="宋体" w:cs="Calibri"/>
            <w:sz w:val="18"/>
            <w:szCs w:val="18"/>
          </w:rPr>
          <w:fldChar w:fldCharType="begin"/>
        </w:r>
        <w:r>
          <w:rPr>
            <w:rFonts w:ascii="Calibri" w:hAnsi="Calibri" w:eastAsia="宋体" w:cs="Calibri"/>
            <w:sz w:val="18"/>
            <w:szCs w:val="18"/>
          </w:rPr>
          <w:instrText xml:space="preserve"> PAGE   \* MERGEFORMAT </w:instrText>
        </w:r>
        <w:r>
          <w:rPr>
            <w:rFonts w:ascii="Calibri" w:hAnsi="Calibri" w:eastAsia="宋体" w:cs="Calibri"/>
            <w:sz w:val="18"/>
            <w:szCs w:val="18"/>
          </w:rPr>
          <w:fldChar w:fldCharType="separate"/>
        </w:r>
        <w:r>
          <w:rPr>
            <w:rFonts w:ascii="Calibri" w:hAnsi="Calibri" w:eastAsia="宋体" w:cs="Calibri"/>
            <w:sz w:val="18"/>
            <w:szCs w:val="18"/>
            <w:lang w:val="zh-CN"/>
          </w:rPr>
          <w:t>8</w:t>
        </w:r>
        <w:r>
          <w:rPr>
            <w:rFonts w:ascii="Calibri" w:hAnsi="Calibri" w:eastAsia="宋体" w:cs="Calibri"/>
            <w:sz w:val="18"/>
            <w:szCs w:val="18"/>
          </w:rPr>
          <w:fldChar w:fldCharType="end"/>
        </w:r>
      </w:p>
    </w:sdtContent>
  </w:sdt>
  <w:p w14:paraId="5A137104">
    <w:pPr>
      <w:snapToGrid w:val="0"/>
      <w:ind w:firstLine="360"/>
      <w:jc w:val="left"/>
      <w:rPr>
        <w:rFonts w:ascii="Calibri" w:hAnsi="Calibri" w:eastAsia="宋体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F562C"/>
    <w:rsid w:val="00111AEA"/>
    <w:rsid w:val="00164A12"/>
    <w:rsid w:val="001A7652"/>
    <w:rsid w:val="003118B6"/>
    <w:rsid w:val="00335FA8"/>
    <w:rsid w:val="003446B8"/>
    <w:rsid w:val="00494D7D"/>
    <w:rsid w:val="005A0216"/>
    <w:rsid w:val="00754EF5"/>
    <w:rsid w:val="007E5EBB"/>
    <w:rsid w:val="00811578"/>
    <w:rsid w:val="0088489E"/>
    <w:rsid w:val="008C78D0"/>
    <w:rsid w:val="009A01B9"/>
    <w:rsid w:val="009F6D21"/>
    <w:rsid w:val="00D73421"/>
    <w:rsid w:val="00DA6042"/>
    <w:rsid w:val="00DE48B3"/>
    <w:rsid w:val="00E00EE5"/>
    <w:rsid w:val="00F54921"/>
    <w:rsid w:val="27FF562C"/>
    <w:rsid w:val="2DFD43A3"/>
    <w:rsid w:val="3F672414"/>
    <w:rsid w:val="3FF6D974"/>
    <w:rsid w:val="611868E0"/>
    <w:rsid w:val="65BE5A4A"/>
    <w:rsid w:val="BCD760E1"/>
    <w:rsid w:val="BE2EDC25"/>
    <w:rsid w:val="BE5E2329"/>
    <w:rsid w:val="FBE49D6D"/>
    <w:rsid w:val="FF7FA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3769</Words>
  <Characters>4023</Characters>
  <Lines>120</Lines>
  <Paragraphs>100</Paragraphs>
  <TotalTime>30</TotalTime>
  <ScaleCrop>false</ScaleCrop>
  <LinksUpToDate>false</LinksUpToDate>
  <CharactersWithSpaces>4023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2025-09-04T07:32:00Z</dcterms:created>
  <dc:creator>WPS</dc:creator>
  <cp:lastModifiedBy>Du、</cp:lastModifiedBy>
  <cp:lastPrinted>2025-08-19T08:57:00Z</cp:lastPrinted>
  <dcterms:modified xsi:type="dcterms:W3CDTF">2025-09-15T02:47:17Z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eyJoZGlkIjoiZTcyMWMwZjcwZjQwMmJhNGZmMWRkNWM5ODcyNmI5YzUiLCJ1c2VySWQiOiIyNzMwMDk4OTgifQ==</vt:lpwstr>
  </property>
  <property fmtid="{D5CDD505-2E9C-101B-9397-08002B2CF9AE}" pid="4" name="ICV">
    <vt:lpwstr>C44F5643C85A4FA7BCE49964F2C8EF39_12</vt:lpwstr>
  </property>
</Properties>
</file>