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8C91"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 w14:paraId="67D6B2AA"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207891314"/>
      <w:r>
        <w:rPr>
          <w:rFonts w:ascii="Times New Roman" w:hAnsi="Times New Roman" w:eastAsia="方正小标宋简体" w:cs="Times New Roman"/>
          <w:sz w:val="44"/>
          <w:szCs w:val="44"/>
        </w:rPr>
        <w:t>2025灯光节“闪耀朝阳”住宿消费券</w:t>
      </w:r>
    </w:p>
    <w:p w14:paraId="329106F7"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发放方案</w:t>
      </w:r>
    </w:p>
    <w:bookmarkEnd w:id="0"/>
    <w:p w14:paraId="00C4F818">
      <w:pPr>
        <w:spacing w:after="0" w:line="600" w:lineRule="exact"/>
        <w:ind w:firstLine="198" w:firstLineChars="62"/>
        <w:rPr>
          <w:rFonts w:ascii="Times New Roman" w:hAnsi="Times New Roman" w:eastAsia="仿宋_GB2312" w:cs="Times New Roman"/>
          <w:sz w:val="32"/>
          <w:szCs w:val="24"/>
        </w:rPr>
      </w:pPr>
    </w:p>
    <w:p w14:paraId="1F6E5357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为充分释放文旅消费活力，放大2025北京朝阳国际灯光节综合带动效应，</w:t>
      </w:r>
      <w:r>
        <w:rPr>
          <w:rFonts w:ascii="Times New Roman" w:hAnsi="Times New Roman" w:eastAsia="仿宋_GB2312" w:cs="Times New Roman"/>
          <w:sz w:val="32"/>
          <w:szCs w:val="24"/>
        </w:rPr>
        <w:t>提振消费信心，推动文商旅体业态融合发展，促进住宿等传统旅游消费市场活跃，拟发放2025年灯光节“闪耀朝阳”住宿消费券。</w:t>
      </w:r>
    </w:p>
    <w:p w14:paraId="667FE0EF">
      <w:pPr>
        <w:spacing w:after="0" w:line="600" w:lineRule="exact"/>
        <w:ind w:left="64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一、活动主题</w:t>
      </w:r>
    </w:p>
    <w:p w14:paraId="52E51C3C">
      <w:pPr>
        <w:spacing w:after="0"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2025年灯光节“闪耀朝阳”住宿消费券（拟）</w:t>
      </w:r>
    </w:p>
    <w:p w14:paraId="3A78FF11">
      <w:pPr>
        <w:spacing w:after="0" w:line="600" w:lineRule="exact"/>
        <w:ind w:left="64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二、活动内容</w:t>
      </w:r>
    </w:p>
    <w:p w14:paraId="4EDDFDC6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发放对象</w:t>
      </w:r>
    </w:p>
    <w:p w14:paraId="355D8386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自然人消费者。</w:t>
      </w:r>
    </w:p>
    <w:p w14:paraId="5F8B896A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发放时间</w:t>
      </w:r>
      <w:r>
        <w:rPr>
          <w:rFonts w:ascii="Times New Roman" w:hAnsi="Times New Roman" w:eastAsia="楷体_GB2312" w:cs="Times New Roman"/>
          <w:kern w:val="0"/>
          <w:sz w:val="32"/>
          <w:szCs w:val="32"/>
          <w:shd w:val="clear" w:color="auto" w:fill="FFFFFF"/>
        </w:rPr>
        <w:t>（可根据实际情况动态调整）</w:t>
      </w:r>
    </w:p>
    <w:p w14:paraId="07238A44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2025年10月11日-10月31日，具体发放轮次如下：</w:t>
      </w:r>
    </w:p>
    <w:p w14:paraId="797C159C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第一轮：10月11日-10月16日</w:t>
      </w:r>
    </w:p>
    <w:p w14:paraId="285609BE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第二轮：10月17日-10月23日</w:t>
      </w:r>
    </w:p>
    <w:p w14:paraId="07C09279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第三轮：10月24日-10月31日</w:t>
      </w:r>
    </w:p>
    <w:p w14:paraId="01BFD446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发放规模</w:t>
      </w:r>
    </w:p>
    <w:p w14:paraId="373F2A44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发放总金额不超过100万元。</w:t>
      </w:r>
    </w:p>
    <w:p w14:paraId="0D454C53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补贴规则</w:t>
      </w:r>
    </w:p>
    <w:p w14:paraId="368DB98F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消费券拟补贴金额为单笔消费额的20%，单笔补贴最高不超过400元。每个用户每个周期仅可以领取1张消费券，每笔订单仅可使用1张政府消费券。</w:t>
      </w:r>
    </w:p>
    <w:p w14:paraId="76147FA2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每一轮次住宿消费券在其发放轮次周期内有效，过期未使用自动失效，消费券未使用资金回流至资金池，用作下一轮次周期的发放资金。</w:t>
      </w:r>
    </w:p>
    <w:p w14:paraId="0B715E25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发放主体</w:t>
      </w:r>
    </w:p>
    <w:p w14:paraId="17356153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24"/>
        </w:rPr>
        <w:t>发放主体为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在朝阳区</w:t>
      </w:r>
      <w:r>
        <w:rPr>
          <w:rFonts w:ascii="Times New Roman" w:hAnsi="Times New Roman" w:eastAsia="仿宋_GB2312" w:cs="Times New Roman"/>
          <w:sz w:val="32"/>
          <w:szCs w:val="24"/>
        </w:rPr>
        <w:t>规范经营的互联网平台，能够结合本届灯光节策划促消费活动，组织平台上在朝阳规范经营的酒店商户积极参与；具备消费券电子化发放和核销能力。</w:t>
      </w:r>
    </w:p>
    <w:p w14:paraId="75E3633F">
      <w:pPr>
        <w:numPr>
          <w:ilvl w:val="0"/>
          <w:numId w:val="1"/>
        </w:numPr>
        <w:spacing w:after="0" w:line="600" w:lineRule="exact"/>
        <w:ind w:left="0" w:firstLine="640" w:firstLineChars="200"/>
        <w:contextualSpacing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 w:cs="Times New Roman"/>
          <w:sz w:val="32"/>
          <w:szCs w:val="24"/>
        </w:rPr>
        <w:t>参与规则</w:t>
      </w:r>
    </w:p>
    <w:p w14:paraId="2F636DA3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4"/>
        </w:rPr>
        <w:t>1.发放规则：</w:t>
      </w:r>
      <w:r>
        <w:rPr>
          <w:rFonts w:ascii="Times New Roman" w:hAnsi="Times New Roman" w:eastAsia="仿宋_GB2312" w:cs="Times New Roman"/>
          <w:sz w:val="32"/>
          <w:szCs w:val="32"/>
        </w:rPr>
        <w:t>将100万元消费券额度使用权按企业申报情况统筹分配至重点平台，由企业对消费者进行公平公正公开的发放。</w:t>
      </w:r>
    </w:p>
    <w:p w14:paraId="1471C289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4"/>
        </w:rPr>
        <w:t>2.核销规则：</w:t>
      </w:r>
      <w:r>
        <w:rPr>
          <w:rFonts w:ascii="Times New Roman" w:hAnsi="Times New Roman" w:eastAsia="仿宋_GB2312" w:cs="Times New Roman"/>
          <w:sz w:val="32"/>
          <w:szCs w:val="32"/>
        </w:rPr>
        <w:t>活动期间由平台进行核销。活动结束后，由平台提交核销明细以及证明完成核销的材料</w:t>
      </w:r>
      <w:r>
        <w:rPr>
          <w:rFonts w:ascii="Times New Roman" w:hAnsi="Times New Roman" w:eastAsia="楷体_GB2312" w:cs="Times New Roman"/>
          <w:sz w:val="28"/>
          <w:szCs w:val="28"/>
        </w:rPr>
        <w:t>（包括但不限于加盖单位公章的核销情况说明、核销明细等）</w:t>
      </w:r>
      <w:r>
        <w:rPr>
          <w:rFonts w:ascii="Times New Roman" w:hAnsi="Times New Roman" w:eastAsia="仿宋_GB2312" w:cs="Times New Roman"/>
          <w:sz w:val="32"/>
          <w:szCs w:val="32"/>
        </w:rPr>
        <w:t>。政府委托第三方审核企业核销材料并按3%的比例抽查核销明细。如材料或核销明细不齐全，应由平台退还相应金额。</w:t>
      </w:r>
    </w:p>
    <w:p w14:paraId="6B40BDB6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3.动态监管：区文旅局对进行消费券发放情况进行动态监管。每轮次发放结束后，发券企业需及时向区文旅局真实、准确提供该轮次核销情况，并动态调整下一轮次发放安排。</w:t>
      </w:r>
    </w:p>
    <w:p w14:paraId="2DBAD4F2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4.其他说明：</w:t>
      </w:r>
    </w:p>
    <w:p w14:paraId="73881C0E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（1）消费者获取消费券后，电子消费券不找零、不拆分、不转让、不重复使用，截屏、复制、修改、转发无效。每笔消费限用一张，可同时叠加活动平台的其他优惠活动。</w:t>
      </w:r>
    </w:p>
    <w:p w14:paraId="47A9449D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政府消费券核销的交易如发生退款、撤销，退款金额扣除核销的优惠金额后退回至消费者原付款路径，已核销的消费券资金需退回资金池。消费券按每轮次到期时间来计算是否继续有效，该轮次有效期内发生交易退货的，消费券原路退回，有效期内可再次使用；该轮次有效期后发生交易退货的，消费券不再退回，不再补发。</w:t>
      </w:r>
    </w:p>
    <w:p w14:paraId="1FDF96FE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活动期间，消费者与企业应自觉遵守活动规则，坚决抵制消费券套利等违法违规行为。消费券仅限本人真实消费使用，禁止转售，不得用于购买购物卡、对虚拟账户充值、虚拟交易、自买自卖、刷单、分单、恶意套利等违反消费券发放规则、损害公共利益或其他违反国家法律法规的行为。一经发现取消补贴资格或采取限制领取、使用消费券等措施。如存在违法违规行为造成严重后果的，将依法依规追究相应责任。</w:t>
      </w:r>
      <w:bookmarkStart w:id="1" w:name="_GoBack"/>
      <w:bookmarkEnd w:id="1"/>
    </w:p>
    <w:sectPr>
      <w:footerReference r:id="rId5" w:type="default"/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szCs w:val="21"/>
      </w:rPr>
      <w:id w:val="122321258"/>
    </w:sdtPr>
    <w:sdtEndPr>
      <w:rPr>
        <w:rFonts w:ascii="Calibri" w:hAnsi="Calibri" w:eastAsia="宋体" w:cs="Calibri"/>
        <w:sz w:val="18"/>
        <w:szCs w:val="18"/>
      </w:rPr>
    </w:sdtEndPr>
    <w:sdtContent>
      <w:p w14:paraId="051A3943">
        <w:pPr>
          <w:snapToGrid w:val="0"/>
          <w:jc w:val="center"/>
          <w:rPr>
            <w:rFonts w:ascii="Calibri" w:hAnsi="Calibri" w:eastAsia="宋体" w:cs="Calibri"/>
            <w:sz w:val="18"/>
            <w:szCs w:val="18"/>
          </w:rPr>
        </w:pPr>
        <w:r>
          <w:rPr>
            <w:rFonts w:ascii="Calibri" w:hAnsi="Calibri" w:eastAsia="宋体" w:cs="Calibri"/>
            <w:sz w:val="18"/>
            <w:szCs w:val="18"/>
          </w:rPr>
          <w:fldChar w:fldCharType="begin"/>
        </w:r>
        <w:r>
          <w:rPr>
            <w:rFonts w:ascii="Calibri" w:hAnsi="Calibri" w:eastAsia="宋体" w:cs="Calibri"/>
            <w:sz w:val="18"/>
            <w:szCs w:val="18"/>
          </w:rPr>
          <w:instrText xml:space="preserve"> PAGE   \* MERGEFORMAT </w:instrText>
        </w:r>
        <w:r>
          <w:rPr>
            <w:rFonts w:ascii="Calibri" w:hAnsi="Calibri" w:eastAsia="宋体" w:cs="Calibri"/>
            <w:sz w:val="18"/>
            <w:szCs w:val="18"/>
          </w:rPr>
          <w:fldChar w:fldCharType="separate"/>
        </w:r>
        <w:r>
          <w:rPr>
            <w:rFonts w:ascii="Calibri" w:hAnsi="Calibri" w:eastAsia="宋体" w:cs="Calibri"/>
            <w:sz w:val="18"/>
            <w:szCs w:val="18"/>
            <w:lang w:val="zh-CN"/>
          </w:rPr>
          <w:t>8</w:t>
        </w:r>
        <w:r>
          <w:rPr>
            <w:rFonts w:ascii="Calibri" w:hAnsi="Calibri" w:eastAsia="宋体" w:cs="Calibri"/>
            <w:sz w:val="18"/>
            <w:szCs w:val="18"/>
          </w:rPr>
          <w:fldChar w:fldCharType="end"/>
        </w:r>
      </w:p>
    </w:sdtContent>
  </w:sdt>
  <w:p w14:paraId="5A137104">
    <w:pPr>
      <w:snapToGrid w:val="0"/>
      <w:ind w:firstLine="360"/>
      <w:jc w:val="left"/>
      <w:rPr>
        <w:rFonts w:ascii="Calibri" w:hAnsi="Calibri" w:eastAsia="宋体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25990"/>
    <w:multiLevelType w:val="multilevel"/>
    <w:tmpl w:val="05925990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F562C"/>
    <w:rsid w:val="00111AEA"/>
    <w:rsid w:val="00164A12"/>
    <w:rsid w:val="001A7652"/>
    <w:rsid w:val="003118B6"/>
    <w:rsid w:val="00335FA8"/>
    <w:rsid w:val="003446B8"/>
    <w:rsid w:val="00494D7D"/>
    <w:rsid w:val="005A0216"/>
    <w:rsid w:val="00754EF5"/>
    <w:rsid w:val="007E5EBB"/>
    <w:rsid w:val="00811578"/>
    <w:rsid w:val="0088489E"/>
    <w:rsid w:val="008C78D0"/>
    <w:rsid w:val="009A01B9"/>
    <w:rsid w:val="009F6D21"/>
    <w:rsid w:val="00D73421"/>
    <w:rsid w:val="00DA6042"/>
    <w:rsid w:val="00DE48B3"/>
    <w:rsid w:val="00E00EE5"/>
    <w:rsid w:val="00F54921"/>
    <w:rsid w:val="27FF562C"/>
    <w:rsid w:val="2DFD43A3"/>
    <w:rsid w:val="32DB6AED"/>
    <w:rsid w:val="3F672414"/>
    <w:rsid w:val="3FF6D974"/>
    <w:rsid w:val="65BE5A4A"/>
    <w:rsid w:val="BCD760E1"/>
    <w:rsid w:val="BE2EDC25"/>
    <w:rsid w:val="BE5E2329"/>
    <w:rsid w:val="FBE49D6D"/>
    <w:rsid w:val="FF7F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3769</Words>
  <Characters>4023</Characters>
  <Lines>120</Lines>
  <Paragraphs>100</Paragraphs>
  <TotalTime>30</TotalTime>
  <ScaleCrop>false</ScaleCrop>
  <LinksUpToDate>false</LinksUpToDate>
  <CharactersWithSpaces>4023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2025-09-04T07:32:00Z</dcterms:created>
  <dc:creator>WPS</dc:creator>
  <cp:lastModifiedBy>Du、</cp:lastModifiedBy>
  <cp:lastPrinted>2025-08-19T08:57:00Z</cp:lastPrinted>
  <dcterms:modified xsi:type="dcterms:W3CDTF">2025-09-15T02:46:46Z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eyJoZGlkIjoiZTcyMWMwZjcwZjQwMmJhNGZmMWRkNWM5ODcyNmI5YzUiLCJ1c2VySWQiOiIyNzMwMDk4OTgifQ==</vt:lpwstr>
  </property>
  <property fmtid="{D5CDD505-2E9C-101B-9397-08002B2CF9AE}" pid="4" name="ICV">
    <vt:lpwstr>C5B4715A47B34CAE9345254902F5C9CC_12</vt:lpwstr>
  </property>
</Properties>
</file>