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1040">
      <w:pPr>
        <w:spacing w:line="560" w:lineRule="exact"/>
        <w:contextualSpacing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《中关村科学城关键核心技术“揭榜挂帅”专项资金管理办法（征求意见稿）》</w:t>
      </w:r>
    </w:p>
    <w:p w14:paraId="084A41D8">
      <w:pPr>
        <w:spacing w:line="560" w:lineRule="exact"/>
        <w:contextualSpacing/>
        <w:jc w:val="center"/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编制说明</w:t>
      </w:r>
    </w:p>
    <w:p w14:paraId="1235FE0B">
      <w:pPr>
        <w:pStyle w:val="5"/>
        <w:widowControl/>
        <w:spacing w:beforeAutospacing="0" w:afterAutospacing="0" w:line="560" w:lineRule="exact"/>
        <w:rPr>
          <w:rFonts w:ascii="Helvetica" w:hAnsi="Helvetica" w:eastAsia="Helvetica" w:cs="Helvetica"/>
          <w:color w:val="404040"/>
          <w:sz w:val="19"/>
          <w:szCs w:val="19"/>
          <w:shd w:val="clear" w:color="auto" w:fill="FFFFFF"/>
        </w:rPr>
      </w:pPr>
    </w:p>
    <w:p w14:paraId="6427F002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一、编制背景</w:t>
      </w:r>
    </w:p>
    <w:p w14:paraId="4ECCB681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为推进世界领先科技园区建设，优化中关村科学城科技攻关组织机制，更好服务国家战略和市区重点产业发展，支持关键技术、共性技术研发，促进产学研合作创新与协同攻关，规范专项资金使用，</w:t>
      </w:r>
      <w:r>
        <w:rPr>
          <w:rFonts w:ascii="仿宋_GB2312" w:hAnsi="宋体" w:eastAsia="仿宋_GB2312" w:cs="宋体"/>
          <w:kern w:val="2"/>
          <w:sz w:val="32"/>
          <w:szCs w:val="32"/>
        </w:rPr>
        <w:t>结合我区实际，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我单位制定</w:t>
      </w:r>
      <w:r>
        <w:rPr>
          <w:rFonts w:hint="eastAsia" w:ascii="仿宋_GB2312" w:hAnsi="宋体" w:eastAsia="仿宋_GB2312" w:cs="宋体"/>
          <w:sz w:val="32"/>
          <w:szCs w:val="32"/>
        </w:rPr>
        <w:t>《中关村科学城关键核心技术“揭榜挂帅”专项资金管理办法（征求意见稿）》（以下简称“专项资金管理办法”）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。</w:t>
      </w:r>
    </w:p>
    <w:p w14:paraId="02CFF4E6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二、编写原则</w:t>
      </w:r>
    </w:p>
    <w:p w14:paraId="4D310740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黑体" w:eastAsia="仿宋_GB2312" w:cs="宋体"/>
          <w:kern w:val="2"/>
          <w:sz w:val="32"/>
          <w:szCs w:val="32"/>
        </w:rPr>
      </w:pPr>
      <w:r>
        <w:rPr>
          <w:rFonts w:hint="eastAsia" w:ascii="仿宋_GB2312" w:hAnsi="黑体" w:eastAsia="仿宋_GB2312" w:cs="宋体"/>
          <w:kern w:val="2"/>
          <w:sz w:val="32"/>
          <w:szCs w:val="32"/>
        </w:rPr>
        <w:t>参考《国务院办公厅关于改革完善中央财政科研经费管理的若干意见》（国办发〔2021〕32号）、《北京市科技计划项目（课题）管理办法》（京科资发〔2023〕43号）、《北京市关键核心技术攻关项目“揭榜挂帅”实施方案》（京科资发〔2022〕251号）等上位文件，结合我区工作实际，编制专项资金管理办法。</w:t>
      </w:r>
    </w:p>
    <w:p w14:paraId="3089B987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三、主要内容</w:t>
      </w:r>
    </w:p>
    <w:p w14:paraId="51E5D109"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资金管理办法由中关村科学城管委会服务体系建设处、区财政局负责解释，对项目承担方在压实责任的同时充分赋权，赋予揭榜单位在团队组建、制定技术路线和方案、经费支出等方面充分的自主权，简化过程管理，财政经费使用按照资金拨付部门相关规定执行。</w:t>
      </w:r>
    </w:p>
    <w:p w14:paraId="78911996"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一是严格专项资金管理。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来源于财政资金和项目单位自筹资金，财政资金与自筹资金比例根据项目实际情况决定，在对应批次的申报指南中明确，原则上财政资金最高不超过项目总投资的50%，均纳入项目预算统筹管理，单独核算，专款专用。</w:t>
      </w:r>
    </w:p>
    <w:p w14:paraId="718F8F18"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二是灵活经费支持方式。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一般采取事前补助方式，在开展前直接给予部分或全部补助，同时探索开展后补助、风险补偿金、贷款贴息等其他支持方式。项目通过综合绩效评价且完成目标任务的，拨付剩余全部资金。</w:t>
      </w:r>
    </w:p>
    <w:p w14:paraId="2B717272"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三是简化预算编制。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直接费用预算科目精简为设备费、业务费、劳务费三个预算科目。精简费用测算说明，除50万元以上的设备费外，只提供基本测算说明，不需要提供明细。</w:t>
      </w:r>
    </w:p>
    <w:p w14:paraId="3A405A74">
      <w:pPr>
        <w:spacing w:line="560" w:lineRule="exac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四是提高间接费用比例。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结合承担单位信用情况，间接费用实行总额控制，对于数学等纯理论基础研究类项目，间接费用比例不超过60%，其他项目间接费用比例不超过30%。</w:t>
      </w:r>
    </w:p>
    <w:p w14:paraId="49977163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2"/>
          <w:sz w:val="32"/>
          <w:szCs w:val="32"/>
        </w:rPr>
      </w:pPr>
    </w:p>
    <w:p w14:paraId="5180718B">
      <w:pPr>
        <w:pStyle w:val="5"/>
        <w:widowControl/>
        <w:spacing w:beforeAutospacing="0" w:afterAutospacing="0" w:line="560" w:lineRule="exact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特此说明。</w:t>
      </w:r>
    </w:p>
    <w:p w14:paraId="0ECE6714">
      <w:pPr>
        <w:pStyle w:val="5"/>
        <w:widowControl/>
        <w:spacing w:beforeAutospacing="0" w:afterAutospacing="0" w:line="560" w:lineRule="exact"/>
        <w:ind w:firstLine="640" w:firstLineChars="200"/>
        <w:jc w:val="right"/>
        <w:rPr>
          <w:rFonts w:hint="eastAsia" w:ascii="仿宋_GB2312" w:hAnsi="宋体" w:eastAsia="仿宋_GB2312" w:cs="宋体"/>
          <w:kern w:val="2"/>
          <w:sz w:val="32"/>
          <w:szCs w:val="32"/>
        </w:rPr>
      </w:pPr>
    </w:p>
    <w:p w14:paraId="1DF8A3FE">
      <w:pPr>
        <w:pStyle w:val="5"/>
        <w:widowControl/>
        <w:spacing w:beforeAutospacing="0" w:afterAutospacing="0" w:line="560" w:lineRule="exact"/>
        <w:ind w:firstLine="640" w:firstLineChars="200"/>
        <w:jc w:val="right"/>
        <w:rPr>
          <w:rFonts w:hint="eastAsia" w:ascii="仿宋_GB2312" w:hAnsi="宋体" w:eastAsia="仿宋_GB2312" w:cs="宋体"/>
          <w:kern w:val="2"/>
          <w:sz w:val="32"/>
          <w:szCs w:val="32"/>
        </w:rPr>
      </w:pPr>
    </w:p>
    <w:p w14:paraId="71786391">
      <w:pPr>
        <w:pStyle w:val="5"/>
        <w:widowControl/>
        <w:spacing w:beforeAutospacing="0" w:afterAutospacing="0" w:line="560" w:lineRule="exact"/>
        <w:ind w:firstLine="640" w:firstLineChars="200"/>
        <w:jc w:val="righ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中关村科学城管委会</w:t>
      </w:r>
    </w:p>
    <w:p w14:paraId="5F72B76F">
      <w:pPr>
        <w:pStyle w:val="5"/>
        <w:widowControl/>
        <w:spacing w:beforeAutospacing="0" w:afterAutospacing="0" w:line="560" w:lineRule="exact"/>
        <w:ind w:firstLine="640" w:firstLineChars="200"/>
        <w:jc w:val="center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                              </w:t>
      </w:r>
      <w:r>
        <w:rPr>
          <w:rFonts w:ascii="仿宋_GB2312" w:hAnsi="宋体" w:eastAsia="仿宋_GB2312" w:cs="宋体"/>
          <w:kern w:val="2"/>
          <w:sz w:val="32"/>
          <w:szCs w:val="32"/>
        </w:rPr>
        <w:t>2025年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8</w:t>
      </w:r>
      <w:r>
        <w:rPr>
          <w:rFonts w:ascii="仿宋_GB2312" w:hAnsi="宋体" w:eastAsia="仿宋_GB2312" w:cs="宋体"/>
          <w:kern w:val="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2"/>
          <w:sz w:val="32"/>
          <w:szCs w:val="32"/>
        </w:rPr>
        <w:t>日</w:t>
      </w:r>
    </w:p>
    <w:p w14:paraId="1E23B1B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73"/>
    <w:rsid w:val="000B4773"/>
    <w:rsid w:val="000C0393"/>
    <w:rsid w:val="00397CCF"/>
    <w:rsid w:val="00423E36"/>
    <w:rsid w:val="00541C6B"/>
    <w:rsid w:val="00550D9C"/>
    <w:rsid w:val="007A2CB7"/>
    <w:rsid w:val="008671ED"/>
    <w:rsid w:val="009356E4"/>
    <w:rsid w:val="009A0D64"/>
    <w:rsid w:val="00B20E8A"/>
    <w:rsid w:val="00B22BF5"/>
    <w:rsid w:val="00C42324"/>
    <w:rsid w:val="079E58BD"/>
    <w:rsid w:val="170D0545"/>
    <w:rsid w:val="2AA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837</Words>
  <Characters>861</Characters>
  <Lines>22</Lines>
  <Paragraphs>12</Paragraphs>
  <TotalTime>21</TotalTime>
  <ScaleCrop>false</ScaleCrop>
  <LinksUpToDate>false</LinksUpToDate>
  <CharactersWithSpaces>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2025-02-19T09:50:00Z</dcterms:created>
  <dc:creator>fankaiyuan</dc:creator>
  <cp:lastModifiedBy>Yovy_</cp:lastModifiedBy>
  <dcterms:modified xsi:type="dcterms:W3CDTF">2025-08-22T01:51:48Z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eyJoZGlkIjoiMzEwNTM5NzYwMDRjMzkwZTVkZjY2ODkwMGIxNGU0OTUiLCJ1c2VySWQiOiI1MjA1MzYzMTkifQ==</vt:lpwstr>
  </property>
  <property fmtid="{D5CDD505-2E9C-101B-9397-08002B2CF9AE}" pid="4" name="ICV">
    <vt:lpwstr>4EF323EA1E124599ADB907FEEA440E2C_13</vt:lpwstr>
  </property>
</Properties>
</file>