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58EE8">
      <w:pPr>
        <w:spacing w:line="560" w:lineRule="exact"/>
        <w:rPr>
          <w:rFonts w:hint="eastAsia" w:ascii="黑体" w:hAnsi="黑体" w:eastAsia="黑体" w:cs="Times New Roman"/>
          <w:sz w:val="32"/>
          <w:szCs w:val="32"/>
          <w:shd w:val="clear" w:color="auto" w:fill="FFFFFF"/>
          <w:lang w:eastAsia="zh-CN"/>
          <w14:ligatures w14:val="none"/>
        </w:rPr>
      </w:pPr>
      <w:r>
        <w:rPr>
          <w:rFonts w:hint="eastAsia" w:ascii="黑体" w:hAnsi="黑体" w:eastAsia="黑体" w:cs="Times New Roman"/>
          <w:sz w:val="32"/>
          <w:szCs w:val="32"/>
          <w:shd w:val="clear" w:color="auto" w:fill="FFFFFF"/>
          <w14:ligatures w14:val="none"/>
        </w:rPr>
        <w:t>附件</w:t>
      </w:r>
      <w:r>
        <w:rPr>
          <w:rFonts w:hint="eastAsia" w:ascii="黑体" w:hAnsi="黑体" w:eastAsia="黑体" w:cs="Times New Roman"/>
          <w:sz w:val="32"/>
          <w:szCs w:val="32"/>
          <w:shd w:val="clear" w:color="auto" w:fill="FFFFFF"/>
          <w:lang w:val="en-US" w:eastAsia="zh-CN"/>
          <w14:ligatures w14:val="none"/>
        </w:rPr>
        <w:t>1</w:t>
      </w:r>
    </w:p>
    <w:p w14:paraId="40381E3E">
      <w:pPr>
        <w:spacing w:line="560" w:lineRule="exact"/>
        <w:rPr>
          <w:rFonts w:hint="eastAsia" w:ascii="黑体" w:hAnsi="黑体" w:eastAsia="黑体" w:cs="Times New Roman"/>
          <w:sz w:val="32"/>
          <w:szCs w:val="32"/>
          <w:shd w:val="clear" w:color="auto" w:fill="FFFFFF"/>
          <w14:ligatures w14:val="none"/>
        </w:rPr>
      </w:pPr>
    </w:p>
    <w:p w14:paraId="43ED00B2">
      <w:pPr>
        <w:shd w:val="clear" w:color="auto" w:fill="FFFFFF"/>
        <w:kinsoku w:val="0"/>
        <w:overflowPunct w:val="0"/>
        <w:autoSpaceDE w:val="0"/>
        <w:autoSpaceDN w:val="0"/>
        <w:adjustRightInd w:val="0"/>
        <w:snapToGrid w:val="0"/>
        <w:spacing w:line="560" w:lineRule="exact"/>
        <w:jc w:val="center"/>
        <w:rPr>
          <w:rFonts w:hint="eastAsia" w:ascii="方正小标宋简体" w:hAnsi="方正小标宋简体" w:eastAsia="方正小标宋简体" w:cs="方正小标宋简体"/>
          <w:color w:val="191919"/>
          <w:sz w:val="44"/>
          <w:szCs w:val="44"/>
          <w:shd w:val="clear" w:color="auto" w:fill="FFFFFF"/>
          <w14:ligatures w14:val="none"/>
        </w:rPr>
      </w:pPr>
      <w:r>
        <w:rPr>
          <w:rFonts w:hint="eastAsia" w:ascii="方正小标宋简体" w:hAnsi="方正小标宋简体" w:eastAsia="方正小标宋简体" w:cs="方正小标宋简体"/>
          <w:color w:val="191919"/>
          <w:sz w:val="44"/>
          <w:szCs w:val="44"/>
          <w:shd w:val="clear" w:color="auto" w:fill="FFFFFF"/>
          <w14:ligatures w14:val="none"/>
        </w:rPr>
        <w:t>中关村科学城关键核心技术“揭榜挂帅”</w:t>
      </w:r>
    </w:p>
    <w:p w14:paraId="76409423">
      <w:pPr>
        <w:shd w:val="clear" w:color="auto" w:fill="FFFFFF"/>
        <w:kinsoku w:val="0"/>
        <w:overflowPunct w:val="0"/>
        <w:autoSpaceDE w:val="0"/>
        <w:autoSpaceDN w:val="0"/>
        <w:adjustRightInd w:val="0"/>
        <w:snapToGrid w:val="0"/>
        <w:spacing w:line="560" w:lineRule="exact"/>
        <w:jc w:val="center"/>
        <w:rPr>
          <w:rFonts w:hint="eastAsia" w:ascii="方正小标宋简体" w:hAnsi="方正小标宋简体" w:eastAsia="方正小标宋简体" w:cs="方正小标宋简体"/>
          <w:color w:val="191919"/>
          <w:sz w:val="44"/>
          <w:szCs w:val="44"/>
          <w:shd w:val="clear" w:color="auto" w:fill="FFFFFF"/>
          <w14:ligatures w14:val="none"/>
        </w:rPr>
      </w:pPr>
      <w:r>
        <w:rPr>
          <w:rFonts w:hint="eastAsia" w:ascii="方正小标宋简体" w:hAnsi="方正小标宋简体" w:eastAsia="方正小标宋简体" w:cs="方正小标宋简体"/>
          <w:color w:val="191919"/>
          <w:sz w:val="44"/>
          <w:szCs w:val="44"/>
          <w:shd w:val="clear" w:color="auto" w:fill="FFFFFF"/>
          <w14:ligatures w14:val="none"/>
        </w:rPr>
        <w:t>专项资金管理办法</w:t>
      </w:r>
    </w:p>
    <w:p w14:paraId="2D285630">
      <w:pPr>
        <w:shd w:val="clear" w:color="auto" w:fill="FFFFFF"/>
        <w:kinsoku w:val="0"/>
        <w:overflowPunct w:val="0"/>
        <w:autoSpaceDE w:val="0"/>
        <w:autoSpaceDN w:val="0"/>
        <w:adjustRightInd w:val="0"/>
        <w:snapToGrid w:val="0"/>
        <w:spacing w:line="560" w:lineRule="exact"/>
        <w:jc w:val="center"/>
        <w:rPr>
          <w:rFonts w:hint="eastAsia" w:ascii="仿宋_GB2312" w:hAnsi="仿宋_GB2312" w:eastAsia="仿宋_GB2312" w:cs="仿宋_GB2312"/>
          <w:color w:val="191919"/>
          <w:kern w:val="0"/>
          <w:sz w:val="32"/>
          <w:szCs w:val="32"/>
          <w14:ligatures w14:val="none"/>
        </w:rPr>
      </w:pPr>
      <w:r>
        <w:rPr>
          <w:rFonts w:hint="eastAsia" w:ascii="方正小标宋简体" w:hAnsi="方正小标宋简体" w:eastAsia="方正小标宋简体" w:cs="方正小标宋简体"/>
          <w:color w:val="191919"/>
          <w:sz w:val="44"/>
          <w:szCs w:val="44"/>
          <w:shd w:val="clear" w:color="auto" w:fill="FFFFFF"/>
          <w14:ligatures w14:val="none"/>
        </w:rPr>
        <w:t>（征求意见稿）</w:t>
      </w:r>
    </w:p>
    <w:p w14:paraId="267FFD00">
      <w:pPr>
        <w:spacing w:line="560" w:lineRule="exact"/>
        <w:rPr>
          <w:rFonts w:hint="eastAsia" w:ascii="仿宋_GB2312" w:hAnsi="仿宋_GB2312" w:eastAsia="仿宋_GB2312" w:cs="仿宋_GB2312"/>
          <w:sz w:val="32"/>
          <w:szCs w:val="32"/>
          <w14:ligatures w14:val="none"/>
        </w:rPr>
      </w:pPr>
    </w:p>
    <w:p w14:paraId="1719AD43">
      <w:pPr>
        <w:spacing w:line="560" w:lineRule="exact"/>
        <w:jc w:val="center"/>
        <w:rPr>
          <w:rFonts w:hint="eastAsia" w:ascii="仿宋_GB2312" w:hAnsi="仿宋_GB2312" w:eastAsia="仿宋_GB2312" w:cs="仿宋_GB2312"/>
          <w:sz w:val="32"/>
          <w:szCs w:val="32"/>
          <w14:ligatures w14:val="none"/>
        </w:rPr>
      </w:pPr>
      <w:r>
        <w:rPr>
          <w:rFonts w:hint="eastAsia" w:ascii="黑体" w:hAnsi="Calibri" w:eastAsia="黑体" w:cs="Times New Roman"/>
          <w:sz w:val="32"/>
          <w:szCs w:val="32"/>
          <w14:ligatures w14:val="none"/>
        </w:rPr>
        <w:t>第一章  总  则</w:t>
      </w:r>
    </w:p>
    <w:p w14:paraId="4F18A906">
      <w:pPr>
        <w:spacing w:line="560" w:lineRule="exact"/>
        <w:rPr>
          <w:rFonts w:hint="eastAsia" w:ascii="仿宋_GB2312" w:hAnsi="仿宋_GB2312" w:eastAsia="仿宋_GB2312" w:cs="仿宋_GB2312"/>
          <w:sz w:val="32"/>
          <w:szCs w:val="32"/>
          <w14:ligatures w14:val="none"/>
        </w:rPr>
      </w:pPr>
      <w:bookmarkStart w:id="10" w:name="_GoBack"/>
      <w:bookmarkEnd w:id="10"/>
    </w:p>
    <w:p w14:paraId="0019222D">
      <w:pPr>
        <w:spacing w:line="560" w:lineRule="exact"/>
        <w:ind w:firstLine="640" w:firstLineChars="200"/>
        <w:rPr>
          <w:rFonts w:hint="eastAsia" w:ascii="仿宋_GB2312" w:hAnsi="仿宋_GB2312" w:eastAsia="仿宋_GB2312" w:cs="仿宋_GB2312"/>
          <w:sz w:val="32"/>
          <w:szCs w:val="32"/>
          <w14:ligatures w14:val="none"/>
        </w:rPr>
      </w:pPr>
      <w:r>
        <w:rPr>
          <w:rFonts w:hint="eastAsia" w:ascii="黑体" w:hAnsi="黑体" w:eastAsia="黑体" w:cs="黑体"/>
          <w:sz w:val="32"/>
          <w:szCs w:val="32"/>
          <w14:ligatures w14:val="none"/>
        </w:rPr>
        <w:t>第一条</w:t>
      </w:r>
      <w:r>
        <w:rPr>
          <w:rFonts w:hint="eastAsia" w:ascii="仿宋_GB2312" w:hAnsi="仿宋_GB2312" w:eastAsia="仿宋_GB2312" w:cs="仿宋_GB2312"/>
          <w:sz w:val="32"/>
          <w:szCs w:val="32"/>
          <w14:ligatures w14:val="none"/>
        </w:rPr>
        <w:t xml:space="preserve"> </w:t>
      </w:r>
      <w:r>
        <w:rPr>
          <w:rFonts w:ascii="仿宋_GB2312" w:hAnsi="仿宋_GB2312" w:eastAsia="仿宋_GB2312" w:cs="仿宋_GB2312"/>
          <w:sz w:val="32"/>
          <w:szCs w:val="32"/>
          <w14:ligatures w14:val="none"/>
        </w:rPr>
        <w:t xml:space="preserve"> </w:t>
      </w:r>
      <w:r>
        <w:rPr>
          <w:rFonts w:hint="eastAsia" w:ascii="仿宋_GB2312" w:hAnsi="仿宋_GB2312" w:eastAsia="仿宋_GB2312" w:cs="仿宋_GB2312"/>
          <w:sz w:val="32"/>
          <w:szCs w:val="32"/>
          <w14:ligatures w14:val="none"/>
        </w:rPr>
        <w:t>为推进世界领先科技园区建设，优化中关村科学城科技攻关组织机制，更好服务国家战略和市区重点产业发展，支持关键技术、共性技术研发，促进产学研合作创新与协同攻关，规范专项资金使用，根据《北京市科技计划项目（课题）经费管理办法》、《中关村科学城关键核心技术“揭榜挂帅”项目管理办法》</w:t>
      </w:r>
      <w:r>
        <w:rPr>
          <w:rFonts w:hint="eastAsia" w:ascii="仿宋_GB2312" w:hAnsi="微软雅黑" w:eastAsia="仿宋_GB2312" w:cs="Times New Roman"/>
          <w:spacing w:val="15"/>
          <w:sz w:val="32"/>
          <w:szCs w:val="32"/>
          <w14:ligatures w14:val="none"/>
        </w:rPr>
        <w:t>及有关规定</w:t>
      </w:r>
      <w:r>
        <w:rPr>
          <w:rFonts w:hint="eastAsia" w:ascii="仿宋_GB2312" w:hAnsi="仿宋_GB2312" w:eastAsia="仿宋_GB2312" w:cs="仿宋_GB2312"/>
          <w:sz w:val="32"/>
          <w:szCs w:val="32"/>
          <w14:ligatures w14:val="none"/>
        </w:rPr>
        <w:t>，结合实际，制定本办法。</w:t>
      </w:r>
    </w:p>
    <w:p w14:paraId="5F40C767">
      <w:pPr>
        <w:spacing w:line="560" w:lineRule="exact"/>
        <w:ind w:firstLine="640" w:firstLineChars="200"/>
        <w:rPr>
          <w:rFonts w:hint="eastAsia" w:ascii="仿宋_GB2312" w:hAnsi="仿宋_GB2312" w:eastAsia="仿宋_GB2312" w:cs="仿宋_GB2312"/>
          <w:sz w:val="32"/>
          <w:szCs w:val="32"/>
          <w14:ligatures w14:val="none"/>
        </w:rPr>
      </w:pPr>
      <w:bookmarkStart w:id="0" w:name="OLE_LINK3"/>
      <w:r>
        <w:rPr>
          <w:rFonts w:hint="eastAsia" w:ascii="黑体" w:hAnsi="黑体" w:eastAsia="黑体" w:cs="黑体"/>
          <w:sz w:val="32"/>
          <w:szCs w:val="32"/>
          <w14:ligatures w14:val="none"/>
        </w:rPr>
        <w:t>第二条</w:t>
      </w:r>
      <w:r>
        <w:rPr>
          <w:rFonts w:hint="eastAsia" w:ascii="仿宋_GB2312" w:hAnsi="仿宋_GB2312" w:eastAsia="仿宋_GB2312" w:cs="仿宋_GB2312"/>
          <w:sz w:val="32"/>
          <w:szCs w:val="32"/>
          <w14:ligatures w14:val="none"/>
        </w:rPr>
        <w:t xml:space="preserve"> </w:t>
      </w:r>
      <w:r>
        <w:rPr>
          <w:rFonts w:ascii="仿宋_GB2312" w:hAnsi="仿宋_GB2312" w:eastAsia="仿宋_GB2312" w:cs="仿宋_GB2312"/>
          <w:sz w:val="32"/>
          <w:szCs w:val="32"/>
          <w14:ligatures w14:val="none"/>
        </w:rPr>
        <w:t xml:space="preserve"> </w:t>
      </w:r>
      <w:bookmarkEnd w:id="0"/>
      <w:r>
        <w:rPr>
          <w:rFonts w:hint="eastAsia" w:ascii="仿宋_GB2312" w:hAnsi="仿宋_GB2312" w:eastAsia="仿宋_GB2312" w:cs="仿宋_GB2312"/>
          <w:sz w:val="32"/>
          <w:szCs w:val="32"/>
          <w14:ligatures w14:val="none"/>
        </w:rPr>
        <w:t>本办法所称专项资金，是指纳入中关村科学城关键核心技术“揭榜挂帅”项目，为解决目标明确、应用亟需、最终用户明确的跨部门、跨区域、跨领域的产业发展关键核心技术难题的创新攻关支持资金。</w:t>
      </w:r>
    </w:p>
    <w:p w14:paraId="532E96F4">
      <w:pPr>
        <w:spacing w:line="560" w:lineRule="exact"/>
        <w:ind w:firstLine="640" w:firstLineChars="200"/>
        <w:rPr>
          <w:rFonts w:hint="eastAsia" w:ascii="仿宋_GB2312" w:hAnsi="仿宋_GB2312" w:eastAsia="仿宋_GB2312" w:cs="仿宋_GB2312"/>
          <w:sz w:val="32"/>
          <w:szCs w:val="32"/>
          <w14:ligatures w14:val="none"/>
        </w:rPr>
      </w:pPr>
      <w:r>
        <w:rPr>
          <w:rFonts w:hint="eastAsia" w:ascii="黑体" w:hAnsi="黑体" w:eastAsia="黑体" w:cs="黑体"/>
          <w:sz w:val="32"/>
          <w:szCs w:val="32"/>
          <w14:ligatures w14:val="none"/>
        </w:rPr>
        <w:t>第三条</w:t>
      </w:r>
      <w:r>
        <w:rPr>
          <w:rFonts w:hint="eastAsia" w:ascii="仿宋_GB2312" w:hAnsi="仿宋_GB2312" w:eastAsia="仿宋_GB2312" w:cs="仿宋_GB2312"/>
          <w:sz w:val="32"/>
          <w:szCs w:val="32"/>
          <w14:ligatures w14:val="none"/>
        </w:rPr>
        <w:t xml:space="preserve"> </w:t>
      </w:r>
      <w:bookmarkStart w:id="1" w:name="_Hlk200374470"/>
      <w:r>
        <w:rPr>
          <w:rFonts w:ascii="仿宋_GB2312" w:hAnsi="仿宋_GB2312" w:eastAsia="仿宋_GB2312" w:cs="仿宋_GB2312"/>
          <w:sz w:val="32"/>
          <w:szCs w:val="32"/>
          <w14:ligatures w14:val="none"/>
        </w:rPr>
        <w:t xml:space="preserve"> </w:t>
      </w:r>
      <w:bookmarkStart w:id="2" w:name="_Hlk203409644"/>
      <w:r>
        <w:rPr>
          <w:rFonts w:hint="eastAsia" w:ascii="仿宋_GB2312" w:hAnsi="仿宋_GB2312" w:eastAsia="仿宋_GB2312" w:cs="仿宋_GB2312"/>
          <w:sz w:val="32"/>
          <w:szCs w:val="32"/>
          <w14:ligatures w14:val="none"/>
        </w:rPr>
        <w:t>专项资金</w:t>
      </w:r>
      <w:bookmarkEnd w:id="2"/>
      <w:r>
        <w:rPr>
          <w:rFonts w:hint="eastAsia" w:ascii="仿宋_GB2312" w:hAnsi="仿宋_GB2312" w:eastAsia="仿宋_GB2312" w:cs="仿宋_GB2312"/>
          <w:sz w:val="32"/>
          <w:szCs w:val="32"/>
          <w14:ligatures w14:val="none"/>
        </w:rPr>
        <w:t>来源于财政资金和项目单位自筹资金，均纳入项目预算统筹管理。</w:t>
      </w:r>
      <w:bookmarkEnd w:id="1"/>
    </w:p>
    <w:p w14:paraId="3D6202A1">
      <w:pPr>
        <w:spacing w:line="560" w:lineRule="exact"/>
        <w:ind w:firstLine="640" w:firstLineChars="200"/>
        <w:rPr>
          <w:rFonts w:hint="eastAsia" w:ascii="仿宋_GB2312" w:hAnsi="仿宋_GB2312" w:eastAsia="仿宋_GB2312" w:cs="仿宋_GB2312"/>
          <w:sz w:val="32"/>
          <w:szCs w:val="32"/>
          <w14:ligatures w14:val="none"/>
        </w:rPr>
      </w:pPr>
      <w:r>
        <w:rPr>
          <w:rFonts w:hint="eastAsia" w:ascii="黑体" w:hAnsi="黑体" w:eastAsia="黑体" w:cs="黑体"/>
          <w:sz w:val="32"/>
          <w:szCs w:val="32"/>
          <w14:ligatures w14:val="none"/>
        </w:rPr>
        <w:t>第四条</w:t>
      </w:r>
      <w:r>
        <w:rPr>
          <w:rFonts w:hint="eastAsia" w:ascii="仿宋_GB2312" w:hAnsi="仿宋_GB2312" w:eastAsia="仿宋_GB2312" w:cs="仿宋_GB2312"/>
          <w:b/>
          <w:bCs/>
          <w:sz w:val="32"/>
          <w:szCs w:val="32"/>
          <w14:ligatures w14:val="none"/>
        </w:rPr>
        <w:t xml:space="preserve">  </w:t>
      </w:r>
      <w:r>
        <w:rPr>
          <w:rFonts w:hint="eastAsia" w:ascii="仿宋_GB2312" w:hAnsi="仿宋_GB2312" w:eastAsia="仿宋_GB2312" w:cs="仿宋_GB2312"/>
          <w:sz w:val="32"/>
          <w:szCs w:val="32"/>
          <w14:ligatures w14:val="none"/>
        </w:rPr>
        <w:t>专项资金管理和使用原则</w:t>
      </w:r>
    </w:p>
    <w:p w14:paraId="740BBB38">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（一）突出重点，科学安排。聚焦国家战略，围绕国际科技创新中心和世界领先科技园区建设需求，注重加强统筹、科学规划，避免资金重复浪费。</w:t>
      </w:r>
    </w:p>
    <w:p w14:paraId="011A404B">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（二）公开公平，择优资助。完善公平竞争的项目遴选机制，通过公开择优、定向择优等方式确定项目承担者。</w:t>
      </w:r>
    </w:p>
    <w:p w14:paraId="672134EA">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（三）单独核算，专款专用。支持对象获得的专项资金纳入单位财务统一管理，实行单独核算，确保专款专用。</w:t>
      </w:r>
    </w:p>
    <w:p w14:paraId="7FF7F3A2">
      <w:pPr>
        <w:spacing w:line="560" w:lineRule="exact"/>
        <w:ind w:firstLine="640" w:firstLineChars="200"/>
        <w:rPr>
          <w:rFonts w:hint="eastAsia" w:ascii="仿宋_GB2312" w:hAnsi="仿宋_GB2312" w:eastAsia="仿宋_GB2312" w:cs="仿宋_GB2312"/>
          <w:b/>
          <w:bCs/>
          <w:sz w:val="32"/>
          <w:szCs w:val="32"/>
          <w14:ligatures w14:val="none"/>
        </w:rPr>
      </w:pPr>
      <w:r>
        <w:rPr>
          <w:rFonts w:hint="eastAsia" w:ascii="仿宋_GB2312" w:hAnsi="仿宋_GB2312" w:eastAsia="仿宋_GB2312" w:cs="仿宋_GB2312"/>
          <w:sz w:val="32"/>
          <w:szCs w:val="32"/>
          <w14:ligatures w14:val="none"/>
        </w:rPr>
        <w:t>（四）明确责权，追踪问效。明晰专项资金管理和使用各方的权利和义务，加强评估监管体系建设，加强诚信建设和信用管理，推行面向结果的追踪问效机制。</w:t>
      </w:r>
    </w:p>
    <w:p w14:paraId="664A9878">
      <w:pPr>
        <w:spacing w:line="560" w:lineRule="exact"/>
        <w:ind w:firstLine="640" w:firstLineChars="200"/>
        <w:rPr>
          <w:rFonts w:hint="eastAsia" w:ascii="仿宋_GB2312" w:hAnsi="仿宋_GB2312" w:eastAsia="仿宋_GB2312" w:cs="仿宋_GB2312"/>
          <w:b/>
          <w:bCs/>
          <w:sz w:val="32"/>
          <w:szCs w:val="32"/>
          <w14:ligatures w14:val="none"/>
        </w:rPr>
      </w:pPr>
      <w:r>
        <w:rPr>
          <w:rFonts w:hint="eastAsia" w:ascii="黑体" w:hAnsi="黑体" w:eastAsia="黑体" w:cs="黑体"/>
          <w:sz w:val="32"/>
          <w:szCs w:val="32"/>
          <w14:ligatures w14:val="none"/>
        </w:rPr>
        <w:t>第五条</w:t>
      </w:r>
      <w:r>
        <w:rPr>
          <w:rFonts w:hint="eastAsia" w:ascii="仿宋_GB2312" w:hAnsi="仿宋_GB2312" w:eastAsia="仿宋_GB2312" w:cs="仿宋_GB2312"/>
          <w:b/>
          <w:bCs/>
          <w:sz w:val="32"/>
          <w:szCs w:val="32"/>
          <w14:ligatures w14:val="none"/>
        </w:rPr>
        <w:t xml:space="preserve">  </w:t>
      </w:r>
      <w:r>
        <w:rPr>
          <w:rFonts w:hint="eastAsia" w:ascii="仿宋_GB2312" w:hAnsi="仿宋_GB2312" w:eastAsia="仿宋_GB2312" w:cs="仿宋_GB2312"/>
          <w:sz w:val="32"/>
          <w:szCs w:val="32"/>
          <w14:ligatures w14:val="none"/>
        </w:rPr>
        <w:t>部门职责</w:t>
      </w:r>
    </w:p>
    <w:p w14:paraId="56C80EEE">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（一）</w:t>
      </w:r>
      <w:bookmarkStart w:id="3" w:name="OLE_LINK7"/>
      <w:r>
        <w:rPr>
          <w:rFonts w:hint="eastAsia" w:ascii="仿宋_GB2312" w:hAnsi="仿宋_GB2312" w:eastAsia="仿宋_GB2312" w:cs="仿宋_GB2312"/>
          <w:sz w:val="32"/>
          <w:szCs w:val="32"/>
          <w14:ligatures w14:val="none"/>
        </w:rPr>
        <w:t>中关村科学城管理委员会</w:t>
      </w:r>
      <w:bookmarkEnd w:id="3"/>
      <w:r>
        <w:rPr>
          <w:rFonts w:hint="eastAsia" w:ascii="仿宋_GB2312" w:hAnsi="仿宋_GB2312" w:eastAsia="仿宋_GB2312" w:cs="仿宋_GB2312"/>
          <w:sz w:val="32"/>
          <w:szCs w:val="32"/>
          <w14:ligatures w14:val="none"/>
        </w:rPr>
        <w:t>（以下简称</w:t>
      </w:r>
      <w:r>
        <w:rPr>
          <w:rFonts w:ascii="仿宋_GB2312" w:hAnsi="仿宋_GB2312" w:eastAsia="仿宋_GB2312" w:cs="仿宋_GB2312"/>
          <w:sz w:val="32"/>
          <w:szCs w:val="32"/>
          <w14:ligatures w14:val="none"/>
        </w:rPr>
        <w:t>“</w:t>
      </w:r>
      <w:r>
        <w:rPr>
          <w:rFonts w:hint="eastAsia" w:ascii="仿宋_GB2312" w:hAnsi="仿宋_GB2312" w:eastAsia="仿宋_GB2312" w:cs="仿宋_GB2312"/>
          <w:sz w:val="32"/>
          <w:szCs w:val="32"/>
          <w14:ligatures w14:val="none"/>
        </w:rPr>
        <w:t>管委会</w:t>
      </w:r>
      <w:r>
        <w:rPr>
          <w:rFonts w:ascii="仿宋_GB2312" w:hAnsi="仿宋_GB2312" w:eastAsia="仿宋_GB2312" w:cs="仿宋_GB2312"/>
          <w:sz w:val="32"/>
          <w:szCs w:val="32"/>
          <w14:ligatures w14:val="none"/>
        </w:rPr>
        <w:t>”</w:t>
      </w:r>
      <w:r>
        <w:rPr>
          <w:rFonts w:hint="eastAsia" w:ascii="仿宋_GB2312" w:hAnsi="仿宋_GB2312" w:eastAsia="仿宋_GB2312" w:cs="仿宋_GB2312"/>
          <w:sz w:val="32"/>
          <w:szCs w:val="32"/>
          <w14:ligatures w14:val="none"/>
        </w:rPr>
        <w:t>）主要负责专项资金的预算编制、预算执行及决算编报等日常管理工作，加强监督检查和责任倒查，并对承担单位开展信用评价工作。</w:t>
      </w:r>
    </w:p>
    <w:p w14:paraId="53F1AA69">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（二）海淀区财政局（以下简称“区财政局”）主要负责中关村科学城的预算审核、资金下达和使用监督等工作。</w:t>
      </w:r>
    </w:p>
    <w:p w14:paraId="792351D6">
      <w:pPr>
        <w:spacing w:line="560" w:lineRule="exact"/>
        <w:rPr>
          <w:rFonts w:hint="eastAsia" w:ascii="仿宋_GB2312" w:hAnsi="仿宋_GB2312" w:eastAsia="仿宋_GB2312" w:cs="仿宋_GB2312"/>
          <w:sz w:val="32"/>
          <w:szCs w:val="32"/>
          <w14:ligatures w14:val="none"/>
        </w:rPr>
      </w:pPr>
    </w:p>
    <w:p w14:paraId="5B077AD2">
      <w:pPr>
        <w:spacing w:line="560" w:lineRule="exact"/>
        <w:jc w:val="center"/>
        <w:rPr>
          <w:rFonts w:hint="eastAsia" w:ascii="黑体" w:hAnsi="黑体" w:eastAsia="黑体" w:cs="黑体"/>
          <w:sz w:val="32"/>
          <w:szCs w:val="32"/>
          <w14:ligatures w14:val="none"/>
        </w:rPr>
      </w:pPr>
      <w:r>
        <w:rPr>
          <w:rFonts w:hint="eastAsia" w:ascii="黑体" w:hAnsi="黑体" w:eastAsia="黑体" w:cs="黑体"/>
          <w:sz w:val="32"/>
          <w:szCs w:val="32"/>
          <w14:ligatures w14:val="none"/>
        </w:rPr>
        <w:t xml:space="preserve">第二章  </w:t>
      </w:r>
      <w:r>
        <w:rPr>
          <w:rFonts w:hint="eastAsia" w:ascii="黑体" w:hAnsi="仿宋" w:eastAsia="黑体" w:cs="Times New Roman"/>
          <w:sz w:val="32"/>
          <w:szCs w:val="32"/>
          <w14:ligatures w14:val="none"/>
        </w:rPr>
        <w:t>经费的支持方式及支出范围</w:t>
      </w:r>
    </w:p>
    <w:p w14:paraId="48FFC2B3">
      <w:pPr>
        <w:spacing w:line="560" w:lineRule="exact"/>
        <w:ind w:firstLine="640" w:firstLineChars="200"/>
        <w:rPr>
          <w:rFonts w:hint="eastAsia" w:ascii="黑体" w:hAnsi="黑体" w:eastAsia="黑体" w:cs="黑体"/>
          <w:sz w:val="32"/>
          <w:szCs w:val="32"/>
          <w14:ligatures w14:val="none"/>
        </w:rPr>
      </w:pPr>
    </w:p>
    <w:p w14:paraId="16DD22E6">
      <w:pPr>
        <w:spacing w:line="560" w:lineRule="exact"/>
        <w:ind w:firstLine="640" w:firstLineChars="200"/>
        <w:rPr>
          <w:rFonts w:hint="eastAsia" w:ascii="黑体" w:hAnsi="黑体" w:eastAsia="黑体" w:cs="黑体"/>
          <w:sz w:val="32"/>
          <w:szCs w:val="32"/>
          <w14:ligatures w14:val="none"/>
        </w:rPr>
      </w:pPr>
      <w:r>
        <w:rPr>
          <w:rFonts w:hint="eastAsia" w:ascii="黑体" w:hAnsi="黑体" w:eastAsia="黑体" w:cs="黑体"/>
          <w:sz w:val="32"/>
          <w:szCs w:val="32"/>
          <w14:ligatures w14:val="none"/>
        </w:rPr>
        <w:t>第六条</w:t>
      </w:r>
      <w:r>
        <w:rPr>
          <w:rFonts w:hint="eastAsia" w:ascii="仿宋_GB2312" w:hAnsi="仿宋" w:eastAsia="仿宋_GB2312" w:cs="Times New Roman"/>
          <w:b/>
          <w:sz w:val="32"/>
          <w:szCs w:val="32"/>
          <w14:ligatures w14:val="none"/>
        </w:rPr>
        <w:t xml:space="preserve"> </w:t>
      </w:r>
      <w:r>
        <w:rPr>
          <w:rFonts w:hint="eastAsia" w:ascii="仿宋_GB2312" w:hAnsi="仿宋" w:eastAsia="仿宋_GB2312" w:cs="Times New Roman"/>
          <w:sz w:val="32"/>
          <w:szCs w:val="32"/>
          <w14:ligatures w14:val="none"/>
        </w:rPr>
        <w:t xml:space="preserve"> </w:t>
      </w:r>
      <w:bookmarkStart w:id="4" w:name="OLE_LINK10"/>
      <w:bookmarkStart w:id="5" w:name="OLE_LINK5"/>
      <w:bookmarkStart w:id="6" w:name="OLE_LINK6"/>
      <w:r>
        <w:rPr>
          <w:rFonts w:hint="eastAsia" w:ascii="仿宋_GB2312" w:hAnsi="仿宋" w:eastAsia="仿宋_GB2312" w:cs="Times New Roman"/>
          <w:sz w:val="32"/>
          <w:szCs w:val="32"/>
          <w14:ligatures w14:val="none"/>
        </w:rPr>
        <w:t>项目经费一般采取事前补助方式，在开展前直接给予部分或全部补助。</w:t>
      </w:r>
      <w:bookmarkEnd w:id="4"/>
      <w:r>
        <w:rPr>
          <w:rFonts w:hint="eastAsia" w:ascii="仿宋_GB2312" w:hAnsi="仿宋" w:eastAsia="仿宋_GB2312" w:cs="Times New Roman"/>
          <w:sz w:val="32"/>
          <w:szCs w:val="32"/>
          <w14:ligatures w14:val="none"/>
        </w:rPr>
        <w:t>探索开展后补助、风险补偿金、贷款贴息等其他支持方式。</w:t>
      </w:r>
      <w:bookmarkEnd w:id="5"/>
      <w:r>
        <w:rPr>
          <w:rFonts w:hint="eastAsia" w:ascii="仿宋_GB2312" w:hAnsi="仿宋" w:eastAsia="仿宋_GB2312" w:cs="Times New Roman"/>
          <w:sz w:val="32"/>
          <w:szCs w:val="32"/>
          <w14:ligatures w14:val="none"/>
        </w:rPr>
        <w:t>具体支持方式、支出范围及标准结合科技创新项目特点和承担单位性质在组织过程中予以明确。</w:t>
      </w:r>
    </w:p>
    <w:p w14:paraId="3C908B2D">
      <w:pPr>
        <w:snapToGrid w:val="0"/>
        <w:spacing w:line="560" w:lineRule="exact"/>
        <w:ind w:firstLine="640" w:firstLineChars="200"/>
        <w:rPr>
          <w:rFonts w:hint="eastAsia" w:ascii="仿宋_GB2312" w:hAnsi="仿宋" w:eastAsia="仿宋_GB2312" w:cs="Times New Roman"/>
          <w:sz w:val="32"/>
          <w:szCs w:val="32"/>
          <w14:ligatures w14:val="none"/>
        </w:rPr>
      </w:pPr>
      <w:bookmarkStart w:id="7" w:name="OLE_LINK1"/>
      <w:r>
        <w:rPr>
          <w:rFonts w:hint="eastAsia" w:ascii="黑体" w:hAnsi="黑体" w:eastAsia="黑体" w:cs="黑体"/>
          <w:sz w:val="32"/>
          <w:szCs w:val="32"/>
          <w14:ligatures w14:val="none"/>
        </w:rPr>
        <w:t>第七条</w:t>
      </w:r>
      <w:bookmarkEnd w:id="7"/>
      <w:r>
        <w:rPr>
          <w:rFonts w:hint="eastAsia" w:ascii="仿宋_GB2312" w:hAnsi="仿宋" w:eastAsia="仿宋_GB2312" w:cs="Times New Roman"/>
          <w:b/>
          <w:sz w:val="32"/>
          <w:szCs w:val="32"/>
          <w14:ligatures w14:val="none"/>
        </w:rPr>
        <w:t xml:space="preserve"> </w:t>
      </w:r>
      <w:r>
        <w:rPr>
          <w:rFonts w:hint="eastAsia" w:ascii="仿宋_GB2312" w:hAnsi="仿宋" w:eastAsia="仿宋_GB2312" w:cs="Times New Roman"/>
          <w:sz w:val="32"/>
          <w:szCs w:val="32"/>
          <w14:ligatures w14:val="none"/>
        </w:rPr>
        <w:t xml:space="preserve"> 项目的支出范围包括直接费用和间接费用两部分。</w:t>
      </w:r>
    </w:p>
    <w:bookmarkEnd w:id="6"/>
    <w:p w14:paraId="10380AFA">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直接费用是指在项目实施过程中发生的与之直接相关的费用，按设备费、业务费、劳务费三大类编制预算。</w:t>
      </w:r>
    </w:p>
    <w:p w14:paraId="5109D330">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（一）设备费主要用于在项目实施过程中购置或试制专用仪器设备，购置计算类仪器设备、软件工具；对现有仪器设备进行升级改造，以及租赁使用外单位仪器设备而发生的相关费用。</w:t>
      </w:r>
    </w:p>
    <w:p w14:paraId="00F7C563">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二）业务费是指为完成项目目标所需购置低值易耗品费用和消耗性费用等相关费用。主要包括材料、测试化验加工、燃料动力、差旅/会议/国际合作与交流、档案/出版/文献/信息传播/知识产权事务、咨询、其他等方面支出。</w:t>
      </w:r>
    </w:p>
    <w:p w14:paraId="3C5C1E7D">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（三）劳务费主要用于在项目实施过程中支付给项目组成员、参与项目研究的研究生、博士后、访问学者以及项目组临时聘用的研究人员、科研辅助人员、财务助理的劳务性费用。</w:t>
      </w:r>
    </w:p>
    <w:p w14:paraId="350A6BBE">
      <w:pPr>
        <w:snapToGrid w:val="0"/>
        <w:spacing w:line="560" w:lineRule="exact"/>
        <w:ind w:firstLine="707" w:firstLineChars="221"/>
        <w:rPr>
          <w:rFonts w:hint="eastAsia" w:ascii="仿宋_GB2312" w:hAnsi="仿宋" w:eastAsia="仿宋_GB2312" w:cs="Times New Roman"/>
          <w:sz w:val="32"/>
          <w:szCs w:val="32"/>
          <w14:ligatures w14:val="none"/>
        </w:rPr>
      </w:pPr>
      <w:r>
        <w:rPr>
          <w:rFonts w:ascii="仿宋_GB2312" w:hAnsi="仿宋" w:eastAsia="仿宋_GB2312" w:cs="Times New Roman"/>
          <w:sz w:val="32"/>
          <w:szCs w:val="32"/>
          <w14:ligatures w14:val="none"/>
        </w:rPr>
        <w:t>间接费用是指项目承担单位在组织实施项目过程中发生的无法在直接费用中列支的相关费用。主要包括绩效支出及管理费用。绩效支出是项目承担单位为提高工作绩效安排的相关支出。管理费用主要包括项目承担单位为项目研究提供的现有仪器设备及房屋，水、电、气、暖等消耗，以及有关管理费用的补助支出等。</w:t>
      </w:r>
    </w:p>
    <w:p w14:paraId="6BD41E27">
      <w:pPr>
        <w:snapToGrid w:val="0"/>
        <w:spacing w:line="560" w:lineRule="exact"/>
        <w:ind w:firstLine="707" w:firstLineChars="221"/>
        <w:rPr>
          <w:rFonts w:hint="eastAsia" w:ascii="仿宋_GB2312" w:hAnsi="仿宋" w:eastAsia="仿宋_GB2312" w:cs="Times New Roman"/>
          <w:sz w:val="32"/>
          <w:szCs w:val="32"/>
          <w14:ligatures w14:val="none"/>
        </w:rPr>
      </w:pPr>
    </w:p>
    <w:p w14:paraId="4395BEF8">
      <w:pPr>
        <w:spacing w:line="560" w:lineRule="exact"/>
        <w:jc w:val="center"/>
        <w:rPr>
          <w:rFonts w:hint="eastAsia" w:ascii="黑体" w:hAnsi="黑体" w:eastAsia="黑体" w:cs="黑体"/>
          <w:sz w:val="32"/>
          <w:szCs w:val="32"/>
          <w14:ligatures w14:val="none"/>
        </w:rPr>
      </w:pPr>
      <w:r>
        <w:rPr>
          <w:rFonts w:hint="eastAsia" w:ascii="黑体" w:hAnsi="黑体" w:eastAsia="黑体" w:cs="黑体"/>
          <w:sz w:val="32"/>
          <w:szCs w:val="32"/>
          <w14:ligatures w14:val="none"/>
        </w:rPr>
        <w:t>第三章  项目预算管理</w:t>
      </w:r>
    </w:p>
    <w:p w14:paraId="62CC1339">
      <w:pPr>
        <w:snapToGrid w:val="0"/>
        <w:spacing w:line="560" w:lineRule="exact"/>
        <w:ind w:firstLine="710" w:firstLineChars="221"/>
        <w:rPr>
          <w:rFonts w:hint="eastAsia" w:ascii="仿宋_GB2312" w:hAnsi="仿宋" w:eastAsia="仿宋_GB2312" w:cs="Times New Roman"/>
          <w:b/>
          <w:bCs/>
          <w:sz w:val="32"/>
          <w:szCs w:val="32"/>
          <w14:ligatures w14:val="none"/>
        </w:rPr>
      </w:pPr>
    </w:p>
    <w:p w14:paraId="4A0A5776">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 xml:space="preserve">第八条 </w:t>
      </w:r>
      <w:r>
        <w:rPr>
          <w:rFonts w:ascii="仿宋_GB2312" w:hAnsi="仿宋" w:eastAsia="仿宋_GB2312" w:cs="Times New Roman"/>
          <w:sz w:val="32"/>
          <w:szCs w:val="32"/>
          <w14:ligatures w14:val="none"/>
        </w:rPr>
        <w:t xml:space="preserve"> </w:t>
      </w:r>
      <w:r>
        <w:rPr>
          <w:rFonts w:hint="eastAsia" w:ascii="仿宋_GB2312" w:hAnsi="仿宋" w:eastAsia="仿宋_GB2312" w:cs="Times New Roman"/>
          <w:sz w:val="32"/>
          <w:szCs w:val="32"/>
          <w14:ligatures w14:val="none"/>
        </w:rPr>
        <w:t>项目预算包括收入预算和支出预算，收入预算和支出预算应做到收支平衡。</w:t>
      </w:r>
    </w:p>
    <w:p w14:paraId="09CA16F9">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收入预算包括专项经费和自筹经费。自筹资金应当按照财务会计制度和相关资金提供方的具体使用管理要求，统筹安排和使用。支出预算应当按照经费开支范围确定的支出科目和不同经费来源编列。</w:t>
      </w:r>
    </w:p>
    <w:p w14:paraId="28DFFE6A">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第九条</w:t>
      </w:r>
      <w:r>
        <w:rPr>
          <w:rFonts w:hint="eastAsia"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 xml:space="preserve"> 简化预算编制。进一步精简合并预算编制科目，直接费用预算科目精简为设备费、业务费、劳务费三个预算科目。精简费用测算说明，除50万元以上的设备费外，只提供基本测算说明，不需要提供明细。项目单位应当按照政策相符性、目标相关性和经济合理性原则，科学、合理、真实地编制预算，对设备费、业务费、劳务费预算应据实编制，不得简单按比例编制。</w:t>
      </w:r>
    </w:p>
    <w:p w14:paraId="342FE593">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第十条</w:t>
      </w:r>
      <w:r>
        <w:rPr>
          <w:rFonts w:hint="eastAsia"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 xml:space="preserve"> 提高间接费用比例。结合承担单位信用情况，间接费用实行总额控制，按照不超过项目直接费用扣除设备购置费后的一定比例核定。其中，对数学等纯理论基础研究类项目，间接费用比例不超过60%；其他项目间接费用比例不超过30%。</w:t>
      </w:r>
    </w:p>
    <w:p w14:paraId="2C8713AB">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第十一条</w:t>
      </w:r>
      <w:r>
        <w:rPr>
          <w:rFonts w:hint="eastAsia"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间接费用由承担单位统筹安排使用。承担单位应当建立健全间接费用的内部管理办法，公开透明、合规合理使用间接费用，处理好分摊间接成本和对人员激励的关系。绩效支出安排应当与研究人员在项目工作中的实际贡献挂钩。承担单位可将间接费用全部用于绩效支出，并向创新绩效突出的团队和个人倾斜。</w:t>
      </w:r>
    </w:p>
    <w:p w14:paraId="550A43BD">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第十二条</w:t>
      </w:r>
      <w:r>
        <w:rPr>
          <w:rFonts w:hint="eastAsia"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项目下设子项目的，每个子项目承担单位均需按预算编制的要求单独编制各自的子项目预算，由牵头单位汇总形成项目预算。</w:t>
      </w:r>
    </w:p>
    <w:p w14:paraId="05D5817B">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第十三条</w:t>
      </w:r>
      <w:r>
        <w:rPr>
          <w:rFonts w:hint="eastAsia"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优化评审流程。合并项目评审和预算评审，管委会在项目评审时同步开展预算评审。预算评审工作重点是项目预算的目标相关性、政策相符性、经济合理性，不得将预算编制细致程度作为评审预算的因素，不得简单按比例核减预算。项目指南已明确补助标准、范围等定额方式资助项目和其他按有关规定可不参加预算评审及论证的项目，可不再进行预算评审。</w:t>
      </w:r>
    </w:p>
    <w:p w14:paraId="6AD4FAA9">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第十四条</w:t>
      </w:r>
      <w:r>
        <w:rPr>
          <w:rFonts w:hint="eastAsia"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管委会预算审核汇总后形成项目整体预算，项目支持总金额小于5000万元，报主任会审议，项目支持总金额大于5000万元（含），报工委会审议，审议通过后，与承担单位签订任务书，项目预算作为任务书的组成部分，是预算执行和监督检查的重要依据。</w:t>
      </w:r>
    </w:p>
    <w:p w14:paraId="07A12154">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第十五条</w:t>
      </w:r>
      <w:r>
        <w:rPr>
          <w:rFonts w:hint="eastAsia"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加快经费拨付进度。管委会根据不同类型项目特点、研究进度、资金需求等，合理制定经费拨付计划并及时拨付资金，在项目任务书签订后30日内，要按照财政资金国库集中支付的有关规定向项目单位拨付项目经费。项目下设子项目的，项目牵头承担单位应当根据任务书确定的拨款计划及时向子项目承担单位拨付经费。子项目承担单位不得再向外转拨经费。</w:t>
      </w:r>
    </w:p>
    <w:p w14:paraId="4B8857C6">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 xml:space="preserve">第十六条 </w:t>
      </w:r>
      <w:r>
        <w:rPr>
          <w:rFonts w:ascii="仿宋_GB2312" w:hAnsi="仿宋" w:eastAsia="仿宋_GB2312" w:cs="Times New Roman"/>
          <w:sz w:val="32"/>
          <w:szCs w:val="32"/>
          <w14:ligatures w14:val="none"/>
        </w:rPr>
        <w:t xml:space="preserve"> </w:t>
      </w:r>
      <w:r>
        <w:rPr>
          <w:rFonts w:hint="eastAsia" w:ascii="仿宋_GB2312" w:hAnsi="仿宋" w:eastAsia="仿宋_GB2312" w:cs="Times New Roman"/>
          <w:sz w:val="32"/>
          <w:szCs w:val="32"/>
          <w14:ligatures w14:val="none"/>
        </w:rPr>
        <w:t>经费使用管理</w:t>
      </w:r>
    </w:p>
    <w:p w14:paraId="489C32FA">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承担单位应当具备健全的财务和内控制度，以及项目财务管理制度，由专职的财务人员负责项目经费的财务核算和管理工作。</w:t>
      </w:r>
    </w:p>
    <w:p w14:paraId="2B5C77D0">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承担单位应当对不同来源的项目经费分别进行单独核算，即在单位适用的会计制度一级科目统括之下，按照规定的项目支出范围设置明细科目，按开支范围与标准执行，并进行会计核算。</w:t>
      </w:r>
    </w:p>
    <w:p w14:paraId="156D3BFC">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第十七条</w:t>
      </w:r>
      <w:r>
        <w:rPr>
          <w:rFonts w:hint="eastAsia" w:ascii="仿宋_GB2312" w:hAnsi="仿宋" w:eastAsia="仿宋_GB2312" w:cs="Times New Roman"/>
          <w:sz w:val="32"/>
          <w:szCs w:val="32"/>
          <w14:ligatures w14:val="none"/>
        </w:rPr>
        <w:t xml:space="preserve"> </w:t>
      </w:r>
      <w:r>
        <w:rPr>
          <w:rFonts w:ascii="仿宋_GB2312" w:hAnsi="仿宋" w:eastAsia="仿宋_GB2312" w:cs="Times New Roman"/>
          <w:sz w:val="32"/>
          <w:szCs w:val="32"/>
          <w14:ligatures w14:val="none"/>
        </w:rPr>
        <w:t xml:space="preserve"> </w:t>
      </w:r>
      <w:r>
        <w:rPr>
          <w:rFonts w:hint="eastAsia" w:ascii="仿宋_GB2312" w:hAnsi="仿宋" w:eastAsia="仿宋_GB2312" w:cs="Times New Roman"/>
          <w:sz w:val="32"/>
          <w:szCs w:val="32"/>
          <w14:ligatures w14:val="none"/>
        </w:rPr>
        <w:t>预算调整</w:t>
      </w:r>
    </w:p>
    <w:p w14:paraId="1AA2E8B9">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项目总预算调整、项目主要承担单位变更属于重大预算调整，应报管委会审议，项目支持总金额小于5000万元，报主任会审议，项目支持总金额大于5000万元（含），报工委会审议。</w:t>
      </w:r>
      <w:r>
        <w:rPr>
          <w:rFonts w:ascii="仿宋_GB2312" w:hAnsi="仿宋" w:eastAsia="仿宋_GB2312" w:cs="Times New Roman"/>
          <w:sz w:val="32"/>
          <w:szCs w:val="32"/>
          <w14:ligatures w14:val="none"/>
        </w:rPr>
        <w:t>在项目总预算不变的情况下</w:t>
      </w:r>
      <w:r>
        <w:rPr>
          <w:rFonts w:hint="eastAsia" w:ascii="仿宋_GB2312" w:hAnsi="仿宋" w:eastAsia="仿宋_GB2312" w:cs="Times New Roman"/>
          <w:sz w:val="32"/>
          <w:szCs w:val="32"/>
          <w14:ligatures w14:val="none"/>
        </w:rPr>
        <w:t>，项目负责人可根据科研活动实际需要自主安排和调整全部科目的经费支出。</w:t>
      </w:r>
    </w:p>
    <w:p w14:paraId="76C6C131">
      <w:pPr>
        <w:snapToGrid w:val="0"/>
        <w:spacing w:line="560" w:lineRule="exact"/>
        <w:ind w:firstLine="707" w:firstLineChars="221"/>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 xml:space="preserve">第十八条 </w:t>
      </w:r>
      <w:r>
        <w:rPr>
          <w:rFonts w:hint="eastAsia" w:ascii="仿宋_GB2312" w:hAnsi="仿宋" w:eastAsia="仿宋_GB2312" w:cs="Times New Roman"/>
          <w:sz w:val="32"/>
          <w:szCs w:val="32"/>
          <w14:ligatures w14:val="none"/>
        </w:rPr>
        <w:t xml:space="preserve"> 项目年度结存经费由承担单位结转下一年度按规定继续使用。对于按要求完成项目目标并通过验收的，结余资金留归承担单位使用。项目因故终止，承担单位财务部门应及时清理账目与资产，编制财务报告及资产清单，由承担单位向</w:t>
      </w:r>
      <w:r>
        <w:rPr>
          <w:rFonts w:hint="eastAsia" w:ascii="仿宋_GB2312" w:hAnsi="仿宋_GB2312" w:eastAsia="仿宋_GB2312" w:cs="仿宋_GB2312"/>
          <w:sz w:val="32"/>
          <w:szCs w:val="32"/>
          <w14:ligatures w14:val="none"/>
        </w:rPr>
        <w:t>管委会</w:t>
      </w:r>
      <w:r>
        <w:rPr>
          <w:rFonts w:hint="eastAsia" w:ascii="仿宋_GB2312" w:hAnsi="仿宋" w:eastAsia="仿宋_GB2312" w:cs="Times New Roman"/>
          <w:sz w:val="32"/>
          <w:szCs w:val="32"/>
          <w14:ligatures w14:val="none"/>
        </w:rPr>
        <w:t>提出申请，管委会停拨项目经费、组织进行清查处理、确认并收回项目结余资金。</w:t>
      </w:r>
    </w:p>
    <w:p w14:paraId="41EE79A6">
      <w:pPr>
        <w:snapToGrid w:val="0"/>
        <w:spacing w:line="560" w:lineRule="exact"/>
        <w:ind w:firstLine="707" w:firstLineChars="221"/>
        <w:rPr>
          <w:rFonts w:hint="eastAsia" w:ascii="仿宋_GB2312" w:hAnsi="仿宋" w:eastAsia="仿宋_GB2312" w:cs="Times New Roman"/>
          <w:sz w:val="32"/>
          <w:szCs w:val="32"/>
          <w14:ligatures w14:val="none"/>
        </w:rPr>
      </w:pPr>
    </w:p>
    <w:p w14:paraId="74BDB117">
      <w:pPr>
        <w:spacing w:line="560" w:lineRule="exact"/>
        <w:jc w:val="center"/>
        <w:rPr>
          <w:rFonts w:hint="eastAsia" w:ascii="黑体" w:hAnsi="黑体" w:eastAsia="黑体" w:cs="黑体"/>
          <w:bCs/>
          <w:sz w:val="32"/>
          <w:szCs w:val="32"/>
          <w14:ligatures w14:val="none"/>
        </w:rPr>
      </w:pPr>
      <w:r>
        <w:rPr>
          <w:rFonts w:hint="eastAsia" w:ascii="黑体" w:hAnsi="黑体" w:eastAsia="黑体" w:cs="黑体"/>
          <w:bCs/>
          <w:sz w:val="32"/>
          <w:szCs w:val="32"/>
          <w14:ligatures w14:val="none"/>
        </w:rPr>
        <w:t>第四章  综合绩效评价</w:t>
      </w:r>
    </w:p>
    <w:p w14:paraId="2C3FACC1">
      <w:pPr>
        <w:spacing w:before="100" w:after="100" w:line="560" w:lineRule="exact"/>
        <w:jc w:val="left"/>
        <w:rPr>
          <w:rFonts w:hint="eastAsia" w:ascii="微软雅黑" w:hAnsi="微软雅黑" w:eastAsia="微软雅黑" w:cs="微软雅黑"/>
          <w:bCs/>
          <w:color w:val="000000"/>
          <w:spacing w:val="12"/>
          <w:kern w:val="0"/>
          <w:sz w:val="36"/>
          <w:szCs w:val="36"/>
          <w14:ligatures w14:val="none"/>
        </w:rPr>
      </w:pPr>
    </w:p>
    <w:p w14:paraId="21D32316">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第十九条</w:t>
      </w:r>
      <w:r>
        <w:rPr>
          <w:rFonts w:hint="eastAsia" w:ascii="Calibri" w:hAnsi="Calibri" w:eastAsia="仿宋_GB2312" w:cs="Calibri"/>
          <w:b/>
          <w:sz w:val="32"/>
          <w:szCs w:val="32"/>
          <w14:ligatures w14:val="none"/>
        </w:rPr>
        <w:t xml:space="preserve"> </w:t>
      </w:r>
      <w:r>
        <w:rPr>
          <w:rFonts w:ascii="Calibri" w:hAnsi="Calibri" w:eastAsia="仿宋_GB2312" w:cs="Calibri"/>
          <w:b/>
          <w:sz w:val="32"/>
          <w:szCs w:val="32"/>
          <w14:ligatures w14:val="none"/>
        </w:rPr>
        <w:t xml:space="preserve"> </w:t>
      </w:r>
      <w:r>
        <w:rPr>
          <w:rFonts w:hint="eastAsia" w:ascii="仿宋_GB2312" w:hAnsi="仿宋" w:eastAsia="仿宋_GB2312" w:cs="Times New Roman"/>
          <w:sz w:val="32"/>
          <w:szCs w:val="32"/>
          <w14:ligatures w14:val="none"/>
        </w:rPr>
        <w:t>项目执行期满后，承担单位应当及时组织开展账目与资产清理，如实编制项目资金决算。专项经费资助在100万元（含）以上的项目，承担单位应当聘请会计师事务所，开展项目结题财务审计。专项经费资助在100万元以下的项目，由承担单位对项目总经费进行决算，编制项目资金决算报表。结题财务审计报告或决算报表是项目综合绩效评价的重要依据。</w:t>
      </w:r>
    </w:p>
    <w:p w14:paraId="3BF5B498">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第二十条</w:t>
      </w:r>
      <w:r>
        <w:rPr>
          <w:rFonts w:ascii="Calibri" w:hAnsi="Calibri" w:eastAsia="仿宋_GB2312" w:cs="Calibri"/>
          <w:sz w:val="32"/>
          <w:szCs w:val="32"/>
          <w14:ligatures w14:val="none"/>
        </w:rPr>
        <w:t xml:space="preserve">  </w:t>
      </w:r>
      <w:r>
        <w:rPr>
          <w:rFonts w:hint="eastAsia" w:ascii="仿宋_GB2312" w:hAnsi="仿宋" w:eastAsia="仿宋_GB2312" w:cs="Times New Roman"/>
          <w:sz w:val="32"/>
          <w:szCs w:val="32"/>
          <w14:ligatures w14:val="none"/>
        </w:rPr>
        <w:t>简化项目验收结题财务管理。合并财务验收和技术验收，管委会依据项目任务书（含预算），在项目实施期末实行一次性综合绩效评价。</w:t>
      </w:r>
    </w:p>
    <w:p w14:paraId="5C1E0E7F">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第二十一条</w:t>
      </w:r>
      <w:r>
        <w:rPr>
          <w:rFonts w:hint="eastAsia" w:ascii="仿宋_GB2312" w:hAnsi="仿宋" w:eastAsia="仿宋_GB2312" w:cs="Times New Roman"/>
          <w:sz w:val="32"/>
          <w:szCs w:val="32"/>
          <w14:ligatures w14:val="none"/>
        </w:rPr>
        <w:t xml:space="preserve"> </w:t>
      </w:r>
      <w:r>
        <w:rPr>
          <w:rFonts w:ascii="仿宋_GB2312" w:hAnsi="仿宋" w:eastAsia="仿宋_GB2312" w:cs="Times New Roman"/>
          <w:sz w:val="32"/>
          <w:szCs w:val="32"/>
          <w14:ligatures w14:val="none"/>
        </w:rPr>
        <w:t xml:space="preserve"> </w:t>
      </w:r>
      <w:r>
        <w:rPr>
          <w:rFonts w:hint="eastAsia" w:ascii="仿宋_GB2312" w:hAnsi="仿宋" w:eastAsia="仿宋_GB2312" w:cs="Times New Roman"/>
          <w:sz w:val="32"/>
          <w:szCs w:val="32"/>
          <w14:ligatures w14:val="none"/>
        </w:rPr>
        <w:t>健全科研绩效管理机制。要进一步强化绩效导向，从重立项向重结果转变，针对不同类型项目，加强分类绩效评价，健全差异化的绩效评价指标体系；强化绩效评价结果运用，加大科研成果转化力度，将绩效评价结果和科研成果转化、落地等情况作为项目调整、后续支持的重要依据。</w:t>
      </w:r>
    </w:p>
    <w:p w14:paraId="081F11D4">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第二十二条</w:t>
      </w:r>
      <w:r>
        <w:rPr>
          <w:rFonts w:ascii="Calibri" w:hAnsi="Calibri" w:eastAsia="仿宋_GB2312" w:cs="Calibri"/>
          <w:sz w:val="32"/>
          <w:szCs w:val="32"/>
          <w14:ligatures w14:val="none"/>
        </w:rPr>
        <w:t xml:space="preserve"> </w:t>
      </w:r>
      <w:r>
        <w:rPr>
          <w:rFonts w:hint="eastAsia" w:ascii="仿宋_GB2312" w:hAnsi="仿宋" w:eastAsia="仿宋_GB2312" w:cs="Times New Roman"/>
          <w:sz w:val="32"/>
          <w:szCs w:val="32"/>
          <w14:ligatures w14:val="none"/>
        </w:rPr>
        <w:t xml:space="preserve"> 管委会按照项目综合绩效评价结果，核定项目的专项经费结余，</w:t>
      </w:r>
      <w:bookmarkStart w:id="8" w:name="OLE_LINK8"/>
      <w:r>
        <w:rPr>
          <w:rFonts w:hint="eastAsia" w:ascii="仿宋_GB2312" w:hAnsi="仿宋" w:eastAsia="仿宋_GB2312" w:cs="Times New Roman"/>
          <w:sz w:val="32"/>
          <w:szCs w:val="32"/>
          <w14:ligatures w14:val="none"/>
        </w:rPr>
        <w:t>下达项目综合绩效评价结论。</w:t>
      </w:r>
    </w:p>
    <w:bookmarkEnd w:id="8"/>
    <w:p w14:paraId="2AFBB6E0">
      <w:pPr>
        <w:snapToGrid w:val="0"/>
        <w:spacing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第二十三条</w:t>
      </w:r>
      <w:r>
        <w:rPr>
          <w:rFonts w:hint="eastAsia" w:ascii="仿宋_GB2312" w:hAnsi="仿宋" w:eastAsia="仿宋_GB2312" w:cs="Times New Roman"/>
          <w:b/>
          <w:bCs/>
          <w:sz w:val="32"/>
          <w:szCs w:val="32"/>
          <w14:ligatures w14:val="none"/>
        </w:rPr>
        <w:t xml:space="preserve"> </w:t>
      </w:r>
      <w:r>
        <w:rPr>
          <w:rFonts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改进结余资金管理。项目通过综合绩效评价且完成目标任务的，拨付全部资金。项目综合绩效评价结论为结题或未通过，承担单位应及时清理账目与资产，依据审计结果在实施期满3个月内按照原渠道退回结余资金。</w:t>
      </w:r>
    </w:p>
    <w:p w14:paraId="15A38672">
      <w:pPr>
        <w:spacing w:line="560" w:lineRule="exact"/>
        <w:jc w:val="center"/>
        <w:rPr>
          <w:rFonts w:hint="eastAsia" w:ascii="黑体" w:hAnsi="黑体" w:eastAsia="黑体" w:cs="黑体"/>
          <w:bCs/>
          <w:sz w:val="32"/>
          <w:szCs w:val="32"/>
          <w14:ligatures w14:val="none"/>
        </w:rPr>
      </w:pPr>
    </w:p>
    <w:p w14:paraId="3D697970">
      <w:pPr>
        <w:spacing w:line="560" w:lineRule="exact"/>
        <w:jc w:val="center"/>
        <w:rPr>
          <w:rFonts w:hint="eastAsia" w:ascii="黑体" w:hAnsi="黑体" w:eastAsia="黑体" w:cs="黑体"/>
          <w:bCs/>
          <w:sz w:val="32"/>
          <w:szCs w:val="32"/>
          <w14:ligatures w14:val="none"/>
        </w:rPr>
      </w:pPr>
      <w:r>
        <w:rPr>
          <w:rFonts w:hint="eastAsia" w:ascii="黑体" w:hAnsi="黑体" w:eastAsia="黑体" w:cs="黑体"/>
          <w:bCs/>
          <w:sz w:val="32"/>
          <w:szCs w:val="32"/>
          <w14:ligatures w14:val="none"/>
        </w:rPr>
        <w:t xml:space="preserve">第五章  </w:t>
      </w:r>
      <w:bookmarkStart w:id="9" w:name="OLE_LINK4"/>
      <w:r>
        <w:rPr>
          <w:rFonts w:hint="eastAsia" w:ascii="黑体" w:hAnsi="黑体" w:eastAsia="黑体" w:cs="黑体"/>
          <w:bCs/>
          <w:sz w:val="32"/>
          <w:szCs w:val="32"/>
          <w14:ligatures w14:val="none"/>
        </w:rPr>
        <w:t>经费监督管理</w:t>
      </w:r>
      <w:bookmarkEnd w:id="9"/>
      <w:r>
        <w:rPr>
          <w:rFonts w:hint="eastAsia" w:ascii="黑体" w:hAnsi="黑体" w:eastAsia="黑体" w:cs="黑体"/>
          <w:bCs/>
          <w:sz w:val="32"/>
          <w:szCs w:val="32"/>
          <w14:ligatures w14:val="none"/>
        </w:rPr>
        <w:t>与处理原则</w:t>
      </w:r>
    </w:p>
    <w:p w14:paraId="1264961B">
      <w:pPr>
        <w:spacing w:line="560" w:lineRule="exact"/>
        <w:jc w:val="center"/>
        <w:rPr>
          <w:rFonts w:hint="eastAsia" w:ascii="黑体" w:hAnsi="黑体" w:eastAsia="黑体" w:cs="黑体"/>
          <w:bCs/>
          <w:sz w:val="32"/>
          <w:szCs w:val="32"/>
          <w14:ligatures w14:val="none"/>
        </w:rPr>
      </w:pPr>
    </w:p>
    <w:p w14:paraId="37DF4A2C">
      <w:pPr>
        <w:spacing w:before="100" w:after="100" w:line="560" w:lineRule="exact"/>
        <w:ind w:firstLine="640" w:firstLineChars="200"/>
        <w:rPr>
          <w:rFonts w:hint="eastAsia" w:ascii="仿宋_GB2312" w:hAnsi="仿宋" w:eastAsia="仿宋_GB2312" w:cs="Times New Roman"/>
          <w:sz w:val="32"/>
          <w:szCs w:val="32"/>
          <w14:ligatures w14:val="none"/>
        </w:rPr>
      </w:pPr>
      <w:r>
        <w:rPr>
          <w:rFonts w:hint="eastAsia" w:ascii="黑体" w:hAnsi="黑体" w:eastAsia="黑体" w:cs="黑体"/>
          <w:sz w:val="32"/>
          <w:szCs w:val="32"/>
          <w14:ligatures w14:val="none"/>
        </w:rPr>
        <w:t>第二十四条</w:t>
      </w:r>
      <w:r>
        <w:rPr>
          <w:rFonts w:hint="eastAsia" w:ascii="仿宋_GB2312" w:hAnsi="仿宋" w:eastAsia="仿宋_GB2312" w:cs="Times New Roman"/>
          <w:b/>
          <w:bCs/>
          <w:sz w:val="32"/>
          <w:szCs w:val="32"/>
          <w14:ligatures w14:val="none"/>
        </w:rPr>
        <w:t xml:space="preserve">  </w:t>
      </w:r>
      <w:r>
        <w:rPr>
          <w:rFonts w:hint="eastAsia" w:ascii="仿宋_GB2312" w:hAnsi="仿宋" w:eastAsia="仿宋_GB2312" w:cs="Times New Roman"/>
          <w:sz w:val="32"/>
          <w:szCs w:val="32"/>
          <w14:ligatures w14:val="none"/>
        </w:rPr>
        <w:t>承担单位是项目经费管理和使用的责任主体，具体管理工作应按以下规定实施：</w:t>
      </w:r>
    </w:p>
    <w:p w14:paraId="0C2D54F3">
      <w:pPr>
        <w:spacing w:before="100" w:after="100"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一）承担单位应当严格执行国家有关财经法规和财务制度，切实履行项目资金管理法人主体责任，正确行使项目资金管理使用自主权，建立健全项目资金内部管理制度和报销规定，明确内部管理权限和决策程序，完善内控机制建设，强化资金使用绩效评价，提高财务信息化水平，确保资金使用安全规范有效。</w:t>
      </w:r>
    </w:p>
    <w:p w14:paraId="4220B562">
      <w:pPr>
        <w:spacing w:before="100" w:after="100" w:line="560" w:lineRule="exact"/>
        <w:ind w:firstLine="640" w:firstLineChars="200"/>
        <w:rPr>
          <w:rFonts w:hint="eastAsia" w:ascii="仿宋_GB2312" w:hAnsi="仿宋" w:eastAsia="仿宋_GB2312" w:cs="Times New Roman"/>
          <w:sz w:val="32"/>
          <w:szCs w:val="32"/>
          <w14:ligatures w14:val="none"/>
        </w:rPr>
      </w:pPr>
      <w:r>
        <w:rPr>
          <w:rFonts w:hint="eastAsia" w:ascii="仿宋_GB2312" w:hAnsi="仿宋" w:eastAsia="仿宋_GB2312" w:cs="Times New Roman"/>
          <w:sz w:val="32"/>
          <w:szCs w:val="32"/>
          <w14:ligatures w14:val="none"/>
        </w:rPr>
        <w:t>（二）承担单位应当将项目专项经费纳入单位财务统一管理，对专项经费和其自筹经费分别单独核算，确保专款专用。项目牵头单位不得擅自拖延经费拨付。按照承诺保证其他来源资金及时足额到位，并用于本项目支出。积极开展项目经费管理和使用情况的自查，制定并严格执行项目预算调剂程序，配合做好预算评估评审、审计、验收与绩效评价等有关工作。</w:t>
      </w:r>
    </w:p>
    <w:p w14:paraId="7BDB58E6">
      <w:pPr>
        <w:spacing w:line="560" w:lineRule="exact"/>
        <w:ind w:firstLine="640" w:firstLineChars="200"/>
        <w:rPr>
          <w:rFonts w:hint="eastAsia" w:ascii="仿宋_GB2312" w:hAnsi="仿宋_GB2312" w:eastAsia="仿宋_GB2312" w:cs="仿宋_GB2312"/>
          <w:sz w:val="32"/>
          <w:szCs w:val="32"/>
          <w14:ligatures w14:val="none"/>
        </w:rPr>
      </w:pPr>
      <w:r>
        <w:rPr>
          <w:rFonts w:hint="eastAsia" w:ascii="黑体" w:hAnsi="黑体" w:eastAsia="黑体" w:cs="黑体"/>
          <w:sz w:val="32"/>
          <w:szCs w:val="32"/>
          <w14:ligatures w14:val="none"/>
        </w:rPr>
        <w:t>第二十五条</w:t>
      </w:r>
      <w:r>
        <w:rPr>
          <w:rFonts w:hint="eastAsia" w:ascii="仿宋_GB2312" w:hAnsi="仿宋_GB2312" w:eastAsia="仿宋_GB2312" w:cs="仿宋_GB2312"/>
          <w:sz w:val="32"/>
          <w:szCs w:val="32"/>
          <w14:ligatures w14:val="none"/>
        </w:rPr>
        <w:t xml:space="preserve"> </w:t>
      </w:r>
      <w:r>
        <w:rPr>
          <w:rFonts w:ascii="仿宋_GB2312" w:hAnsi="仿宋_GB2312" w:eastAsia="仿宋_GB2312" w:cs="仿宋_GB2312"/>
          <w:sz w:val="32"/>
          <w:szCs w:val="32"/>
          <w14:ligatures w14:val="none"/>
        </w:rPr>
        <w:t xml:space="preserve"> </w:t>
      </w:r>
      <w:r>
        <w:rPr>
          <w:rFonts w:hint="eastAsia" w:ascii="仿宋_GB2312" w:hAnsi="仿宋_GB2312" w:eastAsia="仿宋_GB2312" w:cs="仿宋_GB2312"/>
          <w:sz w:val="32"/>
          <w:szCs w:val="32"/>
          <w14:ligatures w14:val="none"/>
        </w:rPr>
        <w:t>承担单位在项目经费使用和管理中，不得存在以下行为：</w:t>
      </w:r>
    </w:p>
    <w:p w14:paraId="28EE69C4">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（一）未对项目经费进行单独核算。</w:t>
      </w:r>
    </w:p>
    <w:p w14:paraId="5D5C4191">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（二）编报虚假预算、套取国家财政资金。</w:t>
      </w:r>
    </w:p>
    <w:p w14:paraId="374C4ED0">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（三）截留、挤占、挪用项目经费。</w:t>
      </w:r>
    </w:p>
    <w:p w14:paraId="05785410">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（四）违反规定转拨、转移项目经费。</w:t>
      </w:r>
    </w:p>
    <w:p w14:paraId="743D9CC3">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（五）未获批准擅自变更项目担主体。</w:t>
      </w:r>
    </w:p>
    <w:p w14:paraId="7AB3D275">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（六）提供虚假财务会计信息，虚列支出。</w:t>
      </w:r>
    </w:p>
    <w:p w14:paraId="5F9DC8D0">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（七）虚假承诺配套资金。</w:t>
      </w:r>
    </w:p>
    <w:p w14:paraId="432DCC92">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（八）未按规定执行和调整预算。</w:t>
      </w:r>
    </w:p>
    <w:p w14:paraId="4F0DE44A">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（九）随意调账变动支出、随意修改记账凭证、以表代账应付财务审计和检查。</w:t>
      </w:r>
    </w:p>
    <w:p w14:paraId="62FBD042">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（十）违反其他国家法律法规及相关规章制度的行为。</w:t>
      </w:r>
    </w:p>
    <w:p w14:paraId="71716AF6">
      <w:pPr>
        <w:spacing w:line="560" w:lineRule="exact"/>
        <w:ind w:firstLine="640" w:firstLineChars="200"/>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出现上述行为的，视情节轻重将采取暂停项目拨款、终止项目执行、追回已拨项目资金、取消项目承担者一定期限内项目申报资格等措施。对于违反财经法律法规的行为，按照《财政违法行为处罚处分条例》及其他相关法律法规处理、处罚，涉嫌犯罪的，移交司法机关依法处理。</w:t>
      </w:r>
    </w:p>
    <w:p w14:paraId="27214A4B">
      <w:pPr>
        <w:spacing w:line="560" w:lineRule="exact"/>
        <w:ind w:firstLine="640" w:firstLineChars="200"/>
        <w:rPr>
          <w:rFonts w:hint="eastAsia" w:ascii="仿宋_GB2312" w:hAnsi="仿宋_GB2312" w:eastAsia="仿宋_GB2312" w:cs="仿宋_GB2312"/>
          <w:b/>
          <w:bCs/>
          <w:sz w:val="32"/>
          <w:szCs w:val="32"/>
          <w14:ligatures w14:val="none"/>
        </w:rPr>
      </w:pPr>
      <w:r>
        <w:rPr>
          <w:rFonts w:hint="eastAsia" w:ascii="黑体" w:hAnsi="黑体" w:eastAsia="黑体" w:cs="黑体"/>
          <w:sz w:val="32"/>
          <w:szCs w:val="32"/>
          <w14:ligatures w14:val="none"/>
        </w:rPr>
        <w:t>第二十六条</w:t>
      </w:r>
      <w:r>
        <w:rPr>
          <w:rFonts w:hint="eastAsia" w:ascii="仿宋_GB2312" w:hAnsi="仿宋_GB2312" w:eastAsia="仿宋_GB2312" w:cs="仿宋_GB2312"/>
          <w:b/>
          <w:bCs/>
          <w:sz w:val="32"/>
          <w:szCs w:val="32"/>
          <w14:ligatures w14:val="none"/>
        </w:rPr>
        <w:t xml:space="preserve"> </w:t>
      </w:r>
      <w:r>
        <w:rPr>
          <w:rFonts w:ascii="仿宋_GB2312" w:hAnsi="仿宋_GB2312" w:eastAsia="仿宋_GB2312" w:cs="仿宋_GB2312"/>
          <w:b/>
          <w:bCs/>
          <w:sz w:val="32"/>
          <w:szCs w:val="32"/>
          <w14:ligatures w14:val="none"/>
        </w:rPr>
        <w:t xml:space="preserve"> </w:t>
      </w:r>
      <w:r>
        <w:rPr>
          <w:rFonts w:hint="eastAsia" w:ascii="仿宋_GB2312" w:hAnsi="仿宋_GB2312" w:eastAsia="仿宋_GB2312" w:cs="仿宋_GB2312"/>
          <w:sz w:val="32"/>
          <w:szCs w:val="32"/>
          <w14:ligatures w14:val="none"/>
        </w:rPr>
        <w:t>对承担单位、项目管理机构及关联的相关机构和人员在项目经费使用和管理中的问题，按照信用管理的有关规定进行记录。存在上述行为之一的，一经查实，记入相关机构和人员的信用记录。信用记录作为项目立项及科技经费安排、项目管理专业机构遴选、咨询专家遴选等的重要参考依据。</w:t>
      </w:r>
    </w:p>
    <w:p w14:paraId="432BDA84">
      <w:pPr>
        <w:spacing w:line="560" w:lineRule="exact"/>
        <w:ind w:firstLine="643" w:firstLineChars="200"/>
        <w:rPr>
          <w:rFonts w:hint="eastAsia" w:ascii="仿宋_GB2312" w:hAnsi="仿宋_GB2312" w:eastAsia="仿宋_GB2312" w:cs="仿宋_GB2312"/>
          <w:b/>
          <w:bCs/>
          <w:sz w:val="32"/>
          <w:szCs w:val="32"/>
          <w14:ligatures w14:val="none"/>
        </w:rPr>
      </w:pPr>
    </w:p>
    <w:p w14:paraId="046AC76F">
      <w:pPr>
        <w:spacing w:line="560" w:lineRule="exact"/>
        <w:jc w:val="center"/>
        <w:rPr>
          <w:rFonts w:hint="eastAsia" w:ascii="黑体" w:hAnsi="黑体" w:eastAsia="黑体" w:cs="黑体"/>
          <w:bCs/>
          <w:sz w:val="32"/>
          <w:szCs w:val="32"/>
          <w14:ligatures w14:val="none"/>
        </w:rPr>
      </w:pPr>
      <w:r>
        <w:rPr>
          <w:rFonts w:hint="eastAsia" w:ascii="黑体" w:hAnsi="黑体" w:eastAsia="黑体" w:cs="黑体"/>
          <w:bCs/>
          <w:sz w:val="32"/>
          <w:szCs w:val="32"/>
          <w14:ligatures w14:val="none"/>
        </w:rPr>
        <w:t>第六章  附则</w:t>
      </w:r>
    </w:p>
    <w:p w14:paraId="0F7199C3">
      <w:pPr>
        <w:spacing w:line="560" w:lineRule="exact"/>
        <w:ind w:firstLine="643" w:firstLineChars="200"/>
        <w:rPr>
          <w:rFonts w:hint="eastAsia" w:ascii="仿宋_GB2312" w:hAnsi="仿宋_GB2312" w:eastAsia="仿宋_GB2312" w:cs="仿宋_GB2312"/>
          <w:b/>
          <w:bCs/>
          <w:sz w:val="32"/>
          <w:szCs w:val="32"/>
          <w14:ligatures w14:val="none"/>
        </w:rPr>
      </w:pPr>
    </w:p>
    <w:p w14:paraId="1424764E">
      <w:pPr>
        <w:spacing w:line="560" w:lineRule="exact"/>
        <w:ind w:firstLine="640" w:firstLineChars="200"/>
        <w:rPr>
          <w:rFonts w:hint="eastAsia" w:ascii="仿宋_GB2312" w:hAnsi="仿宋_GB2312" w:eastAsia="仿宋_GB2312" w:cs="仿宋_GB2312"/>
          <w:b/>
          <w:bCs/>
          <w:sz w:val="32"/>
          <w:szCs w:val="32"/>
          <w14:ligatures w14:val="none"/>
        </w:rPr>
      </w:pPr>
      <w:r>
        <w:rPr>
          <w:rFonts w:hint="eastAsia" w:ascii="黑体" w:hAnsi="黑体" w:eastAsia="黑体" w:cs="黑体"/>
          <w:sz w:val="32"/>
          <w:szCs w:val="32"/>
          <w14:ligatures w14:val="none"/>
        </w:rPr>
        <w:t>第二十七条</w:t>
      </w:r>
      <w:r>
        <w:rPr>
          <w:rFonts w:hint="eastAsia" w:ascii="仿宋_GB2312" w:hAnsi="仿宋_GB2312" w:eastAsia="仿宋_GB2312" w:cs="仿宋_GB2312"/>
          <w:b/>
          <w:bCs/>
          <w:sz w:val="32"/>
          <w:szCs w:val="32"/>
          <w14:ligatures w14:val="none"/>
        </w:rPr>
        <w:t xml:space="preserve"> </w:t>
      </w:r>
      <w:r>
        <w:rPr>
          <w:rFonts w:hint="eastAsia" w:ascii="仿宋_GB2312" w:hAnsi="仿宋_GB2312" w:eastAsia="仿宋_GB2312" w:cs="仿宋_GB2312"/>
          <w:sz w:val="32"/>
          <w:szCs w:val="32"/>
          <w14:ligatures w14:val="none"/>
        </w:rPr>
        <w:t xml:space="preserve"> 本办法由中关村科学城管委会服务体系建设处、区财政局负责解释。</w:t>
      </w:r>
    </w:p>
    <w:p w14:paraId="55DB451C">
      <w:pPr>
        <w:spacing w:line="560" w:lineRule="exact"/>
        <w:ind w:firstLine="640" w:firstLineChars="200"/>
        <w:rPr>
          <w:rFonts w:hint="eastAsia" w:ascii="仿宋_GB2312" w:hAnsi="仿宋_GB2312" w:eastAsia="仿宋_GB2312" w:cs="仿宋_GB2312"/>
          <w:sz w:val="32"/>
          <w:szCs w:val="32"/>
          <w14:ligatures w14:val="none"/>
        </w:rPr>
      </w:pPr>
      <w:r>
        <w:rPr>
          <w:rFonts w:hint="eastAsia" w:ascii="黑体" w:hAnsi="黑体" w:eastAsia="黑体" w:cs="黑体"/>
          <w:sz w:val="32"/>
          <w:szCs w:val="32"/>
          <w14:ligatures w14:val="none"/>
        </w:rPr>
        <w:t>第二十八条</w:t>
      </w:r>
      <w:r>
        <w:rPr>
          <w:rFonts w:hint="eastAsia" w:ascii="仿宋_GB2312" w:hAnsi="仿宋_GB2312" w:eastAsia="仿宋_GB2312" w:cs="仿宋_GB2312"/>
          <w:b/>
          <w:bCs/>
          <w:sz w:val="32"/>
          <w:szCs w:val="32"/>
          <w14:ligatures w14:val="none"/>
        </w:rPr>
        <w:t xml:space="preserve">  </w:t>
      </w:r>
      <w:r>
        <w:rPr>
          <w:rFonts w:hint="eastAsia" w:ascii="仿宋_GB2312" w:hAnsi="仿宋_GB2312" w:eastAsia="仿宋_GB2312" w:cs="仿宋_GB2312"/>
          <w:sz w:val="32"/>
          <w:szCs w:val="32"/>
          <w14:ligatures w14:val="none"/>
        </w:rPr>
        <w:t>本办法自印发之日起开始实施。</w:t>
      </w:r>
    </w:p>
    <w:p w14:paraId="57F7148B">
      <w:pPr>
        <w:spacing w:line="560" w:lineRule="exact"/>
        <w:jc w:val="left"/>
        <w:rPr>
          <w:rFonts w:hint="eastAsia" w:ascii="黑体" w:hAnsi="黑体" w:eastAsia="黑体" w:cs="黑体"/>
          <w:sz w:val="32"/>
          <w:szCs w:val="32"/>
        </w:rPr>
      </w:pPr>
    </w:p>
    <w:p w14:paraId="3CDBFC60">
      <w:pPr>
        <w:spacing w:line="560" w:lineRule="exact"/>
        <w:jc w:val="left"/>
        <w:rPr>
          <w:rFonts w:hint="eastAsia" w:ascii="黑体" w:hAnsi="黑体" w:eastAsia="黑体" w:cs="黑体"/>
          <w:sz w:val="32"/>
          <w:szCs w:val="32"/>
        </w:rPr>
      </w:pPr>
    </w:p>
    <w:p w14:paraId="5E6DCD95">
      <w:pPr>
        <w:spacing w:line="560" w:lineRule="exact"/>
        <w:jc w:val="left"/>
        <w:rPr>
          <w:rFonts w:hint="eastAsia" w:ascii="黑体" w:hAnsi="黑体" w:eastAsia="黑体" w:cs="黑体"/>
          <w:sz w:val="32"/>
          <w:szCs w:val="32"/>
        </w:rPr>
      </w:pPr>
    </w:p>
    <w:p w14:paraId="3574BDBF">
      <w:pPr>
        <w:spacing w:line="560" w:lineRule="exact"/>
        <w:jc w:val="left"/>
        <w:rPr>
          <w:rFonts w:hint="eastAsia" w:ascii="黑体" w:hAnsi="黑体" w:eastAsia="黑体" w:cs="黑体"/>
          <w:sz w:val="32"/>
          <w:szCs w:val="32"/>
        </w:rPr>
      </w:pPr>
    </w:p>
    <w:p w14:paraId="5AA02273">
      <w:pPr>
        <w:spacing w:line="560" w:lineRule="exact"/>
        <w:jc w:val="left"/>
        <w:rPr>
          <w:rFonts w:hint="eastAsia" w:ascii="黑体" w:hAnsi="黑体" w:eastAsia="黑体" w:cs="黑体"/>
          <w:sz w:val="32"/>
          <w:szCs w:val="32"/>
        </w:rPr>
      </w:pPr>
    </w:p>
    <w:p w14:paraId="6879085A">
      <w:pPr>
        <w:rPr>
          <w:rFonts w:hint="eastAsia"/>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AB"/>
    <w:rsid w:val="00000063"/>
    <w:rsid w:val="000027E6"/>
    <w:rsid w:val="0000336E"/>
    <w:rsid w:val="000059E6"/>
    <w:rsid w:val="0000602B"/>
    <w:rsid w:val="000124FB"/>
    <w:rsid w:val="00012979"/>
    <w:rsid w:val="00013120"/>
    <w:rsid w:val="00014164"/>
    <w:rsid w:val="00015B4F"/>
    <w:rsid w:val="00015FBD"/>
    <w:rsid w:val="00016F2C"/>
    <w:rsid w:val="0002139D"/>
    <w:rsid w:val="0002242A"/>
    <w:rsid w:val="000251D3"/>
    <w:rsid w:val="00027164"/>
    <w:rsid w:val="0002758D"/>
    <w:rsid w:val="000300CB"/>
    <w:rsid w:val="00030581"/>
    <w:rsid w:val="0003146C"/>
    <w:rsid w:val="0003412E"/>
    <w:rsid w:val="0003605A"/>
    <w:rsid w:val="000360DB"/>
    <w:rsid w:val="000367E1"/>
    <w:rsid w:val="00037941"/>
    <w:rsid w:val="0004166D"/>
    <w:rsid w:val="00041B17"/>
    <w:rsid w:val="00042F95"/>
    <w:rsid w:val="00046A61"/>
    <w:rsid w:val="00047C07"/>
    <w:rsid w:val="0005122D"/>
    <w:rsid w:val="000516E7"/>
    <w:rsid w:val="000527D7"/>
    <w:rsid w:val="000529DC"/>
    <w:rsid w:val="00053DED"/>
    <w:rsid w:val="00054A2F"/>
    <w:rsid w:val="00056D90"/>
    <w:rsid w:val="000573A8"/>
    <w:rsid w:val="00057CDE"/>
    <w:rsid w:val="00062674"/>
    <w:rsid w:val="000628F8"/>
    <w:rsid w:val="00063C64"/>
    <w:rsid w:val="00064A24"/>
    <w:rsid w:val="00065931"/>
    <w:rsid w:val="00065A4B"/>
    <w:rsid w:val="00066018"/>
    <w:rsid w:val="00071E01"/>
    <w:rsid w:val="00072CE6"/>
    <w:rsid w:val="000756D3"/>
    <w:rsid w:val="00076339"/>
    <w:rsid w:val="000771F2"/>
    <w:rsid w:val="00077CA2"/>
    <w:rsid w:val="00077D94"/>
    <w:rsid w:val="00080944"/>
    <w:rsid w:val="000809E6"/>
    <w:rsid w:val="000838A3"/>
    <w:rsid w:val="00083C3B"/>
    <w:rsid w:val="00084632"/>
    <w:rsid w:val="00084689"/>
    <w:rsid w:val="00084799"/>
    <w:rsid w:val="0008578B"/>
    <w:rsid w:val="00090501"/>
    <w:rsid w:val="00090819"/>
    <w:rsid w:val="00091B93"/>
    <w:rsid w:val="00091DF4"/>
    <w:rsid w:val="00092089"/>
    <w:rsid w:val="0009255C"/>
    <w:rsid w:val="00093921"/>
    <w:rsid w:val="00094710"/>
    <w:rsid w:val="00095D81"/>
    <w:rsid w:val="00096248"/>
    <w:rsid w:val="000A08DA"/>
    <w:rsid w:val="000A12E6"/>
    <w:rsid w:val="000A211A"/>
    <w:rsid w:val="000A23F4"/>
    <w:rsid w:val="000A2A4B"/>
    <w:rsid w:val="000A2EAF"/>
    <w:rsid w:val="000A3AE7"/>
    <w:rsid w:val="000A48D5"/>
    <w:rsid w:val="000A4E89"/>
    <w:rsid w:val="000A54A0"/>
    <w:rsid w:val="000A5BFA"/>
    <w:rsid w:val="000A5FC2"/>
    <w:rsid w:val="000B0086"/>
    <w:rsid w:val="000B4B04"/>
    <w:rsid w:val="000B76C5"/>
    <w:rsid w:val="000C174A"/>
    <w:rsid w:val="000C2FE7"/>
    <w:rsid w:val="000C5E79"/>
    <w:rsid w:val="000C70ED"/>
    <w:rsid w:val="000C752F"/>
    <w:rsid w:val="000D10F9"/>
    <w:rsid w:val="000D15F2"/>
    <w:rsid w:val="000D2314"/>
    <w:rsid w:val="000D2701"/>
    <w:rsid w:val="000D4717"/>
    <w:rsid w:val="000D5BB8"/>
    <w:rsid w:val="000D6788"/>
    <w:rsid w:val="000D7790"/>
    <w:rsid w:val="000E0B35"/>
    <w:rsid w:val="000E2DD1"/>
    <w:rsid w:val="000E4C04"/>
    <w:rsid w:val="000E5977"/>
    <w:rsid w:val="000E68C0"/>
    <w:rsid w:val="000E70C3"/>
    <w:rsid w:val="000E78EE"/>
    <w:rsid w:val="000F1275"/>
    <w:rsid w:val="000F2F70"/>
    <w:rsid w:val="000F38E2"/>
    <w:rsid w:val="000F4BCB"/>
    <w:rsid w:val="000F4E54"/>
    <w:rsid w:val="000F6F25"/>
    <w:rsid w:val="000F70DB"/>
    <w:rsid w:val="00101B53"/>
    <w:rsid w:val="0010342E"/>
    <w:rsid w:val="00103850"/>
    <w:rsid w:val="001073DE"/>
    <w:rsid w:val="001104F2"/>
    <w:rsid w:val="00110E75"/>
    <w:rsid w:val="00112468"/>
    <w:rsid w:val="00114DBB"/>
    <w:rsid w:val="00115211"/>
    <w:rsid w:val="00116A55"/>
    <w:rsid w:val="00123ADA"/>
    <w:rsid w:val="001242D2"/>
    <w:rsid w:val="001246AF"/>
    <w:rsid w:val="00124724"/>
    <w:rsid w:val="001257EF"/>
    <w:rsid w:val="001262EC"/>
    <w:rsid w:val="00132DBC"/>
    <w:rsid w:val="00133806"/>
    <w:rsid w:val="001346EE"/>
    <w:rsid w:val="00137170"/>
    <w:rsid w:val="00137D9F"/>
    <w:rsid w:val="0014170E"/>
    <w:rsid w:val="00142AC4"/>
    <w:rsid w:val="0014342A"/>
    <w:rsid w:val="0014378D"/>
    <w:rsid w:val="001449E7"/>
    <w:rsid w:val="00145497"/>
    <w:rsid w:val="00147780"/>
    <w:rsid w:val="001502C1"/>
    <w:rsid w:val="001514AD"/>
    <w:rsid w:val="00151AAD"/>
    <w:rsid w:val="00152927"/>
    <w:rsid w:val="001529FA"/>
    <w:rsid w:val="001535EC"/>
    <w:rsid w:val="00153EE2"/>
    <w:rsid w:val="00154342"/>
    <w:rsid w:val="0015730B"/>
    <w:rsid w:val="00157FB2"/>
    <w:rsid w:val="00160022"/>
    <w:rsid w:val="0016106C"/>
    <w:rsid w:val="00161556"/>
    <w:rsid w:val="00163D99"/>
    <w:rsid w:val="00164966"/>
    <w:rsid w:val="00167906"/>
    <w:rsid w:val="00171403"/>
    <w:rsid w:val="0017185B"/>
    <w:rsid w:val="00172B23"/>
    <w:rsid w:val="00173BEB"/>
    <w:rsid w:val="00174AB9"/>
    <w:rsid w:val="00175477"/>
    <w:rsid w:val="00176A2D"/>
    <w:rsid w:val="0018081F"/>
    <w:rsid w:val="00181A9D"/>
    <w:rsid w:val="00183650"/>
    <w:rsid w:val="00184134"/>
    <w:rsid w:val="00187336"/>
    <w:rsid w:val="001877EA"/>
    <w:rsid w:val="00187FFC"/>
    <w:rsid w:val="001903A1"/>
    <w:rsid w:val="00190CE9"/>
    <w:rsid w:val="001916FA"/>
    <w:rsid w:val="00191724"/>
    <w:rsid w:val="0019436E"/>
    <w:rsid w:val="0019532A"/>
    <w:rsid w:val="00196449"/>
    <w:rsid w:val="001974D7"/>
    <w:rsid w:val="001974EF"/>
    <w:rsid w:val="001A16CF"/>
    <w:rsid w:val="001A1916"/>
    <w:rsid w:val="001A19C9"/>
    <w:rsid w:val="001A2641"/>
    <w:rsid w:val="001A33E8"/>
    <w:rsid w:val="001A35D8"/>
    <w:rsid w:val="001A41D7"/>
    <w:rsid w:val="001A56BB"/>
    <w:rsid w:val="001A5DB3"/>
    <w:rsid w:val="001A60A8"/>
    <w:rsid w:val="001A621F"/>
    <w:rsid w:val="001A67D8"/>
    <w:rsid w:val="001A6858"/>
    <w:rsid w:val="001A7B5E"/>
    <w:rsid w:val="001B15A1"/>
    <w:rsid w:val="001B1CDD"/>
    <w:rsid w:val="001B3C4F"/>
    <w:rsid w:val="001B473B"/>
    <w:rsid w:val="001B724C"/>
    <w:rsid w:val="001B7292"/>
    <w:rsid w:val="001C04C3"/>
    <w:rsid w:val="001C2295"/>
    <w:rsid w:val="001C3C6F"/>
    <w:rsid w:val="001C41CD"/>
    <w:rsid w:val="001C452D"/>
    <w:rsid w:val="001C6327"/>
    <w:rsid w:val="001C63AD"/>
    <w:rsid w:val="001C652E"/>
    <w:rsid w:val="001C66B9"/>
    <w:rsid w:val="001C6FE1"/>
    <w:rsid w:val="001C7743"/>
    <w:rsid w:val="001D02C0"/>
    <w:rsid w:val="001D0C98"/>
    <w:rsid w:val="001D2416"/>
    <w:rsid w:val="001D27B7"/>
    <w:rsid w:val="001D2B3A"/>
    <w:rsid w:val="001D3BFD"/>
    <w:rsid w:val="001D5E20"/>
    <w:rsid w:val="001D6173"/>
    <w:rsid w:val="001E0826"/>
    <w:rsid w:val="001E1495"/>
    <w:rsid w:val="001E1568"/>
    <w:rsid w:val="001E157E"/>
    <w:rsid w:val="001E376B"/>
    <w:rsid w:val="001E3987"/>
    <w:rsid w:val="001E42A3"/>
    <w:rsid w:val="001E618D"/>
    <w:rsid w:val="001E6906"/>
    <w:rsid w:val="001E6F9F"/>
    <w:rsid w:val="001F0192"/>
    <w:rsid w:val="001F09E7"/>
    <w:rsid w:val="001F138B"/>
    <w:rsid w:val="001F154B"/>
    <w:rsid w:val="001F28D8"/>
    <w:rsid w:val="001F2AE3"/>
    <w:rsid w:val="001F4C79"/>
    <w:rsid w:val="001F5C4E"/>
    <w:rsid w:val="001F625E"/>
    <w:rsid w:val="00200533"/>
    <w:rsid w:val="00201606"/>
    <w:rsid w:val="00201638"/>
    <w:rsid w:val="00202A60"/>
    <w:rsid w:val="0020378B"/>
    <w:rsid w:val="00204058"/>
    <w:rsid w:val="002040C1"/>
    <w:rsid w:val="00204745"/>
    <w:rsid w:val="00204C30"/>
    <w:rsid w:val="00206703"/>
    <w:rsid w:val="00210ECD"/>
    <w:rsid w:val="0021169C"/>
    <w:rsid w:val="00212211"/>
    <w:rsid w:val="00215EDC"/>
    <w:rsid w:val="00217F6E"/>
    <w:rsid w:val="00221385"/>
    <w:rsid w:val="002219FC"/>
    <w:rsid w:val="002227C1"/>
    <w:rsid w:val="0022512C"/>
    <w:rsid w:val="0022544B"/>
    <w:rsid w:val="00225537"/>
    <w:rsid w:val="002317B1"/>
    <w:rsid w:val="00231D66"/>
    <w:rsid w:val="00232C94"/>
    <w:rsid w:val="002331D3"/>
    <w:rsid w:val="00233F3B"/>
    <w:rsid w:val="00234026"/>
    <w:rsid w:val="00234FA2"/>
    <w:rsid w:val="0023520D"/>
    <w:rsid w:val="00236DEB"/>
    <w:rsid w:val="00236F20"/>
    <w:rsid w:val="002371E5"/>
    <w:rsid w:val="0024045F"/>
    <w:rsid w:val="00240D7D"/>
    <w:rsid w:val="00240F6B"/>
    <w:rsid w:val="002425BC"/>
    <w:rsid w:val="002431B7"/>
    <w:rsid w:val="00250B31"/>
    <w:rsid w:val="00251948"/>
    <w:rsid w:val="00251AB5"/>
    <w:rsid w:val="002528A4"/>
    <w:rsid w:val="00254674"/>
    <w:rsid w:val="00254A7F"/>
    <w:rsid w:val="0025584F"/>
    <w:rsid w:val="0025690D"/>
    <w:rsid w:val="00260457"/>
    <w:rsid w:val="00260C04"/>
    <w:rsid w:val="0026177A"/>
    <w:rsid w:val="00261CB6"/>
    <w:rsid w:val="00262249"/>
    <w:rsid w:val="00262502"/>
    <w:rsid w:val="00262A5F"/>
    <w:rsid w:val="00262DF8"/>
    <w:rsid w:val="002673FC"/>
    <w:rsid w:val="00270B66"/>
    <w:rsid w:val="00272456"/>
    <w:rsid w:val="0027420D"/>
    <w:rsid w:val="00274D25"/>
    <w:rsid w:val="002751A4"/>
    <w:rsid w:val="002767EB"/>
    <w:rsid w:val="00276A4B"/>
    <w:rsid w:val="00276B07"/>
    <w:rsid w:val="00283354"/>
    <w:rsid w:val="00285073"/>
    <w:rsid w:val="00286D3B"/>
    <w:rsid w:val="00287C44"/>
    <w:rsid w:val="00290665"/>
    <w:rsid w:val="002916EA"/>
    <w:rsid w:val="00292593"/>
    <w:rsid w:val="002928C3"/>
    <w:rsid w:val="00292F6C"/>
    <w:rsid w:val="00295E68"/>
    <w:rsid w:val="00297267"/>
    <w:rsid w:val="00297871"/>
    <w:rsid w:val="002A102F"/>
    <w:rsid w:val="002A12BF"/>
    <w:rsid w:val="002A14A3"/>
    <w:rsid w:val="002A4CDC"/>
    <w:rsid w:val="002B2B44"/>
    <w:rsid w:val="002B2D03"/>
    <w:rsid w:val="002B32C8"/>
    <w:rsid w:val="002B3CB2"/>
    <w:rsid w:val="002B3E20"/>
    <w:rsid w:val="002B40B1"/>
    <w:rsid w:val="002B5C92"/>
    <w:rsid w:val="002C0AFA"/>
    <w:rsid w:val="002C0CD5"/>
    <w:rsid w:val="002C348C"/>
    <w:rsid w:val="002C36B5"/>
    <w:rsid w:val="002C3ECF"/>
    <w:rsid w:val="002C4A17"/>
    <w:rsid w:val="002C4BB6"/>
    <w:rsid w:val="002C63A8"/>
    <w:rsid w:val="002D084C"/>
    <w:rsid w:val="002D1FC6"/>
    <w:rsid w:val="002D720C"/>
    <w:rsid w:val="002E1FA1"/>
    <w:rsid w:val="002E2D7D"/>
    <w:rsid w:val="002E3641"/>
    <w:rsid w:val="002E43DE"/>
    <w:rsid w:val="002E4805"/>
    <w:rsid w:val="002E564A"/>
    <w:rsid w:val="002E72A9"/>
    <w:rsid w:val="002E73FE"/>
    <w:rsid w:val="002F552A"/>
    <w:rsid w:val="002F64A4"/>
    <w:rsid w:val="002F65BF"/>
    <w:rsid w:val="00300BF6"/>
    <w:rsid w:val="00300D62"/>
    <w:rsid w:val="003010A4"/>
    <w:rsid w:val="00301B28"/>
    <w:rsid w:val="003020C7"/>
    <w:rsid w:val="00302FB4"/>
    <w:rsid w:val="00305C16"/>
    <w:rsid w:val="003060C1"/>
    <w:rsid w:val="00307AD6"/>
    <w:rsid w:val="003121AC"/>
    <w:rsid w:val="00312645"/>
    <w:rsid w:val="00314EDB"/>
    <w:rsid w:val="003156DA"/>
    <w:rsid w:val="0031573B"/>
    <w:rsid w:val="0032055E"/>
    <w:rsid w:val="00321D37"/>
    <w:rsid w:val="00322735"/>
    <w:rsid w:val="00325793"/>
    <w:rsid w:val="003273BC"/>
    <w:rsid w:val="00327B2B"/>
    <w:rsid w:val="00327C83"/>
    <w:rsid w:val="0033002A"/>
    <w:rsid w:val="00330BB9"/>
    <w:rsid w:val="003321FB"/>
    <w:rsid w:val="00333565"/>
    <w:rsid w:val="00333756"/>
    <w:rsid w:val="003339ED"/>
    <w:rsid w:val="00333B74"/>
    <w:rsid w:val="00334B94"/>
    <w:rsid w:val="0033581A"/>
    <w:rsid w:val="003358E8"/>
    <w:rsid w:val="00340E6A"/>
    <w:rsid w:val="0034174C"/>
    <w:rsid w:val="00345840"/>
    <w:rsid w:val="003500FC"/>
    <w:rsid w:val="00350326"/>
    <w:rsid w:val="00350E83"/>
    <w:rsid w:val="00350F2E"/>
    <w:rsid w:val="00351855"/>
    <w:rsid w:val="00351A74"/>
    <w:rsid w:val="0035374B"/>
    <w:rsid w:val="003544EA"/>
    <w:rsid w:val="003545F3"/>
    <w:rsid w:val="00354D5B"/>
    <w:rsid w:val="00354DDE"/>
    <w:rsid w:val="003550A2"/>
    <w:rsid w:val="00356DD5"/>
    <w:rsid w:val="003600F7"/>
    <w:rsid w:val="0036054D"/>
    <w:rsid w:val="00360921"/>
    <w:rsid w:val="00360E8B"/>
    <w:rsid w:val="00362287"/>
    <w:rsid w:val="00363217"/>
    <w:rsid w:val="0036347B"/>
    <w:rsid w:val="0036511D"/>
    <w:rsid w:val="00366C04"/>
    <w:rsid w:val="003703F6"/>
    <w:rsid w:val="00371B8F"/>
    <w:rsid w:val="003734A2"/>
    <w:rsid w:val="00376E5D"/>
    <w:rsid w:val="00376F78"/>
    <w:rsid w:val="00377F22"/>
    <w:rsid w:val="0038085A"/>
    <w:rsid w:val="00380DE0"/>
    <w:rsid w:val="003824AC"/>
    <w:rsid w:val="003827CA"/>
    <w:rsid w:val="00382F7A"/>
    <w:rsid w:val="00386CCD"/>
    <w:rsid w:val="00386EB5"/>
    <w:rsid w:val="00387452"/>
    <w:rsid w:val="00392FF0"/>
    <w:rsid w:val="00393179"/>
    <w:rsid w:val="00393F1A"/>
    <w:rsid w:val="00394661"/>
    <w:rsid w:val="00394AD6"/>
    <w:rsid w:val="00395711"/>
    <w:rsid w:val="00396087"/>
    <w:rsid w:val="00397A2D"/>
    <w:rsid w:val="00397CCF"/>
    <w:rsid w:val="003A1D85"/>
    <w:rsid w:val="003A39E2"/>
    <w:rsid w:val="003A4066"/>
    <w:rsid w:val="003A5169"/>
    <w:rsid w:val="003A5F98"/>
    <w:rsid w:val="003A6467"/>
    <w:rsid w:val="003A69C2"/>
    <w:rsid w:val="003A6F40"/>
    <w:rsid w:val="003B04D3"/>
    <w:rsid w:val="003B3E64"/>
    <w:rsid w:val="003B4410"/>
    <w:rsid w:val="003B533D"/>
    <w:rsid w:val="003C01FB"/>
    <w:rsid w:val="003C0D77"/>
    <w:rsid w:val="003C1199"/>
    <w:rsid w:val="003C31C7"/>
    <w:rsid w:val="003C3FC1"/>
    <w:rsid w:val="003C4530"/>
    <w:rsid w:val="003C54AF"/>
    <w:rsid w:val="003C797B"/>
    <w:rsid w:val="003D300D"/>
    <w:rsid w:val="003D3FDC"/>
    <w:rsid w:val="003D4B5E"/>
    <w:rsid w:val="003D6A4F"/>
    <w:rsid w:val="003D6A9E"/>
    <w:rsid w:val="003D73C7"/>
    <w:rsid w:val="003D7A5B"/>
    <w:rsid w:val="003E047F"/>
    <w:rsid w:val="003E21D0"/>
    <w:rsid w:val="003E2C00"/>
    <w:rsid w:val="003E30D2"/>
    <w:rsid w:val="003E52FA"/>
    <w:rsid w:val="003E76F1"/>
    <w:rsid w:val="003E7C6E"/>
    <w:rsid w:val="003F1061"/>
    <w:rsid w:val="003F28F0"/>
    <w:rsid w:val="003F39B8"/>
    <w:rsid w:val="003F563E"/>
    <w:rsid w:val="003F6715"/>
    <w:rsid w:val="004018E8"/>
    <w:rsid w:val="00402098"/>
    <w:rsid w:val="00402773"/>
    <w:rsid w:val="00403338"/>
    <w:rsid w:val="00403434"/>
    <w:rsid w:val="004063CC"/>
    <w:rsid w:val="00413664"/>
    <w:rsid w:val="00413716"/>
    <w:rsid w:val="00413B87"/>
    <w:rsid w:val="00414065"/>
    <w:rsid w:val="0042291C"/>
    <w:rsid w:val="00423588"/>
    <w:rsid w:val="004273AC"/>
    <w:rsid w:val="0043056F"/>
    <w:rsid w:val="00430B1C"/>
    <w:rsid w:val="0043109A"/>
    <w:rsid w:val="004324F4"/>
    <w:rsid w:val="00432E79"/>
    <w:rsid w:val="00433EF7"/>
    <w:rsid w:val="00435E60"/>
    <w:rsid w:val="00437E14"/>
    <w:rsid w:val="004407D8"/>
    <w:rsid w:val="00440E3D"/>
    <w:rsid w:val="00440F75"/>
    <w:rsid w:val="00441727"/>
    <w:rsid w:val="0044258C"/>
    <w:rsid w:val="00445679"/>
    <w:rsid w:val="004456F1"/>
    <w:rsid w:val="00446F43"/>
    <w:rsid w:val="004507A0"/>
    <w:rsid w:val="00452645"/>
    <w:rsid w:val="004540CF"/>
    <w:rsid w:val="00454CCE"/>
    <w:rsid w:val="00455C6F"/>
    <w:rsid w:val="00455D33"/>
    <w:rsid w:val="00461F3A"/>
    <w:rsid w:val="004641F1"/>
    <w:rsid w:val="00465BBB"/>
    <w:rsid w:val="004661DE"/>
    <w:rsid w:val="00466E3C"/>
    <w:rsid w:val="00470DF6"/>
    <w:rsid w:val="00470ED8"/>
    <w:rsid w:val="00470FF8"/>
    <w:rsid w:val="0047159E"/>
    <w:rsid w:val="00473C8F"/>
    <w:rsid w:val="0047446E"/>
    <w:rsid w:val="004768E5"/>
    <w:rsid w:val="00477526"/>
    <w:rsid w:val="00481E08"/>
    <w:rsid w:val="004822F9"/>
    <w:rsid w:val="0048623E"/>
    <w:rsid w:val="004910C9"/>
    <w:rsid w:val="00492539"/>
    <w:rsid w:val="004929CE"/>
    <w:rsid w:val="0049381E"/>
    <w:rsid w:val="00496713"/>
    <w:rsid w:val="00497139"/>
    <w:rsid w:val="004A2998"/>
    <w:rsid w:val="004A38A2"/>
    <w:rsid w:val="004A5BAE"/>
    <w:rsid w:val="004A6033"/>
    <w:rsid w:val="004B07BC"/>
    <w:rsid w:val="004B3E2A"/>
    <w:rsid w:val="004B4785"/>
    <w:rsid w:val="004B4D1D"/>
    <w:rsid w:val="004B516C"/>
    <w:rsid w:val="004C262E"/>
    <w:rsid w:val="004C2E8C"/>
    <w:rsid w:val="004C5544"/>
    <w:rsid w:val="004C58FE"/>
    <w:rsid w:val="004C6980"/>
    <w:rsid w:val="004C6D6C"/>
    <w:rsid w:val="004C6DAA"/>
    <w:rsid w:val="004D0153"/>
    <w:rsid w:val="004D3F51"/>
    <w:rsid w:val="004D5C5A"/>
    <w:rsid w:val="004D6180"/>
    <w:rsid w:val="004E06C3"/>
    <w:rsid w:val="004E1A2D"/>
    <w:rsid w:val="004E2015"/>
    <w:rsid w:val="004E2560"/>
    <w:rsid w:val="004E36CF"/>
    <w:rsid w:val="004E4C39"/>
    <w:rsid w:val="004E531A"/>
    <w:rsid w:val="004E55DE"/>
    <w:rsid w:val="004E5FDE"/>
    <w:rsid w:val="004E6F14"/>
    <w:rsid w:val="004E7B40"/>
    <w:rsid w:val="004F12AC"/>
    <w:rsid w:val="004F1E3C"/>
    <w:rsid w:val="004F1EE6"/>
    <w:rsid w:val="004F514D"/>
    <w:rsid w:val="00503741"/>
    <w:rsid w:val="00504EB4"/>
    <w:rsid w:val="00505163"/>
    <w:rsid w:val="00506193"/>
    <w:rsid w:val="005061EE"/>
    <w:rsid w:val="0050632B"/>
    <w:rsid w:val="0050712B"/>
    <w:rsid w:val="0051133F"/>
    <w:rsid w:val="00512987"/>
    <w:rsid w:val="00513A20"/>
    <w:rsid w:val="00515767"/>
    <w:rsid w:val="005174D1"/>
    <w:rsid w:val="00517BE3"/>
    <w:rsid w:val="00521CBA"/>
    <w:rsid w:val="005234CD"/>
    <w:rsid w:val="005242A7"/>
    <w:rsid w:val="005252E6"/>
    <w:rsid w:val="00525CDA"/>
    <w:rsid w:val="00526588"/>
    <w:rsid w:val="00532868"/>
    <w:rsid w:val="00532BE6"/>
    <w:rsid w:val="00535FE9"/>
    <w:rsid w:val="005366C7"/>
    <w:rsid w:val="00537FD2"/>
    <w:rsid w:val="005402F8"/>
    <w:rsid w:val="005403A0"/>
    <w:rsid w:val="005405DA"/>
    <w:rsid w:val="00541FA6"/>
    <w:rsid w:val="0054258C"/>
    <w:rsid w:val="0054455A"/>
    <w:rsid w:val="00547B05"/>
    <w:rsid w:val="00547E65"/>
    <w:rsid w:val="00550201"/>
    <w:rsid w:val="005509FD"/>
    <w:rsid w:val="00550E96"/>
    <w:rsid w:val="00550F1F"/>
    <w:rsid w:val="005519F9"/>
    <w:rsid w:val="00554883"/>
    <w:rsid w:val="00554EA4"/>
    <w:rsid w:val="0055602C"/>
    <w:rsid w:val="0056156B"/>
    <w:rsid w:val="00561BC8"/>
    <w:rsid w:val="00562520"/>
    <w:rsid w:val="00562D8A"/>
    <w:rsid w:val="0056599F"/>
    <w:rsid w:val="00570885"/>
    <w:rsid w:val="00570AE7"/>
    <w:rsid w:val="00571501"/>
    <w:rsid w:val="00572794"/>
    <w:rsid w:val="005734BC"/>
    <w:rsid w:val="00573C5C"/>
    <w:rsid w:val="00574EED"/>
    <w:rsid w:val="00580679"/>
    <w:rsid w:val="005815FF"/>
    <w:rsid w:val="00582435"/>
    <w:rsid w:val="00585113"/>
    <w:rsid w:val="00586868"/>
    <w:rsid w:val="00587FF0"/>
    <w:rsid w:val="005908CF"/>
    <w:rsid w:val="00594215"/>
    <w:rsid w:val="00594991"/>
    <w:rsid w:val="005A0DFC"/>
    <w:rsid w:val="005A0FA4"/>
    <w:rsid w:val="005A1778"/>
    <w:rsid w:val="005A2258"/>
    <w:rsid w:val="005A2C82"/>
    <w:rsid w:val="005A48DA"/>
    <w:rsid w:val="005A6CF9"/>
    <w:rsid w:val="005A7B92"/>
    <w:rsid w:val="005B3D1C"/>
    <w:rsid w:val="005B3DCB"/>
    <w:rsid w:val="005B5A6B"/>
    <w:rsid w:val="005B69A3"/>
    <w:rsid w:val="005B787E"/>
    <w:rsid w:val="005C1EC7"/>
    <w:rsid w:val="005C6494"/>
    <w:rsid w:val="005C7B75"/>
    <w:rsid w:val="005C7E7B"/>
    <w:rsid w:val="005C7EA0"/>
    <w:rsid w:val="005D0371"/>
    <w:rsid w:val="005D1A5C"/>
    <w:rsid w:val="005D1C24"/>
    <w:rsid w:val="005D2A32"/>
    <w:rsid w:val="005D3082"/>
    <w:rsid w:val="005D4226"/>
    <w:rsid w:val="005D50EA"/>
    <w:rsid w:val="005D6EE1"/>
    <w:rsid w:val="005D76B2"/>
    <w:rsid w:val="005D7850"/>
    <w:rsid w:val="005E080F"/>
    <w:rsid w:val="005E1A35"/>
    <w:rsid w:val="005E42B7"/>
    <w:rsid w:val="005E45FF"/>
    <w:rsid w:val="005E5062"/>
    <w:rsid w:val="005E66F4"/>
    <w:rsid w:val="005E6C46"/>
    <w:rsid w:val="005E776B"/>
    <w:rsid w:val="005E787D"/>
    <w:rsid w:val="005F15B6"/>
    <w:rsid w:val="005F1776"/>
    <w:rsid w:val="005F6BDC"/>
    <w:rsid w:val="005F728B"/>
    <w:rsid w:val="005F7746"/>
    <w:rsid w:val="005F7A3C"/>
    <w:rsid w:val="0060300F"/>
    <w:rsid w:val="00604174"/>
    <w:rsid w:val="00605B53"/>
    <w:rsid w:val="006069C7"/>
    <w:rsid w:val="0061121F"/>
    <w:rsid w:val="006117C1"/>
    <w:rsid w:val="0061348C"/>
    <w:rsid w:val="00614B25"/>
    <w:rsid w:val="0061553C"/>
    <w:rsid w:val="0061666C"/>
    <w:rsid w:val="00616EC9"/>
    <w:rsid w:val="006174CC"/>
    <w:rsid w:val="00620F68"/>
    <w:rsid w:val="006211CB"/>
    <w:rsid w:val="00621256"/>
    <w:rsid w:val="00621967"/>
    <w:rsid w:val="0062215D"/>
    <w:rsid w:val="00624175"/>
    <w:rsid w:val="00624F71"/>
    <w:rsid w:val="00625B24"/>
    <w:rsid w:val="006279E0"/>
    <w:rsid w:val="0063030C"/>
    <w:rsid w:val="0063071E"/>
    <w:rsid w:val="006317D4"/>
    <w:rsid w:val="00633F00"/>
    <w:rsid w:val="006345C4"/>
    <w:rsid w:val="006379D1"/>
    <w:rsid w:val="00637D97"/>
    <w:rsid w:val="0064101C"/>
    <w:rsid w:val="00642B54"/>
    <w:rsid w:val="00642C44"/>
    <w:rsid w:val="00643175"/>
    <w:rsid w:val="00644685"/>
    <w:rsid w:val="00644EA4"/>
    <w:rsid w:val="00646581"/>
    <w:rsid w:val="00650710"/>
    <w:rsid w:val="00651E80"/>
    <w:rsid w:val="00652A2E"/>
    <w:rsid w:val="00652CB8"/>
    <w:rsid w:val="00652CBB"/>
    <w:rsid w:val="00653414"/>
    <w:rsid w:val="0065415C"/>
    <w:rsid w:val="006544C2"/>
    <w:rsid w:val="00654607"/>
    <w:rsid w:val="00655595"/>
    <w:rsid w:val="00655599"/>
    <w:rsid w:val="006559D9"/>
    <w:rsid w:val="00657283"/>
    <w:rsid w:val="006577E8"/>
    <w:rsid w:val="00657E92"/>
    <w:rsid w:val="00661095"/>
    <w:rsid w:val="0066188A"/>
    <w:rsid w:val="00662F45"/>
    <w:rsid w:val="006639B7"/>
    <w:rsid w:val="00663EDB"/>
    <w:rsid w:val="006649F3"/>
    <w:rsid w:val="00664A9A"/>
    <w:rsid w:val="00665F85"/>
    <w:rsid w:val="00667508"/>
    <w:rsid w:val="006675B6"/>
    <w:rsid w:val="006678FA"/>
    <w:rsid w:val="00671F84"/>
    <w:rsid w:val="0067383F"/>
    <w:rsid w:val="006743A0"/>
    <w:rsid w:val="00674851"/>
    <w:rsid w:val="00674862"/>
    <w:rsid w:val="00675E51"/>
    <w:rsid w:val="0067679E"/>
    <w:rsid w:val="006803C5"/>
    <w:rsid w:val="00681835"/>
    <w:rsid w:val="0068187A"/>
    <w:rsid w:val="00684A5E"/>
    <w:rsid w:val="00685AFA"/>
    <w:rsid w:val="006876CD"/>
    <w:rsid w:val="006878EC"/>
    <w:rsid w:val="006902F5"/>
    <w:rsid w:val="00691B71"/>
    <w:rsid w:val="00691F96"/>
    <w:rsid w:val="00693B2C"/>
    <w:rsid w:val="00697C49"/>
    <w:rsid w:val="006A0FEE"/>
    <w:rsid w:val="006A1A9F"/>
    <w:rsid w:val="006A3067"/>
    <w:rsid w:val="006A4A3E"/>
    <w:rsid w:val="006A520D"/>
    <w:rsid w:val="006A5BBB"/>
    <w:rsid w:val="006A613C"/>
    <w:rsid w:val="006A6F42"/>
    <w:rsid w:val="006A7383"/>
    <w:rsid w:val="006A7AD5"/>
    <w:rsid w:val="006B0EB5"/>
    <w:rsid w:val="006B24A5"/>
    <w:rsid w:val="006B405D"/>
    <w:rsid w:val="006B5297"/>
    <w:rsid w:val="006B63F0"/>
    <w:rsid w:val="006B6E18"/>
    <w:rsid w:val="006B7420"/>
    <w:rsid w:val="006C2286"/>
    <w:rsid w:val="006C2CAC"/>
    <w:rsid w:val="006C4F69"/>
    <w:rsid w:val="006C546D"/>
    <w:rsid w:val="006C57A3"/>
    <w:rsid w:val="006C7ED8"/>
    <w:rsid w:val="006D00DF"/>
    <w:rsid w:val="006D27B6"/>
    <w:rsid w:val="006D49DE"/>
    <w:rsid w:val="006D5302"/>
    <w:rsid w:val="006D5619"/>
    <w:rsid w:val="006D6A53"/>
    <w:rsid w:val="006D7429"/>
    <w:rsid w:val="006E0101"/>
    <w:rsid w:val="006E24D9"/>
    <w:rsid w:val="006E26ED"/>
    <w:rsid w:val="006E34AC"/>
    <w:rsid w:val="006E3C5B"/>
    <w:rsid w:val="006E48F7"/>
    <w:rsid w:val="006E7520"/>
    <w:rsid w:val="006F1556"/>
    <w:rsid w:val="006F2467"/>
    <w:rsid w:val="006F2D0A"/>
    <w:rsid w:val="006F39F8"/>
    <w:rsid w:val="006F3B50"/>
    <w:rsid w:val="006F6EEF"/>
    <w:rsid w:val="00700600"/>
    <w:rsid w:val="00704D02"/>
    <w:rsid w:val="00707EEE"/>
    <w:rsid w:val="00710DBC"/>
    <w:rsid w:val="007112BC"/>
    <w:rsid w:val="00711F0F"/>
    <w:rsid w:val="0071205A"/>
    <w:rsid w:val="00712C8D"/>
    <w:rsid w:val="00712FD1"/>
    <w:rsid w:val="0071497C"/>
    <w:rsid w:val="007151B1"/>
    <w:rsid w:val="00717046"/>
    <w:rsid w:val="00722181"/>
    <w:rsid w:val="007225D3"/>
    <w:rsid w:val="007233FD"/>
    <w:rsid w:val="0072362C"/>
    <w:rsid w:val="007313CC"/>
    <w:rsid w:val="00732C86"/>
    <w:rsid w:val="007352BE"/>
    <w:rsid w:val="007365A6"/>
    <w:rsid w:val="0073671F"/>
    <w:rsid w:val="007373B0"/>
    <w:rsid w:val="007406D2"/>
    <w:rsid w:val="007408CF"/>
    <w:rsid w:val="007460B8"/>
    <w:rsid w:val="007461A2"/>
    <w:rsid w:val="00747043"/>
    <w:rsid w:val="0074713B"/>
    <w:rsid w:val="007478CC"/>
    <w:rsid w:val="00747AC4"/>
    <w:rsid w:val="0075158B"/>
    <w:rsid w:val="0075324C"/>
    <w:rsid w:val="00753313"/>
    <w:rsid w:val="007546EB"/>
    <w:rsid w:val="00755A16"/>
    <w:rsid w:val="00756151"/>
    <w:rsid w:val="007575DA"/>
    <w:rsid w:val="00760167"/>
    <w:rsid w:val="00760C52"/>
    <w:rsid w:val="00760E7D"/>
    <w:rsid w:val="007625D5"/>
    <w:rsid w:val="007628CB"/>
    <w:rsid w:val="00762BAD"/>
    <w:rsid w:val="007636AF"/>
    <w:rsid w:val="0076565C"/>
    <w:rsid w:val="00765C87"/>
    <w:rsid w:val="00766B95"/>
    <w:rsid w:val="0076752D"/>
    <w:rsid w:val="00767D4C"/>
    <w:rsid w:val="00767EA5"/>
    <w:rsid w:val="007701A2"/>
    <w:rsid w:val="0077358E"/>
    <w:rsid w:val="007735C2"/>
    <w:rsid w:val="0077368D"/>
    <w:rsid w:val="00773F8B"/>
    <w:rsid w:val="00775281"/>
    <w:rsid w:val="00776220"/>
    <w:rsid w:val="00776D0F"/>
    <w:rsid w:val="00777F2C"/>
    <w:rsid w:val="00780A57"/>
    <w:rsid w:val="00780DBD"/>
    <w:rsid w:val="007819D7"/>
    <w:rsid w:val="00783246"/>
    <w:rsid w:val="00785E28"/>
    <w:rsid w:val="00786016"/>
    <w:rsid w:val="007866C9"/>
    <w:rsid w:val="007868DB"/>
    <w:rsid w:val="00790406"/>
    <w:rsid w:val="00791087"/>
    <w:rsid w:val="007944F3"/>
    <w:rsid w:val="007946DC"/>
    <w:rsid w:val="00794D0D"/>
    <w:rsid w:val="00795A5A"/>
    <w:rsid w:val="00796171"/>
    <w:rsid w:val="007978BC"/>
    <w:rsid w:val="007A0D09"/>
    <w:rsid w:val="007A26C4"/>
    <w:rsid w:val="007A50E0"/>
    <w:rsid w:val="007A6106"/>
    <w:rsid w:val="007A6509"/>
    <w:rsid w:val="007A66F4"/>
    <w:rsid w:val="007A7121"/>
    <w:rsid w:val="007A729F"/>
    <w:rsid w:val="007B0168"/>
    <w:rsid w:val="007B1145"/>
    <w:rsid w:val="007B323A"/>
    <w:rsid w:val="007B53AE"/>
    <w:rsid w:val="007B56DF"/>
    <w:rsid w:val="007B6E2C"/>
    <w:rsid w:val="007B761B"/>
    <w:rsid w:val="007B79E0"/>
    <w:rsid w:val="007B7D3C"/>
    <w:rsid w:val="007C21A8"/>
    <w:rsid w:val="007C3D7F"/>
    <w:rsid w:val="007C3F67"/>
    <w:rsid w:val="007C564A"/>
    <w:rsid w:val="007C5A0D"/>
    <w:rsid w:val="007C75D8"/>
    <w:rsid w:val="007C7845"/>
    <w:rsid w:val="007D09CD"/>
    <w:rsid w:val="007D264B"/>
    <w:rsid w:val="007D2F28"/>
    <w:rsid w:val="007D2F3A"/>
    <w:rsid w:val="007D3FD8"/>
    <w:rsid w:val="007D41A9"/>
    <w:rsid w:val="007E0A55"/>
    <w:rsid w:val="007E0B43"/>
    <w:rsid w:val="007E128A"/>
    <w:rsid w:val="007E1C87"/>
    <w:rsid w:val="007E4994"/>
    <w:rsid w:val="007E72C5"/>
    <w:rsid w:val="007E7396"/>
    <w:rsid w:val="007E75F4"/>
    <w:rsid w:val="007E7870"/>
    <w:rsid w:val="007F013F"/>
    <w:rsid w:val="007F1D65"/>
    <w:rsid w:val="007F2478"/>
    <w:rsid w:val="007F2B43"/>
    <w:rsid w:val="007F3ED3"/>
    <w:rsid w:val="007F5261"/>
    <w:rsid w:val="007F57B7"/>
    <w:rsid w:val="007F6373"/>
    <w:rsid w:val="007F6567"/>
    <w:rsid w:val="007F6FCE"/>
    <w:rsid w:val="00801B1C"/>
    <w:rsid w:val="00803310"/>
    <w:rsid w:val="0080342D"/>
    <w:rsid w:val="008059AD"/>
    <w:rsid w:val="00806DA7"/>
    <w:rsid w:val="00813F9E"/>
    <w:rsid w:val="0081627E"/>
    <w:rsid w:val="00816A3E"/>
    <w:rsid w:val="00817543"/>
    <w:rsid w:val="00820BD4"/>
    <w:rsid w:val="008229F0"/>
    <w:rsid w:val="00822EB9"/>
    <w:rsid w:val="00823949"/>
    <w:rsid w:val="00825716"/>
    <w:rsid w:val="00825C00"/>
    <w:rsid w:val="00826076"/>
    <w:rsid w:val="00826372"/>
    <w:rsid w:val="00830F73"/>
    <w:rsid w:val="00834D2A"/>
    <w:rsid w:val="00835FC2"/>
    <w:rsid w:val="008371AA"/>
    <w:rsid w:val="00840E8A"/>
    <w:rsid w:val="008413A5"/>
    <w:rsid w:val="0084325C"/>
    <w:rsid w:val="00843CA4"/>
    <w:rsid w:val="0084435D"/>
    <w:rsid w:val="00844E0F"/>
    <w:rsid w:val="00846C22"/>
    <w:rsid w:val="008524F6"/>
    <w:rsid w:val="008526F3"/>
    <w:rsid w:val="00853DC8"/>
    <w:rsid w:val="00854461"/>
    <w:rsid w:val="0085540D"/>
    <w:rsid w:val="0085589F"/>
    <w:rsid w:val="00861EB6"/>
    <w:rsid w:val="00863C75"/>
    <w:rsid w:val="008645E0"/>
    <w:rsid w:val="00864F63"/>
    <w:rsid w:val="00865CBB"/>
    <w:rsid w:val="00866C9C"/>
    <w:rsid w:val="008673B3"/>
    <w:rsid w:val="00870378"/>
    <w:rsid w:val="00870485"/>
    <w:rsid w:val="008712C0"/>
    <w:rsid w:val="008712D6"/>
    <w:rsid w:val="00871A50"/>
    <w:rsid w:val="00873764"/>
    <w:rsid w:val="0087403A"/>
    <w:rsid w:val="00874890"/>
    <w:rsid w:val="00875341"/>
    <w:rsid w:val="0087673E"/>
    <w:rsid w:val="00877A04"/>
    <w:rsid w:val="00877D29"/>
    <w:rsid w:val="00881182"/>
    <w:rsid w:val="008814F6"/>
    <w:rsid w:val="00882DD5"/>
    <w:rsid w:val="00882DDB"/>
    <w:rsid w:val="008834B0"/>
    <w:rsid w:val="008836EB"/>
    <w:rsid w:val="00884173"/>
    <w:rsid w:val="00885535"/>
    <w:rsid w:val="00885A7A"/>
    <w:rsid w:val="00894BDE"/>
    <w:rsid w:val="00894C39"/>
    <w:rsid w:val="00895057"/>
    <w:rsid w:val="00896C96"/>
    <w:rsid w:val="00896DDB"/>
    <w:rsid w:val="0089745B"/>
    <w:rsid w:val="008A06A6"/>
    <w:rsid w:val="008A1BFB"/>
    <w:rsid w:val="008A23BA"/>
    <w:rsid w:val="008A2D36"/>
    <w:rsid w:val="008A360C"/>
    <w:rsid w:val="008A4A47"/>
    <w:rsid w:val="008A609D"/>
    <w:rsid w:val="008A6560"/>
    <w:rsid w:val="008A79CB"/>
    <w:rsid w:val="008A7A3D"/>
    <w:rsid w:val="008A7CAF"/>
    <w:rsid w:val="008B0C1A"/>
    <w:rsid w:val="008B0D9F"/>
    <w:rsid w:val="008B22CB"/>
    <w:rsid w:val="008B2CAC"/>
    <w:rsid w:val="008B32CB"/>
    <w:rsid w:val="008B3C76"/>
    <w:rsid w:val="008B433D"/>
    <w:rsid w:val="008B569D"/>
    <w:rsid w:val="008B6B51"/>
    <w:rsid w:val="008B78D1"/>
    <w:rsid w:val="008B79DB"/>
    <w:rsid w:val="008B7A9D"/>
    <w:rsid w:val="008B7BFF"/>
    <w:rsid w:val="008C1BDE"/>
    <w:rsid w:val="008C1F49"/>
    <w:rsid w:val="008C40E8"/>
    <w:rsid w:val="008C4264"/>
    <w:rsid w:val="008C4352"/>
    <w:rsid w:val="008C43BD"/>
    <w:rsid w:val="008C4D7B"/>
    <w:rsid w:val="008C5A9D"/>
    <w:rsid w:val="008C6763"/>
    <w:rsid w:val="008C716F"/>
    <w:rsid w:val="008D3866"/>
    <w:rsid w:val="008D601F"/>
    <w:rsid w:val="008E0578"/>
    <w:rsid w:val="008E0CFF"/>
    <w:rsid w:val="008E3A8F"/>
    <w:rsid w:val="008E3FBA"/>
    <w:rsid w:val="008E53E4"/>
    <w:rsid w:val="008E5401"/>
    <w:rsid w:val="008E5B69"/>
    <w:rsid w:val="008E71DC"/>
    <w:rsid w:val="008F179C"/>
    <w:rsid w:val="008F46A2"/>
    <w:rsid w:val="008F5181"/>
    <w:rsid w:val="008F588D"/>
    <w:rsid w:val="008F6B17"/>
    <w:rsid w:val="008F714D"/>
    <w:rsid w:val="009004E4"/>
    <w:rsid w:val="0090123F"/>
    <w:rsid w:val="0090335A"/>
    <w:rsid w:val="009035C4"/>
    <w:rsid w:val="0090438C"/>
    <w:rsid w:val="00904816"/>
    <w:rsid w:val="00904D21"/>
    <w:rsid w:val="0090511B"/>
    <w:rsid w:val="00905F63"/>
    <w:rsid w:val="00906843"/>
    <w:rsid w:val="0091048C"/>
    <w:rsid w:val="00910E94"/>
    <w:rsid w:val="00911228"/>
    <w:rsid w:val="00911338"/>
    <w:rsid w:val="009116D8"/>
    <w:rsid w:val="009119D9"/>
    <w:rsid w:val="00912401"/>
    <w:rsid w:val="0091275E"/>
    <w:rsid w:val="00912F17"/>
    <w:rsid w:val="0091349F"/>
    <w:rsid w:val="00913546"/>
    <w:rsid w:val="009136F2"/>
    <w:rsid w:val="00913F48"/>
    <w:rsid w:val="009205E8"/>
    <w:rsid w:val="00920936"/>
    <w:rsid w:val="00921396"/>
    <w:rsid w:val="0092147B"/>
    <w:rsid w:val="00921B63"/>
    <w:rsid w:val="00923D6B"/>
    <w:rsid w:val="00924A76"/>
    <w:rsid w:val="009279D8"/>
    <w:rsid w:val="00931BF6"/>
    <w:rsid w:val="00935E98"/>
    <w:rsid w:val="00937B60"/>
    <w:rsid w:val="00937B98"/>
    <w:rsid w:val="00941179"/>
    <w:rsid w:val="009431E0"/>
    <w:rsid w:val="009469A4"/>
    <w:rsid w:val="009513C4"/>
    <w:rsid w:val="009516CE"/>
    <w:rsid w:val="00952CBC"/>
    <w:rsid w:val="009547C0"/>
    <w:rsid w:val="00954D08"/>
    <w:rsid w:val="00956368"/>
    <w:rsid w:val="009572AC"/>
    <w:rsid w:val="00957A3D"/>
    <w:rsid w:val="00961897"/>
    <w:rsid w:val="00962220"/>
    <w:rsid w:val="00964EAE"/>
    <w:rsid w:val="00965931"/>
    <w:rsid w:val="009661D8"/>
    <w:rsid w:val="00966517"/>
    <w:rsid w:val="00966687"/>
    <w:rsid w:val="00966FB4"/>
    <w:rsid w:val="00967117"/>
    <w:rsid w:val="00970403"/>
    <w:rsid w:val="009706FC"/>
    <w:rsid w:val="00971F77"/>
    <w:rsid w:val="00972B39"/>
    <w:rsid w:val="00972D17"/>
    <w:rsid w:val="0097384C"/>
    <w:rsid w:val="00977FB0"/>
    <w:rsid w:val="00980336"/>
    <w:rsid w:val="009806F9"/>
    <w:rsid w:val="0098172E"/>
    <w:rsid w:val="00983D00"/>
    <w:rsid w:val="00986687"/>
    <w:rsid w:val="00986F5A"/>
    <w:rsid w:val="009915B5"/>
    <w:rsid w:val="00991E79"/>
    <w:rsid w:val="00992A10"/>
    <w:rsid w:val="00993357"/>
    <w:rsid w:val="00994AB3"/>
    <w:rsid w:val="00994E05"/>
    <w:rsid w:val="00996CE2"/>
    <w:rsid w:val="009A1191"/>
    <w:rsid w:val="009A1581"/>
    <w:rsid w:val="009A4290"/>
    <w:rsid w:val="009A49CC"/>
    <w:rsid w:val="009A5DD2"/>
    <w:rsid w:val="009A6B5D"/>
    <w:rsid w:val="009A744D"/>
    <w:rsid w:val="009B18A8"/>
    <w:rsid w:val="009B2270"/>
    <w:rsid w:val="009B27A7"/>
    <w:rsid w:val="009B3FA7"/>
    <w:rsid w:val="009B4F54"/>
    <w:rsid w:val="009B77CF"/>
    <w:rsid w:val="009C1203"/>
    <w:rsid w:val="009C15F6"/>
    <w:rsid w:val="009C1936"/>
    <w:rsid w:val="009C1CBD"/>
    <w:rsid w:val="009C1ED4"/>
    <w:rsid w:val="009C28B5"/>
    <w:rsid w:val="009C40EE"/>
    <w:rsid w:val="009C5C2C"/>
    <w:rsid w:val="009D6352"/>
    <w:rsid w:val="009D6592"/>
    <w:rsid w:val="009D73C0"/>
    <w:rsid w:val="009E2888"/>
    <w:rsid w:val="009E38C3"/>
    <w:rsid w:val="009E5540"/>
    <w:rsid w:val="009E560D"/>
    <w:rsid w:val="009E6198"/>
    <w:rsid w:val="009E6433"/>
    <w:rsid w:val="009E6C31"/>
    <w:rsid w:val="009E7E26"/>
    <w:rsid w:val="009F01B0"/>
    <w:rsid w:val="009F311B"/>
    <w:rsid w:val="009F3E7A"/>
    <w:rsid w:val="009F53EF"/>
    <w:rsid w:val="009F5693"/>
    <w:rsid w:val="009F59DC"/>
    <w:rsid w:val="009F5BA4"/>
    <w:rsid w:val="009F5C11"/>
    <w:rsid w:val="009F624C"/>
    <w:rsid w:val="009F7DB1"/>
    <w:rsid w:val="00A0087A"/>
    <w:rsid w:val="00A02489"/>
    <w:rsid w:val="00A02D16"/>
    <w:rsid w:val="00A02E33"/>
    <w:rsid w:val="00A03AB0"/>
    <w:rsid w:val="00A03D47"/>
    <w:rsid w:val="00A048BC"/>
    <w:rsid w:val="00A04D7B"/>
    <w:rsid w:val="00A059E7"/>
    <w:rsid w:val="00A06526"/>
    <w:rsid w:val="00A11419"/>
    <w:rsid w:val="00A12580"/>
    <w:rsid w:val="00A135C8"/>
    <w:rsid w:val="00A147CD"/>
    <w:rsid w:val="00A161E1"/>
    <w:rsid w:val="00A1665F"/>
    <w:rsid w:val="00A16819"/>
    <w:rsid w:val="00A16DCC"/>
    <w:rsid w:val="00A1737A"/>
    <w:rsid w:val="00A179DC"/>
    <w:rsid w:val="00A2095E"/>
    <w:rsid w:val="00A220D4"/>
    <w:rsid w:val="00A231EA"/>
    <w:rsid w:val="00A24427"/>
    <w:rsid w:val="00A2484A"/>
    <w:rsid w:val="00A24F5E"/>
    <w:rsid w:val="00A2606A"/>
    <w:rsid w:val="00A27D48"/>
    <w:rsid w:val="00A31780"/>
    <w:rsid w:val="00A31D48"/>
    <w:rsid w:val="00A3266A"/>
    <w:rsid w:val="00A33681"/>
    <w:rsid w:val="00A34145"/>
    <w:rsid w:val="00A351AF"/>
    <w:rsid w:val="00A355C6"/>
    <w:rsid w:val="00A365FB"/>
    <w:rsid w:val="00A36A22"/>
    <w:rsid w:val="00A41C1D"/>
    <w:rsid w:val="00A41C27"/>
    <w:rsid w:val="00A43225"/>
    <w:rsid w:val="00A43A0C"/>
    <w:rsid w:val="00A43DB2"/>
    <w:rsid w:val="00A44D60"/>
    <w:rsid w:val="00A50B9E"/>
    <w:rsid w:val="00A5572B"/>
    <w:rsid w:val="00A55E0F"/>
    <w:rsid w:val="00A5784E"/>
    <w:rsid w:val="00A60762"/>
    <w:rsid w:val="00A60BFA"/>
    <w:rsid w:val="00A62BC6"/>
    <w:rsid w:val="00A64269"/>
    <w:rsid w:val="00A66444"/>
    <w:rsid w:val="00A67D13"/>
    <w:rsid w:val="00A72154"/>
    <w:rsid w:val="00A728D9"/>
    <w:rsid w:val="00A72DA7"/>
    <w:rsid w:val="00A72DA8"/>
    <w:rsid w:val="00A73657"/>
    <w:rsid w:val="00A73D6B"/>
    <w:rsid w:val="00A745C5"/>
    <w:rsid w:val="00A75870"/>
    <w:rsid w:val="00A75E65"/>
    <w:rsid w:val="00A77A5F"/>
    <w:rsid w:val="00A80EED"/>
    <w:rsid w:val="00A811CC"/>
    <w:rsid w:val="00A81418"/>
    <w:rsid w:val="00A81619"/>
    <w:rsid w:val="00A826D5"/>
    <w:rsid w:val="00A8409B"/>
    <w:rsid w:val="00A840C2"/>
    <w:rsid w:val="00A8438E"/>
    <w:rsid w:val="00A8475E"/>
    <w:rsid w:val="00A85A2A"/>
    <w:rsid w:val="00A86216"/>
    <w:rsid w:val="00A90440"/>
    <w:rsid w:val="00A90792"/>
    <w:rsid w:val="00A91189"/>
    <w:rsid w:val="00A936E1"/>
    <w:rsid w:val="00A93CAB"/>
    <w:rsid w:val="00A942AE"/>
    <w:rsid w:val="00A96496"/>
    <w:rsid w:val="00A968E1"/>
    <w:rsid w:val="00A96D98"/>
    <w:rsid w:val="00A97D54"/>
    <w:rsid w:val="00AA2A4D"/>
    <w:rsid w:val="00AA30E6"/>
    <w:rsid w:val="00AA3930"/>
    <w:rsid w:val="00AA3AA9"/>
    <w:rsid w:val="00AA7F68"/>
    <w:rsid w:val="00AB0225"/>
    <w:rsid w:val="00AB136D"/>
    <w:rsid w:val="00AB16D8"/>
    <w:rsid w:val="00AB182A"/>
    <w:rsid w:val="00AB2159"/>
    <w:rsid w:val="00AB2855"/>
    <w:rsid w:val="00AB3134"/>
    <w:rsid w:val="00AB329A"/>
    <w:rsid w:val="00AB34A7"/>
    <w:rsid w:val="00AB3A90"/>
    <w:rsid w:val="00AB3C96"/>
    <w:rsid w:val="00AB5255"/>
    <w:rsid w:val="00AB5492"/>
    <w:rsid w:val="00AB5A30"/>
    <w:rsid w:val="00AB6207"/>
    <w:rsid w:val="00AB7A1B"/>
    <w:rsid w:val="00AC100F"/>
    <w:rsid w:val="00AC14FC"/>
    <w:rsid w:val="00AC199D"/>
    <w:rsid w:val="00AC2EB4"/>
    <w:rsid w:val="00AC4860"/>
    <w:rsid w:val="00AC53C9"/>
    <w:rsid w:val="00AC55D1"/>
    <w:rsid w:val="00AC646D"/>
    <w:rsid w:val="00AD050C"/>
    <w:rsid w:val="00AD2538"/>
    <w:rsid w:val="00AD4FC0"/>
    <w:rsid w:val="00AD5837"/>
    <w:rsid w:val="00AD6068"/>
    <w:rsid w:val="00AD60CE"/>
    <w:rsid w:val="00AD76D6"/>
    <w:rsid w:val="00AE07F7"/>
    <w:rsid w:val="00AE201A"/>
    <w:rsid w:val="00AE23FC"/>
    <w:rsid w:val="00AE4868"/>
    <w:rsid w:val="00AE70AF"/>
    <w:rsid w:val="00AF0F78"/>
    <w:rsid w:val="00AF2E50"/>
    <w:rsid w:val="00AF4831"/>
    <w:rsid w:val="00AF6273"/>
    <w:rsid w:val="00AF69A9"/>
    <w:rsid w:val="00AF7B8D"/>
    <w:rsid w:val="00AF7D18"/>
    <w:rsid w:val="00AF7D9F"/>
    <w:rsid w:val="00B00E4D"/>
    <w:rsid w:val="00B0168F"/>
    <w:rsid w:val="00B04A5B"/>
    <w:rsid w:val="00B04E9E"/>
    <w:rsid w:val="00B05844"/>
    <w:rsid w:val="00B07AE7"/>
    <w:rsid w:val="00B102E1"/>
    <w:rsid w:val="00B117DC"/>
    <w:rsid w:val="00B11B9E"/>
    <w:rsid w:val="00B12A9B"/>
    <w:rsid w:val="00B13A34"/>
    <w:rsid w:val="00B146A3"/>
    <w:rsid w:val="00B20DB7"/>
    <w:rsid w:val="00B21D40"/>
    <w:rsid w:val="00B230B3"/>
    <w:rsid w:val="00B243E7"/>
    <w:rsid w:val="00B24A8D"/>
    <w:rsid w:val="00B25EEC"/>
    <w:rsid w:val="00B27076"/>
    <w:rsid w:val="00B3033E"/>
    <w:rsid w:val="00B30A62"/>
    <w:rsid w:val="00B3139B"/>
    <w:rsid w:val="00B32622"/>
    <w:rsid w:val="00B33BA0"/>
    <w:rsid w:val="00B3458E"/>
    <w:rsid w:val="00B35981"/>
    <w:rsid w:val="00B362C0"/>
    <w:rsid w:val="00B368A3"/>
    <w:rsid w:val="00B37C5A"/>
    <w:rsid w:val="00B40B98"/>
    <w:rsid w:val="00B416C1"/>
    <w:rsid w:val="00B42D71"/>
    <w:rsid w:val="00B42EA3"/>
    <w:rsid w:val="00B43FE2"/>
    <w:rsid w:val="00B44228"/>
    <w:rsid w:val="00B444D1"/>
    <w:rsid w:val="00B51D41"/>
    <w:rsid w:val="00B533E6"/>
    <w:rsid w:val="00B60CA6"/>
    <w:rsid w:val="00B60F2B"/>
    <w:rsid w:val="00B61EDC"/>
    <w:rsid w:val="00B620C6"/>
    <w:rsid w:val="00B62BCD"/>
    <w:rsid w:val="00B62CCF"/>
    <w:rsid w:val="00B6407D"/>
    <w:rsid w:val="00B65382"/>
    <w:rsid w:val="00B6609F"/>
    <w:rsid w:val="00B66F7C"/>
    <w:rsid w:val="00B67048"/>
    <w:rsid w:val="00B67B3D"/>
    <w:rsid w:val="00B67F04"/>
    <w:rsid w:val="00B70289"/>
    <w:rsid w:val="00B70F3B"/>
    <w:rsid w:val="00B73D8B"/>
    <w:rsid w:val="00B73ED2"/>
    <w:rsid w:val="00B75AD8"/>
    <w:rsid w:val="00B76801"/>
    <w:rsid w:val="00B80E50"/>
    <w:rsid w:val="00B82B84"/>
    <w:rsid w:val="00B8532C"/>
    <w:rsid w:val="00B858E3"/>
    <w:rsid w:val="00B85BC8"/>
    <w:rsid w:val="00B87A3C"/>
    <w:rsid w:val="00B90994"/>
    <w:rsid w:val="00B91349"/>
    <w:rsid w:val="00B915D4"/>
    <w:rsid w:val="00B93902"/>
    <w:rsid w:val="00B93BB5"/>
    <w:rsid w:val="00B94CAF"/>
    <w:rsid w:val="00B95FE4"/>
    <w:rsid w:val="00BA111B"/>
    <w:rsid w:val="00BA1B72"/>
    <w:rsid w:val="00BA3076"/>
    <w:rsid w:val="00BA677D"/>
    <w:rsid w:val="00BB0621"/>
    <w:rsid w:val="00BB1C79"/>
    <w:rsid w:val="00BB2458"/>
    <w:rsid w:val="00BB381D"/>
    <w:rsid w:val="00BB3D91"/>
    <w:rsid w:val="00BB48DE"/>
    <w:rsid w:val="00BB4961"/>
    <w:rsid w:val="00BB696F"/>
    <w:rsid w:val="00BB6C15"/>
    <w:rsid w:val="00BB7657"/>
    <w:rsid w:val="00BC1A09"/>
    <w:rsid w:val="00BC1CA0"/>
    <w:rsid w:val="00BC4CD2"/>
    <w:rsid w:val="00BC5986"/>
    <w:rsid w:val="00BC6065"/>
    <w:rsid w:val="00BD119D"/>
    <w:rsid w:val="00BD36C5"/>
    <w:rsid w:val="00BD3C73"/>
    <w:rsid w:val="00BD45A2"/>
    <w:rsid w:val="00BD5A15"/>
    <w:rsid w:val="00BD766C"/>
    <w:rsid w:val="00BE0471"/>
    <w:rsid w:val="00BE08E7"/>
    <w:rsid w:val="00BE187B"/>
    <w:rsid w:val="00BE1A6F"/>
    <w:rsid w:val="00BE3567"/>
    <w:rsid w:val="00BE3971"/>
    <w:rsid w:val="00BE4326"/>
    <w:rsid w:val="00BE6197"/>
    <w:rsid w:val="00BE7B46"/>
    <w:rsid w:val="00BF081A"/>
    <w:rsid w:val="00BF0916"/>
    <w:rsid w:val="00BF09E3"/>
    <w:rsid w:val="00BF14A9"/>
    <w:rsid w:val="00BF1B31"/>
    <w:rsid w:val="00BF22B6"/>
    <w:rsid w:val="00BF3B8D"/>
    <w:rsid w:val="00BF44D9"/>
    <w:rsid w:val="00BF47AB"/>
    <w:rsid w:val="00BF4EEB"/>
    <w:rsid w:val="00BF61AB"/>
    <w:rsid w:val="00BF6621"/>
    <w:rsid w:val="00BF6663"/>
    <w:rsid w:val="00BF68A9"/>
    <w:rsid w:val="00BF71DE"/>
    <w:rsid w:val="00BF785A"/>
    <w:rsid w:val="00BF7DCF"/>
    <w:rsid w:val="00C022F7"/>
    <w:rsid w:val="00C02367"/>
    <w:rsid w:val="00C03DF1"/>
    <w:rsid w:val="00C03E1F"/>
    <w:rsid w:val="00C043C2"/>
    <w:rsid w:val="00C04B27"/>
    <w:rsid w:val="00C0543F"/>
    <w:rsid w:val="00C06145"/>
    <w:rsid w:val="00C06E29"/>
    <w:rsid w:val="00C108C8"/>
    <w:rsid w:val="00C12D96"/>
    <w:rsid w:val="00C13D18"/>
    <w:rsid w:val="00C17093"/>
    <w:rsid w:val="00C1727A"/>
    <w:rsid w:val="00C201CB"/>
    <w:rsid w:val="00C207FB"/>
    <w:rsid w:val="00C21E2C"/>
    <w:rsid w:val="00C22CAA"/>
    <w:rsid w:val="00C24FD7"/>
    <w:rsid w:val="00C25DC5"/>
    <w:rsid w:val="00C27DBD"/>
    <w:rsid w:val="00C319BE"/>
    <w:rsid w:val="00C32FEE"/>
    <w:rsid w:val="00C34A57"/>
    <w:rsid w:val="00C40C74"/>
    <w:rsid w:val="00C40DDD"/>
    <w:rsid w:val="00C42066"/>
    <w:rsid w:val="00C42143"/>
    <w:rsid w:val="00C42921"/>
    <w:rsid w:val="00C4340B"/>
    <w:rsid w:val="00C442FA"/>
    <w:rsid w:val="00C44431"/>
    <w:rsid w:val="00C46B8A"/>
    <w:rsid w:val="00C50EA2"/>
    <w:rsid w:val="00C50F62"/>
    <w:rsid w:val="00C51ED2"/>
    <w:rsid w:val="00C52AAF"/>
    <w:rsid w:val="00C533FB"/>
    <w:rsid w:val="00C53F15"/>
    <w:rsid w:val="00C544E6"/>
    <w:rsid w:val="00C551A2"/>
    <w:rsid w:val="00C55684"/>
    <w:rsid w:val="00C56F07"/>
    <w:rsid w:val="00C6018B"/>
    <w:rsid w:val="00C63E2B"/>
    <w:rsid w:val="00C645B2"/>
    <w:rsid w:val="00C647A9"/>
    <w:rsid w:val="00C651B8"/>
    <w:rsid w:val="00C65C41"/>
    <w:rsid w:val="00C66D35"/>
    <w:rsid w:val="00C70636"/>
    <w:rsid w:val="00C709D7"/>
    <w:rsid w:val="00C7137B"/>
    <w:rsid w:val="00C71721"/>
    <w:rsid w:val="00C73987"/>
    <w:rsid w:val="00C761B7"/>
    <w:rsid w:val="00C7625A"/>
    <w:rsid w:val="00C76FD0"/>
    <w:rsid w:val="00C80713"/>
    <w:rsid w:val="00C81FB3"/>
    <w:rsid w:val="00C8239C"/>
    <w:rsid w:val="00C84307"/>
    <w:rsid w:val="00C84C52"/>
    <w:rsid w:val="00C853AB"/>
    <w:rsid w:val="00C86F88"/>
    <w:rsid w:val="00C94571"/>
    <w:rsid w:val="00C94A97"/>
    <w:rsid w:val="00C953A4"/>
    <w:rsid w:val="00C95F4D"/>
    <w:rsid w:val="00C96008"/>
    <w:rsid w:val="00C96A38"/>
    <w:rsid w:val="00C9715E"/>
    <w:rsid w:val="00CA08F2"/>
    <w:rsid w:val="00CA5545"/>
    <w:rsid w:val="00CA748F"/>
    <w:rsid w:val="00CA75C2"/>
    <w:rsid w:val="00CA7686"/>
    <w:rsid w:val="00CA7A72"/>
    <w:rsid w:val="00CB0739"/>
    <w:rsid w:val="00CB10CE"/>
    <w:rsid w:val="00CB23C6"/>
    <w:rsid w:val="00CB39BF"/>
    <w:rsid w:val="00CB442A"/>
    <w:rsid w:val="00CB4C34"/>
    <w:rsid w:val="00CB6ADA"/>
    <w:rsid w:val="00CC07DE"/>
    <w:rsid w:val="00CC0A76"/>
    <w:rsid w:val="00CC1238"/>
    <w:rsid w:val="00CC123F"/>
    <w:rsid w:val="00CC2A20"/>
    <w:rsid w:val="00CC5970"/>
    <w:rsid w:val="00CC7B61"/>
    <w:rsid w:val="00CD01BF"/>
    <w:rsid w:val="00CD1FB4"/>
    <w:rsid w:val="00CD2527"/>
    <w:rsid w:val="00CD2DEA"/>
    <w:rsid w:val="00CD35E2"/>
    <w:rsid w:val="00CD382B"/>
    <w:rsid w:val="00CD4724"/>
    <w:rsid w:val="00CD4A2D"/>
    <w:rsid w:val="00CD4E33"/>
    <w:rsid w:val="00CD643A"/>
    <w:rsid w:val="00CD76EF"/>
    <w:rsid w:val="00CE0290"/>
    <w:rsid w:val="00CE0C13"/>
    <w:rsid w:val="00CE0C9D"/>
    <w:rsid w:val="00CE0CC5"/>
    <w:rsid w:val="00CE1701"/>
    <w:rsid w:val="00CE2891"/>
    <w:rsid w:val="00CE2EED"/>
    <w:rsid w:val="00CE37CB"/>
    <w:rsid w:val="00CE3924"/>
    <w:rsid w:val="00CE4607"/>
    <w:rsid w:val="00CE4909"/>
    <w:rsid w:val="00CE49C0"/>
    <w:rsid w:val="00CE5153"/>
    <w:rsid w:val="00CE532F"/>
    <w:rsid w:val="00CE5BCB"/>
    <w:rsid w:val="00CE7A25"/>
    <w:rsid w:val="00CE7A43"/>
    <w:rsid w:val="00CE7F39"/>
    <w:rsid w:val="00CF113A"/>
    <w:rsid w:val="00CF48DB"/>
    <w:rsid w:val="00CF4C87"/>
    <w:rsid w:val="00CF675D"/>
    <w:rsid w:val="00CF7367"/>
    <w:rsid w:val="00CF7C49"/>
    <w:rsid w:val="00D00ED1"/>
    <w:rsid w:val="00D03074"/>
    <w:rsid w:val="00D033C5"/>
    <w:rsid w:val="00D05F09"/>
    <w:rsid w:val="00D0710D"/>
    <w:rsid w:val="00D07233"/>
    <w:rsid w:val="00D12AC7"/>
    <w:rsid w:val="00D143AC"/>
    <w:rsid w:val="00D162F1"/>
    <w:rsid w:val="00D17DEF"/>
    <w:rsid w:val="00D17E26"/>
    <w:rsid w:val="00D2086A"/>
    <w:rsid w:val="00D2122E"/>
    <w:rsid w:val="00D220B5"/>
    <w:rsid w:val="00D237B6"/>
    <w:rsid w:val="00D23C66"/>
    <w:rsid w:val="00D25E4F"/>
    <w:rsid w:val="00D25F53"/>
    <w:rsid w:val="00D26D61"/>
    <w:rsid w:val="00D271CF"/>
    <w:rsid w:val="00D31F4D"/>
    <w:rsid w:val="00D3283D"/>
    <w:rsid w:val="00D40E88"/>
    <w:rsid w:val="00D42DC3"/>
    <w:rsid w:val="00D43191"/>
    <w:rsid w:val="00D44D73"/>
    <w:rsid w:val="00D45A9B"/>
    <w:rsid w:val="00D461F7"/>
    <w:rsid w:val="00D46C92"/>
    <w:rsid w:val="00D478AC"/>
    <w:rsid w:val="00D51810"/>
    <w:rsid w:val="00D52E37"/>
    <w:rsid w:val="00D53865"/>
    <w:rsid w:val="00D53B9D"/>
    <w:rsid w:val="00D5404C"/>
    <w:rsid w:val="00D5456F"/>
    <w:rsid w:val="00D54779"/>
    <w:rsid w:val="00D55200"/>
    <w:rsid w:val="00D57355"/>
    <w:rsid w:val="00D65E46"/>
    <w:rsid w:val="00D72FF5"/>
    <w:rsid w:val="00D73594"/>
    <w:rsid w:val="00D739BD"/>
    <w:rsid w:val="00D745B5"/>
    <w:rsid w:val="00D74947"/>
    <w:rsid w:val="00D7550C"/>
    <w:rsid w:val="00D76C57"/>
    <w:rsid w:val="00D81B74"/>
    <w:rsid w:val="00D81EBD"/>
    <w:rsid w:val="00D82A55"/>
    <w:rsid w:val="00D82BB2"/>
    <w:rsid w:val="00D82D04"/>
    <w:rsid w:val="00D8741E"/>
    <w:rsid w:val="00D90FB1"/>
    <w:rsid w:val="00D91A7E"/>
    <w:rsid w:val="00D928EE"/>
    <w:rsid w:val="00D93A5E"/>
    <w:rsid w:val="00D9541E"/>
    <w:rsid w:val="00D9609C"/>
    <w:rsid w:val="00D9710E"/>
    <w:rsid w:val="00DA0665"/>
    <w:rsid w:val="00DA16D3"/>
    <w:rsid w:val="00DA28A8"/>
    <w:rsid w:val="00DA2D52"/>
    <w:rsid w:val="00DA6A13"/>
    <w:rsid w:val="00DA6A5E"/>
    <w:rsid w:val="00DA6B2B"/>
    <w:rsid w:val="00DB06E5"/>
    <w:rsid w:val="00DB0D0A"/>
    <w:rsid w:val="00DB406C"/>
    <w:rsid w:val="00DB43BD"/>
    <w:rsid w:val="00DB7A85"/>
    <w:rsid w:val="00DC1EC2"/>
    <w:rsid w:val="00DC28B0"/>
    <w:rsid w:val="00DC565A"/>
    <w:rsid w:val="00DC6493"/>
    <w:rsid w:val="00DC6DB5"/>
    <w:rsid w:val="00DC767B"/>
    <w:rsid w:val="00DC7F69"/>
    <w:rsid w:val="00DD0A1C"/>
    <w:rsid w:val="00DD278B"/>
    <w:rsid w:val="00DD2FB7"/>
    <w:rsid w:val="00DD33BA"/>
    <w:rsid w:val="00DD3D24"/>
    <w:rsid w:val="00DD408B"/>
    <w:rsid w:val="00DD4C56"/>
    <w:rsid w:val="00DD51AD"/>
    <w:rsid w:val="00DD5731"/>
    <w:rsid w:val="00DD7B2C"/>
    <w:rsid w:val="00DE04A5"/>
    <w:rsid w:val="00DE25E4"/>
    <w:rsid w:val="00DE5C60"/>
    <w:rsid w:val="00DE64D7"/>
    <w:rsid w:val="00DF0621"/>
    <w:rsid w:val="00DF2853"/>
    <w:rsid w:val="00DF2B3B"/>
    <w:rsid w:val="00DF32DD"/>
    <w:rsid w:val="00DF3597"/>
    <w:rsid w:val="00DF7C0C"/>
    <w:rsid w:val="00E00D1E"/>
    <w:rsid w:val="00E0184C"/>
    <w:rsid w:val="00E0339C"/>
    <w:rsid w:val="00E03AEC"/>
    <w:rsid w:val="00E04281"/>
    <w:rsid w:val="00E047E1"/>
    <w:rsid w:val="00E05AE6"/>
    <w:rsid w:val="00E06A3C"/>
    <w:rsid w:val="00E07A1A"/>
    <w:rsid w:val="00E10C22"/>
    <w:rsid w:val="00E127CD"/>
    <w:rsid w:val="00E12930"/>
    <w:rsid w:val="00E13B97"/>
    <w:rsid w:val="00E13C3C"/>
    <w:rsid w:val="00E155AA"/>
    <w:rsid w:val="00E17B0E"/>
    <w:rsid w:val="00E23186"/>
    <w:rsid w:val="00E26529"/>
    <w:rsid w:val="00E26B34"/>
    <w:rsid w:val="00E27EF4"/>
    <w:rsid w:val="00E30B85"/>
    <w:rsid w:val="00E364F1"/>
    <w:rsid w:val="00E402F7"/>
    <w:rsid w:val="00E41F06"/>
    <w:rsid w:val="00E41FBB"/>
    <w:rsid w:val="00E4281D"/>
    <w:rsid w:val="00E428A2"/>
    <w:rsid w:val="00E44097"/>
    <w:rsid w:val="00E44740"/>
    <w:rsid w:val="00E452F9"/>
    <w:rsid w:val="00E45440"/>
    <w:rsid w:val="00E4626E"/>
    <w:rsid w:val="00E463B6"/>
    <w:rsid w:val="00E465CB"/>
    <w:rsid w:val="00E466FF"/>
    <w:rsid w:val="00E5133F"/>
    <w:rsid w:val="00E51D2E"/>
    <w:rsid w:val="00E53422"/>
    <w:rsid w:val="00E54921"/>
    <w:rsid w:val="00E54D9F"/>
    <w:rsid w:val="00E56E1D"/>
    <w:rsid w:val="00E60774"/>
    <w:rsid w:val="00E60E76"/>
    <w:rsid w:val="00E629AD"/>
    <w:rsid w:val="00E66F96"/>
    <w:rsid w:val="00E728E7"/>
    <w:rsid w:val="00E736FF"/>
    <w:rsid w:val="00E74341"/>
    <w:rsid w:val="00E74DF7"/>
    <w:rsid w:val="00E77690"/>
    <w:rsid w:val="00E806C1"/>
    <w:rsid w:val="00E806C3"/>
    <w:rsid w:val="00E80A2A"/>
    <w:rsid w:val="00E812AB"/>
    <w:rsid w:val="00E815DC"/>
    <w:rsid w:val="00E82AC0"/>
    <w:rsid w:val="00E832B8"/>
    <w:rsid w:val="00E832F4"/>
    <w:rsid w:val="00E83FDC"/>
    <w:rsid w:val="00E84A51"/>
    <w:rsid w:val="00E84B8B"/>
    <w:rsid w:val="00E85695"/>
    <w:rsid w:val="00E85D11"/>
    <w:rsid w:val="00E86D1C"/>
    <w:rsid w:val="00E87B4C"/>
    <w:rsid w:val="00E91C32"/>
    <w:rsid w:val="00E91C5D"/>
    <w:rsid w:val="00E940FD"/>
    <w:rsid w:val="00E9560F"/>
    <w:rsid w:val="00E95D47"/>
    <w:rsid w:val="00E96A04"/>
    <w:rsid w:val="00EA2332"/>
    <w:rsid w:val="00EA2AF9"/>
    <w:rsid w:val="00EA4E22"/>
    <w:rsid w:val="00EA55FE"/>
    <w:rsid w:val="00EA5B6F"/>
    <w:rsid w:val="00EA70DE"/>
    <w:rsid w:val="00EA7765"/>
    <w:rsid w:val="00EA7B39"/>
    <w:rsid w:val="00EB0F5D"/>
    <w:rsid w:val="00EB2162"/>
    <w:rsid w:val="00EB33CE"/>
    <w:rsid w:val="00EB5280"/>
    <w:rsid w:val="00EB5671"/>
    <w:rsid w:val="00EB62F5"/>
    <w:rsid w:val="00EB65D5"/>
    <w:rsid w:val="00EC0F36"/>
    <w:rsid w:val="00EC2781"/>
    <w:rsid w:val="00EC2848"/>
    <w:rsid w:val="00EC3789"/>
    <w:rsid w:val="00EC3B07"/>
    <w:rsid w:val="00EC468C"/>
    <w:rsid w:val="00EC5A48"/>
    <w:rsid w:val="00EC70A9"/>
    <w:rsid w:val="00ED004D"/>
    <w:rsid w:val="00ED0839"/>
    <w:rsid w:val="00ED1D9E"/>
    <w:rsid w:val="00ED40C9"/>
    <w:rsid w:val="00ED6958"/>
    <w:rsid w:val="00ED75B6"/>
    <w:rsid w:val="00EE01D5"/>
    <w:rsid w:val="00EE361F"/>
    <w:rsid w:val="00EE6AD6"/>
    <w:rsid w:val="00EF0863"/>
    <w:rsid w:val="00EF3FA6"/>
    <w:rsid w:val="00EF43BC"/>
    <w:rsid w:val="00EF733A"/>
    <w:rsid w:val="00F00D4A"/>
    <w:rsid w:val="00F00FBD"/>
    <w:rsid w:val="00F01B0B"/>
    <w:rsid w:val="00F01FF3"/>
    <w:rsid w:val="00F03265"/>
    <w:rsid w:val="00F037B5"/>
    <w:rsid w:val="00F05607"/>
    <w:rsid w:val="00F06C94"/>
    <w:rsid w:val="00F073AF"/>
    <w:rsid w:val="00F076C6"/>
    <w:rsid w:val="00F10501"/>
    <w:rsid w:val="00F10E06"/>
    <w:rsid w:val="00F10EDF"/>
    <w:rsid w:val="00F11CFF"/>
    <w:rsid w:val="00F11DD9"/>
    <w:rsid w:val="00F125FC"/>
    <w:rsid w:val="00F20FE8"/>
    <w:rsid w:val="00F21739"/>
    <w:rsid w:val="00F21A59"/>
    <w:rsid w:val="00F21ED6"/>
    <w:rsid w:val="00F22E95"/>
    <w:rsid w:val="00F230C1"/>
    <w:rsid w:val="00F2395F"/>
    <w:rsid w:val="00F245F3"/>
    <w:rsid w:val="00F2671C"/>
    <w:rsid w:val="00F27ABD"/>
    <w:rsid w:val="00F30DBD"/>
    <w:rsid w:val="00F31514"/>
    <w:rsid w:val="00F32837"/>
    <w:rsid w:val="00F32C1E"/>
    <w:rsid w:val="00F34A9A"/>
    <w:rsid w:val="00F356E9"/>
    <w:rsid w:val="00F361A3"/>
    <w:rsid w:val="00F36DE5"/>
    <w:rsid w:val="00F3792F"/>
    <w:rsid w:val="00F402B6"/>
    <w:rsid w:val="00F4107B"/>
    <w:rsid w:val="00F41418"/>
    <w:rsid w:val="00F41577"/>
    <w:rsid w:val="00F417DA"/>
    <w:rsid w:val="00F41C49"/>
    <w:rsid w:val="00F42A53"/>
    <w:rsid w:val="00F448AF"/>
    <w:rsid w:val="00F46D99"/>
    <w:rsid w:val="00F47751"/>
    <w:rsid w:val="00F4788B"/>
    <w:rsid w:val="00F47A5C"/>
    <w:rsid w:val="00F47F35"/>
    <w:rsid w:val="00F5020B"/>
    <w:rsid w:val="00F52888"/>
    <w:rsid w:val="00F54ADB"/>
    <w:rsid w:val="00F55518"/>
    <w:rsid w:val="00F555DB"/>
    <w:rsid w:val="00F55E67"/>
    <w:rsid w:val="00F60291"/>
    <w:rsid w:val="00F61F57"/>
    <w:rsid w:val="00F628B8"/>
    <w:rsid w:val="00F6382E"/>
    <w:rsid w:val="00F63E60"/>
    <w:rsid w:val="00F6447B"/>
    <w:rsid w:val="00F64D4C"/>
    <w:rsid w:val="00F6565F"/>
    <w:rsid w:val="00F66F5F"/>
    <w:rsid w:val="00F70B6F"/>
    <w:rsid w:val="00F7114E"/>
    <w:rsid w:val="00F72E84"/>
    <w:rsid w:val="00F7325E"/>
    <w:rsid w:val="00F7565A"/>
    <w:rsid w:val="00F760DA"/>
    <w:rsid w:val="00F764E6"/>
    <w:rsid w:val="00F76A0E"/>
    <w:rsid w:val="00F8151D"/>
    <w:rsid w:val="00F82B8A"/>
    <w:rsid w:val="00F82CB2"/>
    <w:rsid w:val="00F8346C"/>
    <w:rsid w:val="00F83F68"/>
    <w:rsid w:val="00F84003"/>
    <w:rsid w:val="00F84DC3"/>
    <w:rsid w:val="00F864FB"/>
    <w:rsid w:val="00F8658E"/>
    <w:rsid w:val="00F86897"/>
    <w:rsid w:val="00F86D59"/>
    <w:rsid w:val="00F874A7"/>
    <w:rsid w:val="00F879E1"/>
    <w:rsid w:val="00F902D1"/>
    <w:rsid w:val="00F90444"/>
    <w:rsid w:val="00F90766"/>
    <w:rsid w:val="00F9143E"/>
    <w:rsid w:val="00F91E26"/>
    <w:rsid w:val="00F92057"/>
    <w:rsid w:val="00F92BBD"/>
    <w:rsid w:val="00F94BC7"/>
    <w:rsid w:val="00F95276"/>
    <w:rsid w:val="00F95C13"/>
    <w:rsid w:val="00F9661F"/>
    <w:rsid w:val="00F968A8"/>
    <w:rsid w:val="00F96E83"/>
    <w:rsid w:val="00F97B03"/>
    <w:rsid w:val="00FA2A8D"/>
    <w:rsid w:val="00FA2AB8"/>
    <w:rsid w:val="00FA3A1C"/>
    <w:rsid w:val="00FA4427"/>
    <w:rsid w:val="00FA4B7C"/>
    <w:rsid w:val="00FA5F9C"/>
    <w:rsid w:val="00FB05DF"/>
    <w:rsid w:val="00FB2A05"/>
    <w:rsid w:val="00FB4320"/>
    <w:rsid w:val="00FB5491"/>
    <w:rsid w:val="00FB6E60"/>
    <w:rsid w:val="00FB71C0"/>
    <w:rsid w:val="00FC0875"/>
    <w:rsid w:val="00FC1254"/>
    <w:rsid w:val="00FC1A3F"/>
    <w:rsid w:val="00FC2C64"/>
    <w:rsid w:val="00FC789B"/>
    <w:rsid w:val="00FD14C4"/>
    <w:rsid w:val="00FD16B1"/>
    <w:rsid w:val="00FD1E71"/>
    <w:rsid w:val="00FD401D"/>
    <w:rsid w:val="00FD584D"/>
    <w:rsid w:val="00FD592E"/>
    <w:rsid w:val="00FD5C55"/>
    <w:rsid w:val="00FD614E"/>
    <w:rsid w:val="00FD6AF0"/>
    <w:rsid w:val="00FD7965"/>
    <w:rsid w:val="00FD79D0"/>
    <w:rsid w:val="00FE0C91"/>
    <w:rsid w:val="00FE168C"/>
    <w:rsid w:val="00FE1AD6"/>
    <w:rsid w:val="00FE2D72"/>
    <w:rsid w:val="00FE3EB6"/>
    <w:rsid w:val="00FE5377"/>
    <w:rsid w:val="00FF0118"/>
    <w:rsid w:val="00FF0CAF"/>
    <w:rsid w:val="00FF4057"/>
    <w:rsid w:val="00FF4CB6"/>
    <w:rsid w:val="00FF51C7"/>
    <w:rsid w:val="00FF55FB"/>
    <w:rsid w:val="00FF64AB"/>
    <w:rsid w:val="29DF3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4159</Words>
  <Characters>4181</Characters>
  <Lines>103</Lines>
  <Paragraphs>67</Paragraphs>
  <TotalTime>1</TotalTime>
  <ScaleCrop>false</ScaleCrop>
  <LinksUpToDate>false</LinksUpToDate>
  <CharactersWithSpaces>4251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2025-08-21T07:35:00Z</dcterms:created>
  <dc:creator>Xu Han</dc:creator>
  <cp:lastModifiedBy>Yovy_</cp:lastModifiedBy>
  <dcterms:modified xsi:type="dcterms:W3CDTF">2025-08-22T01:51:08Z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eyJoZGlkIjoiMzEwNTM5NzYwMDRjMzkwZTVkZjY2ODkwMGIxNGU0OTUiLCJ1c2VySWQiOiI1MjA1MzYzMTkifQ==</vt:lpwstr>
  </property>
  <property fmtid="{D5CDD505-2E9C-101B-9397-08002B2CF9AE}" pid="3" name="KSOProductBuildVer">
    <vt:lpwstr>2052-12.1.0.21915</vt:lpwstr>
  </property>
  <property fmtid="{D5CDD505-2E9C-101B-9397-08002B2CF9AE}" pid="4" name="ICV">
    <vt:lpwstr>25E71027926B45ABB84BC72EB8FA81E5_13</vt:lpwstr>
  </property>
</Properties>
</file>