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C1412">
      <w:pPr>
        <w:keepNext w:val="0"/>
        <w:keepLines w:val="0"/>
        <w:pageBreakBefore w:val="0"/>
        <w:kinsoku/>
        <w:wordWrap/>
        <w:overflowPunct/>
        <w:topLinePunct w:val="0"/>
        <w:autoSpaceDE/>
        <w:autoSpaceDN/>
        <w:bidi w:val="0"/>
        <w:adjustRightInd/>
        <w:snapToGrid/>
        <w:spacing w:line="600" w:lineRule="exact"/>
        <w:ind w:firstLine="420" w:firstLineChars="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北京市朝阳区应急管理局</w:t>
      </w:r>
    </w:p>
    <w:p w14:paraId="4C99554E">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商贸行业小型微型企业</w:t>
      </w:r>
      <w:r>
        <w:rPr>
          <w:rFonts w:hint="eastAsia" w:ascii="方正小标宋简体" w:hAnsi="方正小标宋简体" w:eastAsia="方正小标宋简体" w:cs="方正小标宋简体"/>
          <w:sz w:val="44"/>
          <w:szCs w:val="44"/>
          <w:lang w:eastAsia="zh-CN"/>
        </w:rPr>
        <w:t>不予行政处罚事项清单（试行）</w:t>
      </w:r>
      <w:r>
        <w:rPr>
          <w:rFonts w:hint="eastAsia" w:ascii="方正小标宋简体" w:hAnsi="方正小标宋简体" w:eastAsia="方正小标宋简体" w:cs="方正小标宋简体"/>
          <w:sz w:val="44"/>
          <w:szCs w:val="44"/>
          <w:highlight w:val="none"/>
          <w:lang w:eastAsia="zh-CN"/>
        </w:rPr>
        <w:t>的指导意见</w:t>
      </w:r>
    </w:p>
    <w:p w14:paraId="750486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43F7D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营造法治化</w:t>
      </w:r>
      <w:r>
        <w:rPr>
          <w:rFonts w:hint="eastAsia" w:ascii="仿宋_GB2312" w:hAnsi="仿宋_GB2312" w:eastAsia="仿宋_GB2312" w:cs="仿宋_GB2312"/>
          <w:sz w:val="32"/>
          <w:szCs w:val="32"/>
          <w:lang w:eastAsia="zh-CN"/>
        </w:rPr>
        <w:t>营商环境，推动严格规范公正文明执法，</w:t>
      </w:r>
      <w:r>
        <w:rPr>
          <w:rFonts w:hint="eastAsia" w:ascii="仿宋_GB2312" w:hAnsi="仿宋_GB2312" w:eastAsia="仿宋_GB2312" w:cs="仿宋_GB2312"/>
          <w:sz w:val="32"/>
          <w:szCs w:val="32"/>
          <w:lang w:val="en-US" w:eastAsia="zh-CN"/>
        </w:rPr>
        <w:t>有效贯彻落实处罚与教育相结合的原则，支持保障商贸行业小型微型企业健康发展，</w:t>
      </w:r>
      <w:r>
        <w:rPr>
          <w:rFonts w:hint="eastAsia" w:ascii="仿宋_GB2312" w:hAnsi="仿宋_GB2312" w:eastAsia="仿宋_GB2312" w:cs="仿宋_GB2312"/>
          <w:sz w:val="32"/>
          <w:szCs w:val="32"/>
          <w:lang w:eastAsia="zh-CN"/>
        </w:rPr>
        <w:t>根据《中华人民共和国行政处罚法》《中华人民共和国安全生产法》等法律规定，结合朝阳区实际，特编制《</w:t>
      </w:r>
      <w:r>
        <w:rPr>
          <w:rFonts w:hint="eastAsia" w:ascii="仿宋_GB2312" w:hAnsi="仿宋_GB2312" w:eastAsia="仿宋_GB2312" w:cs="仿宋_GB2312"/>
          <w:sz w:val="32"/>
          <w:szCs w:val="32"/>
          <w:lang w:val="en-US" w:eastAsia="zh-CN"/>
        </w:rPr>
        <w:t>商贸行业小型微型企业</w:t>
      </w:r>
      <w:r>
        <w:rPr>
          <w:rFonts w:hint="eastAsia" w:ascii="仿宋_GB2312" w:hAnsi="仿宋_GB2312" w:eastAsia="仿宋_GB2312" w:cs="仿宋_GB2312"/>
          <w:sz w:val="32"/>
          <w:szCs w:val="32"/>
          <w:lang w:eastAsia="zh-CN"/>
        </w:rPr>
        <w:t>不予行政处罚事项清单（试行）》（以下简称《清单》）。</w:t>
      </w:r>
      <w:r>
        <w:rPr>
          <w:rFonts w:hint="eastAsia" w:ascii="仿宋_GB2312" w:hAnsi="仿宋_GB2312" w:eastAsia="仿宋_GB2312" w:cs="仿宋_GB2312"/>
          <w:i w:val="0"/>
          <w:caps w:val="0"/>
          <w:color w:val="auto"/>
          <w:spacing w:val="0"/>
          <w:sz w:val="32"/>
          <w:szCs w:val="32"/>
          <w:shd w:val="clear" w:color="auto" w:fill="FFFFFF"/>
        </w:rPr>
        <w:t>该</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清单</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适用</w:t>
      </w:r>
      <w:r>
        <w:rPr>
          <w:rFonts w:hint="eastAsia" w:ascii="仿宋_GB2312" w:hAnsi="仿宋_GB2312" w:eastAsia="仿宋_GB2312" w:cs="仿宋_GB2312"/>
          <w:i w:val="0"/>
          <w:caps w:val="0"/>
          <w:color w:val="auto"/>
          <w:spacing w:val="0"/>
          <w:sz w:val="32"/>
          <w:szCs w:val="32"/>
          <w:shd w:val="clear" w:color="auto" w:fill="FFFFFF"/>
          <w:lang w:eastAsia="zh-CN"/>
        </w:rPr>
        <w:t>朝阳</w:t>
      </w:r>
      <w:r>
        <w:rPr>
          <w:rFonts w:hint="eastAsia" w:ascii="仿宋_GB2312" w:hAnsi="仿宋_GB2312" w:eastAsia="仿宋_GB2312" w:cs="仿宋_GB2312"/>
          <w:i w:val="0"/>
          <w:caps w:val="0"/>
          <w:color w:val="auto"/>
          <w:spacing w:val="0"/>
          <w:sz w:val="32"/>
          <w:szCs w:val="32"/>
          <w:shd w:val="clear" w:color="auto" w:fill="FFFFFF"/>
        </w:rPr>
        <w:t>区辖区内，在执行过程中具体要求如下：</w:t>
      </w:r>
    </w:p>
    <w:p w14:paraId="211C4D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一、主要内容</w:t>
      </w:r>
    </w:p>
    <w:p w14:paraId="17C9A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《清单》</w:t>
      </w:r>
      <w:r>
        <w:rPr>
          <w:rFonts w:hint="eastAsia" w:ascii="仿宋_GB2312" w:hAnsi="仿宋_GB2312" w:eastAsia="仿宋_GB2312" w:cs="仿宋_GB2312"/>
          <w:sz w:val="32"/>
          <w:szCs w:val="32"/>
          <w:lang w:val="en-US" w:eastAsia="zh-CN"/>
        </w:rPr>
        <w:t>共8项，其具体事项、适用情形等详见附件。</w:t>
      </w:r>
    </w:p>
    <w:p w14:paraId="39099FD0">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二、有下列情形之一的，不适用不予行政处罚</w:t>
      </w:r>
    </w:p>
    <w:p w14:paraId="5B1F7A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（一）违法行为造成人员伤亡或者财产损失，或者造成负面舆情等不良影响的。</w:t>
      </w:r>
    </w:p>
    <w:p w14:paraId="6A8B7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（二）生产经营单位已被纳入严重失信主体名单的；</w:t>
      </w:r>
    </w:p>
    <w:p w14:paraId="3F57A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（三）有法定从重情节的；</w:t>
      </w:r>
    </w:p>
    <w:p w14:paraId="4E7EF8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（四）近一年内因违法行为已被应急管理部门实施过行政处罚的；</w:t>
      </w:r>
    </w:p>
    <w:p w14:paraId="17EE9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（五）其他法律法规、规章规定的情形。</w:t>
      </w:r>
    </w:p>
    <w:p w14:paraId="79BDB71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三、对清单用语及执行中若干问题的相关解释</w:t>
      </w:r>
    </w:p>
    <w:p w14:paraId="25209B23">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《清单》中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商贸行业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范围根据应急管理部办公厅《冶金有色建材机械轻工纺织烟草商贸行业安全监管分类标准（试行）》第八部分“商贸行业”规定确定；“小型微型企业”按照工业信息化部、统计局、发展改革委、财政部联合下发的《关于印发中小企业划型标准规定的通知》的规定认定。</w:t>
      </w:r>
    </w:p>
    <w:p w14:paraId="742528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）“首次被发现”是指该违法行为</w:t>
      </w:r>
      <w:r>
        <w:rPr>
          <w:rFonts w:hint="eastAsia" w:ascii="仿宋_GB2312" w:hAnsi="仿宋_GB2312" w:eastAsia="仿宋_GB2312" w:cs="仿宋_GB2312"/>
          <w:color w:val="auto"/>
          <w:sz w:val="32"/>
          <w:szCs w:val="32"/>
          <w:highlight w:val="none"/>
          <w:lang w:val="en-US" w:eastAsia="zh-CN"/>
        </w:rPr>
        <w:t>在一年内</w:t>
      </w:r>
      <w:r>
        <w:rPr>
          <w:rFonts w:hint="eastAsia" w:ascii="仿宋_GB2312" w:hAnsi="仿宋_GB2312" w:eastAsia="仿宋_GB2312" w:cs="仿宋_GB2312"/>
          <w:color w:val="auto"/>
          <w:sz w:val="32"/>
          <w:szCs w:val="32"/>
          <w:highlight w:val="none"/>
        </w:rPr>
        <w:t>第一次被</w:t>
      </w:r>
      <w:r>
        <w:rPr>
          <w:rFonts w:hint="eastAsia" w:ascii="仿宋_GB2312" w:hAnsi="仿宋_GB2312" w:eastAsia="仿宋_GB2312" w:cs="仿宋_GB2312"/>
          <w:color w:val="auto"/>
          <w:sz w:val="32"/>
          <w:szCs w:val="32"/>
          <w:highlight w:val="none"/>
          <w:lang w:val="en-US" w:eastAsia="zh-CN"/>
        </w:rPr>
        <w:t>应急部门</w:t>
      </w:r>
      <w:r>
        <w:rPr>
          <w:rFonts w:hint="eastAsia" w:ascii="仿宋_GB2312" w:hAnsi="仿宋_GB2312" w:eastAsia="仿宋_GB2312" w:cs="仿宋_GB2312"/>
          <w:color w:val="auto"/>
          <w:sz w:val="32"/>
          <w:szCs w:val="32"/>
          <w:highlight w:val="none"/>
        </w:rPr>
        <w:t>行政执法人员发现并有相应记录。</w:t>
      </w:r>
    </w:p>
    <w:p w14:paraId="0964B9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）“及时改正”是指在应急管理部门责令改正前主动改正或者在应急管理部门责令改正后按要求改正。</w:t>
      </w:r>
    </w:p>
    <w:p w14:paraId="4ED8593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jc w:val="left"/>
        <w:textAlignment w:val="auto"/>
        <w:rPr>
          <w:rFonts w:hint="eastAsia"/>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危害后果轻微”可以综合考虑当事人的违法行为对社会公共利益、社会生产生活秩序、行政管理秩序，以及公民、法人和其他组织权益等方面的损害或影响程度，包括降低、消除相关损害或影响的时间、成本、可行性等因素判定。</w:t>
      </w:r>
    </w:p>
    <w:p w14:paraId="17D0C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（五）</w:t>
      </w:r>
      <w:r>
        <w:rPr>
          <w:rFonts w:hint="eastAsia" w:ascii="仿宋_GB2312" w:hAnsi="仿宋_GB2312" w:eastAsia="仿宋_GB2312" w:cs="仿宋_GB2312"/>
          <w:sz w:val="32"/>
          <w:szCs w:val="32"/>
          <w:lang w:val="en-US" w:eastAsia="zh-CN"/>
        </w:rPr>
        <w:t>本清单未列明的事项，符合不予行政处罚规定的，应依据《中华人民共和国行政处罚法》及相关法律法规执行。对当事人已经当场改正、未</w:t>
      </w:r>
      <w:r>
        <w:rPr>
          <w:rFonts w:hint="eastAsia" w:ascii="仿宋_GB2312" w:hAnsi="仿宋_GB2312" w:eastAsia="仿宋_GB2312" w:cs="仿宋_GB2312"/>
          <w:color w:val="auto"/>
          <w:kern w:val="2"/>
          <w:sz w:val="32"/>
          <w:szCs w:val="32"/>
          <w:lang w:val="en-US" w:eastAsia="zh-CN" w:bidi="ar-SA"/>
        </w:rPr>
        <w:t>造成人员伤亡或者财产损失、且未造成负面舆情等不良影响的，一般不再给予行政处罚。</w:t>
      </w:r>
    </w:p>
    <w:p w14:paraId="2D05FD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四、对采取</w:t>
      </w:r>
      <w:r>
        <w:rPr>
          <w:rFonts w:hint="eastAsia" w:ascii="黑体" w:hAnsi="黑体" w:eastAsia="黑体" w:cs="黑体"/>
          <w:sz w:val="32"/>
          <w:szCs w:val="32"/>
          <w:lang w:val="en-US" w:eastAsia="zh-CN"/>
        </w:rPr>
        <w:t>不予行政处罚的相应</w:t>
      </w:r>
      <w:r>
        <w:rPr>
          <w:rFonts w:hint="eastAsia" w:ascii="黑体" w:hAnsi="黑体" w:eastAsia="黑体" w:cs="黑体"/>
          <w:kern w:val="2"/>
          <w:sz w:val="32"/>
          <w:szCs w:val="32"/>
          <w:lang w:val="en-US" w:eastAsia="zh-CN" w:bidi="ar-SA"/>
        </w:rPr>
        <w:t>措施</w:t>
      </w:r>
    </w:p>
    <w:p w14:paraId="5D018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应急管理部门对适用不予行政处罚的当事人，应采取说服教育、劝导示范、警示告诫、指导约谈等方式，教育、引导、督促其自觉守法</w:t>
      </w:r>
      <w:r>
        <w:rPr>
          <w:rFonts w:hint="eastAsia" w:ascii="仿宋_GB2312" w:hAnsi="仿宋_GB2312" w:eastAsia="仿宋_GB2312" w:cs="仿宋_GB2312"/>
          <w:color w:val="auto"/>
          <w:sz w:val="32"/>
          <w:szCs w:val="32"/>
          <w:lang w:val="en-US" w:eastAsia="zh-CN"/>
        </w:rPr>
        <w:t>。</w:t>
      </w:r>
    </w:p>
    <w:p w14:paraId="3FF164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《清单》由朝阳区应急管理局制定并负责解释，《清单》 自发布之日起试行</w:t>
      </w:r>
      <w:r>
        <w:rPr>
          <w:rFonts w:hint="default"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试行期</w:t>
      </w:r>
      <w:r>
        <w:rPr>
          <w:rFonts w:hint="default" w:ascii="黑体" w:hAnsi="黑体" w:eastAsia="黑体" w:cs="黑体"/>
          <w:kern w:val="2"/>
          <w:sz w:val="32"/>
          <w:szCs w:val="32"/>
          <w:lang w:val="en-US" w:eastAsia="zh-CN" w:bidi="ar-SA"/>
        </w:rPr>
        <w:t>2年。</w:t>
      </w:r>
    </w:p>
    <w:p w14:paraId="0F574F04">
      <w:pPr>
        <w:pStyle w:val="10"/>
        <w:rPr>
          <w:rFonts w:hint="default" w:ascii="黑体" w:hAnsi="黑体" w:eastAsia="黑体" w:cs="黑体"/>
          <w:kern w:val="2"/>
          <w:sz w:val="32"/>
          <w:szCs w:val="32"/>
          <w:lang w:val="en-US" w:eastAsia="zh-CN" w:bidi="ar-SA"/>
        </w:rPr>
      </w:pPr>
    </w:p>
    <w:p w14:paraId="5DCC41FD">
      <w:pPr>
        <w:rPr>
          <w:rFonts w:hint="default" w:ascii="黑体" w:hAnsi="黑体" w:eastAsia="黑体" w:cs="黑体"/>
          <w:kern w:val="2"/>
          <w:sz w:val="32"/>
          <w:szCs w:val="32"/>
          <w:lang w:val="en-US" w:eastAsia="zh-CN" w:bidi="ar-SA"/>
        </w:rPr>
        <w:sectPr>
          <w:footerReference r:id="rId3" w:type="default"/>
          <w:pgSz w:w="11906" w:h="16838"/>
          <w:pgMar w:top="2098" w:right="1474" w:bottom="1984" w:left="1587" w:header="851" w:footer="992" w:gutter="0"/>
          <w:pgNumType w:fmt="numberInDash" w:start="1"/>
          <w:cols w:space="720" w:num="1"/>
          <w:rtlGutter w:val="0"/>
          <w:docGrid w:type="lines" w:linePitch="312" w:charSpace="0"/>
        </w:sectPr>
      </w:pPr>
    </w:p>
    <w:p w14:paraId="56F3AAD0">
      <w:pPr>
        <w:pStyle w:val="10"/>
        <w:ind w:firstLine="0" w:firstLineChars="0"/>
        <w:jc w:val="center"/>
        <w:outlineLvl w:val="0"/>
        <w:rPr>
          <w:rFonts w:hint="eastAsia" w:ascii="方正小标宋简体" w:hAnsi="方正小标宋简体" w:eastAsia="方正小标宋简体" w:cs="方正小标宋简体"/>
          <w:sz w:val="40"/>
          <w:szCs w:val="44"/>
          <w:lang w:eastAsia="zh-CN"/>
        </w:rPr>
      </w:pPr>
      <w:r>
        <w:rPr>
          <w:rFonts w:hint="eastAsia" w:ascii="方正小标宋简体" w:hAnsi="方正小标宋简体" w:eastAsia="方正小标宋简体" w:cs="方正小标宋简体"/>
          <w:sz w:val="40"/>
          <w:szCs w:val="44"/>
          <w:lang w:val="en-US" w:eastAsia="zh-CN"/>
        </w:rPr>
        <w:t>商贸行业小型微型企业</w:t>
      </w:r>
      <w:r>
        <w:rPr>
          <w:rFonts w:hint="eastAsia" w:ascii="方正小标宋简体" w:hAnsi="方正小标宋简体" w:eastAsia="方正小标宋简体" w:cs="方正小标宋简体"/>
          <w:sz w:val="40"/>
          <w:szCs w:val="44"/>
          <w:lang w:eastAsia="zh-CN"/>
        </w:rPr>
        <w:t>不予行政处罚事项清单（试行）</w:t>
      </w:r>
    </w:p>
    <w:p w14:paraId="5028C472">
      <w:pPr>
        <w:rPr>
          <w:rFonts w:hint="eastAsia"/>
          <w:lang w:eastAsia="zh-CN"/>
        </w:rPr>
      </w:pPr>
    </w:p>
    <w:tbl>
      <w:tblPr>
        <w:tblStyle w:val="6"/>
        <w:tblW w:w="1360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385"/>
        <w:gridCol w:w="7827"/>
        <w:gridCol w:w="2386"/>
      </w:tblGrid>
      <w:tr w14:paraId="2F78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043C9790">
            <w:pPr>
              <w:spacing w:beforeLines="0" w:afterLines="0"/>
              <w:jc w:val="center"/>
              <w:rPr>
                <w:rFonts w:hint="eastAsia" w:ascii="宋体" w:hAnsi="宋体"/>
                <w:b/>
                <w:color w:val="000000"/>
                <w:sz w:val="36"/>
              </w:rPr>
            </w:pPr>
            <w:r>
              <w:rPr>
                <w:rFonts w:hint="eastAsia" w:ascii="宋体" w:hAnsi="宋体"/>
                <w:b/>
                <w:color w:val="000000"/>
                <w:sz w:val="36"/>
              </w:rPr>
              <w:t>序号</w:t>
            </w:r>
          </w:p>
        </w:tc>
        <w:tc>
          <w:tcPr>
            <w:tcW w:w="2385" w:type="dxa"/>
            <w:tcBorders>
              <w:tl2br w:val="nil"/>
              <w:tr2bl w:val="nil"/>
            </w:tcBorders>
            <w:vAlign w:val="center"/>
          </w:tcPr>
          <w:p w14:paraId="39FBCE4E">
            <w:pPr>
              <w:spacing w:beforeLines="0" w:afterLines="0"/>
              <w:jc w:val="center"/>
              <w:rPr>
                <w:rFonts w:hint="eastAsia" w:ascii="宋体" w:hAnsi="宋体"/>
                <w:b/>
                <w:color w:val="000000"/>
                <w:sz w:val="36"/>
              </w:rPr>
            </w:pPr>
            <w:r>
              <w:rPr>
                <w:rFonts w:hint="eastAsia" w:ascii="宋体" w:hAnsi="宋体"/>
                <w:b/>
                <w:color w:val="000000"/>
                <w:sz w:val="36"/>
              </w:rPr>
              <w:t>行政处罚事项</w:t>
            </w:r>
          </w:p>
        </w:tc>
        <w:tc>
          <w:tcPr>
            <w:tcW w:w="7827" w:type="dxa"/>
            <w:tcBorders>
              <w:tl2br w:val="nil"/>
              <w:tr2bl w:val="nil"/>
            </w:tcBorders>
            <w:vAlign w:val="center"/>
          </w:tcPr>
          <w:p w14:paraId="7FA8E959">
            <w:pPr>
              <w:spacing w:beforeLines="0" w:afterLines="0"/>
              <w:jc w:val="center"/>
              <w:rPr>
                <w:rFonts w:hint="eastAsia" w:ascii="宋体" w:hAnsi="宋体"/>
                <w:b/>
                <w:color w:val="000000"/>
                <w:sz w:val="36"/>
              </w:rPr>
            </w:pPr>
            <w:r>
              <w:rPr>
                <w:rFonts w:hint="eastAsia" w:ascii="宋体" w:hAnsi="宋体"/>
                <w:b/>
                <w:color w:val="000000"/>
                <w:sz w:val="36"/>
              </w:rPr>
              <w:t>法律规定</w:t>
            </w:r>
          </w:p>
        </w:tc>
        <w:tc>
          <w:tcPr>
            <w:tcW w:w="2386" w:type="dxa"/>
            <w:tcBorders>
              <w:tl2br w:val="nil"/>
              <w:tr2bl w:val="nil"/>
            </w:tcBorders>
            <w:vAlign w:val="center"/>
          </w:tcPr>
          <w:p w14:paraId="5B114A8D">
            <w:pPr>
              <w:spacing w:beforeLines="0" w:afterLines="0"/>
              <w:jc w:val="center"/>
              <w:rPr>
                <w:rFonts w:hint="eastAsia" w:ascii="宋体" w:hAnsi="宋体"/>
                <w:b/>
                <w:color w:val="000000"/>
                <w:sz w:val="36"/>
              </w:rPr>
            </w:pPr>
            <w:r>
              <w:rPr>
                <w:rFonts w:hint="eastAsia" w:ascii="宋体" w:hAnsi="宋体"/>
                <w:b/>
                <w:color w:val="000000"/>
                <w:sz w:val="36"/>
              </w:rPr>
              <w:t>适用情形</w:t>
            </w:r>
          </w:p>
        </w:tc>
      </w:tr>
      <w:tr w14:paraId="44AD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0D963138">
            <w:pPr>
              <w:keepNext w:val="0"/>
              <w:keepLines w:val="0"/>
              <w:widowControl/>
              <w:suppressLineNumbers w:val="0"/>
              <w:spacing w:beforeLines="0" w:afterLines="0"/>
              <w:jc w:val="center"/>
              <w:textAlignment w:val="auto"/>
              <w:rPr>
                <w:rFonts w:hint="eastAsia" w:ascii="宋体" w:hAnsi="宋体"/>
                <w:b w:val="0"/>
                <w:color w:val="000000"/>
                <w:sz w:val="24"/>
              </w:rPr>
            </w:pPr>
            <w:r>
              <w:rPr>
                <w:rFonts w:hint="eastAsia" w:ascii="宋体" w:hAnsi="宋体" w:cs="Times New Roman"/>
                <w:i w:val="0"/>
                <w:color w:val="000000"/>
                <w:kern w:val="2"/>
                <w:sz w:val="24"/>
                <w:szCs w:val="24"/>
                <w:u w:val="none"/>
                <w:lang w:val="en-US" w:eastAsia="zh-CN" w:bidi="ar"/>
              </w:rPr>
              <w:t>1</w:t>
            </w:r>
          </w:p>
        </w:tc>
        <w:tc>
          <w:tcPr>
            <w:tcW w:w="2385" w:type="dxa"/>
            <w:tcBorders>
              <w:tl2br w:val="nil"/>
              <w:tr2bl w:val="nil"/>
            </w:tcBorders>
            <w:vAlign w:val="center"/>
          </w:tcPr>
          <w:p w14:paraId="0465AF12">
            <w:pPr>
              <w:keepNext w:val="0"/>
              <w:keepLines w:val="0"/>
              <w:widowControl/>
              <w:numPr>
                <w:ilvl w:val="0"/>
                <w:numId w:val="0"/>
              </w:numPr>
              <w:suppressLineNumbers w:val="0"/>
              <w:spacing w:beforeLines="0" w:afterLines="0"/>
              <w:jc w:val="left"/>
              <w:textAlignment w:val="center"/>
              <w:rPr>
                <w:rFonts w:hint="eastAsia" w:ascii="宋体" w:hAnsi="宋体"/>
                <w:b w:val="0"/>
                <w:color w:val="000000"/>
                <w:sz w:val="24"/>
                <w:lang w:bidi="ar"/>
              </w:rPr>
            </w:pPr>
            <w:r>
              <w:rPr>
                <w:rFonts w:hint="eastAsia" w:ascii="宋体" w:hAnsi="宋体" w:eastAsia="宋体" w:cs="Times New Roman"/>
                <w:i w:val="0"/>
                <w:color w:val="000000"/>
                <w:kern w:val="2"/>
                <w:sz w:val="24"/>
                <w:szCs w:val="24"/>
                <w:u w:val="none"/>
                <w:lang w:val="en-US" w:eastAsia="zh-CN" w:bidi="ar"/>
              </w:rPr>
              <w:t>未采取措施消除事故隐患</w:t>
            </w:r>
          </w:p>
        </w:tc>
        <w:tc>
          <w:tcPr>
            <w:tcW w:w="7827" w:type="dxa"/>
            <w:tcBorders>
              <w:tl2br w:val="nil"/>
              <w:tr2bl w:val="nil"/>
            </w:tcBorders>
            <w:vAlign w:val="center"/>
          </w:tcPr>
          <w:p w14:paraId="7C36D9EF">
            <w:pPr>
              <w:widowControl/>
              <w:numPr>
                <w:ilvl w:val="0"/>
                <w:numId w:val="0"/>
              </w:numPr>
              <w:spacing w:beforeLines="0" w:afterLines="0"/>
              <w:jc w:val="left"/>
              <w:textAlignment w:val="center"/>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b/>
                <w:bCs/>
                <w:color w:val="000000"/>
                <w:w w:val="100"/>
                <w:sz w:val="24"/>
                <w:u w:val="none"/>
                <w:lang w:eastAsia="zh-CN" w:bidi="ar"/>
              </w:rPr>
              <w:t>【违法依据】</w:t>
            </w:r>
            <w:r>
              <w:rPr>
                <w:rFonts w:hint="eastAsia" w:ascii="宋体" w:hAnsi="宋体" w:eastAsia="宋体" w:cs="Times New Roman"/>
                <w:i w:val="0"/>
                <w:color w:val="000000"/>
                <w:kern w:val="2"/>
                <w:sz w:val="24"/>
                <w:szCs w:val="24"/>
                <w:u w:val="none"/>
                <w:lang w:val="en-US" w:eastAsia="zh-CN" w:bidi="ar"/>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8662136">
            <w:pPr>
              <w:widowControl/>
              <w:numPr>
                <w:ilvl w:val="0"/>
                <w:numId w:val="0"/>
              </w:numPr>
              <w:spacing w:beforeLines="0" w:afterLines="0"/>
              <w:jc w:val="left"/>
              <w:textAlignment w:val="center"/>
              <w:rPr>
                <w:rFonts w:hint="eastAsia" w:ascii="宋体" w:hAnsi="宋体"/>
                <w:b w:val="0"/>
                <w:color w:val="000000"/>
                <w:sz w:val="24"/>
                <w:lang w:bidi="ar"/>
              </w:rPr>
            </w:pPr>
            <w:r>
              <w:rPr>
                <w:rFonts w:hint="eastAsia" w:ascii="宋体" w:hAnsi="宋体" w:eastAsia="宋体"/>
                <w:b/>
                <w:bCs/>
                <w:color w:val="000000"/>
                <w:w w:val="100"/>
                <w:sz w:val="24"/>
                <w:u w:val="none"/>
                <w:lang w:eastAsia="zh-CN" w:bidi="ar"/>
              </w:rPr>
              <w:t>【处罚依据】</w:t>
            </w:r>
            <w:r>
              <w:rPr>
                <w:rFonts w:hint="eastAsia" w:ascii="宋体" w:hAnsi="宋体" w:eastAsia="宋体"/>
                <w:b w:val="0"/>
                <w:bCs w:val="0"/>
                <w:color w:val="000000"/>
                <w:w w:val="100"/>
                <w:sz w:val="24"/>
                <w:u w:val="none"/>
                <w:lang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386" w:type="dxa"/>
            <w:tcBorders>
              <w:tl2br w:val="nil"/>
              <w:tr2bl w:val="nil"/>
            </w:tcBorders>
            <w:vAlign w:val="center"/>
          </w:tcPr>
          <w:p w14:paraId="273D8DEC">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69526183">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48331BC7">
            <w:pPr>
              <w:widowControl/>
              <w:numPr>
                <w:ilvl w:val="0"/>
                <w:numId w:val="0"/>
              </w:numPr>
              <w:spacing w:beforeLines="0" w:afterLines="0"/>
              <w:jc w:val="left"/>
              <w:rPr>
                <w:rFonts w:hint="eastAsia" w:ascii="宋体" w:hAnsi="宋体"/>
                <w:b w:val="0"/>
                <w:color w:val="000000"/>
                <w:sz w:val="24"/>
                <w:lang w:val="en-US" w:eastAsia="zh-CN" w:bidi="ar"/>
              </w:rPr>
            </w:pPr>
            <w:r>
              <w:rPr>
                <w:rFonts w:hint="eastAsia" w:ascii="宋体" w:hAnsi="宋体"/>
                <w:b w:val="0"/>
                <w:color w:val="000000"/>
                <w:sz w:val="24"/>
                <w:u w:val="none"/>
                <w:lang w:val="en-US" w:eastAsia="zh-CN" w:bidi="ar"/>
              </w:rPr>
              <w:t>3、危害后果轻微。</w:t>
            </w:r>
          </w:p>
        </w:tc>
      </w:tr>
      <w:tr w14:paraId="281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5CF737BC">
            <w:pPr>
              <w:keepNext w:val="0"/>
              <w:keepLines w:val="0"/>
              <w:widowControl/>
              <w:suppressLineNumbers w:val="0"/>
              <w:spacing w:beforeLines="0" w:afterLines="0"/>
              <w:jc w:val="center"/>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cs="Times New Roman"/>
                <w:i w:val="0"/>
                <w:color w:val="000000"/>
                <w:kern w:val="2"/>
                <w:sz w:val="24"/>
                <w:szCs w:val="24"/>
                <w:u w:val="none"/>
                <w:lang w:val="en-US" w:eastAsia="zh-CN" w:bidi="ar"/>
              </w:rPr>
              <w:t>2</w:t>
            </w:r>
          </w:p>
        </w:tc>
        <w:tc>
          <w:tcPr>
            <w:tcW w:w="2385" w:type="dxa"/>
            <w:tcBorders>
              <w:tl2br w:val="nil"/>
              <w:tr2bl w:val="nil"/>
            </w:tcBorders>
            <w:vAlign w:val="center"/>
          </w:tcPr>
          <w:p w14:paraId="348BDF31">
            <w:pPr>
              <w:keepNext w:val="0"/>
              <w:keepLines w:val="0"/>
              <w:widowControl/>
              <w:numPr>
                <w:ilvl w:val="0"/>
                <w:numId w:val="0"/>
              </w:numPr>
              <w:suppressLineNumbers w:val="0"/>
              <w:spacing w:beforeLines="0" w:afterLines="0"/>
              <w:jc w:val="left"/>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Times New Roman"/>
                <w:i w:val="0"/>
                <w:color w:val="000000"/>
                <w:kern w:val="2"/>
                <w:sz w:val="24"/>
                <w:szCs w:val="24"/>
                <w:u w:val="none"/>
                <w:lang w:val="en-US" w:eastAsia="zh-CN" w:bidi="ar"/>
              </w:rPr>
              <w:t>未在有较大危险因素的生产经营场所和有关设施、设备上设置明显的安全警示标志</w:t>
            </w:r>
          </w:p>
        </w:tc>
        <w:tc>
          <w:tcPr>
            <w:tcW w:w="7827" w:type="dxa"/>
            <w:tcBorders>
              <w:tl2br w:val="nil"/>
              <w:tr2bl w:val="nil"/>
            </w:tcBorders>
            <w:vAlign w:val="center"/>
          </w:tcPr>
          <w:p w14:paraId="3FBF160E">
            <w:pPr>
              <w:widowControl/>
              <w:numPr>
                <w:ilvl w:val="0"/>
                <w:numId w:val="0"/>
              </w:numPr>
              <w:spacing w:beforeLines="0" w:afterLines="0"/>
              <w:jc w:val="left"/>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【违法依据】</w:t>
            </w:r>
          </w:p>
          <w:p w14:paraId="17315B6F">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1、</w:t>
            </w:r>
            <w:r>
              <w:rPr>
                <w:rFonts w:hint="eastAsia" w:ascii="宋体" w:hAnsi="宋体" w:eastAsia="宋体"/>
                <w:b w:val="0"/>
                <w:bCs w:val="0"/>
                <w:color w:val="000000"/>
                <w:w w:val="100"/>
                <w:sz w:val="24"/>
                <w:u w:val="none"/>
                <w:lang w:eastAsia="zh-CN" w:bidi="ar"/>
              </w:rPr>
              <w:t>《中华人民共和国安全生产法》第三十五条：生产经营单位应当在有较大危险因素的生产经营场所和有关设施、设备上，设置明显的安全警示标志</w:t>
            </w:r>
            <w:r>
              <w:rPr>
                <w:rFonts w:hint="eastAsia" w:ascii="宋体" w:hAnsi="宋体"/>
                <w:b w:val="0"/>
                <w:bCs w:val="0"/>
                <w:color w:val="000000"/>
                <w:w w:val="100"/>
                <w:sz w:val="24"/>
                <w:u w:val="none"/>
                <w:lang w:eastAsia="zh-CN" w:bidi="ar"/>
              </w:rPr>
              <w:t>；</w:t>
            </w:r>
          </w:p>
          <w:p w14:paraId="3010674E">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2、</w:t>
            </w:r>
            <w:r>
              <w:rPr>
                <w:rFonts w:hint="eastAsia" w:ascii="宋体" w:hAnsi="宋体" w:eastAsia="宋体"/>
                <w:b w:val="0"/>
                <w:bCs w:val="0"/>
                <w:color w:val="000000"/>
                <w:w w:val="100"/>
                <w:sz w:val="24"/>
                <w:u w:val="none"/>
                <w:lang w:eastAsia="zh-CN" w:bidi="ar"/>
              </w:rPr>
              <w:t>《危险化学品安全管理条例》第二十条第二款：生产、储存危险化学品的单位，应当在其作业场所和安全设施、设备上设置明显的安全警示标志</w:t>
            </w:r>
            <w:r>
              <w:rPr>
                <w:rFonts w:hint="eastAsia" w:ascii="宋体" w:hAnsi="宋体"/>
                <w:b w:val="0"/>
                <w:bCs w:val="0"/>
                <w:color w:val="000000"/>
                <w:w w:val="100"/>
                <w:sz w:val="24"/>
                <w:u w:val="none"/>
                <w:lang w:eastAsia="zh-CN" w:bidi="ar"/>
              </w:rPr>
              <w:t>；</w:t>
            </w:r>
          </w:p>
          <w:p w14:paraId="12C005DE">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3、</w:t>
            </w:r>
            <w:r>
              <w:rPr>
                <w:rFonts w:hint="eastAsia" w:ascii="宋体" w:hAnsi="宋体" w:eastAsia="宋体"/>
                <w:b w:val="0"/>
                <w:bCs w:val="0"/>
                <w:color w:val="000000"/>
                <w:w w:val="100"/>
                <w:sz w:val="24"/>
                <w:u w:val="none"/>
                <w:lang w:eastAsia="zh-CN" w:bidi="ar"/>
              </w:rPr>
              <w:t>《工贸企业有限空间作业安全规定》第十一条：工贸企业应当在有限空间出入口等醒目位置设置明显的安全警示标志，并在具备条件的场所设置安全风险告知牌。</w:t>
            </w:r>
          </w:p>
          <w:p w14:paraId="2830CBA3">
            <w:pPr>
              <w:widowControl/>
              <w:numPr>
                <w:ilvl w:val="0"/>
                <w:numId w:val="0"/>
              </w:numPr>
              <w:spacing w:beforeLines="0" w:afterLines="0"/>
              <w:jc w:val="left"/>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【处罚依据】</w:t>
            </w:r>
          </w:p>
          <w:p w14:paraId="5206682E">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1、</w:t>
            </w:r>
            <w:r>
              <w:rPr>
                <w:rFonts w:hint="eastAsia" w:ascii="宋体" w:hAnsi="宋体" w:eastAsia="宋体"/>
                <w:b w:val="0"/>
                <w:bCs w:val="0"/>
                <w:color w:val="000000"/>
                <w:w w:val="100"/>
                <w:sz w:val="24"/>
                <w:u w:val="none"/>
                <w:lang w:eastAsia="zh-CN" w:bidi="ar"/>
              </w:rPr>
              <w:t>《中华人民共和国安全生产法》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14:paraId="01B18883">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2、</w:t>
            </w:r>
            <w:r>
              <w:rPr>
                <w:rFonts w:hint="eastAsia" w:ascii="宋体" w:hAnsi="宋体" w:eastAsia="宋体"/>
                <w:b w:val="0"/>
                <w:bCs w:val="0"/>
                <w:color w:val="000000"/>
                <w:w w:val="100"/>
                <w:sz w:val="24"/>
                <w:u w:val="none"/>
                <w:lang w:eastAsia="zh-CN" w:bidi="ar"/>
              </w:rPr>
              <w:t>《危险化学品安全管理条例》第七十八条第一款第八项：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p w14:paraId="23679631">
            <w:pPr>
              <w:widowControl/>
              <w:numPr>
                <w:ilvl w:val="0"/>
                <w:numId w:val="0"/>
              </w:numPr>
              <w:spacing w:beforeLines="0" w:afterLines="0"/>
              <w:jc w:val="left"/>
              <w:rPr>
                <w:rFonts w:hint="eastAsia" w:ascii="宋体" w:hAnsi="宋体" w:eastAsia="宋体"/>
                <w:b w:val="0"/>
                <w:bCs w:val="0"/>
                <w:color w:val="000000"/>
                <w:w w:val="100"/>
                <w:sz w:val="24"/>
                <w:lang w:eastAsia="zh-CN" w:bidi="ar"/>
              </w:rPr>
            </w:pPr>
            <w:r>
              <w:rPr>
                <w:rFonts w:hint="eastAsia" w:ascii="宋体" w:hAnsi="宋体"/>
                <w:b w:val="0"/>
                <w:bCs w:val="0"/>
                <w:color w:val="000000"/>
                <w:w w:val="100"/>
                <w:sz w:val="24"/>
                <w:u w:val="none"/>
                <w:lang w:val="en-US" w:eastAsia="zh-CN" w:bidi="ar"/>
              </w:rPr>
              <w:t>3、</w:t>
            </w:r>
            <w:r>
              <w:rPr>
                <w:rFonts w:hint="eastAsia" w:ascii="宋体" w:hAnsi="宋体" w:eastAsia="宋体"/>
                <w:b w:val="0"/>
                <w:bCs w:val="0"/>
                <w:color w:val="000000"/>
                <w:w w:val="100"/>
                <w:sz w:val="24"/>
                <w:u w:val="none"/>
                <w:lang w:eastAsia="zh-CN" w:bidi="ar"/>
              </w:rPr>
              <w:t>《工贸企业有限空间作业安全规定》第十九条第一项：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w:t>
            </w:r>
            <w:r>
              <w:rPr>
                <w:rFonts w:hint="eastAsia" w:ascii="宋体" w:hAnsi="宋体"/>
                <w:b w:val="0"/>
                <w:bCs w:val="0"/>
                <w:color w:val="000000"/>
                <w:w w:val="100"/>
                <w:sz w:val="24"/>
                <w:u w:val="none"/>
                <w:lang w:eastAsia="zh-CN" w:bidi="ar"/>
              </w:rPr>
              <w:t>。</w:t>
            </w:r>
          </w:p>
        </w:tc>
        <w:tc>
          <w:tcPr>
            <w:tcW w:w="2386" w:type="dxa"/>
            <w:tcBorders>
              <w:tl2br w:val="nil"/>
              <w:tr2bl w:val="nil"/>
            </w:tcBorders>
            <w:vAlign w:val="center"/>
          </w:tcPr>
          <w:p w14:paraId="4100EC5C">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71EAADF0">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2C2BEAB3">
            <w:pPr>
              <w:jc w:val="left"/>
            </w:pPr>
            <w:r>
              <w:rPr>
                <w:rFonts w:hint="eastAsia" w:ascii="宋体" w:hAnsi="宋体"/>
                <w:b w:val="0"/>
                <w:color w:val="000000"/>
                <w:sz w:val="24"/>
                <w:u w:val="none"/>
                <w:lang w:val="en-US" w:eastAsia="zh-CN" w:bidi="ar"/>
              </w:rPr>
              <w:t>3、危害后果轻微。</w:t>
            </w:r>
          </w:p>
          <w:p w14:paraId="0DF8087D">
            <w:pPr>
              <w:widowControl/>
              <w:numPr>
                <w:ilvl w:val="0"/>
                <w:numId w:val="0"/>
              </w:numPr>
              <w:spacing w:beforeLines="0" w:afterLines="0"/>
              <w:jc w:val="left"/>
              <w:rPr>
                <w:rFonts w:hint="eastAsia" w:ascii="宋体" w:hAnsi="宋体"/>
                <w:b w:val="0"/>
                <w:color w:val="000000"/>
                <w:sz w:val="24"/>
                <w:lang w:val="en-US" w:eastAsia="zh-CN" w:bidi="ar"/>
              </w:rPr>
            </w:pPr>
          </w:p>
        </w:tc>
      </w:tr>
      <w:tr w14:paraId="3425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3A2F3E74">
            <w:pPr>
              <w:keepNext w:val="0"/>
              <w:keepLines w:val="0"/>
              <w:widowControl/>
              <w:numPr>
                <w:ilvl w:val="0"/>
                <w:numId w:val="0"/>
              </w:numPr>
              <w:suppressLineNumbers w:val="0"/>
              <w:spacing w:beforeLines="0" w:afterLines="0"/>
              <w:jc w:val="center"/>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Times New Roman"/>
                <w:i w:val="0"/>
                <w:color w:val="000000"/>
                <w:kern w:val="2"/>
                <w:sz w:val="24"/>
                <w:szCs w:val="24"/>
                <w:u w:val="none"/>
                <w:lang w:val="en-US" w:eastAsia="zh-CN" w:bidi="ar"/>
              </w:rPr>
              <w:t>3</w:t>
            </w:r>
          </w:p>
        </w:tc>
        <w:tc>
          <w:tcPr>
            <w:tcW w:w="2385" w:type="dxa"/>
            <w:tcBorders>
              <w:tl2br w:val="nil"/>
              <w:tr2bl w:val="nil"/>
            </w:tcBorders>
            <w:vAlign w:val="center"/>
          </w:tcPr>
          <w:p w14:paraId="1414A5A0">
            <w:pPr>
              <w:keepNext w:val="0"/>
              <w:keepLines w:val="0"/>
              <w:widowControl/>
              <w:suppressLineNumbers w:val="0"/>
              <w:spacing w:beforeLines="0" w:afterLines="0"/>
              <w:jc w:val="left"/>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cs="Times New Roman"/>
                <w:i w:val="0"/>
                <w:color w:val="000000"/>
                <w:kern w:val="2"/>
                <w:sz w:val="24"/>
                <w:szCs w:val="24"/>
                <w:u w:val="none"/>
                <w:lang w:val="en-US" w:eastAsia="zh-CN" w:bidi="ar"/>
              </w:rPr>
              <w:t>特种作业人员特种作业操作证到期未复审，且过期时间不超过6个月的</w:t>
            </w:r>
          </w:p>
        </w:tc>
        <w:tc>
          <w:tcPr>
            <w:tcW w:w="7827" w:type="dxa"/>
            <w:tcBorders>
              <w:tl2br w:val="nil"/>
              <w:tr2bl w:val="nil"/>
            </w:tcBorders>
            <w:vAlign w:val="center"/>
          </w:tcPr>
          <w:p w14:paraId="4A1199E7">
            <w:pPr>
              <w:widowControl/>
              <w:numPr>
                <w:ilvl w:val="0"/>
                <w:numId w:val="0"/>
              </w:numPr>
              <w:spacing w:beforeLines="0" w:afterLines="0"/>
              <w:jc w:val="left"/>
              <w:rPr>
                <w:rFonts w:hint="eastAsia" w:ascii="宋体" w:hAnsi="宋体" w:eastAsia="宋体"/>
                <w:b/>
                <w:bCs/>
                <w:color w:val="000000"/>
                <w:w w:val="100"/>
                <w:sz w:val="24"/>
                <w:lang w:eastAsia="zh-CN" w:bidi="ar"/>
              </w:rPr>
            </w:pPr>
            <w:r>
              <w:rPr>
                <w:rFonts w:hint="eastAsia" w:ascii="宋体" w:hAnsi="宋体" w:eastAsia="宋体"/>
                <w:b/>
                <w:bCs/>
                <w:color w:val="000000"/>
                <w:w w:val="100"/>
                <w:sz w:val="24"/>
                <w:lang w:eastAsia="zh-CN" w:bidi="ar"/>
              </w:rPr>
              <w:t>【违法依据】</w:t>
            </w:r>
          </w:p>
          <w:p w14:paraId="7A0BAB6E">
            <w:pPr>
              <w:keepNext w:val="0"/>
              <w:keepLines w:val="0"/>
              <w:widowControl/>
              <w:numPr>
                <w:ilvl w:val="0"/>
                <w:numId w:val="0"/>
              </w:numPr>
              <w:suppressLineNumbers w:val="0"/>
              <w:pBdr>
                <w:top w:val="none" w:color="auto" w:sz="0" w:space="0"/>
                <w:left w:val="none" w:color="auto" w:sz="0" w:space="0"/>
              </w:pBdr>
              <w:wordWrap/>
              <w:spacing w:beforeLines="0" w:afterLines="0"/>
              <w:ind w:left="0"/>
              <w:jc w:val="left"/>
            </w:pPr>
            <w:r>
              <w:rPr>
                <w:rFonts w:hint="eastAsia" w:ascii="宋体" w:hAnsi="宋体"/>
                <w:b w:val="0"/>
                <w:bCs w:val="0"/>
                <w:color w:val="000000"/>
                <w:w w:val="100"/>
                <w:sz w:val="24"/>
                <w:lang w:val="en-US" w:eastAsia="zh-CN" w:bidi="ar"/>
              </w:rPr>
              <w:t>1、</w:t>
            </w:r>
            <w:bookmarkStart w:id="0" w:name="_GoBack"/>
            <w:bookmarkEnd w:id="0"/>
            <w:r>
              <w:rPr>
                <w:rFonts w:hint="eastAsia" w:ascii="宋体" w:hAnsi="宋体"/>
                <w:color w:val="000000"/>
                <w:sz w:val="24"/>
                <w:lang w:bidi="ar"/>
              </w:rPr>
              <w:t>《中华人民共和国安全生产法》第</w:t>
            </w:r>
            <w:r>
              <w:rPr>
                <w:rFonts w:hint="eastAsia" w:ascii="宋体" w:hAnsi="宋体"/>
                <w:color w:val="000000"/>
                <w:sz w:val="24"/>
                <w:lang w:val="en-US" w:eastAsia="zh-CN" w:bidi="ar"/>
              </w:rPr>
              <w:t>三十</w:t>
            </w:r>
            <w:r>
              <w:rPr>
                <w:rFonts w:hint="eastAsia" w:ascii="宋体" w:hAnsi="宋体"/>
                <w:color w:val="000000"/>
                <w:sz w:val="24"/>
                <w:lang w:bidi="ar"/>
              </w:rPr>
              <w:t>条</w:t>
            </w:r>
            <w:r>
              <w:rPr>
                <w:rFonts w:hint="eastAsia" w:ascii="宋体" w:hAnsi="宋体"/>
                <w:color w:val="000000"/>
                <w:sz w:val="24"/>
                <w:lang w:val="en-US" w:eastAsia="zh-CN" w:bidi="ar"/>
              </w:rPr>
              <w:t>第一款</w:t>
            </w:r>
            <w:r>
              <w:rPr>
                <w:rFonts w:hint="eastAsia" w:ascii="宋体" w:hAnsi="宋体"/>
                <w:color w:val="000000"/>
                <w:sz w:val="24"/>
                <w:lang w:bidi="ar"/>
              </w:rPr>
              <w:t>：</w:t>
            </w:r>
            <w:r>
              <w:rPr>
                <w:rStyle w:val="9"/>
                <w:rFonts w:hint="eastAsia" w:ascii="宋体" w:hAnsi="宋体" w:eastAsia="宋体" w:cs="Times New Roman"/>
                <w:i w:val="0"/>
                <w:color w:val="000000"/>
                <w:sz w:val="24"/>
                <w:szCs w:val="24"/>
                <w:lang w:val="en-US" w:eastAsia="zh-CN" w:bidi="ar"/>
              </w:rPr>
              <w:t>生产经营单位的特种作业人员必须按照国家有关规定经专门的安全作业培训,取得相应资格,方可上岗作业</w:t>
            </w:r>
            <w:r>
              <w:rPr>
                <w:rFonts w:hint="eastAsia" w:ascii="宋体" w:hAnsi="宋体" w:eastAsia="宋体" w:cs="Times New Roman"/>
                <w:color w:val="000000"/>
                <w:kern w:val="2"/>
                <w:sz w:val="24"/>
                <w:szCs w:val="24"/>
                <w:lang w:val="en-US" w:eastAsia="zh-CN" w:bidi="ar"/>
              </w:rPr>
              <w:t>。</w:t>
            </w:r>
          </w:p>
          <w:p w14:paraId="4F2F0EE9">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eastAsia="宋体"/>
                <w:b/>
                <w:bCs/>
                <w:color w:val="000000"/>
                <w:w w:val="100"/>
                <w:sz w:val="24"/>
                <w:lang w:eastAsia="zh-CN" w:bidi="ar"/>
              </w:rPr>
              <w:t>【处罚依据】</w:t>
            </w:r>
            <w:r>
              <w:rPr>
                <w:rFonts w:hint="eastAsia" w:ascii="宋体" w:hAnsi="宋体"/>
                <w:color w:val="000000"/>
                <w:sz w:val="24"/>
                <w:lang w:bidi="ar"/>
              </w:rPr>
              <w:t>《中华人民共和国安全生产法》第九十七条</w:t>
            </w:r>
            <w:r>
              <w:rPr>
                <w:rFonts w:hint="eastAsia" w:ascii="宋体" w:hAnsi="宋体"/>
                <w:color w:val="000000"/>
                <w:sz w:val="24"/>
                <w:lang w:val="en-US" w:eastAsia="zh-CN" w:bidi="ar"/>
              </w:rPr>
              <w:t>第七项：</w:t>
            </w:r>
            <w:r>
              <w:rPr>
                <w:rFonts w:hint="eastAsia" w:ascii="宋体" w:hAnsi="宋体"/>
                <w:color w:val="000000"/>
                <w:sz w:val="24"/>
                <w:lang w:bidi="ar"/>
              </w:rPr>
              <w:t>生产经营单位有下列行为之一的,责令限期改正,处十万元以下的罚款;逾期未改正的,责令停产停业整顿,并处十万元以上二十万元以下的罚款,对其直接负责的主管人员和其他直接(七)特种作业人员未按照规定经专门的安全作业培训并取得相应资格,上岗作业的。</w:t>
            </w:r>
          </w:p>
        </w:tc>
        <w:tc>
          <w:tcPr>
            <w:tcW w:w="2386" w:type="dxa"/>
            <w:tcBorders>
              <w:tl2br w:val="nil"/>
              <w:tr2bl w:val="nil"/>
            </w:tcBorders>
            <w:vAlign w:val="center"/>
          </w:tcPr>
          <w:p w14:paraId="39DE4165">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2EE790F2">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513F77F4">
            <w:pPr>
              <w:jc w:val="left"/>
            </w:pPr>
            <w:r>
              <w:rPr>
                <w:rFonts w:hint="eastAsia" w:ascii="宋体" w:hAnsi="宋体"/>
                <w:b w:val="0"/>
                <w:color w:val="000000"/>
                <w:sz w:val="24"/>
                <w:u w:val="none"/>
                <w:lang w:val="en-US" w:eastAsia="zh-CN" w:bidi="ar"/>
              </w:rPr>
              <w:t>3、危害后果轻微。</w:t>
            </w:r>
          </w:p>
          <w:p w14:paraId="2F4EE270">
            <w:pPr>
              <w:jc w:val="left"/>
            </w:pPr>
          </w:p>
          <w:p w14:paraId="75B51942">
            <w:pPr>
              <w:widowControl/>
              <w:numPr>
                <w:ilvl w:val="0"/>
                <w:numId w:val="0"/>
              </w:numPr>
              <w:spacing w:beforeLines="0" w:afterLines="0"/>
              <w:ind w:left="0" w:leftChars="0" w:firstLine="0" w:firstLineChars="0"/>
              <w:jc w:val="left"/>
              <w:rPr>
                <w:rFonts w:hint="eastAsia" w:ascii="宋体" w:hAnsi="宋体"/>
                <w:b w:val="0"/>
                <w:color w:val="000000"/>
                <w:sz w:val="24"/>
                <w:lang w:val="en-US" w:eastAsia="zh-CN" w:bidi="ar"/>
              </w:rPr>
            </w:pPr>
          </w:p>
        </w:tc>
      </w:tr>
      <w:tr w14:paraId="2918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1487CEE4">
            <w:pPr>
              <w:keepNext w:val="0"/>
              <w:keepLines w:val="0"/>
              <w:widowControl/>
              <w:numPr>
                <w:ilvl w:val="0"/>
                <w:numId w:val="0"/>
              </w:numPr>
              <w:suppressLineNumbers w:val="0"/>
              <w:spacing w:beforeLines="0" w:afterLines="0"/>
              <w:jc w:val="center"/>
              <w:textAlignment w:val="auto"/>
              <w:rPr>
                <w:rFonts w:hint="default" w:ascii="宋体" w:hAnsi="宋体" w:eastAsia="宋体" w:cs="Times New Roman"/>
                <w:i w:val="0"/>
                <w:color w:val="000000"/>
                <w:kern w:val="2"/>
                <w:sz w:val="24"/>
                <w:szCs w:val="24"/>
                <w:u w:val="none"/>
                <w:lang w:val="en-US" w:eastAsia="zh-CN" w:bidi="ar"/>
              </w:rPr>
            </w:pPr>
            <w:r>
              <w:rPr>
                <w:rFonts w:hint="eastAsia" w:ascii="宋体" w:hAnsi="宋体" w:cs="Times New Roman"/>
                <w:i w:val="0"/>
                <w:color w:val="000000"/>
                <w:kern w:val="2"/>
                <w:sz w:val="24"/>
                <w:szCs w:val="24"/>
                <w:u w:val="none"/>
                <w:lang w:val="en-US" w:eastAsia="zh-CN" w:bidi="ar"/>
              </w:rPr>
              <w:t>4</w:t>
            </w:r>
          </w:p>
        </w:tc>
        <w:tc>
          <w:tcPr>
            <w:tcW w:w="2385" w:type="dxa"/>
            <w:tcBorders>
              <w:tl2br w:val="nil"/>
              <w:tr2bl w:val="nil"/>
            </w:tcBorders>
            <w:vAlign w:val="center"/>
          </w:tcPr>
          <w:p w14:paraId="3644BB5C">
            <w:pPr>
              <w:keepNext w:val="0"/>
              <w:keepLines w:val="0"/>
              <w:widowControl/>
              <w:numPr>
                <w:ilvl w:val="0"/>
                <w:numId w:val="0"/>
              </w:numPr>
              <w:suppressLineNumbers w:val="0"/>
              <w:spacing w:beforeLines="0" w:afterLines="0"/>
              <w:jc w:val="left"/>
              <w:textAlignment w:val="auto"/>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i w:val="0"/>
                <w:color w:val="000000"/>
                <w:kern w:val="2"/>
                <w:sz w:val="24"/>
                <w:szCs w:val="24"/>
                <w:u w:val="none"/>
                <w:lang w:val="en-US" w:eastAsia="zh-CN" w:bidi="ar"/>
              </w:rPr>
              <w:t>未如实记录安全生产教育和培训情况</w:t>
            </w:r>
          </w:p>
        </w:tc>
        <w:tc>
          <w:tcPr>
            <w:tcW w:w="7827" w:type="dxa"/>
            <w:tcBorders>
              <w:tl2br w:val="nil"/>
              <w:tr2bl w:val="nil"/>
            </w:tcBorders>
            <w:vAlign w:val="center"/>
          </w:tcPr>
          <w:p w14:paraId="667A75F1">
            <w:pPr>
              <w:widowControl/>
              <w:numPr>
                <w:ilvl w:val="0"/>
                <w:numId w:val="0"/>
              </w:numPr>
              <w:spacing w:beforeLines="0" w:afterLines="0"/>
              <w:jc w:val="left"/>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【违法依据】</w:t>
            </w:r>
          </w:p>
          <w:p w14:paraId="20CC0260">
            <w:pPr>
              <w:widowControl/>
              <w:numPr>
                <w:ilvl w:val="0"/>
                <w:numId w:val="0"/>
              </w:numPr>
              <w:spacing w:beforeLines="0" w:afterLines="0"/>
              <w:jc w:val="left"/>
              <w:rPr>
                <w:rFonts w:hint="eastAsia" w:ascii="宋体" w:hAnsi="宋体"/>
                <w:color w:val="000000"/>
                <w:sz w:val="24"/>
                <w:lang w:bidi="ar"/>
              </w:rPr>
            </w:pPr>
            <w:r>
              <w:rPr>
                <w:rFonts w:hint="eastAsia" w:ascii="宋体" w:hAnsi="宋体"/>
                <w:color w:val="000000"/>
                <w:sz w:val="24"/>
                <w:lang w:val="en-US" w:eastAsia="zh-CN" w:bidi="ar"/>
              </w:rPr>
              <w:t>1、</w:t>
            </w:r>
            <w:r>
              <w:rPr>
                <w:rFonts w:hint="eastAsia" w:ascii="宋体" w:hAnsi="宋体"/>
                <w:color w:val="000000"/>
                <w:sz w:val="24"/>
                <w:lang w:bidi="ar"/>
              </w:rPr>
              <w:t>《中华人民共和国安全生产法》第二十八条第四款：生产经营单位应当建立安全生产教育和培训档案，如实记录安全生产教育和培训的时间、内容、参加人员以及考核结果等情况</w:t>
            </w:r>
            <w:r>
              <w:rPr>
                <w:rFonts w:hint="eastAsia" w:ascii="宋体" w:hAnsi="宋体"/>
                <w:color w:val="000000"/>
                <w:sz w:val="24"/>
                <w:lang w:eastAsia="zh-CN" w:bidi="ar"/>
              </w:rPr>
              <w:t>；</w:t>
            </w:r>
          </w:p>
          <w:p w14:paraId="399B82DF">
            <w:pPr>
              <w:widowControl/>
              <w:numPr>
                <w:ilvl w:val="0"/>
                <w:numId w:val="0"/>
              </w:numPr>
              <w:spacing w:beforeLines="0" w:afterLines="0"/>
              <w:jc w:val="left"/>
              <w:rPr>
                <w:rFonts w:hint="eastAsia" w:ascii="宋体" w:hAnsi="宋体"/>
                <w:color w:val="000000"/>
                <w:sz w:val="24"/>
                <w:lang w:bidi="ar"/>
              </w:rPr>
            </w:pPr>
            <w:r>
              <w:rPr>
                <w:rFonts w:hint="eastAsia" w:ascii="宋体" w:hAnsi="宋体"/>
                <w:color w:val="000000"/>
                <w:sz w:val="24"/>
                <w:lang w:val="en-US" w:eastAsia="zh-CN" w:bidi="ar"/>
              </w:rPr>
              <w:t>2</w:t>
            </w:r>
            <w:r>
              <w:rPr>
                <w:rFonts w:hint="eastAsia" w:ascii="宋体" w:hAnsi="宋体"/>
                <w:color w:val="000000"/>
                <w:sz w:val="24"/>
                <w:lang w:eastAsia="zh-CN" w:bidi="ar"/>
              </w:rPr>
              <w:t>、</w:t>
            </w:r>
            <w:r>
              <w:rPr>
                <w:rFonts w:hint="eastAsia" w:ascii="宋体" w:hAnsi="宋体"/>
                <w:color w:val="000000"/>
                <w:sz w:val="24"/>
                <w:lang w:bidi="ar"/>
              </w:rPr>
              <w:t>《工贸企业有限空间作业安全规定》第九条：工贸企业应当每年至少组织一次有限空间作业专题安全培训，对作业审批人、监护人员、作业人员和应急救援人员培训有限空间作业安全知识和技能，并如实记录。</w:t>
            </w:r>
          </w:p>
          <w:p w14:paraId="6A9E319E">
            <w:pPr>
              <w:widowControl/>
              <w:numPr>
                <w:ilvl w:val="0"/>
                <w:numId w:val="0"/>
              </w:numPr>
              <w:spacing w:beforeLines="0" w:afterLines="0"/>
              <w:jc w:val="left"/>
              <w:rPr>
                <w:rFonts w:hint="eastAsia" w:ascii="宋体" w:hAnsi="宋体"/>
                <w:color w:val="000000"/>
                <w:sz w:val="24"/>
                <w:lang w:bidi="ar"/>
              </w:rPr>
            </w:pPr>
            <w:r>
              <w:rPr>
                <w:rFonts w:hint="eastAsia" w:ascii="宋体" w:hAnsi="宋体"/>
                <w:color w:val="000000"/>
                <w:sz w:val="24"/>
                <w:lang w:bidi="ar"/>
              </w:rPr>
              <w:t>未经培训合格不得参与有限空间作业。</w:t>
            </w:r>
          </w:p>
          <w:p w14:paraId="3C3FE6CF">
            <w:pPr>
              <w:widowControl/>
              <w:numPr>
                <w:ilvl w:val="0"/>
                <w:numId w:val="0"/>
              </w:numPr>
              <w:spacing w:beforeLines="0" w:afterLines="0"/>
              <w:jc w:val="left"/>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【处罚依据】</w:t>
            </w:r>
          </w:p>
          <w:p w14:paraId="76E9719D">
            <w:pPr>
              <w:widowControl/>
              <w:numPr>
                <w:ilvl w:val="0"/>
                <w:numId w:val="0"/>
              </w:numPr>
              <w:spacing w:beforeLines="0" w:afterLines="0"/>
              <w:jc w:val="left"/>
              <w:rPr>
                <w:rFonts w:hint="eastAsia" w:ascii="宋体" w:hAnsi="宋体"/>
                <w:color w:val="000000"/>
                <w:sz w:val="24"/>
                <w:lang w:bidi="ar"/>
              </w:rPr>
            </w:pPr>
            <w:r>
              <w:rPr>
                <w:rFonts w:hint="eastAsia" w:ascii="宋体" w:hAnsi="宋体"/>
                <w:color w:val="000000"/>
                <w:sz w:val="24"/>
                <w:lang w:val="en-US" w:eastAsia="zh-CN" w:bidi="ar"/>
              </w:rPr>
              <w:t>1、</w:t>
            </w:r>
            <w:r>
              <w:rPr>
                <w:rFonts w:hint="eastAsia" w:ascii="宋体" w:hAnsi="宋体"/>
                <w:color w:val="000000"/>
                <w:sz w:val="24"/>
                <w:lang w:bidi="ar"/>
              </w:rPr>
              <w:t>《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宋体" w:hAnsi="宋体"/>
                <w:color w:val="000000"/>
                <w:sz w:val="24"/>
                <w:lang w:eastAsia="zh-CN" w:bidi="ar"/>
              </w:rPr>
              <w:t>；</w:t>
            </w:r>
          </w:p>
          <w:p w14:paraId="2653AA9B">
            <w:pPr>
              <w:widowControl/>
              <w:numPr>
                <w:ilvl w:val="0"/>
                <w:numId w:val="0"/>
              </w:numPr>
              <w:spacing w:beforeLines="0" w:afterLines="0"/>
              <w:jc w:val="left"/>
              <w:rPr>
                <w:rFonts w:hint="eastAsia" w:ascii="宋体" w:hAnsi="宋体" w:eastAsia="宋体" w:cs="Times New Roman"/>
                <w:b w:val="0"/>
                <w:color w:val="000000"/>
                <w:kern w:val="2"/>
                <w:sz w:val="24"/>
                <w:szCs w:val="24"/>
                <w:lang w:val="en-US" w:eastAsia="zh-CN" w:bidi="ar"/>
              </w:rPr>
            </w:pPr>
            <w:r>
              <w:rPr>
                <w:rFonts w:hint="eastAsia" w:ascii="宋体" w:hAnsi="宋体"/>
                <w:color w:val="000000"/>
                <w:sz w:val="24"/>
                <w:lang w:val="en-US" w:eastAsia="zh-CN" w:bidi="ar"/>
              </w:rPr>
              <w:t>2、</w:t>
            </w:r>
            <w:r>
              <w:rPr>
                <w:rFonts w:hint="eastAsia" w:ascii="宋体" w:hAnsi="宋体"/>
                <w:color w:val="000000"/>
                <w:sz w:val="24"/>
                <w:lang w:bidi="ar"/>
              </w:rPr>
              <w:t>《工贸企业有限空间作业安全规定》第二十条第一项：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r>
              <w:rPr>
                <w:rFonts w:hint="eastAsia" w:ascii="宋体" w:hAnsi="宋体"/>
                <w:color w:val="000000"/>
                <w:sz w:val="24"/>
                <w:lang w:eastAsia="zh-CN" w:bidi="ar"/>
              </w:rPr>
              <w:t>。</w:t>
            </w:r>
          </w:p>
        </w:tc>
        <w:tc>
          <w:tcPr>
            <w:tcW w:w="2386" w:type="dxa"/>
            <w:tcBorders>
              <w:tl2br w:val="nil"/>
              <w:tr2bl w:val="nil"/>
            </w:tcBorders>
            <w:vAlign w:val="center"/>
          </w:tcPr>
          <w:p w14:paraId="4141CFAD">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1AC8DCFE">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41053BA7">
            <w:pPr>
              <w:jc w:val="left"/>
            </w:pPr>
            <w:r>
              <w:rPr>
                <w:rFonts w:hint="eastAsia" w:ascii="宋体" w:hAnsi="宋体"/>
                <w:b w:val="0"/>
                <w:color w:val="000000"/>
                <w:sz w:val="24"/>
                <w:u w:val="none"/>
                <w:lang w:val="en-US" w:eastAsia="zh-CN" w:bidi="ar"/>
              </w:rPr>
              <w:t>3、危害后果轻微。</w:t>
            </w:r>
          </w:p>
          <w:p w14:paraId="095D4622">
            <w:pPr>
              <w:jc w:val="left"/>
            </w:pPr>
          </w:p>
          <w:p w14:paraId="668D3487">
            <w:pPr>
              <w:widowControl/>
              <w:numPr>
                <w:ilvl w:val="0"/>
                <w:numId w:val="0"/>
              </w:numPr>
              <w:spacing w:beforeLines="0" w:afterLines="0"/>
              <w:jc w:val="left"/>
              <w:rPr>
                <w:rFonts w:hint="eastAsia" w:ascii="宋体" w:hAnsi="宋体" w:eastAsia="宋体" w:cs="Times New Roman"/>
                <w:b w:val="0"/>
                <w:color w:val="000000"/>
                <w:kern w:val="2"/>
                <w:sz w:val="24"/>
                <w:szCs w:val="24"/>
                <w:lang w:val="en-US" w:eastAsia="zh-CN" w:bidi="ar"/>
              </w:rPr>
            </w:pPr>
          </w:p>
        </w:tc>
      </w:tr>
      <w:tr w14:paraId="4CC8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33FC63B8">
            <w:pPr>
              <w:keepNext w:val="0"/>
              <w:keepLines w:val="0"/>
              <w:widowControl/>
              <w:suppressLineNumbers w:val="0"/>
              <w:jc w:val="center"/>
              <w:textAlignment w:val="center"/>
              <w:rPr>
                <w:rFonts w:hint="eastAsia" w:ascii="宋体" w:hAnsi="宋体" w:eastAsia="宋体" w:cs="Times New Roman"/>
                <w:i w:val="0"/>
                <w:color w:val="000000"/>
                <w:kern w:val="2"/>
                <w:sz w:val="24"/>
                <w:szCs w:val="24"/>
                <w:u w:val="none"/>
                <w:lang w:val="en-US" w:eastAsia="zh-CN" w:bidi="ar"/>
              </w:rPr>
            </w:pPr>
            <w:r>
              <w:rPr>
                <w:rFonts w:hint="eastAsia" w:ascii="宋体" w:hAnsi="宋体" w:cs="宋体"/>
                <w:i w:val="0"/>
                <w:color w:val="000000"/>
                <w:kern w:val="0"/>
                <w:sz w:val="22"/>
                <w:szCs w:val="22"/>
                <w:u w:val="none"/>
                <w:lang w:val="en-US" w:eastAsia="zh-CN" w:bidi="ar"/>
              </w:rPr>
              <w:t>5</w:t>
            </w:r>
          </w:p>
        </w:tc>
        <w:tc>
          <w:tcPr>
            <w:tcW w:w="2385" w:type="dxa"/>
            <w:tcBorders>
              <w:tl2br w:val="nil"/>
              <w:tr2bl w:val="nil"/>
            </w:tcBorders>
            <w:vAlign w:val="center"/>
          </w:tcPr>
          <w:p w14:paraId="60F2A7F5">
            <w:pPr>
              <w:keepNext w:val="0"/>
              <w:keepLines w:val="0"/>
              <w:widowControl/>
              <w:suppressLineNumbers w:val="0"/>
              <w:jc w:val="left"/>
              <w:textAlignment w:val="center"/>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未建立安全风险分级管控制度或者未按照安全风险分级采取相应管控措施</w:t>
            </w:r>
          </w:p>
        </w:tc>
        <w:tc>
          <w:tcPr>
            <w:tcW w:w="7827" w:type="dxa"/>
            <w:tcBorders>
              <w:tl2br w:val="nil"/>
              <w:tr2bl w:val="nil"/>
            </w:tcBorders>
            <w:vAlign w:val="center"/>
          </w:tcPr>
          <w:p w14:paraId="2C679FA1">
            <w:pPr>
              <w:widowControl/>
              <w:numPr>
                <w:ilvl w:val="0"/>
                <w:numId w:val="0"/>
              </w:numPr>
              <w:spacing w:beforeLines="0" w:afterLines="0"/>
              <w:jc w:val="left"/>
              <w:rPr>
                <w:rFonts w:hint="eastAsia" w:ascii="宋体" w:hAnsi="宋体"/>
                <w:color w:val="000000"/>
                <w:sz w:val="24"/>
                <w:lang w:bidi="ar"/>
              </w:rPr>
            </w:pPr>
            <w:r>
              <w:rPr>
                <w:rFonts w:hint="eastAsia" w:ascii="宋体" w:hAnsi="宋体" w:eastAsia="宋体"/>
                <w:b/>
                <w:bCs/>
                <w:color w:val="000000"/>
                <w:w w:val="100"/>
                <w:sz w:val="24"/>
                <w:u w:val="none"/>
                <w:lang w:eastAsia="zh-CN" w:bidi="ar"/>
              </w:rPr>
              <w:t>【违法依据】</w:t>
            </w:r>
            <w:r>
              <w:rPr>
                <w:rFonts w:hint="eastAsia" w:ascii="宋体" w:hAnsi="宋体"/>
                <w:color w:val="000000"/>
                <w:sz w:val="24"/>
                <w:lang w:bidi="ar"/>
              </w:rPr>
              <w:t>《中华人民共和国安全生产法》第四十一条第一款：生产经营单位应当建立安全风险分级管控制度，按照安全风险分级采取相应的管控措施。</w:t>
            </w:r>
          </w:p>
          <w:p w14:paraId="77CC8914">
            <w:pPr>
              <w:widowControl/>
              <w:numPr>
                <w:ilvl w:val="0"/>
                <w:numId w:val="0"/>
              </w:numPr>
              <w:spacing w:beforeLines="0" w:afterLines="0"/>
              <w:jc w:val="left"/>
              <w:rPr>
                <w:rFonts w:hint="eastAsia" w:ascii="宋体" w:hAnsi="宋体"/>
                <w:b w:val="0"/>
                <w:bCs w:val="0"/>
                <w:color w:val="000000"/>
                <w:w w:val="100"/>
                <w:sz w:val="24"/>
                <w:u w:val="none"/>
                <w:lang w:val="en-US" w:eastAsia="zh-CN" w:bidi="ar"/>
              </w:rPr>
            </w:pPr>
            <w:r>
              <w:rPr>
                <w:rFonts w:hint="eastAsia" w:ascii="宋体" w:hAnsi="宋体" w:eastAsia="宋体"/>
                <w:b/>
                <w:bCs/>
                <w:color w:val="000000"/>
                <w:w w:val="100"/>
                <w:sz w:val="24"/>
                <w:u w:val="none"/>
                <w:lang w:eastAsia="zh-CN" w:bidi="ar"/>
              </w:rPr>
              <w:t>【处罚依据】</w:t>
            </w:r>
            <w:r>
              <w:rPr>
                <w:rFonts w:hint="eastAsia" w:ascii="宋体" w:hAnsi="宋体"/>
                <w:color w:val="000000"/>
                <w:sz w:val="24"/>
                <w:lang w:bidi="ar"/>
              </w:rPr>
              <w:t>《中华人民共和国安全生产法》第一百零一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hint="eastAsia" w:ascii="宋体" w:hAnsi="宋体"/>
                <w:color w:val="000000"/>
                <w:sz w:val="24"/>
                <w:lang w:eastAsia="zh-CN" w:bidi="ar"/>
              </w:rPr>
              <w:t>。</w:t>
            </w:r>
          </w:p>
        </w:tc>
        <w:tc>
          <w:tcPr>
            <w:tcW w:w="2386" w:type="dxa"/>
            <w:tcBorders>
              <w:tl2br w:val="nil"/>
              <w:tr2bl w:val="nil"/>
            </w:tcBorders>
            <w:vAlign w:val="center"/>
          </w:tcPr>
          <w:p w14:paraId="6B28B1F2">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01F8364E">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7E6AAF5D">
            <w:pPr>
              <w:jc w:val="left"/>
            </w:pPr>
            <w:r>
              <w:rPr>
                <w:rFonts w:hint="eastAsia" w:ascii="宋体" w:hAnsi="宋体"/>
                <w:b w:val="0"/>
                <w:color w:val="000000"/>
                <w:sz w:val="24"/>
                <w:u w:val="none"/>
                <w:lang w:val="en-US" w:eastAsia="zh-CN" w:bidi="ar"/>
              </w:rPr>
              <w:t>3、危害后果轻微。</w:t>
            </w:r>
          </w:p>
          <w:p w14:paraId="52824B7A">
            <w:pPr>
              <w:widowControl/>
              <w:numPr>
                <w:ilvl w:val="0"/>
                <w:numId w:val="0"/>
              </w:numPr>
              <w:spacing w:beforeLines="0" w:afterLines="0"/>
              <w:jc w:val="left"/>
              <w:rPr>
                <w:rFonts w:hint="eastAsia" w:ascii="宋体" w:hAnsi="宋体"/>
                <w:b w:val="0"/>
                <w:color w:val="000000"/>
                <w:sz w:val="24"/>
                <w:lang w:val="en-US" w:eastAsia="zh-CN" w:bidi="ar"/>
              </w:rPr>
            </w:pPr>
          </w:p>
        </w:tc>
      </w:tr>
      <w:tr w14:paraId="76C0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33A9038F">
            <w:pPr>
              <w:keepNext w:val="0"/>
              <w:keepLines w:val="0"/>
              <w:widowControl/>
              <w:suppressLineNumbers w:val="0"/>
              <w:jc w:val="center"/>
              <w:textAlignment w:val="center"/>
              <w:rPr>
                <w:rFonts w:hint="default" w:ascii="宋体" w:hAnsi="宋体" w:eastAsia="宋体" w:cs="Times New Roman"/>
                <w:i w:val="0"/>
                <w:color w:val="000000"/>
                <w:kern w:val="2"/>
                <w:sz w:val="24"/>
                <w:szCs w:val="24"/>
                <w:u w:val="none"/>
                <w:lang w:val="en-US" w:eastAsia="zh-CN" w:bidi="ar"/>
              </w:rPr>
            </w:pPr>
            <w:r>
              <w:rPr>
                <w:rFonts w:hint="eastAsia" w:ascii="宋体" w:hAnsi="宋体" w:cs="宋体"/>
                <w:i w:val="0"/>
                <w:color w:val="000000"/>
                <w:kern w:val="0"/>
                <w:sz w:val="22"/>
                <w:szCs w:val="22"/>
                <w:u w:val="none"/>
                <w:lang w:val="en-US" w:eastAsia="zh-CN" w:bidi="ar"/>
              </w:rPr>
              <w:t>6</w:t>
            </w:r>
          </w:p>
        </w:tc>
        <w:tc>
          <w:tcPr>
            <w:tcW w:w="2385" w:type="dxa"/>
            <w:tcBorders>
              <w:tl2br w:val="nil"/>
              <w:tr2bl w:val="nil"/>
            </w:tcBorders>
            <w:vAlign w:val="center"/>
          </w:tcPr>
          <w:p w14:paraId="125506FB">
            <w:pPr>
              <w:keepNext w:val="0"/>
              <w:keepLines w:val="0"/>
              <w:widowControl/>
              <w:suppressLineNumbers w:val="0"/>
              <w:jc w:val="left"/>
              <w:textAlignment w:val="center"/>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未建立</w:t>
            </w:r>
            <w:r>
              <w:rPr>
                <w:rFonts w:hint="eastAsia" w:ascii="宋体" w:hAnsi="宋体" w:cs="宋体"/>
                <w:i w:val="0"/>
                <w:color w:val="000000"/>
                <w:kern w:val="0"/>
                <w:sz w:val="24"/>
                <w:szCs w:val="24"/>
                <w:u w:val="none"/>
                <w:lang w:val="en-US" w:eastAsia="zh-CN" w:bidi="ar"/>
              </w:rPr>
              <w:t>事故隐患排查治理制度</w:t>
            </w:r>
          </w:p>
        </w:tc>
        <w:tc>
          <w:tcPr>
            <w:tcW w:w="7827" w:type="dxa"/>
            <w:tcBorders>
              <w:tl2br w:val="nil"/>
              <w:tr2bl w:val="nil"/>
            </w:tcBorders>
            <w:vAlign w:val="center"/>
          </w:tcPr>
          <w:p w14:paraId="10722EB4">
            <w:pPr>
              <w:widowControl/>
              <w:numPr>
                <w:ilvl w:val="0"/>
                <w:numId w:val="0"/>
              </w:numPr>
              <w:spacing w:beforeLines="0" w:afterLines="0"/>
              <w:jc w:val="left"/>
              <w:rPr>
                <w:rFonts w:hint="eastAsia" w:ascii="宋体" w:hAnsi="宋体"/>
                <w:color w:val="000000"/>
                <w:sz w:val="24"/>
                <w:lang w:val="en-US" w:eastAsia="zh-CN" w:bidi="ar"/>
              </w:rPr>
            </w:pPr>
            <w:r>
              <w:rPr>
                <w:rFonts w:hint="eastAsia" w:ascii="宋体" w:hAnsi="宋体" w:eastAsia="宋体"/>
                <w:b/>
                <w:bCs/>
                <w:color w:val="000000"/>
                <w:w w:val="100"/>
                <w:sz w:val="24"/>
                <w:u w:val="none"/>
                <w:lang w:eastAsia="zh-CN" w:bidi="ar"/>
              </w:rPr>
              <w:t>【违法依据】</w:t>
            </w:r>
            <w:r>
              <w:rPr>
                <w:rFonts w:hint="eastAsia" w:ascii="宋体" w:hAnsi="宋体"/>
                <w:color w:val="000000"/>
                <w:sz w:val="24"/>
                <w:lang w:bidi="ar"/>
              </w:rPr>
              <w:t>《中华人民共和国安全生产法》第四</w:t>
            </w:r>
            <w:r>
              <w:rPr>
                <w:rFonts w:hint="eastAsia" w:ascii="宋体" w:hAnsi="宋体"/>
                <w:color w:val="000000"/>
                <w:sz w:val="24"/>
                <w:lang w:val="en-US" w:eastAsia="zh-CN" w:bidi="ar"/>
              </w:rPr>
              <w:t>十一</w:t>
            </w:r>
            <w:r>
              <w:rPr>
                <w:rFonts w:hint="eastAsia" w:ascii="宋体" w:hAnsi="宋体"/>
                <w:color w:val="000000"/>
                <w:sz w:val="24"/>
                <w:lang w:bidi="ar"/>
              </w:rPr>
              <w:t>条第</w:t>
            </w:r>
            <w:r>
              <w:rPr>
                <w:rFonts w:hint="eastAsia" w:ascii="宋体" w:hAnsi="宋体"/>
                <w:color w:val="000000"/>
                <w:sz w:val="24"/>
                <w:lang w:val="en-US" w:eastAsia="zh-CN" w:bidi="ar"/>
              </w:rPr>
              <w:t>二</w:t>
            </w:r>
            <w:r>
              <w:rPr>
                <w:rFonts w:hint="eastAsia" w:ascii="宋体" w:hAnsi="宋体"/>
                <w:color w:val="000000"/>
                <w:sz w:val="24"/>
                <w:lang w:bidi="ar"/>
              </w:rPr>
              <w:t>款：</w:t>
            </w:r>
            <w:r>
              <w:rPr>
                <w:rFonts w:hint="eastAsia" w:ascii="宋体" w:hAnsi="宋体"/>
                <w:color w:val="000000"/>
                <w:sz w:val="24"/>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5B19A80">
            <w:pPr>
              <w:widowControl/>
              <w:numPr>
                <w:ilvl w:val="0"/>
                <w:numId w:val="0"/>
              </w:numPr>
              <w:spacing w:beforeLines="0" w:afterLines="0"/>
              <w:jc w:val="left"/>
              <w:rPr>
                <w:rFonts w:hint="eastAsia" w:ascii="宋体" w:hAnsi="宋体"/>
                <w:color w:val="000000"/>
                <w:sz w:val="24"/>
                <w:lang w:val="en-US" w:eastAsia="zh-CN" w:bidi="ar"/>
              </w:rPr>
            </w:pPr>
            <w:r>
              <w:rPr>
                <w:rFonts w:hint="eastAsia" w:ascii="宋体" w:hAnsi="宋体" w:eastAsia="宋体"/>
                <w:b/>
                <w:bCs/>
                <w:color w:val="000000"/>
                <w:w w:val="100"/>
                <w:sz w:val="24"/>
                <w:u w:val="none"/>
                <w:lang w:eastAsia="zh-CN" w:bidi="ar"/>
              </w:rPr>
              <w:t>【处罚依据】</w:t>
            </w:r>
            <w:r>
              <w:rPr>
                <w:rFonts w:hint="eastAsia" w:ascii="宋体" w:hAnsi="宋体"/>
                <w:color w:val="000000"/>
                <w:sz w:val="24"/>
                <w:lang w:bidi="ar"/>
              </w:rPr>
              <w:t>《中华人民共和国安全生产法》</w:t>
            </w:r>
            <w:r>
              <w:rPr>
                <w:rFonts w:hint="eastAsia" w:ascii="宋体" w:hAnsi="宋体" w:eastAsia="宋体"/>
                <w:b w:val="0"/>
                <w:bCs w:val="0"/>
                <w:color w:val="000000"/>
                <w:w w:val="100"/>
                <w:sz w:val="24"/>
                <w:u w:val="none"/>
                <w:lang w:eastAsia="zh-CN" w:bidi="ar"/>
              </w:rPr>
              <w:t>第一百零一条</w:t>
            </w:r>
            <w:r>
              <w:rPr>
                <w:rFonts w:hint="eastAsia" w:ascii="宋体" w:hAnsi="宋体"/>
                <w:b w:val="0"/>
                <w:bCs w:val="0"/>
                <w:color w:val="000000"/>
                <w:w w:val="100"/>
                <w:sz w:val="24"/>
                <w:u w:val="none"/>
                <w:lang w:val="en-US" w:eastAsia="zh-CN" w:bidi="ar"/>
              </w:rPr>
              <w:t>第五项：第</w:t>
            </w:r>
            <w:r>
              <w:rPr>
                <w:rFonts w:hint="eastAsia" w:ascii="宋体" w:hAnsi="宋体" w:eastAsia="宋体"/>
                <w:b w:val="0"/>
                <w:bCs w:val="0"/>
                <w:color w:val="000000"/>
                <w:w w:val="100"/>
                <w:sz w:val="24"/>
                <w:u w:val="none"/>
                <w:lang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w:t>
            </w:r>
            <w:r>
              <w:rPr>
                <w:rFonts w:hint="eastAsia" w:ascii="宋体" w:hAnsi="宋体" w:eastAsia="宋体"/>
                <w:b w:val="0"/>
                <w:bCs w:val="0"/>
                <w:color w:val="000000"/>
                <w:w w:val="100"/>
                <w:kern w:val="2"/>
                <w:sz w:val="24"/>
                <w:u w:val="none"/>
                <w:lang w:eastAsia="zh-CN" w:bidi="ar"/>
              </w:rPr>
              <w:t>任:</w:t>
            </w:r>
            <w:r>
              <w:rPr>
                <w:rFonts w:hint="eastAsia" w:ascii="宋体" w:hAnsi="宋体" w:eastAsia="宋体" w:cs="Times New Roman"/>
                <w:color w:val="000000"/>
                <w:kern w:val="2"/>
                <w:sz w:val="24"/>
                <w:szCs w:val="24"/>
                <w:shd w:val="clear" w:color="auto" w:fill="FFFFFF"/>
              </w:rPr>
              <w:t>（五）</w:t>
            </w:r>
            <w:r>
              <w:rPr>
                <w:rFonts w:hint="eastAsia" w:ascii="宋体" w:hAnsi="宋体" w:eastAsia="宋体"/>
                <w:b w:val="0"/>
                <w:bCs w:val="0"/>
                <w:color w:val="000000"/>
                <w:w w:val="100"/>
                <w:sz w:val="24"/>
                <w:u w:val="none"/>
                <w:lang w:eastAsia="zh-CN" w:bidi="ar"/>
              </w:rPr>
              <w:t>未建立事故隐患排查治理制度，或者重大事故隐患排查治理情况未按照规定报告的。</w:t>
            </w:r>
          </w:p>
        </w:tc>
        <w:tc>
          <w:tcPr>
            <w:tcW w:w="2386" w:type="dxa"/>
            <w:tcBorders>
              <w:tl2br w:val="nil"/>
              <w:tr2bl w:val="nil"/>
            </w:tcBorders>
            <w:vAlign w:val="center"/>
          </w:tcPr>
          <w:p w14:paraId="20720601">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69254CBA">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43F04D7C">
            <w:pPr>
              <w:jc w:val="left"/>
            </w:pPr>
            <w:r>
              <w:rPr>
                <w:rFonts w:hint="eastAsia" w:ascii="宋体" w:hAnsi="宋体"/>
                <w:b w:val="0"/>
                <w:color w:val="000000"/>
                <w:sz w:val="24"/>
                <w:u w:val="none"/>
                <w:lang w:val="en-US" w:eastAsia="zh-CN" w:bidi="ar"/>
              </w:rPr>
              <w:t>3、危害后果轻微。</w:t>
            </w:r>
          </w:p>
          <w:p w14:paraId="7174D227">
            <w:pPr>
              <w:widowControl/>
              <w:numPr>
                <w:ilvl w:val="0"/>
                <w:numId w:val="0"/>
              </w:numPr>
              <w:spacing w:beforeLines="0" w:afterLines="0"/>
              <w:jc w:val="left"/>
              <w:rPr>
                <w:rFonts w:hint="eastAsia" w:ascii="宋体" w:hAnsi="宋体"/>
                <w:b w:val="0"/>
                <w:color w:val="000000"/>
                <w:sz w:val="24"/>
                <w:u w:val="none"/>
                <w:lang w:val="en-US" w:eastAsia="zh-CN" w:bidi="ar"/>
              </w:rPr>
            </w:pPr>
          </w:p>
        </w:tc>
      </w:tr>
      <w:tr w14:paraId="30DF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1004" w:type="dxa"/>
            <w:tcBorders>
              <w:tl2br w:val="nil"/>
              <w:tr2bl w:val="nil"/>
            </w:tcBorders>
            <w:vAlign w:val="center"/>
          </w:tcPr>
          <w:p w14:paraId="32370BB8">
            <w:pPr>
              <w:keepNext w:val="0"/>
              <w:keepLines w:val="0"/>
              <w:widowControl/>
              <w:numPr>
                <w:ilvl w:val="0"/>
                <w:numId w:val="0"/>
              </w:numPr>
              <w:suppressLineNumbers w:val="0"/>
              <w:spacing w:beforeLines="0" w:afterLines="0"/>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cs="Times New Roman"/>
                <w:i w:val="0"/>
                <w:color w:val="000000"/>
                <w:kern w:val="2"/>
                <w:sz w:val="24"/>
                <w:szCs w:val="24"/>
                <w:u w:val="none"/>
                <w:lang w:val="en-US" w:eastAsia="zh-CN" w:bidi="ar"/>
              </w:rPr>
              <w:t>7</w:t>
            </w:r>
          </w:p>
        </w:tc>
        <w:tc>
          <w:tcPr>
            <w:tcW w:w="2385" w:type="dxa"/>
            <w:tcBorders>
              <w:tl2br w:val="nil"/>
              <w:tr2bl w:val="nil"/>
            </w:tcBorders>
            <w:vAlign w:val="center"/>
          </w:tcPr>
          <w:p w14:paraId="2D5F65A0">
            <w:pPr>
              <w:keepNext w:val="0"/>
              <w:keepLines w:val="0"/>
              <w:widowControl/>
              <w:numPr>
                <w:ilvl w:val="0"/>
                <w:numId w:val="0"/>
              </w:numPr>
              <w:suppressLineNumbers w:val="0"/>
              <w:spacing w:beforeLines="0" w:afterLines="0"/>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color w:val="000000"/>
                <w:kern w:val="2"/>
                <w:sz w:val="24"/>
                <w:szCs w:val="24"/>
                <w:u w:val="none"/>
                <w:lang w:val="en-US" w:eastAsia="zh-CN" w:bidi="ar"/>
              </w:rPr>
              <w:t>未定期组织应急预案演练</w:t>
            </w:r>
          </w:p>
        </w:tc>
        <w:tc>
          <w:tcPr>
            <w:tcW w:w="7827" w:type="dxa"/>
            <w:tcBorders>
              <w:tl2br w:val="nil"/>
              <w:tr2bl w:val="nil"/>
            </w:tcBorders>
            <w:vAlign w:val="center"/>
          </w:tcPr>
          <w:p w14:paraId="7F5C162C">
            <w:pPr>
              <w:widowControl/>
              <w:numPr>
                <w:ilvl w:val="0"/>
                <w:numId w:val="0"/>
              </w:numPr>
              <w:spacing w:beforeLines="0" w:afterLines="0"/>
              <w:jc w:val="left"/>
              <w:textAlignment w:val="center"/>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【违法依据】</w:t>
            </w:r>
          </w:p>
          <w:p w14:paraId="15F5D9C2">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b w:val="0"/>
                <w:bCs w:val="0"/>
                <w:color w:val="000000"/>
                <w:w w:val="100"/>
                <w:sz w:val="24"/>
                <w:u w:val="none"/>
                <w:lang w:val="en-US" w:eastAsia="zh-CN" w:bidi="ar"/>
              </w:rPr>
              <w:t>1、</w:t>
            </w:r>
            <w:r>
              <w:rPr>
                <w:rFonts w:hint="eastAsia" w:ascii="宋体" w:hAnsi="宋体"/>
                <w:color w:val="000000"/>
                <w:sz w:val="24"/>
                <w:lang w:bidi="ar"/>
              </w:rPr>
              <w:t>《中华人民共和国安全生产法》第八十一条：生产经营单位应当制定本单位生产安全事故应急救援预案，与所在地县级以上地方人民政府组织制定的生产安全事故应急救援预案相衔接，并定期组织演练</w:t>
            </w:r>
            <w:r>
              <w:rPr>
                <w:rFonts w:hint="eastAsia" w:ascii="宋体" w:hAnsi="宋体"/>
                <w:color w:val="000000"/>
                <w:sz w:val="24"/>
                <w:lang w:eastAsia="zh-CN" w:bidi="ar"/>
              </w:rPr>
              <w:t>；</w:t>
            </w:r>
          </w:p>
          <w:p w14:paraId="6A7F8C1D">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2、</w:t>
            </w:r>
            <w:r>
              <w:rPr>
                <w:rFonts w:hint="eastAsia" w:ascii="宋体" w:hAnsi="宋体"/>
                <w:color w:val="000000"/>
                <w:sz w:val="24"/>
                <w:lang w:bidi="ar"/>
              </w:rPr>
              <w:t>《生产安全事故应急条例》第八条第二款：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r>
              <w:rPr>
                <w:rFonts w:hint="eastAsia" w:ascii="宋体" w:hAnsi="宋体"/>
                <w:color w:val="000000"/>
                <w:sz w:val="24"/>
                <w:lang w:eastAsia="zh-CN" w:bidi="ar"/>
              </w:rPr>
              <w:t>；</w:t>
            </w:r>
          </w:p>
          <w:p w14:paraId="542CC21D">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3、</w:t>
            </w:r>
            <w:r>
              <w:rPr>
                <w:rFonts w:hint="eastAsia" w:ascii="宋体" w:hAnsi="宋体"/>
                <w:color w:val="000000"/>
                <w:sz w:val="24"/>
                <w:lang w:bidi="ar"/>
              </w:rPr>
              <w:t>《生产安全事故应急预案管理办法》第三十三条第一款、第二款：生产经营单位应当制定本单位的应急预案演练计划，根据本单位的事故风险特点，每年至少组织一次综合应急预案演练或者专项应急预案演练，每半年至少组织一次现场处置方案演练</w:t>
            </w:r>
            <w:r>
              <w:rPr>
                <w:rFonts w:hint="eastAsia" w:ascii="宋体" w:hAnsi="宋体"/>
                <w:color w:val="000000"/>
                <w:sz w:val="24"/>
                <w:lang w:eastAsia="zh-CN" w:bidi="ar"/>
              </w:rPr>
              <w:t>；</w:t>
            </w:r>
          </w:p>
          <w:p w14:paraId="35ED59B7">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4、</w:t>
            </w:r>
            <w:r>
              <w:rPr>
                <w:rFonts w:hint="eastAsia" w:ascii="宋体" w:hAnsi="宋体"/>
                <w:color w:val="000000"/>
                <w:sz w:val="24"/>
                <w:lang w:bidi="ar"/>
              </w:rPr>
              <w:t>《工贸企业有限空间作业安全规定》第十条：工贸企业应当制定有限空间作业现场处置方案，按规定组织演练，并进行演练效果评估。</w:t>
            </w:r>
          </w:p>
          <w:p w14:paraId="58277423">
            <w:pPr>
              <w:widowControl/>
              <w:numPr>
                <w:ilvl w:val="0"/>
                <w:numId w:val="0"/>
              </w:numPr>
              <w:spacing w:beforeLines="0" w:afterLines="0"/>
              <w:jc w:val="left"/>
              <w:textAlignment w:val="center"/>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【处罚依据】</w:t>
            </w:r>
          </w:p>
          <w:p w14:paraId="769F1EB2">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1、</w:t>
            </w:r>
            <w:r>
              <w:rPr>
                <w:rFonts w:hint="eastAsia" w:ascii="宋体" w:hAnsi="宋体"/>
                <w:color w:val="000000"/>
                <w:sz w:val="24"/>
                <w:lang w:bidi="ar"/>
              </w:rPr>
              <w:t>《中华人民共和国安全生产法》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14:paraId="5527086C">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2、</w:t>
            </w:r>
            <w:r>
              <w:rPr>
                <w:rFonts w:hint="eastAsia" w:ascii="宋体" w:hAnsi="宋体"/>
                <w:color w:val="000000"/>
                <w:sz w:val="24"/>
                <w:lang w:bidi="ar"/>
              </w:rPr>
              <w:t>《生产安全事故应急条例》第三十条：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r>
              <w:rPr>
                <w:rFonts w:hint="eastAsia" w:ascii="宋体" w:hAnsi="宋体"/>
                <w:color w:val="000000"/>
                <w:sz w:val="24"/>
                <w:lang w:eastAsia="zh-CN" w:bidi="ar"/>
              </w:rPr>
              <w:t>；</w:t>
            </w:r>
          </w:p>
          <w:p w14:paraId="408E680D">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3、</w:t>
            </w:r>
            <w:r>
              <w:rPr>
                <w:rFonts w:hint="eastAsia" w:ascii="宋体" w:hAnsi="宋体"/>
                <w:color w:val="000000"/>
                <w:sz w:val="24"/>
                <w:lang w:bidi="ar"/>
              </w:rPr>
              <w:t>《生产安全事故应急预案管理办法》第四十四条第二项：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二）未按照规定定期组织应急预案演练的</w:t>
            </w:r>
            <w:r>
              <w:rPr>
                <w:rFonts w:hint="eastAsia" w:ascii="宋体" w:hAnsi="宋体"/>
                <w:color w:val="000000"/>
                <w:sz w:val="24"/>
                <w:lang w:eastAsia="zh-CN" w:bidi="ar"/>
              </w:rPr>
              <w:t>；</w:t>
            </w:r>
          </w:p>
          <w:p w14:paraId="2C28777B">
            <w:pPr>
              <w:widowControl/>
              <w:numPr>
                <w:ilvl w:val="0"/>
                <w:numId w:val="0"/>
              </w:numPr>
              <w:spacing w:beforeLines="0" w:afterLines="0"/>
              <w:jc w:val="left"/>
              <w:textAlignment w:val="center"/>
              <w:rPr>
                <w:rFonts w:hint="eastAsia" w:ascii="宋体" w:hAnsi="宋体"/>
                <w:color w:val="000000"/>
                <w:sz w:val="24"/>
                <w:lang w:val="en-US" w:eastAsia="zh-CN" w:bidi="ar"/>
              </w:rPr>
            </w:pPr>
            <w:r>
              <w:rPr>
                <w:rFonts w:hint="eastAsia" w:ascii="宋体" w:hAnsi="宋体"/>
                <w:color w:val="000000"/>
                <w:sz w:val="24"/>
                <w:lang w:val="en-US" w:eastAsia="zh-CN" w:bidi="ar"/>
              </w:rPr>
              <w:t>4、</w:t>
            </w:r>
            <w:r>
              <w:rPr>
                <w:rFonts w:hint="eastAsia" w:ascii="宋体" w:hAnsi="宋体"/>
                <w:color w:val="000000"/>
                <w:sz w:val="24"/>
                <w:lang w:bidi="ar"/>
              </w:rPr>
              <w:t>《工贸企业有限空间作业安全规定》第二十条第二项：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处置方案或者未按照规定组织演练的。</w:t>
            </w:r>
          </w:p>
        </w:tc>
        <w:tc>
          <w:tcPr>
            <w:tcW w:w="2386" w:type="dxa"/>
            <w:tcBorders>
              <w:tl2br w:val="nil"/>
              <w:tr2bl w:val="nil"/>
            </w:tcBorders>
            <w:vAlign w:val="center"/>
          </w:tcPr>
          <w:p w14:paraId="29812F32">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012414AD">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65DAC780">
            <w:pPr>
              <w:jc w:val="left"/>
            </w:pPr>
            <w:r>
              <w:rPr>
                <w:rFonts w:hint="eastAsia" w:ascii="宋体" w:hAnsi="宋体"/>
                <w:b w:val="0"/>
                <w:color w:val="000000"/>
                <w:sz w:val="24"/>
                <w:u w:val="none"/>
                <w:lang w:val="en-US" w:eastAsia="zh-CN" w:bidi="ar"/>
              </w:rPr>
              <w:t>3、危害后果轻微。</w:t>
            </w:r>
          </w:p>
          <w:p w14:paraId="5ABD9DF9">
            <w:pPr>
              <w:widowControl/>
              <w:numPr>
                <w:ilvl w:val="0"/>
                <w:numId w:val="0"/>
              </w:numPr>
              <w:spacing w:beforeLines="0" w:afterLines="0"/>
              <w:jc w:val="left"/>
              <w:rPr>
                <w:rFonts w:hint="eastAsia" w:ascii="宋体" w:hAnsi="宋体"/>
                <w:b w:val="0"/>
                <w:color w:val="000000"/>
                <w:sz w:val="24"/>
                <w:u w:val="none"/>
                <w:lang w:val="en-US" w:eastAsia="zh-CN" w:bidi="ar"/>
              </w:rPr>
            </w:pPr>
          </w:p>
        </w:tc>
      </w:tr>
      <w:tr w14:paraId="40D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1004" w:type="dxa"/>
            <w:tcBorders>
              <w:tl2br w:val="nil"/>
              <w:tr2bl w:val="nil"/>
            </w:tcBorders>
            <w:vAlign w:val="center"/>
          </w:tcPr>
          <w:p w14:paraId="0350FB46">
            <w:pPr>
              <w:keepNext w:val="0"/>
              <w:keepLines w:val="0"/>
              <w:widowControl/>
              <w:numPr>
                <w:ilvl w:val="0"/>
                <w:numId w:val="0"/>
              </w:numPr>
              <w:suppressLineNumbers w:val="0"/>
              <w:spacing w:beforeLines="0" w:afterLines="0"/>
              <w:jc w:val="center"/>
              <w:textAlignment w:val="auto"/>
              <w:rPr>
                <w:rFonts w:hint="default" w:ascii="宋体" w:hAnsi="宋体" w:cs="Times New Roman"/>
                <w:i w:val="0"/>
                <w:color w:val="000000"/>
                <w:kern w:val="2"/>
                <w:sz w:val="24"/>
                <w:szCs w:val="24"/>
                <w:u w:val="none"/>
                <w:lang w:val="en-US" w:eastAsia="zh-CN" w:bidi="ar"/>
              </w:rPr>
            </w:pPr>
            <w:r>
              <w:rPr>
                <w:rFonts w:hint="eastAsia" w:ascii="宋体" w:hAnsi="宋体" w:cs="Times New Roman"/>
                <w:i w:val="0"/>
                <w:color w:val="000000"/>
                <w:kern w:val="2"/>
                <w:sz w:val="24"/>
                <w:szCs w:val="24"/>
                <w:u w:val="none"/>
                <w:lang w:val="en-US" w:eastAsia="zh-CN" w:bidi="ar"/>
              </w:rPr>
              <w:t>8</w:t>
            </w:r>
          </w:p>
        </w:tc>
        <w:tc>
          <w:tcPr>
            <w:tcW w:w="2385" w:type="dxa"/>
            <w:tcBorders>
              <w:tl2br w:val="nil"/>
              <w:tr2bl w:val="nil"/>
            </w:tcBorders>
            <w:vAlign w:val="center"/>
          </w:tcPr>
          <w:p w14:paraId="019B290F">
            <w:pPr>
              <w:keepNext w:val="0"/>
              <w:keepLines w:val="0"/>
              <w:widowControl/>
              <w:numPr>
                <w:ilvl w:val="0"/>
                <w:numId w:val="0"/>
              </w:numPr>
              <w:suppressLineNumbers w:val="0"/>
              <w:spacing w:beforeLines="0" w:afterLines="0"/>
              <w:jc w:val="left"/>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Times New Roman"/>
                <w:i w:val="0"/>
                <w:color w:val="000000"/>
                <w:kern w:val="2"/>
                <w:sz w:val="24"/>
                <w:szCs w:val="24"/>
                <w:u w:val="none"/>
                <w:lang w:val="en-US" w:eastAsia="zh-CN" w:bidi="ar"/>
              </w:rPr>
              <w:t>生产经营场所和员工宿舍未设有符合紧急疏散需要、标志明显、保持畅通的出口、疏散通道，或者占用、锁闭、封堵生产经营场所或者员工宿舍出口、疏散通道的</w:t>
            </w:r>
          </w:p>
        </w:tc>
        <w:tc>
          <w:tcPr>
            <w:tcW w:w="7827" w:type="dxa"/>
            <w:tcBorders>
              <w:tl2br w:val="nil"/>
              <w:tr2bl w:val="nil"/>
            </w:tcBorders>
            <w:vAlign w:val="center"/>
          </w:tcPr>
          <w:p w14:paraId="68D0DE85">
            <w:pPr>
              <w:widowControl/>
              <w:numPr>
                <w:ilvl w:val="0"/>
                <w:numId w:val="0"/>
              </w:numPr>
              <w:spacing w:beforeLines="0" w:afterLines="0"/>
              <w:jc w:val="left"/>
              <w:textAlignment w:val="center"/>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【违法依据】</w:t>
            </w:r>
          </w:p>
          <w:p w14:paraId="716ED023">
            <w:pPr>
              <w:widowControl/>
              <w:numPr>
                <w:ilvl w:val="0"/>
                <w:numId w:val="0"/>
              </w:numPr>
              <w:spacing w:beforeLines="0" w:afterLines="0"/>
              <w:jc w:val="left"/>
              <w:textAlignment w:val="center"/>
              <w:rPr>
                <w:rFonts w:hint="eastAsia" w:ascii="宋体" w:hAnsi="宋体"/>
                <w:color w:val="000000"/>
                <w:sz w:val="24"/>
                <w:lang w:val="en-US" w:eastAsia="zh-CN" w:bidi="ar"/>
              </w:rPr>
            </w:pPr>
            <w:r>
              <w:rPr>
                <w:rFonts w:hint="eastAsia" w:ascii="宋体" w:hAnsi="宋体"/>
                <w:color w:val="000000"/>
                <w:sz w:val="24"/>
                <w:lang w:val="en-US" w:eastAsia="zh-CN" w:bidi="ar"/>
              </w:rPr>
              <w:t>《中华人民共和国安全生产法》第四十二条第二款：生产经营场所和员工宿舍应当设有符合紧急疏散要求、标志明显、保持畅通的出口、疏散通道。禁止占用、锁闭、封堵生产经营场所或者员工宿舍的出口、疏散通道。</w:t>
            </w:r>
          </w:p>
          <w:p w14:paraId="6AA9FB37">
            <w:pPr>
              <w:widowControl/>
              <w:numPr>
                <w:ilvl w:val="0"/>
                <w:numId w:val="0"/>
              </w:numPr>
              <w:spacing w:beforeLines="0" w:afterLines="0"/>
              <w:jc w:val="left"/>
              <w:textAlignment w:val="center"/>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【处罚依据】</w:t>
            </w:r>
          </w:p>
          <w:p w14:paraId="6003CABA">
            <w:pPr>
              <w:pStyle w:val="2"/>
              <w:ind w:left="0" w:leftChars="0" w:firstLine="0" w:firstLineChars="0"/>
              <w:jc w:val="left"/>
              <w:rPr>
                <w:rFonts w:hint="eastAsia"/>
                <w:lang w:val="en-US" w:eastAsia="zh-CN"/>
              </w:rPr>
            </w:pPr>
            <w:r>
              <w:rPr>
                <w:rFonts w:hint="eastAsia"/>
                <w:lang w:val="en-US" w:eastAsia="zh-CN"/>
              </w:rPr>
              <w:t>《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2386" w:type="dxa"/>
            <w:tcBorders>
              <w:tl2br w:val="nil"/>
              <w:tr2bl w:val="nil"/>
            </w:tcBorders>
            <w:vAlign w:val="center"/>
          </w:tcPr>
          <w:p w14:paraId="67FBCC51">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3040E724">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56D957AE">
            <w:pPr>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3、危害后果轻微。</w:t>
            </w:r>
          </w:p>
        </w:tc>
      </w:tr>
    </w:tbl>
    <w:p w14:paraId="7A54F496">
      <w:pPr>
        <w:jc w:val="left"/>
        <w:rPr>
          <w:rFonts w:hint="eastAsia"/>
          <w:lang w:eastAsia="zh-CN"/>
        </w:rPr>
      </w:pPr>
    </w:p>
    <w:p w14:paraId="6D6CC7A8"/>
    <w:p w14:paraId="1D3B4382"/>
    <w:p w14:paraId="6068BA43">
      <w:pPr>
        <w:pStyle w:val="2"/>
      </w:pPr>
    </w:p>
    <w:p w14:paraId="2DD94D90">
      <w:pPr>
        <w:pStyle w:val="3"/>
      </w:pPr>
    </w:p>
    <w:p w14:paraId="2D663A6B"/>
    <w:p w14:paraId="2F6DDDA1">
      <w:pPr>
        <w:pStyle w:val="2"/>
      </w:pPr>
    </w:p>
    <w:p w14:paraId="180F4B8E">
      <w:pPr>
        <w:keepNext w:val="0"/>
        <w:keepLines w:val="0"/>
        <w:widowControl/>
        <w:suppressLineNumbers w:val="0"/>
        <w:jc w:val="both"/>
        <w:rPr>
          <w:rFonts w:hint="eastAsia" w:ascii="华文中宋" w:hAnsi="华文中宋" w:eastAsia="华文中宋" w:cs="华文中宋"/>
          <w:b/>
          <w:bCs/>
          <w:i w:val="0"/>
          <w:iCs w:val="0"/>
          <w:caps w:val="0"/>
          <w:color w:val="333333"/>
          <w:spacing w:val="0"/>
          <w:kern w:val="0"/>
          <w:sz w:val="44"/>
          <w:szCs w:val="44"/>
          <w:shd w:val="clear" w:color="auto" w:fill="FFFFFF"/>
          <w:lang w:val="en-US" w:eastAsia="zh-CN" w:bidi="ar"/>
        </w:rPr>
        <w:sectPr>
          <w:pgSz w:w="16838" w:h="11906" w:orient="landscape"/>
          <w:pgMar w:top="2098" w:right="1531" w:bottom="1984" w:left="1531" w:header="851" w:footer="992" w:gutter="0"/>
          <w:pgNumType w:fmt="numberInDash"/>
          <w:cols w:space="720" w:num="1"/>
          <w:rtlGutter w:val="0"/>
          <w:docGrid w:type="lines" w:linePitch="312" w:charSpace="0"/>
        </w:sectPr>
      </w:pPr>
    </w:p>
    <w:p w14:paraId="6FCDE040">
      <w:pPr>
        <w:keepNext w:val="0"/>
        <w:keepLines w:val="0"/>
        <w:widowControl/>
        <w:suppressLineNumbers w:val="0"/>
        <w:jc w:val="center"/>
        <w:rPr>
          <w:rFonts w:hint="eastAsia" w:ascii="华文中宋" w:hAnsi="华文中宋" w:eastAsia="华文中宋" w:cs="华文中宋"/>
          <w:b/>
          <w:bCs/>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小微商贸企业划型标准规定</w:t>
      </w:r>
    </w:p>
    <w:p w14:paraId="67D2AD3A">
      <w:pPr>
        <w:keepNext w:val="0"/>
        <w:keepLines w:val="0"/>
        <w:widowControl/>
        <w:suppressLineNumbers w:val="0"/>
        <w:jc w:val="both"/>
        <w:rPr>
          <w:rFonts w:hint="eastAsia" w:ascii="CESI宋体-GB2312" w:hAnsi="CESI宋体-GB2312" w:eastAsia="CESI宋体-GB2312" w:cs="CESI宋体-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color w:val="auto"/>
          <w:sz w:val="32"/>
          <w:szCs w:val="32"/>
          <w:highlight w:val="none"/>
          <w:lang w:val="en-US" w:eastAsia="zh-CN"/>
        </w:rPr>
        <w:t>(摘录自:工业信息化部、统计局、发展改革委、财政部联合下发的《关于印发中小企业划型标准规定的通知》)</w:t>
      </w:r>
    </w:p>
    <w:p w14:paraId="117651B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 xml:space="preserve">一、批发业 </w:t>
      </w:r>
    </w:p>
    <w:p w14:paraId="59D83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从业人员5人及以上，20人以下，且营业收入1000万元及以上，5000万元以下的为小型企业；从业人员5人以下或营业收入1000万元以下的为微型企业。</w:t>
      </w:r>
    </w:p>
    <w:p w14:paraId="353690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二、零售业</w:t>
      </w:r>
    </w:p>
    <w:p w14:paraId="7E154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从业人员10人及以上，50人以下，且营业收入100万元及以上，500万元以下的为小型企业；从业人员10人以下或营业收入100万元以下的为微型企业。</w:t>
      </w:r>
    </w:p>
    <w:p w14:paraId="7601D86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三、仓储业</w:t>
      </w:r>
    </w:p>
    <w:p w14:paraId="438080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从业人员20人及以上，100人以下，且营业收入100万元及以上，1000万元以下的为小型企业；从业人员20人以下或营业收入100万元以下的为微型企业。</w:t>
      </w:r>
    </w:p>
    <w:p w14:paraId="2EC9C7C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四、住宿业</w:t>
      </w:r>
    </w:p>
    <w:p w14:paraId="20279B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从业人员10人及以上，100人以下，且营业收入100万元及以上，2000万元以下的为小型企业；从业人员10人以下或营业收入100万元以下的为微型企业。</w:t>
      </w:r>
    </w:p>
    <w:p w14:paraId="552B36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五、餐饮业</w:t>
      </w:r>
    </w:p>
    <w:p w14:paraId="06681B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从业人员10人及以上，100人以下，且营业收入100万元及以上，2000万元以下的为小型企业；从业人员10人以下或营业收入100万元以下的为微型企业。</w:t>
      </w:r>
    </w:p>
    <w:sectPr>
      <w:pgSz w:w="11906" w:h="16838"/>
      <w:pgMar w:top="1531" w:right="1984" w:bottom="1531" w:left="209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宋体-GB2312">
    <w:altName w:val="宋体"/>
    <w:panose1 w:val="020005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A6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344BFCA">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3344BFCA">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F65AA"/>
    <w:multiLevelType w:val="singleLevel"/>
    <w:tmpl w:val="686F65A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4ECB620E"/>
    <w:rsid w:val="0A3A2C2D"/>
    <w:rsid w:val="0AC100D7"/>
    <w:rsid w:val="0ADC5F23"/>
    <w:rsid w:val="0C7D3BF0"/>
    <w:rsid w:val="0DD1614D"/>
    <w:rsid w:val="0F6A5FE5"/>
    <w:rsid w:val="147908B0"/>
    <w:rsid w:val="154E5569"/>
    <w:rsid w:val="1BD20D23"/>
    <w:rsid w:val="1EC10822"/>
    <w:rsid w:val="2120766F"/>
    <w:rsid w:val="24E70C10"/>
    <w:rsid w:val="25086ED6"/>
    <w:rsid w:val="255C5AB5"/>
    <w:rsid w:val="2A5705DF"/>
    <w:rsid w:val="313B03D0"/>
    <w:rsid w:val="32FB17B4"/>
    <w:rsid w:val="3E8D3A4C"/>
    <w:rsid w:val="439B3EB4"/>
    <w:rsid w:val="4ACD014F"/>
    <w:rsid w:val="4ECB620E"/>
    <w:rsid w:val="51A542DD"/>
    <w:rsid w:val="522F12A6"/>
    <w:rsid w:val="5DA14CA4"/>
    <w:rsid w:val="609F6B1F"/>
    <w:rsid w:val="623D6487"/>
    <w:rsid w:val="64624FCC"/>
    <w:rsid w:val="682044B8"/>
    <w:rsid w:val="71067FFF"/>
    <w:rsid w:val="78F708C6"/>
    <w:rsid w:val="7A223EAD"/>
    <w:rsid w:val="7E54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_Style 4"/>
    <w:next w:val="1"/>
    <w:qFormat/>
    <w:uiPriority w:val="0"/>
    <w:pPr>
      <w:widowControl/>
      <w:wordWrap w:val="0"/>
      <w:autoSpaceDE/>
      <w:autoSpaceDN/>
      <w:spacing w:before="360" w:after="360" w:line="240" w:lineRule="auto"/>
      <w:ind w:left="950" w:right="950" w:firstLine="0"/>
      <w:jc w:val="center"/>
    </w:pPr>
    <w:rPr>
      <w:rFonts w:ascii="Times New Roman" w:hAnsi="Times New Roman" w:eastAsia="宋体" w:cs="Times New Roman"/>
      <w:i/>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Emphasis"/>
    <w:basedOn w:val="7"/>
    <w:qFormat/>
    <w:uiPriority w:val="0"/>
    <w:rPr>
      <w:color w:val="F73131"/>
    </w:rPr>
  </w:style>
  <w:style w:type="paragraph" w:customStyle="1" w:styleId="10">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5674</Words>
  <Characters>5736</Characters>
  <Lines>0</Lines>
  <Paragraphs>0</Paragraphs>
  <TotalTime>12</TotalTime>
  <ScaleCrop>false</ScaleCrop>
  <LinksUpToDate>false</LinksUpToDate>
  <CharactersWithSpaces>5739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2025-07-23T08:19:00Z</dcterms:created>
  <dc:creator>夏旭钧</dc:creator>
  <cp:lastModifiedBy>孙彤</cp:lastModifiedBy>
  <dcterms:modified xsi:type="dcterms:W3CDTF">2025-08-01T09:48:21Z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DocerSaveRecord">
    <vt:lpwstr>eyJoZGlkIjoiZTY1Y2U2YjQ4ZjViOWJkZTM5NGIyZWZhZmFmNDgzOTUiLCJ1c2VySWQiOiIxNjQzNDQwMDU5In0=</vt:lpwstr>
  </property>
  <property fmtid="{D5CDD505-2E9C-101B-9397-08002B2CF9AE}" pid="4" name="ICV">
    <vt:lpwstr>C7D3F16440E6485CBA6F662571A7C096_12</vt:lpwstr>
  </property>
</Properties>
</file>