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Calibri" w:eastAsia="方正小标宋简体" w:cs="Times New Roman"/>
          <w:color w:val="000000"/>
          <w:sz w:val="44"/>
          <w:szCs w:val="44"/>
          <w:u w:val="none"/>
          <w:lang w:bidi="ar-SA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u w:val="none"/>
          <w:lang w:val="en-US" w:eastAsia="zh-CN" w:bidi="ar-SA"/>
        </w:rPr>
        <w:t>2024年北京市延庆区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u w:val="none"/>
          <w:lang w:bidi="ar-SA"/>
        </w:rPr>
        <w:t>耕地地力保护补贴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Calibri" w:eastAsia="方正小标宋简体" w:cs="Times New Roman"/>
          <w:color w:val="000000"/>
          <w:sz w:val="44"/>
          <w:szCs w:val="44"/>
          <w:u w:val="none"/>
          <w:lang w:eastAsia="zh-CN" w:bidi="ar-SA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u w:val="none"/>
          <w:lang w:bidi="ar-SA"/>
        </w:rPr>
        <w:t>实施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u w:val="none"/>
          <w:lang w:eastAsia="zh-CN" w:bidi="ar-SA"/>
        </w:rPr>
        <w:t>方案（征求意见稿）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 w:bidi="ar-SA"/>
        </w:rPr>
        <w:t>根据《北京市农业农村局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 w:bidi="ar-SA"/>
        </w:rPr>
        <w:t xml:space="preserve"> 北京市财政局关于印发&lt;202</w:t>
      </w:r>
      <w:r>
        <w:rPr>
          <w:rFonts w:hint="eastAsia" w:hAnsi="Calibri" w:cs="Times New Roman"/>
          <w:color w:val="auto"/>
          <w:sz w:val="32"/>
          <w:szCs w:val="32"/>
          <w:u w:val="none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 w:bidi="ar-SA"/>
        </w:rPr>
        <w:t>年北京市耕地地力保护补贴实施方案&gt;的函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 w:bidi="ar-SA"/>
        </w:rPr>
        <w:t>》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bidi="ar-SA"/>
        </w:rPr>
        <w:t>(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 w:bidi="ar-SA"/>
        </w:rPr>
        <w:t>京政农函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bidi="ar-SA"/>
        </w:rPr>
        <w:t>〔202</w:t>
      </w:r>
      <w:r>
        <w:rPr>
          <w:rFonts w:hint="eastAsia" w:hAnsi="Calibri" w:cs="Times New Roman"/>
          <w:color w:val="auto"/>
          <w:sz w:val="32"/>
          <w:szCs w:val="32"/>
          <w:u w:val="none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bidi="ar-SA"/>
        </w:rPr>
        <w:t>〕</w:t>
      </w:r>
      <w:r>
        <w:rPr>
          <w:rFonts w:hint="eastAsia" w:hAnsi="Calibri" w:cs="Times New Roman"/>
          <w:color w:val="auto"/>
          <w:sz w:val="32"/>
          <w:szCs w:val="32"/>
          <w:u w:val="none"/>
          <w:lang w:val="en-US" w:eastAsia="zh-CN" w:bidi="ar-SA"/>
        </w:rPr>
        <w:t>10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bidi="ar-SA"/>
        </w:rPr>
        <w:t>号)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有关要求，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ar-SA"/>
        </w:rPr>
        <w:t>保护耕地、提升地力，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促进农业发展和农民增收，结合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本</w:t>
      </w: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实际，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制定本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方案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Calibri" w:eastAsia="黑体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bidi="ar-SA"/>
        </w:rPr>
        <w:t>一、</w:t>
      </w:r>
      <w:r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val="en-US" w:eastAsia="zh-CN" w:bidi="ar-SA"/>
        </w:rPr>
        <w:t>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补贴对象原则上为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本</w:t>
      </w:r>
      <w:r>
        <w:rPr>
          <w:rFonts w:hint="eastAsia" w:hAnsi="Calibri" w:cs="Times New Roman"/>
          <w:color w:val="000000"/>
          <w:sz w:val="32"/>
          <w:szCs w:val="32"/>
          <w:highlight w:val="none"/>
          <w:u w:val="none"/>
          <w:lang w:eastAsia="zh-CN" w:bidi="ar-SA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拥有耕地承包权的种地农民和国有农场种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职工。对于农民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（包括集体经济组织）自己承包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耕种的耕地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补贴对象为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种地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农民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（包括集体经济组织）；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对于流转（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包括集体经济组织发包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）至其他经营主体（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包括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农民、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集体经济组织、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家庭农场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农民专业合作社、农业企业等）耕种的耕地，可依据流转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（承包）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合同约定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确定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对象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流转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（承包）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合同未作约定的，补贴对象为拥有耕地承包权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的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农民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（包括集体经济组织）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黑体" w:hAnsi="华文中宋" w:eastAsia="黑体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bidi="ar-SA"/>
        </w:rPr>
        <w:t>二、</w:t>
      </w:r>
      <w:r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val="en-US" w:eastAsia="zh-CN" w:bidi="ar-SA"/>
        </w:rPr>
        <w:t>补贴</w:t>
      </w:r>
      <w:r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bidi="ar-SA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上一年度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 w:bidi="ar-SA"/>
        </w:rPr>
        <w:t>本</w:t>
      </w:r>
      <w:r>
        <w:rPr>
          <w:rFonts w:hint="eastAsia" w:cs="仿宋_GB2312"/>
          <w:sz w:val="32"/>
          <w:szCs w:val="32"/>
          <w:u w:val="none"/>
          <w:lang w:eastAsia="zh-CN" w:bidi="ar-SA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 w:bidi="ar-SA"/>
        </w:rPr>
        <w:t>种植粮食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作物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 w:bidi="ar-SA"/>
        </w:rPr>
        <w:t>、经济作物的耕地，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对期间存在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以下情</w:t>
      </w:r>
      <w:r>
        <w:rPr>
          <w:rFonts w:hint="eastAsia" w:hAnsi="Calibri" w:cs="Times New Roman"/>
          <w:color w:val="000000"/>
          <w:sz w:val="32"/>
          <w:szCs w:val="32"/>
          <w:u w:val="none"/>
          <w:lang w:val="en-US" w:eastAsia="zh-CN" w:bidi="ar-SA"/>
        </w:rPr>
        <w:t>形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的不予补贴：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未纳入耕地管理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ar-SA"/>
        </w:rPr>
        <w:t>复耕复垦地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已作为畜牧养殖场使用的耕地转为设施农业用地</w:t>
      </w:r>
      <w:r>
        <w:rPr>
          <w:rFonts w:hint="eastAsia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非农业征（占）用耕地等已改变用途的耕地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</w:t>
      </w:r>
      <w:r>
        <w:rPr>
          <w:rFonts w:hint="eastAsia" w:cs="Times New Roman"/>
          <w:color w:val="000000"/>
          <w:sz w:val="32"/>
          <w:szCs w:val="32"/>
          <w:u w:val="none"/>
          <w:lang w:eastAsia="zh-CN" w:bidi="ar-SA"/>
        </w:rPr>
        <w:t>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）占补平衡“补”的面积和质量达不到耕种条件的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耕地;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</w:t>
      </w:r>
      <w:r>
        <w:rPr>
          <w:rFonts w:hint="eastAsia" w:cs="Times New Roman"/>
          <w:color w:val="000000"/>
          <w:sz w:val="32"/>
          <w:szCs w:val="32"/>
          <w:u w:val="none"/>
          <w:lang w:eastAsia="zh-CN" w:bidi="ar-SA"/>
        </w:rPr>
        <w:t>四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）退耕还林的、与果（林）间作的耕地；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</w:t>
      </w:r>
      <w:r>
        <w:rPr>
          <w:rFonts w:hint="eastAsia" w:cs="Times New Roman"/>
          <w:color w:val="000000"/>
          <w:sz w:val="32"/>
          <w:szCs w:val="32"/>
          <w:u w:val="none"/>
          <w:lang w:eastAsia="zh-CN" w:bidi="ar-SA"/>
        </w:rPr>
        <w:t>五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存在“非农化”“非粮化”和撂荒等行为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的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耕地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</w:t>
      </w:r>
      <w:r>
        <w:rPr>
          <w:rFonts w:hint="eastAsia" w:cs="Times New Roman"/>
          <w:color w:val="000000"/>
          <w:sz w:val="32"/>
          <w:szCs w:val="32"/>
          <w:u w:val="none"/>
          <w:lang w:eastAsia="zh-CN" w:bidi="ar-SA"/>
        </w:rPr>
        <w:t>六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损毁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粮食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作物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、经济作物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或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违规种植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的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耕地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hAnsi="Calibri" w:cs="Times New Roman"/>
          <w:color w:val="000000"/>
          <w:sz w:val="32"/>
          <w:szCs w:val="32"/>
          <w:u w:val="none"/>
          <w:lang w:val="en-US" w:eastAsia="zh-CN" w:bidi="ar-SA"/>
        </w:rPr>
        <w:t>（七）因生产管理不到位，造成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 w:bidi="ar-SA"/>
        </w:rPr>
        <w:t>粮食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作物</w:t>
      </w:r>
      <w:r>
        <w:rPr>
          <w:rFonts w:hint="eastAsia" w:cs="仿宋_GB2312"/>
          <w:sz w:val="32"/>
          <w:szCs w:val="32"/>
          <w:u w:val="none"/>
          <w:lang w:val="en-US" w:eastAsia="zh-CN" w:bidi="ar-SA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 w:bidi="ar-SA"/>
        </w:rPr>
        <w:t>经济作物</w:t>
      </w:r>
      <w:r>
        <w:rPr>
          <w:rFonts w:hint="eastAsia" w:cs="仿宋_GB2312"/>
          <w:sz w:val="32"/>
          <w:szCs w:val="32"/>
          <w:u w:val="none"/>
          <w:lang w:val="en-US" w:eastAsia="zh-CN" w:bidi="ar-SA"/>
        </w:rPr>
        <w:t>绝产绝收的耕地；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八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）种植农产品发生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质量安全事故的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耕地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（九）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违反农作物秸秆禁烧规定</w:t>
      </w:r>
      <w:r>
        <w:rPr>
          <w:rFonts w:hint="eastAsia" w:hAnsi="Calibri" w:cs="Times New Roman"/>
          <w:color w:val="000000"/>
          <w:sz w:val="32"/>
          <w:szCs w:val="32"/>
          <w:u w:val="none"/>
          <w:lang w:val="en-US" w:eastAsia="zh-CN" w:bidi="ar-SA"/>
        </w:rPr>
        <w:t>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未按规定回收废旧农膜</w:t>
      </w:r>
      <w:r>
        <w:rPr>
          <w:rFonts w:hint="eastAsia" w:hAnsi="Calibri" w:cs="Times New Roman"/>
          <w:color w:val="000000"/>
          <w:sz w:val="32"/>
          <w:szCs w:val="32"/>
          <w:u w:val="none"/>
          <w:lang w:val="en-US" w:eastAsia="zh-CN" w:bidi="ar-SA"/>
        </w:rPr>
        <w:t>且各级检查指出后未及时整改到位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的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耕地</w:t>
      </w:r>
      <w:r>
        <w:rPr>
          <w:rFonts w:hint="eastAsia" w:hAnsi="Calibri" w:cs="Times New Roman"/>
          <w:color w:val="000000"/>
          <w:sz w:val="32"/>
          <w:szCs w:val="32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eastAsia="zh-CN"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bidi="ar-SA"/>
        </w:rPr>
        <w:t>三、补贴</w:t>
      </w:r>
      <w:r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val="en-US" w:eastAsia="zh-CN" w:bidi="ar-SA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标准为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每亩300元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同一块耕地只能享受一次耕地地力保护补贴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，不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可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同时享受</w:t>
      </w:r>
      <w:r>
        <w:rPr>
          <w:rFonts w:hint="eastAsia" w:cs="Times New Roman"/>
          <w:color w:val="000000"/>
          <w:sz w:val="32"/>
          <w:szCs w:val="32"/>
          <w:u w:val="none"/>
          <w:lang w:val="en-US" w:eastAsia="zh-CN" w:bidi="ar-SA"/>
        </w:rPr>
        <w:t>蔬菜生产补贴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要按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实际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耕地面积进行补贴，不能按照不同</w:t>
      </w:r>
      <w:r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农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作物播种面积核算，杜绝多次</w:t>
      </w:r>
      <w:r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发放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补贴资金的现象</w:t>
      </w:r>
      <w:r>
        <w:rPr>
          <w:rFonts w:hint="eastAsia" w:hAnsi="Calibri" w:cs="Times New Roman"/>
          <w:color w:val="000000"/>
          <w:sz w:val="32"/>
          <w:szCs w:val="22"/>
          <w:u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黑体" w:hAnsi="华文中宋" w:eastAsia="黑体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val="en-US" w:eastAsia="zh-CN" w:bidi="ar-SA"/>
        </w:rPr>
        <w:t>四、</w:t>
      </w:r>
      <w:r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bidi="ar-SA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楷体_GB2312" w:hAnsi="Calibri" w:eastAsia="楷体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bidi="ar-SA"/>
        </w:rPr>
        <w:t>（一）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eastAsia="zh-CN" w:bidi="ar-SA"/>
        </w:rPr>
        <w:t>落实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bidi="ar-SA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各</w:t>
      </w: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乡镇应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结合实施方案，明确补贴对象、补贴范围和补贴标准等内容，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探索</w:t>
      </w: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实施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补贴发放与耕地保护责任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、粮食生产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责任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相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挂钩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的机制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督促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享受补贴的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主体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以绿色生态为导向，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采取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秸秆还田、深松整地、科学施肥用药、病虫害绿色防控等措施，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自觉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保护耕地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提升地力</w:t>
      </w: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和粮食单产水平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。</w:t>
      </w: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要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引导逐步退出在坡度二十五度以上陡坡地种植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粮食、经济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作物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val="en-US" w:eastAsia="zh-CN" w:bidi="ar-SA"/>
        </w:rPr>
        <w:t>（二）严格补贴审核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楷体_GB2312" w:hAnsi="Calibri" w:eastAsia="楷体_GB2312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以上一年补贴申报信息为基础，</w:t>
      </w:r>
      <w:r>
        <w:rPr>
          <w:rFonts w:hint="eastAsia" w:hAnsi="Calibri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以村为单位开展确认和公示工作。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本年度无变化的，直接确定补贴对象并进行公示；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zh-TW"/>
        </w:rPr>
        <w:t>如有变化，</w:t>
      </w:r>
      <w:r>
        <w:rPr>
          <w:rFonts w:hint="eastAsia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zh-TW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zh-TW"/>
        </w:rPr>
        <w:t>公示</w:t>
      </w:r>
      <w:r>
        <w:rPr>
          <w:rFonts w:hint="eastAsia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zh-TW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zh-TW"/>
        </w:rPr>
        <w:t>能确定的可补充或修改，无法确定的</w:t>
      </w:r>
      <w:r>
        <w:rPr>
          <w:rFonts w:hint="eastAsia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zh-TW"/>
        </w:rPr>
        <w:t>不列入补贴范围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zh-TW"/>
        </w:rPr>
        <w:t>。</w:t>
      </w:r>
      <w:r>
        <w:rPr>
          <w:rFonts w:hint="eastAsia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zh-TW"/>
        </w:rPr>
        <w:t>在公示前，补贴对象须签订承诺书。5月底前，完成本区批准程序，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zh-TW"/>
        </w:rPr>
        <w:t>并将补贴汇总表报送市农业农村局。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楷体_GB2312" w:hAnsi="Calibri" w:eastAsia="楷体_GB2312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val="en-US" w:eastAsia="zh-CN" w:bidi="ar-SA"/>
        </w:rPr>
        <w:t>（三）按时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eastAsia="zh-CN" w:bidi="ar-SA"/>
        </w:rPr>
        <w:t>发放补贴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补贴支付按照国库集中支付制度有关规定执行，不再由粮食风险基金账户支付</w:t>
      </w:r>
      <w:r>
        <w:rPr>
          <w:rFonts w:hint="eastAsia" w:hAnsi="Calibri" w:cs="Times New Roman"/>
          <w:color w:val="000000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区农业农村局、</w:t>
      </w:r>
      <w:r>
        <w:rPr>
          <w:rFonts w:hint="eastAsia" w:hAnsi="Calibri" w:cs="Times New Roman"/>
          <w:color w:val="000000"/>
          <w:sz w:val="32"/>
          <w:szCs w:val="32"/>
          <w:highlight w:val="none"/>
          <w:u w:val="none"/>
          <w:lang w:eastAsia="zh-CN" w:bidi="ar-SA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财政局要密切配合，抓紧做好调整、对接等有关工作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，确保6月30日前发放到位。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eastAsia="zh-CN" w:bidi="ar-SA"/>
        </w:rPr>
        <w:t>五</w:t>
      </w:r>
      <w:r>
        <w:rPr>
          <w:rFonts w:hint="eastAsia" w:ascii="黑体" w:hAnsi="华文中宋" w:eastAsia="黑体" w:cs="Times New Roman"/>
          <w:color w:val="000000"/>
          <w:sz w:val="32"/>
          <w:szCs w:val="32"/>
          <w:u w:val="none"/>
          <w:lang w:bidi="ar-SA"/>
        </w:rPr>
        <w:t>、工作保障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楷体_GB2312" w:hAnsi="Calibri" w:eastAsia="楷体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bidi="ar-SA"/>
        </w:rPr>
        <w:t>（一）加强组织领导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农业农村局、</w:t>
      </w: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财政局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指导开展耕地地力保护补贴工作。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各</w:t>
      </w: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乡镇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ar-SA"/>
        </w:rPr>
        <w:t>要高度重视，强化领导，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建立健全工作机制，明确责任分工，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压实耕地保护和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粮食安全责任制，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切实落实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耕地地力保护补贴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政策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楷体_GB2312" w:hAnsi="Calibri" w:eastAsia="楷体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bidi="ar-SA"/>
        </w:rPr>
        <w:t>（二）规范补贴程序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各</w:t>
      </w: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乡镇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要</w:t>
      </w:r>
      <w:r>
        <w:rPr>
          <w:rFonts w:hint="eastAsia" w:cs="Times New Roman"/>
          <w:color w:val="000000"/>
          <w:sz w:val="32"/>
          <w:szCs w:val="32"/>
          <w:u w:val="none"/>
          <w:lang w:eastAsia="zh-CN" w:bidi="ar-SA"/>
        </w:rPr>
        <w:t>按照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 w:bidi="ar-SA"/>
        </w:rPr>
        <w:t>《</w:t>
      </w:r>
      <w:r>
        <w:rPr>
          <w:rFonts w:hint="eastAsia" w:hAnsi="Calibri" w:cs="Times New Roman"/>
          <w:color w:val="000000"/>
          <w:spacing w:val="-6"/>
          <w:kern w:val="2"/>
          <w:sz w:val="32"/>
          <w:szCs w:val="32"/>
          <w:u w:val="none"/>
          <w:lang w:val="en-US" w:eastAsia="zh-CN" w:bidi="ar-SA"/>
        </w:rPr>
        <w:t>2024年北京市延庆区</w:t>
      </w:r>
      <w:r>
        <w:rPr>
          <w:rFonts w:hint="eastAsia" w:hAnsi="Calibri" w:cs="Times New Roman"/>
          <w:color w:val="00000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耕地地力保护补贴资金发放管理办法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 w:bidi="ar-SA"/>
        </w:rPr>
        <w:t>》（见附件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1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 w:bidi="ar-SA"/>
        </w:rPr>
        <w:t>）有关要求，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坚持公平、公正、公开的原则，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精准识别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补贴对象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严格审核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补贴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申报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情况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畅通补贴资金发放渠道，提高补贴覆盖面和补贴资金效率。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坚决杜绝骗取、套取、贪污、挤占、挪用补贴资金的行为。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楷体_GB2312" w:hAnsi="Calibri" w:eastAsia="楷体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bidi="ar-SA"/>
        </w:rPr>
        <w:t>（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val="en-US" w:eastAsia="zh-CN" w:bidi="ar-SA"/>
        </w:rPr>
        <w:t>三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bidi="ar-SA"/>
        </w:rPr>
        <w:t>）加强监督检查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农业农村局、</w:t>
      </w: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财政局对各</w:t>
      </w: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乡镇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耕地地力保护补贴政策实施情况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进行督导。各</w:t>
      </w: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乡镇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应加强监督管理，建立自查机制，及时纠正补贴政策实施过程中出现的问题。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楷体_GB2312" w:hAnsi="Calibri" w:eastAsia="楷体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bidi="ar-SA"/>
        </w:rPr>
        <w:t>（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val="en-US" w:eastAsia="zh-CN" w:bidi="ar-SA"/>
        </w:rPr>
        <w:t>四</w:t>
      </w:r>
      <w:r>
        <w:rPr>
          <w:rFonts w:hint="eastAsia" w:ascii="楷体_GB2312" w:hAnsi="Calibri" w:eastAsia="楷体_GB2312" w:cs="Times New Roman"/>
          <w:color w:val="000000"/>
          <w:sz w:val="32"/>
          <w:szCs w:val="32"/>
          <w:u w:val="none"/>
          <w:lang w:bidi="ar-SA"/>
        </w:rPr>
        <w:t>）加大政策宣传</w:t>
      </w:r>
    </w:p>
    <w:p>
      <w:pPr>
        <w:widowControl w:val="0"/>
        <w:adjustRightInd w:val="0"/>
        <w:snapToGrid w:val="0"/>
        <w:spacing w:after="120" w:line="56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各</w:t>
      </w:r>
      <w:r>
        <w:rPr>
          <w:rFonts w:hint="eastAsia" w:cs="仿宋_GB2312"/>
          <w:color w:val="000000"/>
          <w:kern w:val="2"/>
          <w:sz w:val="32"/>
          <w:szCs w:val="32"/>
          <w:u w:val="none"/>
          <w:lang w:val="en-US" w:eastAsia="zh-CN" w:bidi="ar-SA"/>
        </w:rPr>
        <w:t>乡镇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要利用多种媒体渠道广泛宣传耕地地力保护补贴政策，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向广大生产经营主体和基层干部做好政策解读工作。公开本区实施方案及补贴发放结果，主动接受</w:t>
      </w:r>
      <w:r>
        <w:rPr>
          <w:rFonts w:hint="eastAsia" w:hAnsi="Calibri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人民群众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和社会各界监督。</w:t>
      </w:r>
    </w:p>
    <w:p>
      <w:pP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</w:p>
    <w:p>
      <w:pPr>
        <w:ind w:left="1920" w:leftChars="200" w:hanging="1280" w:hangingChars="400"/>
        <w:rPr>
          <w:rFonts w:hint="eastAsia" w:hAnsi="Calibri" w:cs="Times New Roman"/>
          <w:color w:val="000000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hAnsi="Calibri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附件：</w:t>
      </w:r>
      <w:r>
        <w:rPr>
          <w:rFonts w:hint="eastAsia" w:hAnsi="Calibri" w:cs="Times New Roman"/>
          <w:color w:val="000000"/>
          <w:spacing w:val="-6"/>
          <w:kern w:val="2"/>
          <w:sz w:val="32"/>
          <w:szCs w:val="32"/>
          <w:u w:val="none"/>
          <w:lang w:val="en-US" w:eastAsia="zh-CN" w:bidi="ar-SA"/>
        </w:rPr>
        <w:t>1.2024年北京市延庆区耕地地力保护补贴资金发放管理办法</w:t>
      </w:r>
    </w:p>
    <w:p>
      <w:pPr>
        <w:rPr>
          <w:rFonts w:hint="eastAsia" w:hAnsi="Calibri" w:cs="Times New Roman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spacing w:val="-6"/>
          <w:kern w:val="2"/>
          <w:sz w:val="32"/>
          <w:szCs w:val="32"/>
          <w:u w:val="none"/>
          <w:lang w:val="en-US" w:eastAsia="zh-CN" w:bidi="ar-SA"/>
        </w:rPr>
        <w:t xml:space="preserve">      </w:t>
      </w:r>
    </w:p>
    <w:p>
      <w:pPr>
        <w:adjustRightInd w:val="0"/>
        <w:snapToGrid w:val="0"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 w:bidi="ar-SA"/>
        </w:rPr>
      </w:pPr>
    </w:p>
    <w:p>
      <w:pPr>
        <w:adjustRightInd w:val="0"/>
        <w:snapToGrid w:val="0"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 w:bidi="ar-SA"/>
        </w:rPr>
      </w:pPr>
    </w:p>
    <w:p>
      <w:pPr>
        <w:adjustRightInd w:val="0"/>
        <w:snapToGrid w:val="0"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 w:bidi="ar-SA"/>
        </w:rPr>
      </w:pPr>
    </w:p>
    <w:p>
      <w:pPr>
        <w:adjustRightInd w:val="0"/>
        <w:snapToGrid w:val="0"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 w:bidi="ar-SA"/>
        </w:rPr>
      </w:pPr>
    </w:p>
    <w:p>
      <w:pPr>
        <w:adjustRightInd w:val="0"/>
        <w:snapToGrid w:val="0"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 w:bidi="ar-SA"/>
        </w:rPr>
      </w:pPr>
    </w:p>
    <w:p>
      <w:pPr>
        <w:adjustRightInd w:val="0"/>
        <w:snapToGrid w:val="0"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 w:bidi="ar-SA"/>
        </w:rPr>
      </w:pPr>
    </w:p>
    <w:p>
      <w:pPr>
        <w:adjustRightInd w:val="0"/>
        <w:snapToGrid w:val="0"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 w:bidi="ar-SA"/>
        </w:rPr>
      </w:pPr>
    </w:p>
    <w:p>
      <w:pPr>
        <w:adjustRightInd w:val="0"/>
        <w:snapToGrid w:val="0"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 w:bidi="ar-SA"/>
        </w:rPr>
      </w:pPr>
    </w:p>
    <w:p>
      <w:pPr>
        <w:adjustRightInd w:val="0"/>
        <w:snapToGrid w:val="0"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 w:bidi="ar-SA"/>
        </w:rPr>
      </w:pPr>
    </w:p>
    <w:p>
      <w:pPr>
        <w:adjustRightInd w:val="0"/>
        <w:snapToGrid w:val="0"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 w:bidi="ar-SA"/>
        </w:rPr>
      </w:pPr>
    </w:p>
    <w:p>
      <w:pPr>
        <w:adjustRightInd w:val="0"/>
        <w:snapToGrid w:val="0"/>
        <w:spacing w:line="540" w:lineRule="exact"/>
        <w:ind w:left="0" w:leftChars="0" w:firstLine="0" w:firstLineChars="0"/>
        <w:jc w:val="both"/>
        <w:rPr>
          <w:rFonts w:hint="default" w:ascii="方正小标宋简体" w:hAnsi="华文中宋" w:eastAsia="方正小标宋简体" w:cs="Times New Roman"/>
          <w:color w:val="000000"/>
          <w:sz w:val="44"/>
          <w:szCs w:val="4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 w:bidi="ar-SA"/>
        </w:rPr>
        <w:t>附件1</w:t>
      </w:r>
    </w:p>
    <w:p>
      <w:pPr>
        <w:adjustRightInd w:val="0"/>
        <w:snapToGrid w:val="0"/>
        <w:spacing w:line="540" w:lineRule="exact"/>
        <w:ind w:left="0" w:leftChars="0" w:firstLine="0" w:firstLineChars="0"/>
        <w:jc w:val="center"/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val="en-US" w:eastAsia="zh-CN" w:bidi="ar-SA"/>
        </w:rPr>
      </w:pPr>
    </w:p>
    <w:p>
      <w:pPr>
        <w:adjustRightInd w:val="0"/>
        <w:snapToGrid w:val="0"/>
        <w:spacing w:line="540" w:lineRule="exact"/>
        <w:ind w:left="0" w:leftChars="0" w:firstLine="0" w:firstLineChars="0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val="en-US" w:eastAsia="zh-CN" w:bidi="ar-SA"/>
        </w:rPr>
        <w:t>2024年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  <w:t>北京市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eastAsia="zh-CN" w:bidi="ar-SA"/>
        </w:rPr>
        <w:t>延庆区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  <w:t>耕地地力保护</w:t>
      </w:r>
      <w:r>
        <w:rPr>
          <w:rFonts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  <w:t>补贴</w:t>
      </w:r>
    </w:p>
    <w:p>
      <w:pPr>
        <w:adjustRightInd w:val="0"/>
        <w:snapToGrid w:val="0"/>
        <w:spacing w:line="540" w:lineRule="exact"/>
        <w:ind w:left="0" w:leftChars="0" w:firstLine="0" w:firstLineChars="0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  <w:t>资金发放管理办法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为切实落实耕地地力保护补贴政策，确保补贴程序公开、透明，补贴资金按时发放到位，结合本</w:t>
      </w:r>
      <w:r>
        <w:rPr>
          <w:rFonts w:hint="eastAsia" w:hAnsi="Calibri" w:cs="Times New Roman"/>
          <w:color w:val="000000"/>
          <w:sz w:val="32"/>
          <w:szCs w:val="22"/>
          <w:u w:val="none"/>
          <w:lang w:eastAsia="zh-CN" w:bidi="ar-SA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</w:pPr>
      <w:r>
        <w:rPr>
          <w:rFonts w:hint="eastAsia"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  <w:t>一、补贴程序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</w:pP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（一）村委会（股份经济合作社等）公示确认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val="en-US" w:eastAsia="zh-CN" w:bidi="ar-SA"/>
        </w:rPr>
        <w:t xml:space="preserve"> 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（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val="en-US" w:eastAsia="zh-CN" w:bidi="ar-SA"/>
        </w:rPr>
        <w:t>5月20日前完成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以上一年补贴申报信息为基础，以村为单位开展确认和公示工作。本年度无变化的，直接确定补贴对象并进行公示；如有变化，在公示前能确定的可补充或修改，无法确定的不列入补贴范围。在公示前，补贴对象须签订承诺书。村委会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确认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填报信息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真实有效，张榜公布补贴申请者姓名、补贴面积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、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补贴金额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等，公示期为7天，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公示内容须留档（复印件或影像资料）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。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公示结束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村委会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确认无异议后，导出并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打印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《北京市耕地地力保护补贴村级汇总确认表》，一式三份，村委会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存档一份，上报所在镇（乡）政府两份。同时，上报所在镇（乡）政府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农户申报数据及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《北京市耕地地力保护补贴申请表》一套、公示留档资料一套。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</w:pP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（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二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）镇（乡）政府审核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val="en-US" w:eastAsia="zh-CN" w:bidi="ar-SA"/>
        </w:rPr>
        <w:t xml:space="preserve"> 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（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val="en-US" w:eastAsia="zh-CN" w:bidi="ar-SA"/>
        </w:rPr>
        <w:t>5月24日前完成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镇（乡）政府负责审核工作。镇（乡）农业部门逐村审核申报资料无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误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后，导出并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打印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《北京市耕地地力保护补贴镇（乡）级汇总审核表》，一式三份，报区农业农村</w:t>
      </w:r>
      <w:r>
        <w:rPr>
          <w:rFonts w:hint="eastAsia" w:hAnsi="Calibri" w:cs="Times New Roman"/>
          <w:color w:val="000000"/>
          <w:sz w:val="32"/>
          <w:szCs w:val="22"/>
          <w:u w:val="none"/>
          <w:lang w:eastAsia="zh-CN" w:bidi="ar-SA"/>
        </w:rPr>
        <w:t>局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两份，镇（乡）农业部门存档一份。同时，上报区农业农村</w:t>
      </w:r>
      <w:r>
        <w:rPr>
          <w:rFonts w:hint="eastAsia" w:hAnsi="Calibri" w:cs="Times New Roman"/>
          <w:color w:val="000000"/>
          <w:sz w:val="32"/>
          <w:szCs w:val="22"/>
          <w:u w:val="none"/>
          <w:lang w:eastAsia="zh-CN" w:bidi="ar-SA"/>
        </w:rPr>
        <w:t>局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审核数据及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《北京市耕地地力保护补贴村级汇总确认表》一套。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</w:pP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（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三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）区政府批准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val="en-US" w:eastAsia="zh-CN" w:bidi="ar-SA"/>
        </w:rPr>
        <w:t xml:space="preserve"> 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（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val="en-US" w:eastAsia="zh-CN" w:bidi="ar-SA"/>
        </w:rPr>
        <w:t>5月30日前完成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区农业农村</w:t>
      </w:r>
      <w:r>
        <w:rPr>
          <w:rFonts w:hint="eastAsia" w:hAnsi="Calibri" w:cs="Times New Roman"/>
          <w:color w:val="000000"/>
          <w:sz w:val="32"/>
          <w:szCs w:val="22"/>
          <w:u w:val="none"/>
          <w:lang w:eastAsia="zh-CN" w:bidi="ar-SA"/>
        </w:rPr>
        <w:t>局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逐镇（乡）核实申报资料无误后，导出并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打印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《北京市耕地地力保护补贴区级认可汇总表》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报区政府批准；区政府批复同意后，由区农业农村部门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将批复的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《北京市耕地地力保护补贴区级认可汇总表》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和批准数据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报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送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市农业农村局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</w:pP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（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四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）补贴资金发放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按照国库集中支付制度有关规定，补贴资金由市财政局转移支付下达各涉农区财政局。市农业农村局核实各区政府批准的申报数据，将数据对接“全市统一应用平台”校验。数据校验无误后，由</w:t>
      </w:r>
      <w:r>
        <w:rPr>
          <w:rFonts w:hint="eastAsia" w:ascii="仿宋_GB2312" w:hAnsi="仿宋_GB2312" w:eastAsia="仿宋_GB2312" w:cs="Times New Roman"/>
          <w:color w:val="000000"/>
          <w:sz w:val="32"/>
          <w:szCs w:val="22"/>
          <w:highlight w:val="none"/>
          <w:u w:val="none"/>
          <w:lang w:val="en-US" w:eastAsia="zh-CN" w:bidi="ar-SA"/>
        </w:rPr>
        <w:t>区级农业农村部门直接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将补贴资金发放到补贴对象指定的银行账户中。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</w:pPr>
      <w:r>
        <w:rPr>
          <w:rFonts w:hint="eastAsia"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  <w:t>二、职责分工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耕地地力保护补贴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工作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落实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属地管理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责任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区</w:t>
      </w:r>
      <w:r>
        <w:rPr>
          <w:rFonts w:hint="eastAsia" w:hAnsi="Calibri" w:cs="Times New Roman"/>
          <w:color w:val="000000"/>
          <w:sz w:val="32"/>
          <w:szCs w:val="32"/>
          <w:u w:val="none"/>
          <w:lang w:eastAsia="zh-CN" w:bidi="ar-SA"/>
        </w:rPr>
        <w:t>农业农村局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负责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耕地地力保护补贴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的组织实施，要建立健全工作机制、做好审核、监督和检查工作，确保补贴政策落到实处。对于政策执行中出现的问题，要及时向市有关部门报告。镇（乡）政府负责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耕地地力保护补贴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的审核工作，逐村审核申请资料，监督检查村委会严格执行申请程序。补贴申报截止时，存在争议的耕地，暂时不列入补贴范围，待争议解决后再予以追补。村委会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负责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耕地地力保护补贴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的申请、确认工作，做好公示、留档等，接受群众的监督检查。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</w:pPr>
      <w:r>
        <w:rPr>
          <w:rFonts w:hint="eastAsia"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  <w:t>三、面积核算</w:t>
      </w:r>
    </w:p>
    <w:p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耕地地力保护补贴要按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实际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耕地面积进行补贴，不能按照不同</w:t>
      </w:r>
      <w:r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农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作物播种面积核算，杜绝多次</w:t>
      </w:r>
      <w:r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发放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补贴资金的现象。面积填报以亩为单位，精确到小数点后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一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位。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8563"/>
    <w:rsid w:val="05FFD4DC"/>
    <w:rsid w:val="27EF359E"/>
    <w:rsid w:val="29FEF8AA"/>
    <w:rsid w:val="2FEFE86D"/>
    <w:rsid w:val="36EFCE14"/>
    <w:rsid w:val="37D78502"/>
    <w:rsid w:val="3BFC80B0"/>
    <w:rsid w:val="3C0F3633"/>
    <w:rsid w:val="3EFEDF2A"/>
    <w:rsid w:val="3EFF61EE"/>
    <w:rsid w:val="3FBB9D46"/>
    <w:rsid w:val="3FFF2F04"/>
    <w:rsid w:val="4F1E2920"/>
    <w:rsid w:val="57F5C6FF"/>
    <w:rsid w:val="5B4F71D9"/>
    <w:rsid w:val="5D575954"/>
    <w:rsid w:val="5EEAA649"/>
    <w:rsid w:val="5F3B22BE"/>
    <w:rsid w:val="5FBFBA7A"/>
    <w:rsid w:val="5FDFE7CC"/>
    <w:rsid w:val="63D62301"/>
    <w:rsid w:val="6AC72982"/>
    <w:rsid w:val="6BFD2492"/>
    <w:rsid w:val="6DBFDFFF"/>
    <w:rsid w:val="6EBDB550"/>
    <w:rsid w:val="6FD77E64"/>
    <w:rsid w:val="6FDF0C03"/>
    <w:rsid w:val="6FF62D0F"/>
    <w:rsid w:val="7337D211"/>
    <w:rsid w:val="73FDF71E"/>
    <w:rsid w:val="73FFD6CC"/>
    <w:rsid w:val="77EFB8A1"/>
    <w:rsid w:val="77F725A8"/>
    <w:rsid w:val="7BBE541D"/>
    <w:rsid w:val="7BCEC4D9"/>
    <w:rsid w:val="7BEE7E31"/>
    <w:rsid w:val="7CFFA85C"/>
    <w:rsid w:val="7DAFFB30"/>
    <w:rsid w:val="7DBF685C"/>
    <w:rsid w:val="7DFBD4EC"/>
    <w:rsid w:val="7DFFF050"/>
    <w:rsid w:val="7F7F54B3"/>
    <w:rsid w:val="7F9AE626"/>
    <w:rsid w:val="7FDB91FE"/>
    <w:rsid w:val="8F5BE5D4"/>
    <w:rsid w:val="AAAF5D28"/>
    <w:rsid w:val="BF3B8F63"/>
    <w:rsid w:val="BFA95FCB"/>
    <w:rsid w:val="BFF30D38"/>
    <w:rsid w:val="D0B58179"/>
    <w:rsid w:val="D6DD5F08"/>
    <w:rsid w:val="D7FFF83A"/>
    <w:rsid w:val="DDEFAEAE"/>
    <w:rsid w:val="DFE5D265"/>
    <w:rsid w:val="DFF1F727"/>
    <w:rsid w:val="DFFD8563"/>
    <w:rsid w:val="E25F082C"/>
    <w:rsid w:val="EDDF9AD1"/>
    <w:rsid w:val="F767C5FE"/>
    <w:rsid w:val="F7799EF2"/>
    <w:rsid w:val="F7BF4AD3"/>
    <w:rsid w:val="F7FB653A"/>
    <w:rsid w:val="F7FBB308"/>
    <w:rsid w:val="FB77CE66"/>
    <w:rsid w:val="FBFF4868"/>
    <w:rsid w:val="FCF31410"/>
    <w:rsid w:val="FD584F22"/>
    <w:rsid w:val="FDDB3B2F"/>
    <w:rsid w:val="FDEB7AA0"/>
    <w:rsid w:val="FEC29A11"/>
    <w:rsid w:val="FECCCC5D"/>
    <w:rsid w:val="FFE53F60"/>
    <w:rsid w:val="FFE8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 w:cstheme="minorBidi"/>
      <w:b/>
      <w:kern w:val="44"/>
      <w:sz w:val="44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theme="minorBidi"/>
      <w:b/>
      <w:kern w:val="2"/>
      <w:sz w:val="32"/>
      <w:szCs w:val="22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 w:cstheme="minorBidi"/>
      <w:b/>
      <w:kern w:val="2"/>
      <w:sz w:val="32"/>
      <w:szCs w:val="22"/>
      <w:lang w:val="en-US" w:eastAsia="zh-CN" w:bidi="ar-SA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 w:cstheme="minorBidi"/>
      <w:b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2024-05-01T00:11:00Z</dcterms:created>
  <dc:creator>nyncj</dc:creator>
  <cp:lastModifiedBy>uos</cp:lastModifiedBy>
  <dcterms:modified xsi:type="dcterms:W3CDTF">2024-04-30T09:52:31Z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6BFDBD081303452130562F667F4189B8</vt:lpwstr>
  </property>
</Properties>
</file>