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47DF" w14:textId="77777777" w:rsidR="0066745C" w:rsidRDefault="0066745C">
      <w:pPr>
        <w:spacing w:line="600" w:lineRule="exact"/>
        <w:jc w:val="center"/>
        <w:rPr>
          <w:rFonts w:ascii="方正小标宋简体" w:eastAsia="方正小标宋简体" w:hAnsi="仿宋" w:cs="Calibri"/>
          <w:sz w:val="44"/>
          <w:szCs w:val="44"/>
        </w:rPr>
      </w:pPr>
    </w:p>
    <w:p w14:paraId="0015055D" w14:textId="77777777" w:rsidR="0066745C" w:rsidRDefault="00000000">
      <w:pPr>
        <w:spacing w:line="600" w:lineRule="exact"/>
        <w:jc w:val="center"/>
        <w:rPr>
          <w:rFonts w:ascii="方正小标宋简体" w:eastAsia="方正小标宋简体" w:hAnsi="仿宋" w:cs="Calibri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644FCC1E" wp14:editId="6456800D">
                <wp:extent cx="5238750" cy="7905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0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B79E8" w14:textId="77777777" w:rsidR="0066745C" w:rsidRDefault="00000000">
                            <w:pPr>
                              <w:jc w:val="center"/>
                              <w:rPr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北京市通州区金融服务办公室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4FCC1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2.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" filled="f" stroked="f">
                <o:lock v:ext="edit" shapetype="t"/>
                <v:textbox style="mso-fit-shape-to-text:t">
                  <w:txbxContent>
                    <w:p w14:paraId="5CDB79E8" w14:textId="77777777" w:rsidR="0066745C" w:rsidRDefault="00000000">
                      <w:pPr>
                        <w:jc w:val="center"/>
                        <w:rPr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北京市通州区金融服务办公室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3D1E6" w14:textId="44C0B8FE" w:rsidR="00A9753F" w:rsidRDefault="00000000" w:rsidP="00A9753F">
      <w:pPr>
        <w:spacing w:line="600" w:lineRule="exact"/>
        <w:rPr>
          <w:rFonts w:ascii="方正小标宋简体" w:eastAsia="方正小标宋简体" w:hAnsi="仿宋" w:cs="Calibri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B54CD" wp14:editId="477133C2">
                <wp:simplePos x="0" y="0"/>
                <wp:positionH relativeFrom="column">
                  <wp:posOffset>-107315</wp:posOffset>
                </wp:positionH>
                <wp:positionV relativeFrom="paragraph">
                  <wp:posOffset>67945</wp:posOffset>
                </wp:positionV>
                <wp:extent cx="5486400" cy="0"/>
                <wp:effectExtent l="0" t="23495" r="0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flip:x;margin-left:-8.45pt;margin-top:5.35pt;height:0pt;width:432pt;z-index:251660288;mso-width-relative:page;mso-height-relative:page;" filled="f" stroked="t" coordsize="21600,21600" o:gfxdata="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FBB3NcAAAAJAQAADwAAAAAAAAABACAAAAAiAAAAZHJzL2Rvd25yZXYueG1sUEsBAhQAFAAA&#10;AAgAh07iQB2JjGu3AQAAXAMAAA4AAAAAAAAAAQAgAAAAJgEAAGRycy9lMm9Eb2MueG1sUEsFBgAA&#10;AAAGAAYAWQEAAE8FAAAAAA==&#10;">
                <v:fill on="f" focussize="0,0"/>
                <v:stroke weight="3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DD41480" w14:textId="44F8D2AF" w:rsidR="00A9753F" w:rsidRDefault="00A9753F" w:rsidP="00A9753F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</w:t>
      </w:r>
      <w:r w:rsidR="0054389C">
        <w:rPr>
          <w:rFonts w:ascii="方正小标宋简体" w:eastAsia="方正小标宋简体" w:hAnsi="宋体" w:hint="eastAsia"/>
          <w:bCs/>
          <w:sz w:val="44"/>
          <w:szCs w:val="44"/>
        </w:rPr>
        <w:t>对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《</w:t>
      </w:r>
      <w:r w:rsidR="0054389C">
        <w:rPr>
          <w:rFonts w:ascii="方正小标宋简体" w:eastAsia="方正小标宋简体" w:hAnsi="宋体" w:hint="eastAsia"/>
          <w:bCs/>
          <w:sz w:val="44"/>
          <w:szCs w:val="44"/>
        </w:rPr>
        <w:t>关于</w:t>
      </w:r>
      <w:r w:rsidRPr="003123C4">
        <w:rPr>
          <w:rFonts w:ascii="方正小标宋简体" w:eastAsia="方正小标宋简体" w:hAnsi="宋体" w:cstheme="minorBidi" w:hint="eastAsia"/>
          <w:bCs/>
          <w:sz w:val="44"/>
          <w:szCs w:val="44"/>
        </w:rPr>
        <w:t>支持北京城市副中心建设“基金财富港”的若干措施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》的起草说明</w:t>
      </w:r>
    </w:p>
    <w:p w14:paraId="3C233530" w14:textId="77777777" w:rsidR="00A9753F" w:rsidRDefault="00A9753F" w:rsidP="00A9753F">
      <w:pPr>
        <w:pStyle w:val="a9"/>
        <w:spacing w:line="560" w:lineRule="exact"/>
        <w:ind w:firstLineChars="0" w:firstLine="0"/>
        <w:rPr>
          <w:rFonts w:ascii="黑体" w:eastAsia="黑体" w:hAnsi="黑体"/>
          <w:sz w:val="32"/>
          <w:szCs w:val="40"/>
        </w:rPr>
      </w:pPr>
    </w:p>
    <w:p w14:paraId="2DBC3F3E" w14:textId="77777777" w:rsidR="00A9753F" w:rsidRDefault="00A9753F" w:rsidP="00A9753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政策制定的背景和依据</w:t>
      </w:r>
    </w:p>
    <w:p w14:paraId="29D2E7F8" w14:textId="77777777" w:rsidR="00A9753F" w:rsidRPr="003123C4" w:rsidRDefault="00A9753F" w:rsidP="00A9753F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3123C4">
        <w:rPr>
          <w:rFonts w:ascii="仿宋_GB2312" w:hAnsi="仿宋_GB2312" w:cs="仿宋_GB2312" w:hint="eastAsia"/>
          <w:szCs w:val="32"/>
        </w:rPr>
        <w:t>为深入贯彻国务院《关于支持北京城市副中心高质量发展的意见》、北京市“两区”建设总体方案，细化推进《关于推进北京全球财富管理中心建设的意见》《“两区”建设绿色金融改革开放发展行动方案》等既定改革任务，以优质社会资本引领绿色投资、驱动科技创新，打造京津冀绿色投资与创新资本重要承载区、全国标杆性私募基金集聚发展新高地、面向国际的跨境双向投资先行示范区，提升城市副中心财富管理、绿色金融先导承载能力，高质量建设首都“基金财富港”，制定</w:t>
      </w:r>
      <w:r>
        <w:rPr>
          <w:rFonts w:ascii="仿宋_GB2312" w:hAnsi="仿宋_GB2312" w:cs="仿宋_GB2312" w:hint="eastAsia"/>
          <w:szCs w:val="32"/>
        </w:rPr>
        <w:t>本</w:t>
      </w:r>
      <w:r w:rsidRPr="003123C4">
        <w:rPr>
          <w:rFonts w:ascii="仿宋_GB2312" w:hAnsi="仿宋_GB2312" w:cs="仿宋_GB2312" w:hint="eastAsia"/>
          <w:szCs w:val="32"/>
        </w:rPr>
        <w:t>措施。</w:t>
      </w:r>
    </w:p>
    <w:p w14:paraId="1B19E2A6" w14:textId="77777777" w:rsidR="00A9753F" w:rsidRPr="0054389C" w:rsidRDefault="00A9753F" w:rsidP="0054389C">
      <w:pPr>
        <w:spacing w:line="560" w:lineRule="exact"/>
        <w:ind w:left="640"/>
        <w:rPr>
          <w:rFonts w:ascii="黑体" w:eastAsia="黑体" w:hAnsi="黑体"/>
          <w:szCs w:val="40"/>
        </w:rPr>
      </w:pPr>
      <w:r w:rsidRPr="0054389C">
        <w:rPr>
          <w:rFonts w:ascii="黑体" w:eastAsia="黑体" w:hAnsi="黑体" w:hint="eastAsia"/>
          <w:szCs w:val="40"/>
        </w:rPr>
        <w:t>二、政策制定思路</w:t>
      </w:r>
    </w:p>
    <w:p w14:paraId="4B18ADB5" w14:textId="77777777" w:rsidR="00A9753F" w:rsidRPr="00016B66" w:rsidRDefault="00A9753F" w:rsidP="00A9753F">
      <w:pPr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016B66">
        <w:rPr>
          <w:rFonts w:ascii="仿宋_GB2312" w:hAnsi="仿宋_GB2312" w:cs="仿宋_GB2312" w:hint="eastAsia"/>
          <w:szCs w:val="32"/>
        </w:rPr>
        <w:t>为进一步优化城市副中心创业投资发展环境，加大对创投机构的服务和支持力度，《</w:t>
      </w:r>
      <w:r w:rsidRPr="001777FD">
        <w:rPr>
          <w:rFonts w:ascii="仿宋_GB2312" w:hAnsi="仿宋_GB2312" w:cs="仿宋_GB2312" w:hint="eastAsia"/>
          <w:szCs w:val="32"/>
        </w:rPr>
        <w:t>若干措施》着眼于深化制度创新，优化政策环境，加大支持力度，加强服务保障、加快培育一批聚焦绿色经济和科技创新领域投资，具有较高行业影响力和公信力的优质创投机构在副中心聚集，助力城市副中心高质量建设“基金财富港“，打造具有国际影响力的创业投资新高地。</w:t>
      </w:r>
    </w:p>
    <w:p w14:paraId="0CCCC376" w14:textId="77777777" w:rsidR="00A9753F" w:rsidRPr="0054389C" w:rsidRDefault="00A9753F" w:rsidP="0054389C">
      <w:pPr>
        <w:spacing w:line="560" w:lineRule="exact"/>
        <w:ind w:left="640"/>
        <w:rPr>
          <w:rFonts w:ascii="黑体" w:eastAsia="黑体" w:hAnsi="黑体"/>
          <w:szCs w:val="40"/>
        </w:rPr>
      </w:pPr>
      <w:r w:rsidRPr="0054389C">
        <w:rPr>
          <w:rFonts w:ascii="黑体" w:eastAsia="黑体" w:hAnsi="黑体" w:hint="eastAsia"/>
          <w:szCs w:val="40"/>
        </w:rPr>
        <w:lastRenderedPageBreak/>
        <w:t>三、政策主要内容</w:t>
      </w:r>
    </w:p>
    <w:p w14:paraId="26733D04" w14:textId="77777777" w:rsidR="00A9753F" w:rsidRPr="00016B66" w:rsidRDefault="00A9753F" w:rsidP="00A9753F">
      <w:pPr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016B66">
        <w:rPr>
          <w:rFonts w:ascii="仿宋_GB2312" w:hAnsi="仿宋_GB2312" w:cs="仿宋_GB2312" w:hint="eastAsia"/>
          <w:szCs w:val="32"/>
        </w:rPr>
        <w:t>《若干措施》主要从四个方面提出了1</w:t>
      </w:r>
      <w:r w:rsidRPr="00016B66">
        <w:rPr>
          <w:rFonts w:ascii="仿宋_GB2312" w:hAnsi="仿宋_GB2312" w:cs="仿宋_GB2312"/>
          <w:szCs w:val="32"/>
        </w:rPr>
        <w:t>3</w:t>
      </w:r>
      <w:r w:rsidRPr="00016B66">
        <w:rPr>
          <w:rFonts w:ascii="仿宋_GB2312" w:hAnsi="仿宋_GB2312" w:cs="仿宋_GB2312" w:hint="eastAsia"/>
          <w:szCs w:val="32"/>
        </w:rPr>
        <w:t>条意见措施，包括优化</w:t>
      </w:r>
      <w:r>
        <w:rPr>
          <w:rFonts w:ascii="仿宋_GB2312" w:hAnsi="仿宋_GB2312" w:cs="仿宋_GB2312" w:hint="eastAsia"/>
          <w:szCs w:val="32"/>
        </w:rPr>
        <w:t>机构落地服务、设立高质量资管产品、</w:t>
      </w:r>
      <w:r w:rsidRPr="00016B66">
        <w:rPr>
          <w:rFonts w:ascii="仿宋_GB2312" w:hAnsi="仿宋_GB2312" w:cs="仿宋_GB2312" w:hint="eastAsia"/>
          <w:szCs w:val="32"/>
        </w:rPr>
        <w:t>推动募投管退联动发展、</w:t>
      </w:r>
      <w:r>
        <w:rPr>
          <w:rFonts w:ascii="仿宋_GB2312" w:hAnsi="仿宋_GB2312" w:cs="仿宋_GB2312" w:hint="eastAsia"/>
          <w:szCs w:val="32"/>
        </w:rPr>
        <w:t>优</w:t>
      </w:r>
      <w:r w:rsidRPr="00016B66">
        <w:rPr>
          <w:rFonts w:ascii="仿宋_GB2312" w:hAnsi="仿宋_GB2312" w:cs="仿宋_GB2312" w:hint="eastAsia"/>
          <w:szCs w:val="32"/>
        </w:rPr>
        <w:t>化营商环境</w:t>
      </w:r>
      <w:r>
        <w:rPr>
          <w:rFonts w:ascii="仿宋_GB2312" w:hAnsi="仿宋_GB2312" w:cs="仿宋_GB2312" w:hint="eastAsia"/>
          <w:szCs w:val="32"/>
        </w:rPr>
        <w:t>构建行业生态</w:t>
      </w:r>
      <w:r w:rsidRPr="00016B66">
        <w:rPr>
          <w:rFonts w:ascii="仿宋_GB2312" w:hAnsi="仿宋_GB2312" w:cs="仿宋_GB2312" w:hint="eastAsia"/>
          <w:szCs w:val="32"/>
        </w:rPr>
        <w:t>，共四个部分：</w:t>
      </w:r>
    </w:p>
    <w:p w14:paraId="2DF8904E" w14:textId="77777777" w:rsidR="00A9753F" w:rsidRPr="007A5080" w:rsidRDefault="00A9753F" w:rsidP="00A9753F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7A5080">
        <w:rPr>
          <w:rFonts w:ascii="仿宋_GB2312" w:hAnsi="仿宋_GB2312" w:cs="仿宋_GB2312" w:hint="eastAsia"/>
          <w:b/>
          <w:bCs/>
          <w:szCs w:val="32"/>
        </w:rPr>
        <w:t>第一部分</w:t>
      </w:r>
      <w:r>
        <w:rPr>
          <w:rFonts w:ascii="仿宋_GB2312" w:hAnsi="仿宋_GB2312" w:cs="仿宋_GB2312"/>
          <w:b/>
          <w:bCs/>
          <w:szCs w:val="32"/>
        </w:rPr>
        <w:t xml:space="preserve"> </w:t>
      </w:r>
      <w:r w:rsidRPr="007A5080">
        <w:rPr>
          <w:rFonts w:ascii="仿宋_GB2312" w:hAnsi="仿宋_GB2312" w:cs="仿宋_GB2312" w:hint="eastAsia"/>
          <w:b/>
          <w:bCs/>
          <w:szCs w:val="32"/>
        </w:rPr>
        <w:t>优化私募基金及关联机构落地服务。</w:t>
      </w:r>
      <w:r w:rsidRPr="00301606">
        <w:rPr>
          <w:rFonts w:ascii="仿宋_GB2312" w:hAnsi="仿宋_GB2312" w:cs="仿宋_GB2312" w:hint="eastAsia"/>
          <w:szCs w:val="32"/>
        </w:rPr>
        <w:t>加大特色私募基金业态集聚，以城市副中心运河商务区为核心区域，吸引ESG投资、气候投融资、风险投资与创业投资、城市建设及产业发展领域运作规范、业绩优异、竞争力突出的私募基金企业、创业投资机构、专业投资公司</w:t>
      </w:r>
      <w:r>
        <w:rPr>
          <w:rFonts w:ascii="仿宋_GB2312" w:hAnsi="仿宋_GB2312" w:cs="仿宋_GB2312" w:hint="eastAsia"/>
          <w:szCs w:val="32"/>
        </w:rPr>
        <w:t>等优质</w:t>
      </w:r>
      <w:r w:rsidRPr="00301606">
        <w:rPr>
          <w:rFonts w:ascii="仿宋_GB2312" w:hAnsi="仿宋_GB2312" w:cs="仿宋_GB2312" w:hint="eastAsia"/>
          <w:szCs w:val="32"/>
        </w:rPr>
        <w:t>企业落地发展。在运河两岸提供高品质、国际化办公空间，市区联合对符合条件的优质入驻企业给予不超过3000万元租购房资金支持，对处于筹建阶段的企业提供临时办公用房支持。打造“一站式”、便利化注册登记服务。建立“白名单”优质企业推荐制度，</w:t>
      </w:r>
      <w:r>
        <w:rPr>
          <w:rFonts w:ascii="仿宋_GB2312" w:hAnsi="仿宋_GB2312" w:cs="仿宋_GB2312" w:hint="eastAsia"/>
          <w:szCs w:val="32"/>
        </w:rPr>
        <w:t>打造</w:t>
      </w:r>
      <w:r w:rsidRPr="00301606">
        <w:rPr>
          <w:rFonts w:ascii="仿宋_GB2312" w:hAnsi="仿宋_GB2312" w:cs="仿宋_GB2312" w:hint="eastAsia"/>
          <w:szCs w:val="32"/>
        </w:rPr>
        <w:t>运河商务区市场化、国际化、专业化产业服务团队，设立私募基金及关联机构登记注册专属服务窗口，“一站式”提供注册登记、税费缴纳、出入境等便利化服务。</w:t>
      </w:r>
    </w:p>
    <w:p w14:paraId="33C4CF9C" w14:textId="77777777" w:rsidR="00A9753F" w:rsidRPr="005E32E0" w:rsidRDefault="00A9753F" w:rsidP="00A9753F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7A5080">
        <w:rPr>
          <w:rFonts w:ascii="仿宋_GB2312" w:hAnsi="仿宋_GB2312" w:cs="仿宋_GB2312" w:hint="eastAsia"/>
          <w:b/>
          <w:bCs/>
          <w:szCs w:val="32"/>
        </w:rPr>
        <w:t>第二部分 支持设立高质量私募资管产品。</w:t>
      </w:r>
      <w:r w:rsidRPr="00683F08">
        <w:rPr>
          <w:rFonts w:ascii="仿宋_GB2312" w:hAnsi="仿宋_GB2312" w:cs="仿宋_GB2312" w:hint="eastAsia"/>
          <w:szCs w:val="32"/>
        </w:rPr>
        <w:t>拓展私募资金募集渠道，</w:t>
      </w:r>
      <w:r w:rsidRPr="00301606">
        <w:rPr>
          <w:rFonts w:ascii="仿宋_GB2312" w:hAnsi="仿宋_GB2312" w:cs="仿宋_GB2312" w:hint="eastAsia"/>
          <w:szCs w:val="32"/>
        </w:rPr>
        <w:t>鼓励银行、理财、资管、公募等金融同业机构与优质私募管理企业共享、共投，支持社保基金、保险资金、理财资金与私募基金合作，聚焦城市副中心绿色经济和科技创新领域开展投资。支持开展跨境产业和实业投资，积极推荐符合条件的私募基金企业参与北京市各项外资业务试点。建立优质产业项目投融资对接机制，全面梳理高新技术、专精特新、制造业单向冠军、“育英计划”、拟上市挂牌等优质企业项目，打造未上市企业股权、认股权证等权益类资产投资池。积极发掘优质绿色经济、绿色技术等投资项目，推动私募基金与优质项目高效对接。开展多样化绿色金融与科创金融服务，支持银行机构发展以认股权贷款为主的“股债联动”“投担联动”新模式，扩大知识产权质押贷款、股权质押贷款、供应链融资等业务规模。整合数据资源支持私募基金投研决策，</w:t>
      </w:r>
      <w:r w:rsidRPr="00B07D1A">
        <w:rPr>
          <w:rFonts w:ascii="仿宋_GB2312" w:hAnsi="仿宋_GB2312" w:cs="仿宋_GB2312" w:hint="eastAsia"/>
          <w:szCs w:val="32"/>
        </w:rPr>
        <w:t>推动跨行业、跨领域、跨层级信息整合，丰富涉企数据维度。</w:t>
      </w:r>
    </w:p>
    <w:p w14:paraId="205D7442" w14:textId="77777777" w:rsidR="00A9753F" w:rsidRPr="00016B66" w:rsidRDefault="00A9753F" w:rsidP="00A9753F">
      <w:pPr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4A4D78">
        <w:rPr>
          <w:rFonts w:ascii="仿宋_GB2312" w:hAnsi="仿宋_GB2312" w:cs="仿宋_GB2312" w:hint="eastAsia"/>
          <w:b/>
          <w:bCs/>
          <w:szCs w:val="32"/>
        </w:rPr>
        <w:t>第三部分</w:t>
      </w:r>
      <w:r>
        <w:rPr>
          <w:rFonts w:ascii="仿宋_GB2312" w:hAnsi="仿宋_GB2312" w:cs="仿宋_GB2312" w:hint="eastAsia"/>
          <w:b/>
          <w:bCs/>
          <w:szCs w:val="32"/>
        </w:rPr>
        <w:t xml:space="preserve"> </w:t>
      </w:r>
      <w:r w:rsidRPr="004A4D78">
        <w:rPr>
          <w:rFonts w:ascii="仿宋_GB2312" w:hAnsi="仿宋_GB2312" w:cs="仿宋_GB2312" w:hint="eastAsia"/>
          <w:b/>
          <w:bCs/>
          <w:szCs w:val="32"/>
        </w:rPr>
        <w:t>支持私募基金投后管理与资本退出。</w:t>
      </w:r>
      <w:r w:rsidRPr="00301606">
        <w:rPr>
          <w:rFonts w:ascii="仿宋_GB2312" w:hAnsi="仿宋_GB2312" w:cs="仿宋_GB2312" w:hint="eastAsia"/>
          <w:szCs w:val="32"/>
        </w:rPr>
        <w:t>提升私募基金产品运营与项目管理服务能力。鼓励银行、证券等金融机构全力做好私募基金企业资金托管、监管等服务，对引进的优质企业项目，在股权并购、厂房建设、日常运营等方面加大信贷支持力度，做好上市辅导、IPO筹划、债券融资等资本市场服务。优化被投项目多层次资本市场服务。加强中央与地方金融管理部门服务联动，与上交所、深交所、北交所等建立长期战略合作关系，为被投企业挂牌、上市等提供全流程、专业化指导和支持。对以“储架”“类REITs”等形式搭建并达到REITs产品发行条件的基础设施、产业园区、仓储物流、商业楼宇、保障住房等优质资产，全力支持及推动REITs发行。拓展份额、股权等基金退出渠道，规模化发展私募股权二级市场基金，支持S基金参与股权投资和创业投资份额转让或受让已投项目股权。</w:t>
      </w:r>
    </w:p>
    <w:p w14:paraId="3C41C09F" w14:textId="77777777" w:rsidR="00A9753F" w:rsidRPr="00301606" w:rsidRDefault="00A9753F" w:rsidP="00A9753F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4A4D78">
        <w:rPr>
          <w:rFonts w:ascii="仿宋_GB2312" w:hAnsi="仿宋_GB2312" w:cs="仿宋_GB2312" w:hint="eastAsia"/>
          <w:b/>
          <w:bCs/>
          <w:szCs w:val="32"/>
        </w:rPr>
        <w:t>第四部分</w:t>
      </w:r>
      <w:r>
        <w:rPr>
          <w:rFonts w:ascii="仿宋_GB2312" w:hAnsi="仿宋_GB2312" w:cs="仿宋_GB2312" w:hint="eastAsia"/>
          <w:b/>
          <w:bCs/>
          <w:szCs w:val="32"/>
        </w:rPr>
        <w:t xml:space="preserve"> </w:t>
      </w:r>
      <w:r w:rsidRPr="004A4D78">
        <w:rPr>
          <w:rFonts w:ascii="仿宋_GB2312" w:hAnsi="仿宋_GB2312" w:cs="仿宋_GB2312" w:hint="eastAsia"/>
          <w:b/>
          <w:bCs/>
          <w:szCs w:val="32"/>
        </w:rPr>
        <w:t>构建良好市场秩序及行业生态。</w:t>
      </w:r>
      <w:r w:rsidRPr="00301606">
        <w:rPr>
          <w:rFonts w:ascii="仿宋_GB2312" w:hAnsi="仿宋_GB2312" w:cs="仿宋_GB2312" w:hint="eastAsia"/>
          <w:szCs w:val="32"/>
        </w:rPr>
        <w:t>加强投资者权益保护与风险处置，加大与法院、仲裁、专业调解组织合作力度，完善投资者依法维权机制。建立全覆盖的金融风险监测预警体系，高效运转金融风险防范与处置工作机制</w:t>
      </w:r>
      <w:r>
        <w:rPr>
          <w:rFonts w:ascii="仿宋_GB2312" w:hAnsi="仿宋_GB2312" w:cs="仿宋_GB2312" w:hint="eastAsia"/>
          <w:szCs w:val="32"/>
        </w:rPr>
        <w:t>，</w:t>
      </w:r>
      <w:r w:rsidRPr="00301606">
        <w:rPr>
          <w:rFonts w:ascii="仿宋_GB2312" w:hAnsi="仿宋_GB2312" w:cs="仿宋_GB2312" w:hint="eastAsia"/>
          <w:szCs w:val="32"/>
        </w:rPr>
        <w:t>确保不发生区域系统性金融风险。实施财税金融组合支持措施，积极落实创业投资、股权投资领域各项所得税、增值税优惠政策</w:t>
      </w:r>
      <w:r>
        <w:rPr>
          <w:rFonts w:ascii="仿宋_GB2312" w:hAnsi="仿宋_GB2312" w:cs="仿宋_GB2312" w:hint="eastAsia"/>
          <w:szCs w:val="32"/>
        </w:rPr>
        <w:t>，</w:t>
      </w:r>
      <w:r w:rsidRPr="00301606">
        <w:rPr>
          <w:rFonts w:ascii="仿宋_GB2312" w:hAnsi="仿宋_GB2312" w:cs="仿宋_GB2312" w:hint="eastAsia"/>
          <w:szCs w:val="32"/>
        </w:rPr>
        <w:t>按照</w:t>
      </w:r>
      <w:r>
        <w:rPr>
          <w:rFonts w:ascii="仿宋_GB2312" w:hAnsi="仿宋_GB2312" w:cs="仿宋_GB2312" w:hint="eastAsia"/>
          <w:szCs w:val="32"/>
        </w:rPr>
        <w:t>现有</w:t>
      </w:r>
      <w:r w:rsidRPr="00301606">
        <w:rPr>
          <w:rFonts w:ascii="仿宋_GB2312" w:hAnsi="仿宋_GB2312" w:cs="仿宋_GB2312" w:hint="eastAsia"/>
          <w:szCs w:val="32"/>
        </w:rPr>
        <w:t>文件兑现各项激励措施。打造“基金财富港”城市金融品牌，依托“两区”“三平台”建设，</w:t>
      </w:r>
      <w:r w:rsidRPr="004A4D78">
        <w:rPr>
          <w:rFonts w:ascii="仿宋_GB2312" w:hAnsi="仿宋_GB2312" w:cs="仿宋_GB2312" w:hint="eastAsia"/>
          <w:szCs w:val="32"/>
        </w:rPr>
        <w:t>在财富管理、绿色金融、ESG投资、“一带一路”跨境合作等领域，</w:t>
      </w:r>
      <w:r w:rsidRPr="00301606">
        <w:rPr>
          <w:rFonts w:ascii="仿宋_GB2312" w:hAnsi="仿宋_GB2312" w:cs="仿宋_GB2312" w:hint="eastAsia"/>
          <w:szCs w:val="32"/>
        </w:rPr>
        <w:t>定期举办全球PE论坛、全球机构投资者峰会、ESG资管峰会等各类高规格论坛、峰会、展览等活动，</w:t>
      </w:r>
      <w:r>
        <w:rPr>
          <w:rFonts w:ascii="仿宋_GB2312" w:hAnsi="仿宋_GB2312" w:cs="仿宋_GB2312" w:hint="eastAsia"/>
          <w:szCs w:val="32"/>
        </w:rPr>
        <w:t>持续</w:t>
      </w:r>
      <w:r w:rsidRPr="00301606">
        <w:rPr>
          <w:rFonts w:ascii="仿宋_GB2312" w:hAnsi="仿宋_GB2312" w:cs="仿宋_GB2312" w:hint="eastAsia"/>
          <w:szCs w:val="32"/>
        </w:rPr>
        <w:t>扩大城市副中心私募基金业在国际国内市场的影响力。</w:t>
      </w:r>
    </w:p>
    <w:p w14:paraId="418779E4" w14:textId="77777777" w:rsidR="00A9753F" w:rsidRPr="00016B66" w:rsidRDefault="00A9753F" w:rsidP="00A9753F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016B66">
        <w:rPr>
          <w:rFonts w:ascii="仿宋_GB2312" w:hAnsi="仿宋_GB2312" w:cs="仿宋_GB2312" w:hint="eastAsia"/>
          <w:szCs w:val="32"/>
        </w:rPr>
        <w:t>欢迎有意向的社会各界人士，就《</w:t>
      </w:r>
      <w:r>
        <w:rPr>
          <w:rFonts w:ascii="仿宋_GB2312" w:hAnsi="仿宋_GB2312" w:cs="仿宋_GB2312" w:hint="eastAsia"/>
          <w:szCs w:val="32"/>
        </w:rPr>
        <w:t>若干措施</w:t>
      </w:r>
      <w:r w:rsidRPr="00016B66">
        <w:rPr>
          <w:rFonts w:ascii="仿宋_GB2312" w:hAnsi="仿宋_GB2312" w:cs="仿宋_GB2312" w:hint="eastAsia"/>
          <w:szCs w:val="32"/>
        </w:rPr>
        <w:t>》任何相关内容，</w:t>
      </w:r>
      <w:r w:rsidRPr="00016B66">
        <w:rPr>
          <w:rFonts w:ascii="仿宋_GB2312" w:hAnsi="仿宋_GB2312" w:cs="仿宋_GB2312"/>
          <w:szCs w:val="32"/>
        </w:rPr>
        <w:t>提出宝贵意见建议，</w:t>
      </w:r>
      <w:r w:rsidRPr="00016B66">
        <w:rPr>
          <w:rFonts w:ascii="仿宋_GB2312" w:hAnsi="仿宋_GB2312" w:cs="仿宋_GB2312" w:hint="eastAsia"/>
          <w:szCs w:val="32"/>
        </w:rPr>
        <w:t>随时与通州区金融办沟通对接。</w:t>
      </w:r>
    </w:p>
    <w:p w14:paraId="055BE969" w14:textId="77777777" w:rsidR="00A9753F" w:rsidRPr="00A44733" w:rsidRDefault="00A9753F" w:rsidP="00A9753F"/>
    <w:p w14:paraId="61BD09C3" w14:textId="17055D92" w:rsidR="0066745C" w:rsidRDefault="0066745C" w:rsidP="00285989">
      <w:pPr>
        <w:spacing w:line="560" w:lineRule="exact"/>
        <w:rPr>
          <w:rFonts w:ascii="方正小标宋简体" w:eastAsia="方正小标宋简体" w:hAnsi="仿宋" w:cs="Calibri"/>
          <w:sz w:val="44"/>
          <w:szCs w:val="44"/>
        </w:rPr>
      </w:pPr>
    </w:p>
    <w:p w14:paraId="43E3551F" w14:textId="77777777" w:rsidR="00285989" w:rsidRDefault="00285989" w:rsidP="00285989">
      <w:pPr>
        <w:spacing w:line="560" w:lineRule="exact"/>
        <w:rPr>
          <w:rFonts w:ascii="仿宋_GB2312" w:hAnsi="宋体"/>
          <w:color w:val="000000"/>
          <w:szCs w:val="32"/>
        </w:rPr>
      </w:pPr>
    </w:p>
    <w:p w14:paraId="2C2C5582" w14:textId="77777777" w:rsidR="0066745C" w:rsidRDefault="00000000">
      <w:pPr>
        <w:spacing w:line="560" w:lineRule="exact"/>
        <w:ind w:firstLineChars="1200" w:firstLine="384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北京市通州区金融服务办公室</w:t>
      </w:r>
    </w:p>
    <w:p w14:paraId="3BD923A2" w14:textId="132D4891" w:rsidR="0066745C" w:rsidRDefault="00000000">
      <w:pPr>
        <w:pStyle w:val="9"/>
        <w:spacing w:line="560" w:lineRule="exact"/>
        <w:rPr>
          <w:rFonts w:ascii="仿宋_GB2312" w:hAnsi="宋体" w:cs="Times New Roman"/>
          <w:color w:val="000000"/>
        </w:rPr>
      </w:pPr>
      <w:r>
        <w:rPr>
          <w:rFonts w:ascii="仿宋_GB2312" w:hAnsi="宋体" w:cs="Times New Roman" w:hint="eastAsia"/>
          <w:color w:val="000000"/>
        </w:rPr>
        <w:t xml:space="preserve">                        </w:t>
      </w:r>
      <w:r>
        <w:rPr>
          <w:rFonts w:ascii="仿宋_GB2312" w:eastAsia="仿宋_GB2312" w:hAnsi="宋体" w:cs="Times New Roman" w:hint="eastAsia"/>
          <w:color w:val="000000"/>
        </w:rPr>
        <w:t xml:space="preserve">   202</w:t>
      </w:r>
      <w:r w:rsidR="00285989">
        <w:rPr>
          <w:rFonts w:ascii="仿宋_GB2312" w:eastAsia="仿宋_GB2312" w:hAnsi="宋体" w:cs="Times New Roman"/>
          <w:color w:val="000000"/>
        </w:rPr>
        <w:t>3</w:t>
      </w:r>
      <w:r>
        <w:rPr>
          <w:rFonts w:ascii="仿宋_GB2312" w:eastAsia="仿宋_GB2312" w:hAnsi="宋体" w:cs="Times New Roman" w:hint="eastAsia"/>
          <w:color w:val="000000"/>
        </w:rPr>
        <w:t>年</w:t>
      </w:r>
      <w:r w:rsidR="00285989">
        <w:rPr>
          <w:rFonts w:ascii="仿宋_GB2312" w:eastAsia="仿宋_GB2312" w:hAnsi="宋体" w:cs="Times New Roman"/>
          <w:color w:val="000000"/>
        </w:rPr>
        <w:t>2</w:t>
      </w:r>
      <w:r>
        <w:rPr>
          <w:rFonts w:ascii="仿宋_GB2312" w:eastAsia="仿宋_GB2312" w:hAnsi="宋体" w:cs="Times New Roman" w:hint="eastAsia"/>
          <w:color w:val="000000"/>
        </w:rPr>
        <w:t>月1</w:t>
      </w:r>
      <w:r w:rsidR="00D03A42">
        <w:rPr>
          <w:rFonts w:ascii="仿宋_GB2312" w:eastAsia="仿宋_GB2312" w:hAnsi="宋体" w:cs="Times New Roman"/>
          <w:color w:val="000000"/>
        </w:rPr>
        <w:t>6</w:t>
      </w:r>
      <w:r>
        <w:rPr>
          <w:rFonts w:ascii="仿宋_GB2312" w:eastAsia="仿宋_GB2312" w:hAnsi="宋体" w:cs="Times New Roman" w:hint="eastAsia"/>
          <w:color w:val="000000"/>
        </w:rPr>
        <w:t>日</w:t>
      </w:r>
    </w:p>
    <w:p w14:paraId="1438DBAA" w14:textId="77777777" w:rsidR="0066745C" w:rsidRDefault="0066745C">
      <w:pPr>
        <w:widowControl/>
        <w:spacing w:line="600" w:lineRule="exact"/>
        <w:ind w:firstLineChars="200" w:firstLine="640"/>
        <w:rPr>
          <w:rFonts w:ascii="仿宋_GB2312" w:hAnsi="仿宋"/>
          <w:szCs w:val="32"/>
        </w:rPr>
      </w:pPr>
    </w:p>
    <w:sectPr w:rsidR="0066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FB0"/>
    <w:multiLevelType w:val="hybridMultilevel"/>
    <w:tmpl w:val="5B24C8D8"/>
    <w:lvl w:ilvl="0" w:tplc="61C2C21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84024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wNDM5OGRkOGU3YzczYzAxNzg4ODI3NWMzYjY1NzEifQ=="/>
  </w:docVars>
  <w:rsids>
    <w:rsidRoot w:val="00172A27"/>
    <w:rsid w:val="BDFBB0C5"/>
    <w:rsid w:val="EF37815A"/>
    <w:rsid w:val="00065D12"/>
    <w:rsid w:val="0010257F"/>
    <w:rsid w:val="0011157B"/>
    <w:rsid w:val="00141EC2"/>
    <w:rsid w:val="00172A27"/>
    <w:rsid w:val="001F0013"/>
    <w:rsid w:val="00206C63"/>
    <w:rsid w:val="00285989"/>
    <w:rsid w:val="002F4506"/>
    <w:rsid w:val="00322BF6"/>
    <w:rsid w:val="003A6B66"/>
    <w:rsid w:val="003F28AF"/>
    <w:rsid w:val="004A2926"/>
    <w:rsid w:val="0054389C"/>
    <w:rsid w:val="005B2769"/>
    <w:rsid w:val="0066745C"/>
    <w:rsid w:val="00671000"/>
    <w:rsid w:val="00752841"/>
    <w:rsid w:val="00811CA9"/>
    <w:rsid w:val="009B7C06"/>
    <w:rsid w:val="00A255E3"/>
    <w:rsid w:val="00A9753F"/>
    <w:rsid w:val="00C474B7"/>
    <w:rsid w:val="00C6595A"/>
    <w:rsid w:val="00CE65F8"/>
    <w:rsid w:val="00D03A42"/>
    <w:rsid w:val="00DD758B"/>
    <w:rsid w:val="00DE2F99"/>
    <w:rsid w:val="00E74015"/>
    <w:rsid w:val="00EC595C"/>
    <w:rsid w:val="01AA498B"/>
    <w:rsid w:val="027E6CBB"/>
    <w:rsid w:val="033E696D"/>
    <w:rsid w:val="034B0FA8"/>
    <w:rsid w:val="03DF1EFE"/>
    <w:rsid w:val="04642403"/>
    <w:rsid w:val="04652853"/>
    <w:rsid w:val="04BA76BE"/>
    <w:rsid w:val="0508091D"/>
    <w:rsid w:val="07132D6C"/>
    <w:rsid w:val="07A31495"/>
    <w:rsid w:val="08AF6C12"/>
    <w:rsid w:val="0A481318"/>
    <w:rsid w:val="0A7809B7"/>
    <w:rsid w:val="0C3B4B55"/>
    <w:rsid w:val="0C601702"/>
    <w:rsid w:val="0EB900BE"/>
    <w:rsid w:val="0F604FB7"/>
    <w:rsid w:val="10412DCE"/>
    <w:rsid w:val="10FE598E"/>
    <w:rsid w:val="119F2CCD"/>
    <w:rsid w:val="121216F1"/>
    <w:rsid w:val="130A23C8"/>
    <w:rsid w:val="14861F22"/>
    <w:rsid w:val="14975EDD"/>
    <w:rsid w:val="157D3325"/>
    <w:rsid w:val="16976668"/>
    <w:rsid w:val="17AB334F"/>
    <w:rsid w:val="180905FC"/>
    <w:rsid w:val="180E64B6"/>
    <w:rsid w:val="193463F1"/>
    <w:rsid w:val="19AC41D9"/>
    <w:rsid w:val="1AD11A1D"/>
    <w:rsid w:val="1BE74134"/>
    <w:rsid w:val="1C5B1EE6"/>
    <w:rsid w:val="1E875215"/>
    <w:rsid w:val="1EF236E7"/>
    <w:rsid w:val="236F28B6"/>
    <w:rsid w:val="238C4854"/>
    <w:rsid w:val="23EB52D4"/>
    <w:rsid w:val="244A2F6C"/>
    <w:rsid w:val="285D445F"/>
    <w:rsid w:val="28BD346F"/>
    <w:rsid w:val="29273AFB"/>
    <w:rsid w:val="292A336C"/>
    <w:rsid w:val="2A4B5348"/>
    <w:rsid w:val="2AA50EFC"/>
    <w:rsid w:val="2BC35157"/>
    <w:rsid w:val="2C1E2A85"/>
    <w:rsid w:val="2D9074FA"/>
    <w:rsid w:val="2DB971EC"/>
    <w:rsid w:val="30185253"/>
    <w:rsid w:val="31265D36"/>
    <w:rsid w:val="31603DCF"/>
    <w:rsid w:val="316311C9"/>
    <w:rsid w:val="32937E81"/>
    <w:rsid w:val="32952774"/>
    <w:rsid w:val="33645CF6"/>
    <w:rsid w:val="33750C59"/>
    <w:rsid w:val="33AB4F3C"/>
    <w:rsid w:val="33BA231E"/>
    <w:rsid w:val="34000F51"/>
    <w:rsid w:val="35035037"/>
    <w:rsid w:val="36323860"/>
    <w:rsid w:val="3772660A"/>
    <w:rsid w:val="37C4498C"/>
    <w:rsid w:val="38573934"/>
    <w:rsid w:val="38ED5C39"/>
    <w:rsid w:val="393F42CA"/>
    <w:rsid w:val="397C5BBC"/>
    <w:rsid w:val="3AAB300D"/>
    <w:rsid w:val="3E350391"/>
    <w:rsid w:val="3EE155DB"/>
    <w:rsid w:val="3EF02927"/>
    <w:rsid w:val="3EF47652"/>
    <w:rsid w:val="3F406FEE"/>
    <w:rsid w:val="3FD15E98"/>
    <w:rsid w:val="410540F2"/>
    <w:rsid w:val="42266597"/>
    <w:rsid w:val="433A3AD8"/>
    <w:rsid w:val="44632616"/>
    <w:rsid w:val="46B71AEA"/>
    <w:rsid w:val="491F7604"/>
    <w:rsid w:val="49691876"/>
    <w:rsid w:val="49952D80"/>
    <w:rsid w:val="4E21448E"/>
    <w:rsid w:val="4FCE6984"/>
    <w:rsid w:val="50083210"/>
    <w:rsid w:val="5133080F"/>
    <w:rsid w:val="515B7E90"/>
    <w:rsid w:val="52685034"/>
    <w:rsid w:val="52793941"/>
    <w:rsid w:val="539029BF"/>
    <w:rsid w:val="53C057E0"/>
    <w:rsid w:val="55807CEC"/>
    <w:rsid w:val="55BA1450"/>
    <w:rsid w:val="5654240B"/>
    <w:rsid w:val="57435475"/>
    <w:rsid w:val="587F428B"/>
    <w:rsid w:val="58EA20EF"/>
    <w:rsid w:val="5A5A6BDA"/>
    <w:rsid w:val="5AEE74A6"/>
    <w:rsid w:val="5B1E2634"/>
    <w:rsid w:val="5C645C72"/>
    <w:rsid w:val="5D1E0FD3"/>
    <w:rsid w:val="5DEC7830"/>
    <w:rsid w:val="5EDB7F18"/>
    <w:rsid w:val="5FFC08B7"/>
    <w:rsid w:val="60002EEE"/>
    <w:rsid w:val="6100792B"/>
    <w:rsid w:val="61042264"/>
    <w:rsid w:val="61C23B70"/>
    <w:rsid w:val="636D5D54"/>
    <w:rsid w:val="655C3007"/>
    <w:rsid w:val="666D0238"/>
    <w:rsid w:val="67C91DE0"/>
    <w:rsid w:val="68E819D9"/>
    <w:rsid w:val="69BD1DAE"/>
    <w:rsid w:val="69FF6448"/>
    <w:rsid w:val="6A2904FB"/>
    <w:rsid w:val="6A501604"/>
    <w:rsid w:val="6A5C1BD4"/>
    <w:rsid w:val="6C3B62C3"/>
    <w:rsid w:val="6C636A39"/>
    <w:rsid w:val="6CDC6F8F"/>
    <w:rsid w:val="6CE150CE"/>
    <w:rsid w:val="6EC97541"/>
    <w:rsid w:val="6F48081F"/>
    <w:rsid w:val="6FF46EB5"/>
    <w:rsid w:val="712F3046"/>
    <w:rsid w:val="73D40D0A"/>
    <w:rsid w:val="744523D5"/>
    <w:rsid w:val="755C14F5"/>
    <w:rsid w:val="76B83799"/>
    <w:rsid w:val="784529A4"/>
    <w:rsid w:val="788A2AAC"/>
    <w:rsid w:val="78BD2C24"/>
    <w:rsid w:val="79E95F19"/>
    <w:rsid w:val="7AC1208A"/>
    <w:rsid w:val="7B7908F3"/>
    <w:rsid w:val="7C772819"/>
    <w:rsid w:val="7CB4638C"/>
    <w:rsid w:val="7D9814C2"/>
    <w:rsid w:val="7EA63CD5"/>
    <w:rsid w:val="7EC35837"/>
    <w:rsid w:val="7F587460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CFF32C"/>
  <w15:docId w15:val="{BDFF768A-C901-4543-90AF-B3C87F4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pPr>
      <w:ind w:left="420"/>
    </w:pPr>
    <w:rPr>
      <w:rFonts w:ascii="DengXian" w:eastAsia="DengXian" w:hAnsi="DengXian" w:cs="黑体"/>
      <w:b/>
      <w:sz w:val="30"/>
      <w:szCs w:val="30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qFormat/>
    <w:pPr>
      <w:spacing w:line="520" w:lineRule="exact"/>
      <w:ind w:firstLineChars="200" w:firstLine="640"/>
    </w:pPr>
    <w:rPr>
      <w:rFonts w:ascii="黑体" w:eastAsia="黑体" w:hAnsi="黑体" w:cs="仿宋_GB2312"/>
      <w:szCs w:val="32"/>
    </w:rPr>
  </w:style>
  <w:style w:type="character" w:styleId="a7">
    <w:name w:val="page number"/>
    <w:basedOn w:val="a0"/>
    <w:uiPriority w:val="99"/>
    <w:unhideWhenUsed/>
    <w:qFormat/>
    <w:rPr>
      <w:rFonts w:cs="Times New Roman" w:hint="default"/>
      <w:sz w:val="24"/>
      <w:szCs w:val="24"/>
    </w:rPr>
  </w:style>
  <w:style w:type="character" w:styleId="a8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15">
    <w:name w:val="15"/>
    <w:basedOn w:val="a0"/>
    <w:qFormat/>
    <w:rPr>
      <w:rFonts w:ascii="Calibri" w:hAnsi="Calibri" w:cs="Calibri" w:hint="default"/>
      <w:vertAlign w:val="superscript"/>
    </w:rPr>
  </w:style>
  <w:style w:type="character" w:customStyle="1" w:styleId="10">
    <w:name w:val="10"/>
    <w:basedOn w:val="a0"/>
    <w:qFormat/>
    <w:rPr>
      <w:rFonts w:ascii="Calibri" w:hAnsi="Calibri" w:cs="Calibri" w:hint="default"/>
    </w:rPr>
  </w:style>
  <w:style w:type="character" w:customStyle="1" w:styleId="a6">
    <w:name w:val="页眉 字符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仿宋_GB231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9753F"/>
    <w:pPr>
      <w:ind w:firstLineChars="200" w:firstLine="420"/>
    </w:pPr>
    <w:rPr>
      <w:rFonts w:asciiTheme="minorHAnsi" w:eastAsiaTheme="minorEastAsia" w:hAnsiTheme="minorHAnsi" w:cstheme="minorBid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301</Words>
  <Characters>1716</Characters>
  <Application>Microsoft Office Word</Application>
  <DocSecurity>0</DocSecurity>
  <Lines>14</Lines>
  <Paragraphs>4</Paragraphs>
  <ScaleCrop>false</ScaleCrop>
  <Company>Lenovo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刘世宇</dc:creator>
  <cp:lastModifiedBy>QU YQ</cp:lastModifiedBy>
  <cp:revision>13</cp:revision>
  <cp:lastPrinted>2022-10-10T09:09:00Z</cp:lastPrinted>
  <dcterms:created xsi:type="dcterms:W3CDTF">2021-05-20T02:33:00Z</dcterms:created>
  <dcterms:modified xsi:type="dcterms:W3CDTF">2023-02-15T10:49:00Z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1990400776F94E4B8565C44E7466A1CB</vt:lpwstr>
  </property>
</Properties>
</file>