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A158" w14:textId="043FB181" w:rsidR="00362D37" w:rsidRDefault="00362D37" w:rsidP="00362D37">
      <w:pPr>
        <w:spacing w:line="600" w:lineRule="exact"/>
        <w:ind w:firstLineChars="0" w:firstLine="0"/>
        <w:jc w:val="left"/>
        <w:rPr>
          <w:rFonts w:ascii="仿宋_GB2312" w:hAnsi="仿宋_GB2312" w:cs="仿宋_GB2312"/>
          <w:szCs w:val="32"/>
        </w:rPr>
      </w:pPr>
      <w:bookmarkStart w:id="0" w:name="_Hlk95205826"/>
      <w:r>
        <w:rPr>
          <w:rFonts w:ascii="仿宋_GB2312" w:hAnsi="仿宋_GB2312" w:cs="仿宋_GB2312" w:hint="eastAsia"/>
          <w:szCs w:val="32"/>
        </w:rPr>
        <w:t>附件1</w:t>
      </w:r>
    </w:p>
    <w:p w14:paraId="1A894276" w14:textId="77777777" w:rsidR="00362D37" w:rsidRPr="00362D37" w:rsidRDefault="00362D37" w:rsidP="00362D37">
      <w:pPr>
        <w:pStyle w:val="9"/>
        <w:ind w:firstLine="680"/>
        <w:rPr>
          <w:rFonts w:hint="eastAsia"/>
        </w:rPr>
      </w:pPr>
    </w:p>
    <w:p w14:paraId="2612871D" w14:textId="3B08B1ED" w:rsidR="00832B91" w:rsidRDefault="00000000">
      <w:pPr>
        <w:spacing w:line="600" w:lineRule="exact"/>
        <w:ind w:firstLineChars="0" w:firstLine="0"/>
        <w:jc w:val="center"/>
        <w:rPr>
          <w:rFonts w:ascii="仿宋_GB2312" w:hAnsi="仿宋_GB2312" w:cs="仿宋_GB2312"/>
          <w:szCs w:val="32"/>
        </w:rPr>
      </w:pPr>
      <w:r>
        <w:rPr>
          <w:rFonts w:ascii="仿宋_GB2312" w:hAnsi="仿宋_GB2312" w:cs="仿宋_GB2312" w:hint="eastAsia"/>
          <w:szCs w:val="32"/>
        </w:rPr>
        <w:t>北京市地方金融监督管理局、中国证券监督管理委员会北京监管局、北京市通州区人民政府（拟联合印发单位）</w:t>
      </w:r>
    </w:p>
    <w:p w14:paraId="2FD61D28" w14:textId="77777777" w:rsidR="00832B91" w:rsidRDefault="00000000">
      <w:pPr>
        <w:spacing w:line="74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关于支持北京城市副中心</w:t>
      </w:r>
    </w:p>
    <w:p w14:paraId="44295528" w14:textId="1ACF0B11" w:rsidR="00832B91" w:rsidRDefault="00000000">
      <w:pPr>
        <w:spacing w:line="74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建设“基金财富港”的若干措施</w:t>
      </w:r>
    </w:p>
    <w:p w14:paraId="13E84DF1" w14:textId="3FBC2120" w:rsidR="00AD107F" w:rsidRPr="00D44D4B" w:rsidRDefault="00AD107F" w:rsidP="007E48EC">
      <w:pPr>
        <w:pStyle w:val="9"/>
        <w:ind w:firstLine="640"/>
        <w:jc w:val="center"/>
        <w:rPr>
          <w:rFonts w:ascii="仿宋_GB2312" w:eastAsia="仿宋_GB2312" w:hAnsi="仿宋_GB2312" w:cs="仿宋_GB2312"/>
          <w:sz w:val="32"/>
          <w:szCs w:val="32"/>
        </w:rPr>
      </w:pPr>
      <w:r w:rsidRPr="00D44D4B">
        <w:rPr>
          <w:rFonts w:ascii="仿宋_GB2312" w:eastAsia="仿宋_GB2312" w:hAnsi="仿宋_GB2312" w:cs="仿宋_GB2312" w:hint="eastAsia"/>
          <w:sz w:val="32"/>
          <w:szCs w:val="32"/>
        </w:rPr>
        <w:t>（征求意见稿）</w:t>
      </w:r>
    </w:p>
    <w:bookmarkEnd w:id="0"/>
    <w:p w14:paraId="00B4C045" w14:textId="77777777" w:rsidR="00832B91" w:rsidRDefault="00832B91" w:rsidP="007E48EC">
      <w:pPr>
        <w:spacing w:line="600" w:lineRule="exact"/>
        <w:jc w:val="center"/>
        <w:rPr>
          <w:rFonts w:ascii="仿宋_GB2312" w:cs="仿宋_GB2312"/>
          <w:b/>
          <w:bCs/>
          <w:szCs w:val="32"/>
        </w:rPr>
      </w:pPr>
    </w:p>
    <w:p w14:paraId="3140B749" w14:textId="77777777" w:rsidR="00832B91" w:rsidRDefault="00000000" w:rsidP="00962B6D">
      <w:pPr>
        <w:rPr>
          <w:rFonts w:ascii="仿宋_GB2312" w:hAnsi="仿宋_GB2312" w:cs="仿宋_GB2312"/>
          <w:szCs w:val="32"/>
        </w:rPr>
      </w:pPr>
      <w:r>
        <w:rPr>
          <w:rFonts w:ascii="仿宋_GB2312" w:hAnsi="仿宋_GB2312" w:cs="仿宋_GB2312" w:hint="eastAsia"/>
          <w:szCs w:val="32"/>
        </w:rPr>
        <w:t>为深入贯彻国务院《关于支持北京城市副中心高质量发展的意见》、北京市“两区”建设总体方案，细化推进《关于推进北京全球财富管理中心建设的意见》《“两区”建设绿色金融改革开放发展行动方案》</w:t>
      </w:r>
      <w:r>
        <w:rPr>
          <w:rFonts w:hint="eastAsia"/>
        </w:rPr>
        <w:t>等</w:t>
      </w:r>
      <w:r>
        <w:rPr>
          <w:rFonts w:ascii="仿宋_GB2312" w:hAnsi="仿宋_GB2312" w:cs="仿宋_GB2312" w:hint="eastAsia"/>
          <w:szCs w:val="32"/>
        </w:rPr>
        <w:t>既定改革任务，以优质社会资本引领绿色投资、驱动科技创新，打造京津冀绿色投资与创新资本重要承载区、全国标杆性私募基金集聚发展新高地、面向国际的跨境双向投资先行示范区，提升城市副中心财富管理、绿色金融先导承载能力，高质量建设首都“基金财富港”，特制定以下措施。</w:t>
      </w:r>
    </w:p>
    <w:p w14:paraId="1AC44969" w14:textId="77777777" w:rsidR="00832B91" w:rsidRDefault="00000000" w:rsidP="00962B6D">
      <w:pPr>
        <w:rPr>
          <w:rFonts w:ascii="黑体" w:eastAsia="黑体" w:hAnsi="黑体" w:cs="黑体"/>
          <w:szCs w:val="32"/>
        </w:rPr>
      </w:pPr>
      <w:r>
        <w:rPr>
          <w:rFonts w:ascii="黑体" w:eastAsia="黑体" w:hAnsi="黑体" w:cs="黑体" w:hint="eastAsia"/>
          <w:szCs w:val="32"/>
        </w:rPr>
        <w:t>一、优化私募基金及关联机构落地服务</w:t>
      </w:r>
    </w:p>
    <w:p w14:paraId="7740F09C" w14:textId="77777777" w:rsidR="00832B91" w:rsidRDefault="00000000" w:rsidP="00962B6D">
      <w:r>
        <w:rPr>
          <w:rFonts w:ascii="仿宋_GB2312" w:hAnsi="仿宋_GB2312" w:cs="仿宋_GB2312" w:hint="eastAsia"/>
          <w:b/>
          <w:bCs/>
          <w:szCs w:val="32"/>
        </w:rPr>
        <w:t>（一）加大特色私募基金业态集聚。</w:t>
      </w:r>
      <w:r>
        <w:rPr>
          <w:rFonts w:ascii="仿宋_GB2312" w:hAnsi="仿宋_GB2312" w:cs="仿宋_GB2312" w:hint="eastAsia"/>
          <w:szCs w:val="32"/>
        </w:rPr>
        <w:t>以城市副中心运河商务区为核心区域，吸引ESG投资、气候投融资、风险投资与创业投资、城市建设及产业发展领域运作规范、业绩优异、竞争力突出的私募基金企业、创业投资机构、专业投资公司、资管产品及其投资企业落地发展。支持征信、评级、资产评估、国际仲裁、</w:t>
      </w:r>
      <w:r>
        <w:rPr>
          <w:rFonts w:ascii="仿宋_GB2312" w:hAnsi="仿宋_GB2312" w:cs="仿宋_GB2312" w:hint="eastAsia"/>
          <w:szCs w:val="32"/>
        </w:rPr>
        <w:lastRenderedPageBreak/>
        <w:t>确权登记、标准认证、智能投研等专业服务机构入驻。在运河两岸提供高品质、国际化办公空间，市区联合对符合条件的优质入驻企业给予不超过3000万元租购房资金支持</w:t>
      </w:r>
      <w:r>
        <w:rPr>
          <w:rFonts w:hint="eastAsia"/>
        </w:rPr>
        <w:t>，对处于筹建阶段的企业提供临时办公用房支持</w:t>
      </w:r>
      <w:r>
        <w:rPr>
          <w:rFonts w:ascii="仿宋_GB2312" w:hAnsi="仿宋_GB2312" w:cs="仿宋_GB2312" w:hint="eastAsia"/>
          <w:szCs w:val="32"/>
        </w:rPr>
        <w:t>。</w:t>
      </w:r>
      <w:r>
        <w:rPr>
          <w:rFonts w:hint="eastAsia"/>
        </w:rPr>
        <w:t>依托运河会客厅等商务空间资源，免费提供行业交流、产品发布、融资路演、人才联谊等活动场地。</w:t>
      </w:r>
    </w:p>
    <w:p w14:paraId="115B805B" w14:textId="32409FB5" w:rsidR="00832B91" w:rsidRDefault="00000000" w:rsidP="00962B6D">
      <w:r>
        <w:rPr>
          <w:rFonts w:hint="eastAsia"/>
          <w:b/>
          <w:bCs/>
        </w:rPr>
        <w:t>（二）打造“一站式”、便利化注册登记服务。</w:t>
      </w:r>
      <w:r>
        <w:rPr>
          <w:rFonts w:hint="eastAsia"/>
        </w:rPr>
        <w:t>建立“白名单”优质企业推荐制度，对纳入“白名单”的企业，通州区在</w:t>
      </w:r>
      <w:r>
        <w:rPr>
          <w:rFonts w:hint="eastAsia"/>
        </w:rPr>
        <w:t>3</w:t>
      </w:r>
      <w:r>
        <w:rPr>
          <w:rFonts w:hint="eastAsia"/>
        </w:rPr>
        <w:t>个工作日内向市级前置管理主办部门出具推荐材料；未纳入“白名单”但符合设立条件的企业，通州区在</w:t>
      </w:r>
      <w:r>
        <w:rPr>
          <w:rFonts w:hint="eastAsia"/>
        </w:rPr>
        <w:t>5</w:t>
      </w:r>
      <w:r>
        <w:rPr>
          <w:rFonts w:hint="eastAsia"/>
        </w:rPr>
        <w:t>个工作日出具推荐材料。获得市级前置管理主办部门无异议函后，通州区在</w:t>
      </w:r>
      <w:r>
        <w:rPr>
          <w:rFonts w:hint="eastAsia"/>
        </w:rPr>
        <w:t>1</w:t>
      </w:r>
      <w:r>
        <w:rPr>
          <w:rFonts w:hint="eastAsia"/>
        </w:rPr>
        <w:t>个工作日内核发营业执照。运河商务区打造市场化、国际化、专业化产业服务团队，设立私募基金及关联机构登记注册专属服务窗口，“一站式”提供注册登记、税费缴纳、出入境等便利化服务。</w:t>
      </w:r>
    </w:p>
    <w:p w14:paraId="7E57DFAC" w14:textId="77777777" w:rsidR="00832B91" w:rsidRDefault="00000000" w:rsidP="00962B6D">
      <w:pPr>
        <w:rPr>
          <w:rFonts w:ascii="黑体" w:eastAsia="黑体" w:hAnsi="黑体" w:cs="黑体"/>
          <w:szCs w:val="32"/>
        </w:rPr>
      </w:pPr>
      <w:r>
        <w:rPr>
          <w:rFonts w:ascii="黑体" w:eastAsia="黑体" w:hAnsi="黑体" w:cs="黑体" w:hint="eastAsia"/>
          <w:szCs w:val="32"/>
        </w:rPr>
        <w:t>二、支持设立高质量私募资管产品</w:t>
      </w:r>
    </w:p>
    <w:p w14:paraId="0C2CC7AB" w14:textId="77777777" w:rsidR="00832B91" w:rsidRDefault="00000000" w:rsidP="00962B6D">
      <w:r>
        <w:rPr>
          <w:rFonts w:hint="eastAsia"/>
          <w:b/>
          <w:bCs/>
        </w:rPr>
        <w:t>（三）拓展私募资金募集渠道。</w:t>
      </w:r>
      <w:r>
        <w:rPr>
          <w:rFonts w:hint="eastAsia"/>
        </w:rPr>
        <w:t>鼓励银行、理财、资管、公募等金融同业机构与优质私募管理企业共享、共投，支持社保基金、保险资金、理财资金与私募基金合作，聚焦城市副中心绿色经济和科技创新领域开展投资。对影响带动效应大的私募基金，通州区分档给予风险补偿支持，实际投资规模</w:t>
      </w:r>
      <w:r>
        <w:rPr>
          <w:rFonts w:hint="eastAsia"/>
        </w:rPr>
        <w:t>1</w:t>
      </w:r>
      <w:r>
        <w:rPr>
          <w:rFonts w:hint="eastAsia"/>
        </w:rPr>
        <w:t>亿元（含）</w:t>
      </w:r>
      <w:r>
        <w:rPr>
          <w:rFonts w:hint="eastAsia"/>
        </w:rPr>
        <w:t>-3</w:t>
      </w:r>
      <w:r>
        <w:rPr>
          <w:rFonts w:hint="eastAsia"/>
        </w:rPr>
        <w:t>亿元的部分，按</w:t>
      </w:r>
      <w:r>
        <w:rPr>
          <w:rFonts w:hint="eastAsia"/>
        </w:rPr>
        <w:t>1%</w:t>
      </w:r>
      <w:r>
        <w:rPr>
          <w:rFonts w:hint="eastAsia"/>
        </w:rPr>
        <w:t>支持；</w:t>
      </w:r>
      <w:r>
        <w:rPr>
          <w:rFonts w:hint="eastAsia"/>
        </w:rPr>
        <w:t>3</w:t>
      </w:r>
      <w:r>
        <w:rPr>
          <w:rFonts w:hint="eastAsia"/>
        </w:rPr>
        <w:t>亿（含）</w:t>
      </w:r>
      <w:r>
        <w:rPr>
          <w:rFonts w:hint="eastAsia"/>
        </w:rPr>
        <w:t>-5</w:t>
      </w:r>
      <w:r>
        <w:rPr>
          <w:rFonts w:hint="eastAsia"/>
        </w:rPr>
        <w:t>亿元的部分，按</w:t>
      </w:r>
      <w:r>
        <w:rPr>
          <w:rFonts w:hint="eastAsia"/>
        </w:rPr>
        <w:t>1.5%</w:t>
      </w:r>
      <w:r>
        <w:rPr>
          <w:rFonts w:hint="eastAsia"/>
        </w:rPr>
        <w:t>支持；</w:t>
      </w:r>
      <w:r>
        <w:rPr>
          <w:rFonts w:hint="eastAsia"/>
        </w:rPr>
        <w:t>5</w:t>
      </w:r>
      <w:r>
        <w:rPr>
          <w:rFonts w:hint="eastAsia"/>
        </w:rPr>
        <w:t>亿元及以上部分，按</w:t>
      </w:r>
      <w:r>
        <w:rPr>
          <w:rFonts w:hint="eastAsia"/>
        </w:rPr>
        <w:t>2%</w:t>
      </w:r>
      <w:r>
        <w:rPr>
          <w:rFonts w:hint="eastAsia"/>
        </w:rPr>
        <w:t>支持，合计支持不超过</w:t>
      </w:r>
      <w:r>
        <w:rPr>
          <w:rFonts w:hint="eastAsia"/>
        </w:rPr>
        <w:t>2000</w:t>
      </w:r>
      <w:r>
        <w:rPr>
          <w:rFonts w:hint="eastAsia"/>
        </w:rPr>
        <w:t>万元。鼓励私募基金发债融资用于企业股权投资，对在境内外发行各类债务工具融资的，分别按实际融资额度的</w:t>
      </w:r>
      <w:r>
        <w:rPr>
          <w:rFonts w:hint="eastAsia"/>
        </w:rPr>
        <w:t>5</w:t>
      </w:r>
      <w:r>
        <w:rPr>
          <w:rFonts w:hint="eastAsia"/>
        </w:rPr>
        <w:t>‰、</w:t>
      </w:r>
      <w:r>
        <w:rPr>
          <w:rFonts w:hint="eastAsia"/>
        </w:rPr>
        <w:t>1%</w:t>
      </w:r>
      <w:r>
        <w:rPr>
          <w:rFonts w:hint="eastAsia"/>
        </w:rPr>
        <w:t>给予发行人不超过</w:t>
      </w:r>
      <w:r>
        <w:rPr>
          <w:rFonts w:hint="eastAsia"/>
        </w:rPr>
        <w:t>200</w:t>
      </w:r>
      <w:r>
        <w:rPr>
          <w:rFonts w:hint="eastAsia"/>
        </w:rPr>
        <w:t>万、</w:t>
      </w:r>
      <w:r>
        <w:rPr>
          <w:rFonts w:hint="eastAsia"/>
        </w:rPr>
        <w:t>400</w:t>
      </w:r>
      <w:r>
        <w:rPr>
          <w:rFonts w:hint="eastAsia"/>
        </w:rPr>
        <w:t>万元一次性资金支持。在城市更新、拆迁改造过程中，引导企业、居民科学合理配置财富资源，支持优质私募基金管理人有序对接投资者财富保值增值需求。</w:t>
      </w:r>
    </w:p>
    <w:p w14:paraId="2CF49A1A" w14:textId="77777777" w:rsidR="00832B91" w:rsidRDefault="00000000" w:rsidP="00962B6D">
      <w:r>
        <w:rPr>
          <w:rFonts w:hint="eastAsia"/>
          <w:b/>
          <w:bCs/>
        </w:rPr>
        <w:t>（四）支持开展跨境产业和实业投资。</w:t>
      </w:r>
      <w:r>
        <w:rPr>
          <w:rFonts w:hint="eastAsia"/>
        </w:rPr>
        <w:t>为私募基金管理人与监管部门搭建高效对接渠道，便利化产品备案、资质审核等业务办理，优化资本项目收入支付等办理流程，畅通资金出入境渠道。积极推荐符合条件的私募基金企业参与北京市各项外资业务试点，全力支持企业申报合格境内投资企业（</w:t>
      </w:r>
      <w:r>
        <w:rPr>
          <w:rFonts w:hint="eastAsia"/>
        </w:rPr>
        <w:t>QFII</w:t>
      </w:r>
      <w:r>
        <w:rPr>
          <w:rFonts w:hint="eastAsia"/>
        </w:rPr>
        <w:t>）、合格境内机构投资者（</w:t>
      </w:r>
      <w:r>
        <w:rPr>
          <w:rFonts w:hint="eastAsia"/>
        </w:rPr>
        <w:t>QDII</w:t>
      </w:r>
      <w:r>
        <w:rPr>
          <w:rFonts w:hint="eastAsia"/>
        </w:rPr>
        <w:t>）、合格境外有限合伙人（</w:t>
      </w:r>
      <w:r>
        <w:rPr>
          <w:rFonts w:hint="eastAsia"/>
        </w:rPr>
        <w:t>QFLP</w:t>
      </w:r>
      <w:r>
        <w:rPr>
          <w:rFonts w:hint="eastAsia"/>
        </w:rPr>
        <w:t>）、合格境内有限合伙人（</w:t>
      </w:r>
      <w:r>
        <w:rPr>
          <w:rFonts w:hint="eastAsia"/>
        </w:rPr>
        <w:t>QDLP</w:t>
      </w:r>
      <w:r>
        <w:rPr>
          <w:rFonts w:hint="eastAsia"/>
        </w:rPr>
        <w:t>）、人民币合格境外机构投资者（</w:t>
      </w:r>
      <w:r>
        <w:rPr>
          <w:rFonts w:hint="eastAsia"/>
        </w:rPr>
        <w:t>RQFII</w:t>
      </w:r>
      <w:r>
        <w:rPr>
          <w:rFonts w:hint="eastAsia"/>
        </w:rPr>
        <w:t>）、人民币合格境内机构投资者（</w:t>
      </w:r>
      <w:r>
        <w:rPr>
          <w:rFonts w:hint="eastAsia"/>
        </w:rPr>
        <w:t>RQDII</w:t>
      </w:r>
      <w:r>
        <w:rPr>
          <w:rFonts w:hint="eastAsia"/>
        </w:rPr>
        <w:t>）、合格境内投资企业（</w:t>
      </w:r>
      <w:r>
        <w:rPr>
          <w:rFonts w:hint="eastAsia"/>
        </w:rPr>
        <w:t>QDIE</w:t>
      </w:r>
      <w:r>
        <w:rPr>
          <w:rFonts w:hint="eastAsia"/>
        </w:rPr>
        <w:t>）、外商独资私募证券投资基金管理人（</w:t>
      </w:r>
      <w:r>
        <w:rPr>
          <w:rFonts w:hint="eastAsia"/>
        </w:rPr>
        <w:t>WFOE PFM</w:t>
      </w:r>
      <w:r>
        <w:rPr>
          <w:rFonts w:hint="eastAsia"/>
        </w:rPr>
        <w:t>）等试点额度和业务资质，获批额度每满人民币</w:t>
      </w:r>
      <w:r>
        <w:rPr>
          <w:rFonts w:hint="eastAsia"/>
        </w:rPr>
        <w:t>1</w:t>
      </w:r>
      <w:r>
        <w:rPr>
          <w:rFonts w:hint="eastAsia"/>
        </w:rPr>
        <w:t>亿元（或等值外币）的，给予不超过</w:t>
      </w:r>
      <w:r>
        <w:rPr>
          <w:rFonts w:hint="eastAsia"/>
        </w:rPr>
        <w:t>50</w:t>
      </w:r>
      <w:r>
        <w:rPr>
          <w:rFonts w:hint="eastAsia"/>
        </w:rPr>
        <w:t>万元的一次性资金扶持。</w:t>
      </w:r>
    </w:p>
    <w:p w14:paraId="3EC8AD04" w14:textId="77777777" w:rsidR="00832B91" w:rsidRDefault="00000000" w:rsidP="00962B6D">
      <w:r>
        <w:rPr>
          <w:rFonts w:hint="eastAsia"/>
          <w:b/>
          <w:bCs/>
        </w:rPr>
        <w:t>（五）建立优质产业项目投融资对接机制。</w:t>
      </w:r>
      <w:r>
        <w:rPr>
          <w:rFonts w:hint="eastAsia"/>
        </w:rPr>
        <w:t>加大数字经济、智能制造、文化旅游、现代种业等重点产业以及第五代移动通信（</w:t>
      </w:r>
      <w:r>
        <w:rPr>
          <w:rFonts w:hint="eastAsia"/>
        </w:rPr>
        <w:t>5G</w:t>
      </w:r>
      <w:r>
        <w:rPr>
          <w:rFonts w:hint="eastAsia"/>
        </w:rPr>
        <w:t>）网络、人工智能、云计算、大数据等前沿科技企业引进力度，全面梳理高新技术、专精特新、制造业单向冠军、“育英计划”、拟上市挂牌等优质企业项目，</w:t>
      </w:r>
      <w:r>
        <w:rPr>
          <w:rFonts w:ascii="仿宋_GB2312" w:hAnsi="仿宋" w:cs="仿宋" w:hint="eastAsia"/>
          <w:color w:val="000000"/>
          <w:szCs w:val="32"/>
        </w:rPr>
        <w:t>打造未上市企业股权、认股权证等权益类资产投资池</w:t>
      </w:r>
      <w:r>
        <w:rPr>
          <w:rFonts w:ascii="仿宋_GB2312" w:hint="eastAsia"/>
          <w:szCs w:val="32"/>
        </w:rPr>
        <w:t>；</w:t>
      </w:r>
      <w:r>
        <w:rPr>
          <w:rFonts w:hint="eastAsia"/>
        </w:rPr>
        <w:t>依托北京绿色交易所企业碳账户、绿色项目库及全国温室气体自愿减排交易中心建设，积极发掘优质绿色经济、绿色技术等投资项目，常态化开展基金产品路演、投融资需求发布等活动，推动私募基金与优质项目高效对接。支持政府出资产业引导基金、国有资本投资运营企业领投、跟投绿色经济及科技创新领域优质私募基金产品，对经营绩效优秀、产业带动性强的私募基金企业，实施政府出资基金让利、团队激励等扶持措施，支持基金管理企业、投资人扩大再投资。</w:t>
      </w:r>
    </w:p>
    <w:p w14:paraId="33A23690" w14:textId="77777777" w:rsidR="00832B91" w:rsidRDefault="00000000" w:rsidP="00962B6D">
      <w:r>
        <w:rPr>
          <w:rFonts w:hint="eastAsia"/>
          <w:b/>
          <w:bCs/>
        </w:rPr>
        <w:t>（六）开展多样化绿色金融与科创金融服务</w:t>
      </w:r>
      <w:r>
        <w:rPr>
          <w:rFonts w:hint="eastAsia"/>
        </w:rPr>
        <w:t>。鼓励金融机构设立绿色支行、科创支行、科技金融服务站等专营机构或专营团队。支持各类社会资本设立绿色、科创专业投资子公司，合规开展股权投资、直接投资等业务。支持银行机构发展以认股权贷款为主的“股债联动”“投担联动”新模式，扩大知识产权质押贷款、股权质押贷款、供应链融资等业务规模。鼓励保险机构开发重大技术财产保险、专利保险、绿色建筑等专属保险产品，在环境保护、绿色发展、科技创新等方面提供风险保障和资金支持。</w:t>
      </w:r>
    </w:p>
    <w:p w14:paraId="7114106B" w14:textId="5B71134E" w:rsidR="00832B91" w:rsidRDefault="00000000" w:rsidP="00962B6D">
      <w:r>
        <w:rPr>
          <w:rFonts w:hint="eastAsia"/>
          <w:b/>
          <w:bCs/>
        </w:rPr>
        <w:t>（七）整合数据资源支持私募基金投研决策。</w:t>
      </w:r>
      <w:r>
        <w:rPr>
          <w:rFonts w:hint="eastAsia"/>
        </w:rPr>
        <w:t>依托行政管理、政务服务、公共事业等数据资源以及征信、交易、资产登记等金融基础设施，推动跨行业、跨领域、跨层级信息整合，丰富涉企数据维度，设立绿色企业、科创企业专属数据账户，打造投研数据基础设施更好服务私募机构，</w:t>
      </w:r>
      <w:r>
        <w:rPr>
          <w:rFonts w:ascii="仿宋_GB2312" w:hint="eastAsia"/>
          <w:szCs w:val="32"/>
        </w:rPr>
        <w:t>降低企业尽调成本，拓展投后风险识别与预警渠道。</w:t>
      </w:r>
    </w:p>
    <w:p w14:paraId="29C6DE78" w14:textId="77777777" w:rsidR="00832B91" w:rsidRDefault="00000000" w:rsidP="00962B6D">
      <w:pPr>
        <w:rPr>
          <w:rFonts w:ascii="仿宋_GB2312" w:hAnsi="仿宋_GB2312" w:cs="仿宋_GB2312"/>
          <w:szCs w:val="32"/>
        </w:rPr>
      </w:pPr>
      <w:r>
        <w:rPr>
          <w:rFonts w:ascii="黑体" w:eastAsia="黑体" w:hAnsi="黑体" w:cs="黑体" w:hint="eastAsia"/>
          <w:szCs w:val="32"/>
        </w:rPr>
        <w:t>三、支持私募基金投后管理与资本退出</w:t>
      </w:r>
    </w:p>
    <w:p w14:paraId="4D517656" w14:textId="77777777" w:rsidR="00832B91" w:rsidRDefault="00000000" w:rsidP="00962B6D">
      <w:pPr>
        <w:rPr>
          <w:rFonts w:ascii="仿宋_GB2312"/>
          <w:szCs w:val="32"/>
        </w:rPr>
      </w:pPr>
      <w:r>
        <w:rPr>
          <w:rFonts w:hint="eastAsia"/>
          <w:b/>
          <w:bCs/>
        </w:rPr>
        <w:t>（八）</w:t>
      </w:r>
      <w:r>
        <w:rPr>
          <w:rFonts w:ascii="仿宋_GB2312" w:hint="eastAsia"/>
          <w:b/>
          <w:bCs/>
          <w:szCs w:val="32"/>
        </w:rPr>
        <w:t>更好服务私募基金产品运营与项目管理。</w:t>
      </w:r>
      <w:r>
        <w:rPr>
          <w:rFonts w:ascii="仿宋_GB2312" w:hint="eastAsia"/>
          <w:szCs w:val="32"/>
        </w:rPr>
        <w:t>银行、证券等金融机构积极做好私募基金企业资金托管、监管等服务，对引进的优质企业项目，在股权并购、厂房建设、日常运营等方面加大信贷支持力度，做好上市辅导、IPO筹划、债券融资等资本市场服务。拓展优质产业承载空间，提供教育、住房、医疗等公共服务，积极兑现各项产业政策，支持有意向的被投企业快速、深度参与城市副中心建设。</w:t>
      </w:r>
    </w:p>
    <w:p w14:paraId="4935ABCA" w14:textId="77777777" w:rsidR="00832B91" w:rsidRDefault="00000000" w:rsidP="00962B6D">
      <w:pPr>
        <w:rPr>
          <w:rFonts w:ascii="仿宋_GB2312" w:hAnsi="仿宋_GB2312" w:cs="仿宋_GB2312"/>
          <w:szCs w:val="32"/>
        </w:rPr>
      </w:pPr>
      <w:r>
        <w:rPr>
          <w:rFonts w:hint="eastAsia"/>
          <w:b/>
          <w:bCs/>
        </w:rPr>
        <w:t>（九）优化被投项目多层次资本市场服务。</w:t>
      </w:r>
      <w:r>
        <w:rPr>
          <w:rFonts w:ascii="仿宋_GB2312" w:hint="eastAsia"/>
          <w:szCs w:val="32"/>
        </w:rPr>
        <w:t>加强中央与地方金融管理部门服务联动，与上交所、深交所、北交所等建立长期战略合作关系，为被投企业挂牌、上市等提供全流程、专业化指导和支持。对采取VIE等创新架构，达成境外上市且境内主要经营实体构成境外上市主体利润来源</w:t>
      </w:r>
      <w:r>
        <w:rPr>
          <w:rFonts w:ascii="仿宋_GB2312"/>
          <w:szCs w:val="32"/>
        </w:rPr>
        <w:t>70%以上的</w:t>
      </w:r>
      <w:r>
        <w:rPr>
          <w:rFonts w:ascii="仿宋_GB2312" w:hint="eastAsia"/>
          <w:szCs w:val="32"/>
        </w:rPr>
        <w:t>企业</w:t>
      </w:r>
      <w:r>
        <w:rPr>
          <w:rFonts w:ascii="仿宋_GB2312"/>
          <w:szCs w:val="32"/>
        </w:rPr>
        <w:t>，</w:t>
      </w:r>
      <w:r>
        <w:rPr>
          <w:rFonts w:ascii="仿宋_GB2312" w:hint="eastAsia"/>
          <w:szCs w:val="32"/>
        </w:rPr>
        <w:t>视同上市予以支持。</w:t>
      </w:r>
      <w:r>
        <w:rPr>
          <w:rFonts w:ascii="仿宋_GB2312" w:hAnsi="仿宋_GB2312" w:cs="仿宋_GB2312" w:hint="eastAsia"/>
          <w:szCs w:val="32"/>
        </w:rPr>
        <w:t>对以“储架”“类REITs”等形式搭建并达到REITs产品发行条件的基础设施、产业园区、仓储物流、商业楼宇、保障住房等优质资产，全力支持及推动REITs发行。</w:t>
      </w:r>
    </w:p>
    <w:p w14:paraId="2B0C4976" w14:textId="77777777" w:rsidR="00832B91" w:rsidRDefault="00000000" w:rsidP="00962B6D">
      <w:pPr>
        <w:rPr>
          <w:rFonts w:ascii="仿宋_GB2312"/>
          <w:szCs w:val="32"/>
        </w:rPr>
      </w:pPr>
      <w:r>
        <w:rPr>
          <w:rFonts w:ascii="仿宋_GB2312" w:hint="eastAsia"/>
          <w:b/>
          <w:bCs/>
          <w:szCs w:val="32"/>
        </w:rPr>
        <w:t>（十）拓展份额、股权等基金退出渠道</w:t>
      </w:r>
      <w:r>
        <w:rPr>
          <w:rFonts w:ascii="仿宋_GB2312" w:hAnsi="仿宋_GB2312" w:cs="仿宋_GB2312" w:hint="eastAsia"/>
          <w:b/>
          <w:bCs/>
          <w:szCs w:val="32"/>
        </w:rPr>
        <w:t>。</w:t>
      </w:r>
      <w:r>
        <w:rPr>
          <w:rFonts w:ascii="仿宋_GB2312" w:hint="eastAsia"/>
          <w:szCs w:val="32"/>
        </w:rPr>
        <w:t>规模化发展私募股权二级市场基金，</w:t>
      </w:r>
      <w:r>
        <w:rPr>
          <w:rFonts w:ascii="仿宋_GB2312" w:hAnsi="仿宋_GB2312" w:cs="仿宋_GB2312" w:hint="eastAsia"/>
          <w:szCs w:val="32"/>
        </w:rPr>
        <w:t>支持S基金参与股权投资和创业投资份额转让或受让已投项目股权。探索引进、设立不低于百亿规模的国企背景S基金，参与受让优质企业项目股权。</w:t>
      </w:r>
      <w:r>
        <w:rPr>
          <w:rFonts w:hint="eastAsia"/>
        </w:rPr>
        <w:t>合法依规推动私募股权创投基金向投资者实物分配股票等试点落地。</w:t>
      </w:r>
    </w:p>
    <w:p w14:paraId="116B0EFC" w14:textId="1BFE7A78" w:rsidR="00832B91" w:rsidRDefault="00000000" w:rsidP="00962B6D">
      <w:pPr>
        <w:rPr>
          <w:rFonts w:ascii="仿宋_GB2312" w:hAnsi="仿宋_GB2312" w:cs="仿宋_GB2312"/>
          <w:szCs w:val="32"/>
        </w:rPr>
      </w:pPr>
      <w:r>
        <w:rPr>
          <w:rFonts w:ascii="黑体" w:eastAsia="黑体" w:hAnsi="黑体" w:cs="黑体" w:hint="eastAsia"/>
          <w:szCs w:val="32"/>
        </w:rPr>
        <w:t>四、构建良好市场秩序及行业生态</w:t>
      </w:r>
    </w:p>
    <w:p w14:paraId="532A883A" w14:textId="77777777" w:rsidR="00832B91" w:rsidRDefault="00000000" w:rsidP="00962B6D">
      <w:pPr>
        <w:rPr>
          <w:rFonts w:ascii="仿宋_GB2312"/>
          <w:szCs w:val="32"/>
        </w:rPr>
      </w:pPr>
      <w:r>
        <w:rPr>
          <w:rFonts w:ascii="仿宋_GB2312" w:hint="eastAsia"/>
          <w:b/>
          <w:bCs/>
          <w:szCs w:val="32"/>
        </w:rPr>
        <w:t>（十一）加强投资者权益保护与风险处置。</w:t>
      </w:r>
      <w:r>
        <w:rPr>
          <w:rFonts w:ascii="仿宋_GB2312" w:hint="eastAsia"/>
          <w:szCs w:val="32"/>
        </w:rPr>
        <w:t>加大与法院、仲裁、专业调解组织合作力度，完善投资者依法维权机制。建立全覆盖的金融风险监测预警体系，重点加强对买“壳”卖“壳”、违规自融、内幕交易、债务违约、侵占挪用基金财产、加杠杆等违规行为和潜在风险的监测。高效运转金融风险防范与处置工作机制，提升各部门协同配合及应急能力，强化底线意识，确保不发生区域系统性金融风险。</w:t>
      </w:r>
    </w:p>
    <w:p w14:paraId="21B8F921" w14:textId="77777777" w:rsidR="00832B91" w:rsidRDefault="00000000" w:rsidP="00962B6D">
      <w:pPr>
        <w:rPr>
          <w:rFonts w:ascii="仿宋_GB2312" w:hAnsi="仿宋_GB2312" w:cs="仿宋_GB2312"/>
          <w:szCs w:val="32"/>
        </w:rPr>
      </w:pPr>
      <w:r>
        <w:rPr>
          <w:rFonts w:ascii="仿宋_GB2312" w:hAnsi="仿宋_GB2312" w:cs="仿宋_GB2312" w:hint="eastAsia"/>
          <w:b/>
          <w:bCs/>
          <w:szCs w:val="32"/>
        </w:rPr>
        <w:t>（十二）实施财税金融组合支持措施。</w:t>
      </w:r>
      <w:r>
        <w:rPr>
          <w:rFonts w:ascii="仿宋_GB2312" w:hAnsi="仿宋_GB2312" w:cs="仿宋_GB2312" w:hint="eastAsia"/>
          <w:szCs w:val="32"/>
        </w:rPr>
        <w:t>积极落实创业投资、股权投资领域各项所得税、增值税优惠政策。按照《北京城市副中心促进金融业发展措施》《通州区支持基础设施领域不动产投资信托基金(REITs)发展措施（试行）》《通州区支持私募股权二级市场基金集聚发展措施（试行）》等文件兑现各项激励措施。对优秀私募基金行业人才，市区两级给予人才落户、医疗服务、人才公租房、出入境便利等配套政策支持。对本措施印发后增量私募基金企业形成的地方贡献予以一定比例市级返还，用于支持“基金财富港”建设。</w:t>
      </w:r>
    </w:p>
    <w:p w14:paraId="503A3B95" w14:textId="04A02132" w:rsidR="00832B91" w:rsidRDefault="00000000" w:rsidP="00962B6D">
      <w:pPr>
        <w:rPr>
          <w:rFonts w:ascii="仿宋_GB2312" w:hAnsi="仿宋_GB2312" w:cs="仿宋_GB2312"/>
          <w:szCs w:val="32"/>
        </w:rPr>
      </w:pPr>
      <w:r>
        <w:rPr>
          <w:rFonts w:ascii="仿宋_GB2312" w:hAnsi="仿宋_GB2312" w:cs="仿宋_GB2312" w:hint="eastAsia"/>
          <w:b/>
          <w:bCs/>
          <w:szCs w:val="32"/>
        </w:rPr>
        <w:t>（十三）打造“基金财富港”城市金融品牌。</w:t>
      </w:r>
      <w:r>
        <w:rPr>
          <w:rFonts w:ascii="仿宋_GB2312" w:hAnsi="仿宋_GB2312" w:cs="仿宋_GB2312" w:hint="eastAsia"/>
          <w:szCs w:val="32"/>
        </w:rPr>
        <w:t>依托“两区”“三平台”建设，在财富管理、绿色金融、ESG投资、“一带一路”跨境合作等领域，定期举办全球PE论坛、全球机构投资者峰会、ESG资管峰会等各类高规格论坛、峰会、展览等活动，在城市副中心探索打造更具权威性和前瞻性、更有传播力和影响力的品牌式金融活动，持续扩大城市副中心私募基金业在国际国内市场的影响力。</w:t>
      </w:r>
    </w:p>
    <w:p w14:paraId="650C9FBD" w14:textId="77777777" w:rsidR="00832B91" w:rsidRDefault="00000000" w:rsidP="00962B6D">
      <w:pPr>
        <w:rPr>
          <w:rFonts w:ascii="仿宋_GB2312"/>
          <w:sz w:val="28"/>
          <w:szCs w:val="28"/>
        </w:rPr>
      </w:pPr>
      <w:r>
        <w:rPr>
          <w:rFonts w:hint="eastAsia"/>
        </w:rPr>
        <w:t>本措施自印发之日起施行。</w:t>
      </w:r>
    </w:p>
    <w:sectPr w:rsidR="00832B91">
      <w:headerReference w:type="even" r:id="rId7"/>
      <w:headerReference w:type="default" r:id="rId8"/>
      <w:footerReference w:type="even" r:id="rId9"/>
      <w:footerReference w:type="default" r:id="rId10"/>
      <w:headerReference w:type="first" r:id="rId11"/>
      <w:footerReference w:type="first" r:id="rId12"/>
      <w:pgSz w:w="11906" w:h="16838"/>
      <w:pgMar w:top="1701" w:right="1474" w:bottom="1701"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F5BF" w14:textId="77777777" w:rsidR="00CC22B5" w:rsidRDefault="00CC22B5">
      <w:pPr>
        <w:spacing w:line="240" w:lineRule="auto"/>
      </w:pPr>
      <w:r>
        <w:separator/>
      </w:r>
    </w:p>
  </w:endnote>
  <w:endnote w:type="continuationSeparator" w:id="0">
    <w:p w14:paraId="77E008C5" w14:textId="77777777" w:rsidR="00CC22B5" w:rsidRDefault="00CC2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fixed"/>
    <w:sig w:usb0="00002A87" w:usb1="080E0000" w:usb2="00000010" w:usb3="00000000" w:csb0="000401FF" w:csb1="00000000"/>
  </w:font>
  <w:font w:name="楷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051B" w14:textId="77777777" w:rsidR="00832B91" w:rsidRDefault="00000000">
    <w:pPr>
      <w:pStyle w:val="a7"/>
      <w:framePr w:wrap="around" w:vAnchor="text" w:hAnchor="margin" w:y="1"/>
      <w:spacing w:line="400" w:lineRule="exact"/>
      <w:ind w:firstLineChars="100" w:firstLine="280"/>
      <w:rPr>
        <w:rStyle w:val="af1"/>
        <w:rFonts w:ascii="宋体" w:eastAsia="宋体" w:hAnsi="宋体"/>
        <w:sz w:val="28"/>
        <w:szCs w:val="28"/>
      </w:rPr>
    </w:pPr>
    <w:r>
      <w:rPr>
        <w:rStyle w:val="af1"/>
        <w:rFonts w:ascii="宋体" w:eastAsia="宋体" w:hAnsi="宋体" w:hint="eastAsia"/>
        <w:sz w:val="28"/>
        <w:szCs w:val="28"/>
      </w:rPr>
      <w:t>－</w:t>
    </w:r>
    <w:r>
      <w:rPr>
        <w:rStyle w:val="af1"/>
        <w:rFonts w:ascii="宋体" w:eastAsia="宋体" w:hAnsi="宋体"/>
        <w:sz w:val="28"/>
        <w:szCs w:val="28"/>
      </w:rPr>
      <w:t xml:space="preserve"> </w:t>
    </w:r>
    <w:r>
      <w:rPr>
        <w:rStyle w:val="af1"/>
        <w:rFonts w:ascii="宋体" w:eastAsia="宋体" w:hAnsi="宋体"/>
        <w:sz w:val="28"/>
        <w:szCs w:val="28"/>
      </w:rPr>
      <w:fldChar w:fldCharType="begin"/>
    </w:r>
    <w:r>
      <w:rPr>
        <w:rStyle w:val="af1"/>
        <w:rFonts w:ascii="宋体" w:eastAsia="宋体" w:hAnsi="宋体"/>
        <w:sz w:val="28"/>
        <w:szCs w:val="28"/>
      </w:rPr>
      <w:instrText xml:space="preserve">PAGE  </w:instrText>
    </w:r>
    <w:r>
      <w:rPr>
        <w:rStyle w:val="af1"/>
        <w:rFonts w:ascii="宋体" w:eastAsia="宋体" w:hAnsi="宋体"/>
        <w:sz w:val="28"/>
        <w:szCs w:val="28"/>
      </w:rPr>
      <w:fldChar w:fldCharType="separate"/>
    </w:r>
    <w:r>
      <w:rPr>
        <w:rStyle w:val="af1"/>
        <w:rFonts w:ascii="宋体" w:eastAsia="宋体" w:hAnsi="宋体"/>
        <w:sz w:val="28"/>
        <w:szCs w:val="28"/>
      </w:rPr>
      <w:t>2</w:t>
    </w:r>
    <w:r>
      <w:rPr>
        <w:rStyle w:val="af1"/>
        <w:rFonts w:ascii="宋体" w:eastAsia="宋体" w:hAnsi="宋体"/>
        <w:sz w:val="28"/>
        <w:szCs w:val="28"/>
      </w:rPr>
      <w:fldChar w:fldCharType="end"/>
    </w:r>
    <w:r>
      <w:rPr>
        <w:rStyle w:val="af1"/>
        <w:rFonts w:ascii="宋体" w:eastAsia="宋体" w:hAnsi="宋体"/>
        <w:sz w:val="28"/>
        <w:szCs w:val="28"/>
      </w:rPr>
      <w:t xml:space="preserve"> </w:t>
    </w:r>
    <w:r>
      <w:rPr>
        <w:rStyle w:val="af1"/>
        <w:rFonts w:ascii="宋体" w:eastAsia="宋体" w:hAnsi="宋体" w:hint="eastAsia"/>
        <w:sz w:val="28"/>
        <w:szCs w:val="28"/>
      </w:rPr>
      <w:t>－</w:t>
    </w:r>
  </w:p>
  <w:p w14:paraId="5282A02B" w14:textId="77777777" w:rsidR="00832B91" w:rsidRDefault="00832B9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8303" w14:textId="77777777" w:rsidR="00832B91" w:rsidRDefault="00000000">
    <w:pPr>
      <w:pStyle w:val="a7"/>
      <w:framePr w:wrap="around" w:vAnchor="text" w:hAnchor="page" w:x="9149" w:y="2"/>
      <w:spacing w:line="400" w:lineRule="exact"/>
      <w:ind w:firstLineChars="0" w:firstLine="0"/>
      <w:rPr>
        <w:rStyle w:val="af1"/>
        <w:rFonts w:ascii="宋体" w:eastAsia="宋体" w:hAnsi="宋体"/>
        <w:sz w:val="28"/>
        <w:szCs w:val="28"/>
      </w:rPr>
    </w:pPr>
    <w:r>
      <w:rPr>
        <w:rStyle w:val="af1"/>
        <w:rFonts w:ascii="宋体" w:eastAsia="宋体" w:hAnsi="宋体" w:hint="eastAsia"/>
        <w:sz w:val="28"/>
        <w:szCs w:val="28"/>
      </w:rPr>
      <w:t>－</w:t>
    </w:r>
    <w:r>
      <w:rPr>
        <w:rStyle w:val="af1"/>
        <w:rFonts w:ascii="宋体" w:eastAsia="宋体" w:hAnsi="宋体"/>
        <w:sz w:val="28"/>
        <w:szCs w:val="28"/>
      </w:rPr>
      <w:t xml:space="preserve"> </w:t>
    </w:r>
    <w:r>
      <w:rPr>
        <w:rStyle w:val="af1"/>
        <w:rFonts w:ascii="宋体" w:eastAsia="宋体" w:hAnsi="宋体"/>
        <w:sz w:val="28"/>
        <w:szCs w:val="28"/>
      </w:rPr>
      <w:fldChar w:fldCharType="begin"/>
    </w:r>
    <w:r>
      <w:rPr>
        <w:rStyle w:val="af1"/>
        <w:rFonts w:ascii="宋体" w:eastAsia="宋体" w:hAnsi="宋体"/>
        <w:sz w:val="28"/>
        <w:szCs w:val="28"/>
      </w:rPr>
      <w:instrText xml:space="preserve">PAGE  </w:instrText>
    </w:r>
    <w:r>
      <w:rPr>
        <w:rStyle w:val="af1"/>
        <w:rFonts w:ascii="宋体" w:eastAsia="宋体" w:hAnsi="宋体"/>
        <w:sz w:val="28"/>
        <w:szCs w:val="28"/>
      </w:rPr>
      <w:fldChar w:fldCharType="separate"/>
    </w:r>
    <w:r>
      <w:rPr>
        <w:rStyle w:val="af1"/>
        <w:rFonts w:ascii="宋体" w:eastAsia="宋体" w:hAnsi="宋体"/>
        <w:sz w:val="28"/>
        <w:szCs w:val="28"/>
      </w:rPr>
      <w:t>3</w:t>
    </w:r>
    <w:r>
      <w:rPr>
        <w:rStyle w:val="af1"/>
        <w:rFonts w:ascii="宋体" w:eastAsia="宋体" w:hAnsi="宋体"/>
        <w:sz w:val="28"/>
        <w:szCs w:val="28"/>
      </w:rPr>
      <w:fldChar w:fldCharType="end"/>
    </w:r>
    <w:r>
      <w:rPr>
        <w:rStyle w:val="af1"/>
        <w:rFonts w:ascii="宋体" w:eastAsia="宋体" w:hAnsi="宋体"/>
        <w:sz w:val="28"/>
        <w:szCs w:val="28"/>
      </w:rPr>
      <w:t xml:space="preserve"> </w:t>
    </w:r>
    <w:r>
      <w:rPr>
        <w:rStyle w:val="af1"/>
        <w:rFonts w:ascii="宋体" w:eastAsia="宋体" w:hAnsi="宋体" w:hint="eastAsia"/>
        <w:sz w:val="28"/>
        <w:szCs w:val="28"/>
      </w:rPr>
      <w:t>－</w:t>
    </w:r>
  </w:p>
  <w:p w14:paraId="0A42F850" w14:textId="77777777" w:rsidR="00832B91" w:rsidRDefault="00832B91">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FA5F" w14:textId="77777777" w:rsidR="00832B91" w:rsidRDefault="00832B9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4761" w14:textId="77777777" w:rsidR="00CC22B5" w:rsidRDefault="00CC22B5">
      <w:pPr>
        <w:spacing w:line="240" w:lineRule="auto"/>
      </w:pPr>
      <w:r>
        <w:separator/>
      </w:r>
    </w:p>
  </w:footnote>
  <w:footnote w:type="continuationSeparator" w:id="0">
    <w:p w14:paraId="6948B790" w14:textId="77777777" w:rsidR="00CC22B5" w:rsidRDefault="00CC2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05B5" w14:textId="77777777" w:rsidR="00832B91" w:rsidRDefault="00832B91">
    <w:pPr>
      <w:pStyle w:val="a9"/>
      <w:pBdr>
        <w:top w:val="none" w:sz="0" w:space="0" w:color="auto"/>
        <w:left w:val="none" w:sz="0" w:space="0" w:color="auto"/>
        <w:bottom w:val="none" w:sz="0" w:space="0" w:color="auto"/>
        <w:right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17EA" w14:textId="77777777" w:rsidR="00832B91" w:rsidRDefault="00832B91">
    <w:pPr>
      <w:pStyle w:val="a9"/>
      <w:pBdr>
        <w:top w:val="none" w:sz="0" w:space="0" w:color="auto"/>
        <w:left w:val="none" w:sz="0" w:space="0" w:color="auto"/>
        <w:bottom w:val="none" w:sz="0" w:space="0" w:color="auto"/>
        <w:right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BB01" w14:textId="77777777" w:rsidR="00832B91" w:rsidRDefault="00832B91">
    <w:pPr>
      <w:pStyle w:val="a9"/>
      <w:pBdr>
        <w:top w:val="none" w:sz="0" w:space="0" w:color="auto"/>
        <w:left w:val="none" w:sz="0" w:space="0" w:color="auto"/>
        <w:bottom w:val="none" w:sz="0" w:space="0" w:color="auto"/>
        <w:right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drawingGridVerticalSpacing w:val="156"/>
  <w:noPunctuationKerning/>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7907DB"/>
    <w:rsid w:val="00001A4A"/>
    <w:rsid w:val="00011415"/>
    <w:rsid w:val="000212C0"/>
    <w:rsid w:val="00023A46"/>
    <w:rsid w:val="000370A5"/>
    <w:rsid w:val="00096779"/>
    <w:rsid w:val="000A2DCE"/>
    <w:rsid w:val="000B1C63"/>
    <w:rsid w:val="000E251C"/>
    <w:rsid w:val="000F3A0C"/>
    <w:rsid w:val="000F7F5E"/>
    <w:rsid w:val="0010427D"/>
    <w:rsid w:val="001139F3"/>
    <w:rsid w:val="00131D00"/>
    <w:rsid w:val="00137119"/>
    <w:rsid w:val="00143F97"/>
    <w:rsid w:val="00146DC1"/>
    <w:rsid w:val="00155EF1"/>
    <w:rsid w:val="00156666"/>
    <w:rsid w:val="00177F3D"/>
    <w:rsid w:val="00183271"/>
    <w:rsid w:val="0018657A"/>
    <w:rsid w:val="001A2065"/>
    <w:rsid w:val="001C35B3"/>
    <w:rsid w:val="001D2E7E"/>
    <w:rsid w:val="001E1B31"/>
    <w:rsid w:val="0024287B"/>
    <w:rsid w:val="002446DE"/>
    <w:rsid w:val="0026689C"/>
    <w:rsid w:val="00266A0D"/>
    <w:rsid w:val="00281619"/>
    <w:rsid w:val="00292880"/>
    <w:rsid w:val="002B0A49"/>
    <w:rsid w:val="002C74C8"/>
    <w:rsid w:val="002E2EBA"/>
    <w:rsid w:val="002E778A"/>
    <w:rsid w:val="002F1719"/>
    <w:rsid w:val="002F2D16"/>
    <w:rsid w:val="00300E5A"/>
    <w:rsid w:val="0030168E"/>
    <w:rsid w:val="0030739F"/>
    <w:rsid w:val="00307A54"/>
    <w:rsid w:val="00312AF4"/>
    <w:rsid w:val="00315735"/>
    <w:rsid w:val="003248E0"/>
    <w:rsid w:val="003357FA"/>
    <w:rsid w:val="00351600"/>
    <w:rsid w:val="00362D37"/>
    <w:rsid w:val="00363B73"/>
    <w:rsid w:val="00390A70"/>
    <w:rsid w:val="00395B6C"/>
    <w:rsid w:val="003C539A"/>
    <w:rsid w:val="003D07C1"/>
    <w:rsid w:val="003E5A65"/>
    <w:rsid w:val="003F2162"/>
    <w:rsid w:val="003F74C0"/>
    <w:rsid w:val="00404AF6"/>
    <w:rsid w:val="004260AC"/>
    <w:rsid w:val="004434E3"/>
    <w:rsid w:val="00444CCD"/>
    <w:rsid w:val="00463EF8"/>
    <w:rsid w:val="004764A7"/>
    <w:rsid w:val="004A1CC8"/>
    <w:rsid w:val="004A33AD"/>
    <w:rsid w:val="004B16B9"/>
    <w:rsid w:val="004B2524"/>
    <w:rsid w:val="004B7999"/>
    <w:rsid w:val="004E4437"/>
    <w:rsid w:val="0051466F"/>
    <w:rsid w:val="00523888"/>
    <w:rsid w:val="0053404D"/>
    <w:rsid w:val="005F76CE"/>
    <w:rsid w:val="00601396"/>
    <w:rsid w:val="0060140D"/>
    <w:rsid w:val="00616B16"/>
    <w:rsid w:val="006261D6"/>
    <w:rsid w:val="00640431"/>
    <w:rsid w:val="00640510"/>
    <w:rsid w:val="00641FD0"/>
    <w:rsid w:val="00670245"/>
    <w:rsid w:val="006A08E8"/>
    <w:rsid w:val="006A7579"/>
    <w:rsid w:val="006B035C"/>
    <w:rsid w:val="006C619C"/>
    <w:rsid w:val="006E0401"/>
    <w:rsid w:val="00703559"/>
    <w:rsid w:val="0071417B"/>
    <w:rsid w:val="00740300"/>
    <w:rsid w:val="007423AA"/>
    <w:rsid w:val="00751D01"/>
    <w:rsid w:val="00780792"/>
    <w:rsid w:val="007A2391"/>
    <w:rsid w:val="007B2DDD"/>
    <w:rsid w:val="007C37FE"/>
    <w:rsid w:val="007D426B"/>
    <w:rsid w:val="007E48EC"/>
    <w:rsid w:val="007F6578"/>
    <w:rsid w:val="007F6786"/>
    <w:rsid w:val="008167AD"/>
    <w:rsid w:val="00817E9D"/>
    <w:rsid w:val="00832B91"/>
    <w:rsid w:val="00851D11"/>
    <w:rsid w:val="008839FF"/>
    <w:rsid w:val="00892C0D"/>
    <w:rsid w:val="008A632D"/>
    <w:rsid w:val="008A69AA"/>
    <w:rsid w:val="008C500B"/>
    <w:rsid w:val="008F24DD"/>
    <w:rsid w:val="00936FB5"/>
    <w:rsid w:val="0095302A"/>
    <w:rsid w:val="00961271"/>
    <w:rsid w:val="00962B6D"/>
    <w:rsid w:val="009817EB"/>
    <w:rsid w:val="00981C49"/>
    <w:rsid w:val="009A67C0"/>
    <w:rsid w:val="009B3E1E"/>
    <w:rsid w:val="009E1AAC"/>
    <w:rsid w:val="00A42EBA"/>
    <w:rsid w:val="00A56960"/>
    <w:rsid w:val="00A57332"/>
    <w:rsid w:val="00A724E2"/>
    <w:rsid w:val="00A77EB3"/>
    <w:rsid w:val="00AA42A4"/>
    <w:rsid w:val="00AA51BC"/>
    <w:rsid w:val="00AA535E"/>
    <w:rsid w:val="00AA594B"/>
    <w:rsid w:val="00AD107F"/>
    <w:rsid w:val="00AD338D"/>
    <w:rsid w:val="00AF7A49"/>
    <w:rsid w:val="00B066DB"/>
    <w:rsid w:val="00B074FA"/>
    <w:rsid w:val="00B22B64"/>
    <w:rsid w:val="00B2310D"/>
    <w:rsid w:val="00B231FB"/>
    <w:rsid w:val="00B32C13"/>
    <w:rsid w:val="00B357FD"/>
    <w:rsid w:val="00B42833"/>
    <w:rsid w:val="00B46F87"/>
    <w:rsid w:val="00B61797"/>
    <w:rsid w:val="00B632B6"/>
    <w:rsid w:val="00B91873"/>
    <w:rsid w:val="00B93F55"/>
    <w:rsid w:val="00BC4F81"/>
    <w:rsid w:val="00BE1E7B"/>
    <w:rsid w:val="00BE2D15"/>
    <w:rsid w:val="00BE72A1"/>
    <w:rsid w:val="00BF27AA"/>
    <w:rsid w:val="00C001F3"/>
    <w:rsid w:val="00C1782A"/>
    <w:rsid w:val="00C34AB2"/>
    <w:rsid w:val="00C474D3"/>
    <w:rsid w:val="00C52D09"/>
    <w:rsid w:val="00C6480B"/>
    <w:rsid w:val="00C8047B"/>
    <w:rsid w:val="00C84D98"/>
    <w:rsid w:val="00C94753"/>
    <w:rsid w:val="00CB7073"/>
    <w:rsid w:val="00CC22B5"/>
    <w:rsid w:val="00CC3BD0"/>
    <w:rsid w:val="00D21212"/>
    <w:rsid w:val="00D272F2"/>
    <w:rsid w:val="00D367C6"/>
    <w:rsid w:val="00D40618"/>
    <w:rsid w:val="00D44D4B"/>
    <w:rsid w:val="00D54B6C"/>
    <w:rsid w:val="00D56EC1"/>
    <w:rsid w:val="00D631E1"/>
    <w:rsid w:val="00D81118"/>
    <w:rsid w:val="00DA3277"/>
    <w:rsid w:val="00DB4334"/>
    <w:rsid w:val="00DB4439"/>
    <w:rsid w:val="00DE104D"/>
    <w:rsid w:val="00DE3320"/>
    <w:rsid w:val="00E01947"/>
    <w:rsid w:val="00E05335"/>
    <w:rsid w:val="00E20F54"/>
    <w:rsid w:val="00E245D6"/>
    <w:rsid w:val="00E45DA2"/>
    <w:rsid w:val="00E51619"/>
    <w:rsid w:val="00E81743"/>
    <w:rsid w:val="00E86475"/>
    <w:rsid w:val="00E9572D"/>
    <w:rsid w:val="00EB4E90"/>
    <w:rsid w:val="00EC2326"/>
    <w:rsid w:val="00EC3BDE"/>
    <w:rsid w:val="00ED1E59"/>
    <w:rsid w:val="00EE27D6"/>
    <w:rsid w:val="00EF3256"/>
    <w:rsid w:val="00F13B7B"/>
    <w:rsid w:val="00F21699"/>
    <w:rsid w:val="00F21D45"/>
    <w:rsid w:val="00F25B72"/>
    <w:rsid w:val="00F33ECB"/>
    <w:rsid w:val="00F54EAD"/>
    <w:rsid w:val="00F75C72"/>
    <w:rsid w:val="00F96490"/>
    <w:rsid w:val="00FA2F42"/>
    <w:rsid w:val="00FA6003"/>
    <w:rsid w:val="00FB2F7B"/>
    <w:rsid w:val="00FB4721"/>
    <w:rsid w:val="00FB56A3"/>
    <w:rsid w:val="00FB6696"/>
    <w:rsid w:val="00FC1795"/>
    <w:rsid w:val="00FC1F3B"/>
    <w:rsid w:val="00FC2E0F"/>
    <w:rsid w:val="00FC6BF5"/>
    <w:rsid w:val="00FD072B"/>
    <w:rsid w:val="00FE5AEB"/>
    <w:rsid w:val="00FF5090"/>
    <w:rsid w:val="01301A1C"/>
    <w:rsid w:val="0E617C11"/>
    <w:rsid w:val="0F392184"/>
    <w:rsid w:val="0FDB7749"/>
    <w:rsid w:val="116A5BE3"/>
    <w:rsid w:val="125C5207"/>
    <w:rsid w:val="13F545F9"/>
    <w:rsid w:val="15EE4EA5"/>
    <w:rsid w:val="16F62E73"/>
    <w:rsid w:val="17046F22"/>
    <w:rsid w:val="196B6966"/>
    <w:rsid w:val="1D244583"/>
    <w:rsid w:val="1D4E52A0"/>
    <w:rsid w:val="1F376A7D"/>
    <w:rsid w:val="20207983"/>
    <w:rsid w:val="24AE60E0"/>
    <w:rsid w:val="29FB0865"/>
    <w:rsid w:val="2EF665F9"/>
    <w:rsid w:val="30B0485E"/>
    <w:rsid w:val="31187E5B"/>
    <w:rsid w:val="331C579C"/>
    <w:rsid w:val="35185C3B"/>
    <w:rsid w:val="37EB216E"/>
    <w:rsid w:val="386032D0"/>
    <w:rsid w:val="3A4B640C"/>
    <w:rsid w:val="3AC81560"/>
    <w:rsid w:val="3AF52636"/>
    <w:rsid w:val="3C9059BB"/>
    <w:rsid w:val="3CDF2133"/>
    <w:rsid w:val="3DC147CE"/>
    <w:rsid w:val="3E5059C4"/>
    <w:rsid w:val="3F344A47"/>
    <w:rsid w:val="43903CF2"/>
    <w:rsid w:val="449A0D48"/>
    <w:rsid w:val="4619732B"/>
    <w:rsid w:val="46900896"/>
    <w:rsid w:val="46BA7662"/>
    <w:rsid w:val="4A8B7D12"/>
    <w:rsid w:val="4C0B7762"/>
    <w:rsid w:val="4D9A5ABC"/>
    <w:rsid w:val="4DAC1F11"/>
    <w:rsid w:val="4FF525DB"/>
    <w:rsid w:val="52B45F77"/>
    <w:rsid w:val="55D31755"/>
    <w:rsid w:val="56FF7501"/>
    <w:rsid w:val="572606BB"/>
    <w:rsid w:val="58BE2FCB"/>
    <w:rsid w:val="5A966705"/>
    <w:rsid w:val="5AF32C10"/>
    <w:rsid w:val="5C3A2566"/>
    <w:rsid w:val="5E4D1E70"/>
    <w:rsid w:val="5E7064DD"/>
    <w:rsid w:val="62EF39C8"/>
    <w:rsid w:val="62F43E9A"/>
    <w:rsid w:val="64AB3C77"/>
    <w:rsid w:val="6B1E44A0"/>
    <w:rsid w:val="6B8323F1"/>
    <w:rsid w:val="6C68439D"/>
    <w:rsid w:val="6C7907DB"/>
    <w:rsid w:val="6CD6512C"/>
    <w:rsid w:val="6D110A16"/>
    <w:rsid w:val="713301C6"/>
    <w:rsid w:val="74E152D7"/>
    <w:rsid w:val="755A1EB0"/>
    <w:rsid w:val="75E50E53"/>
    <w:rsid w:val="7B647F66"/>
    <w:rsid w:val="7DEA29E6"/>
    <w:rsid w:val="7EB4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4DF161D"/>
  <w15:docId w15:val="{BDFF768A-C901-4543-90AF-B3C87F4A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uiPriority="0" w:unhideWhenUsed="1" w:qFormat="1"/>
    <w:lsdException w:name="toc 1" w:locked="1" w:semiHidden="1" w:uiPriority="39" w:unhideWhenUsed="1"/>
    <w:lsdException w:name="toc 2" w:locked="1" w:semiHidden="1" w:uiPriority="39" w:unhideWhenUsed="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9"/>
    <w:qFormat/>
    <w:pPr>
      <w:widowControl w:val="0"/>
      <w:spacing w:line="560" w:lineRule="exact"/>
      <w:ind w:firstLineChars="200" w:firstLine="640"/>
      <w:jc w:val="both"/>
    </w:pPr>
    <w:rPr>
      <w:rFonts w:ascii="Calibri" w:eastAsia="仿宋_GB2312" w:hAnsi="Calibri"/>
      <w:kern w:val="2"/>
      <w:sz w:val="32"/>
      <w:szCs w:val="24"/>
    </w:rPr>
  </w:style>
  <w:style w:type="paragraph" w:styleId="3">
    <w:name w:val="heading 3"/>
    <w:next w:val="a"/>
    <w:uiPriority w:val="9"/>
    <w:semiHidden/>
    <w:unhideWhenUsed/>
    <w:qFormat/>
    <w:locked/>
    <w:pPr>
      <w:keepNext/>
      <w:keepLines/>
      <w:widowControl w:val="0"/>
      <w:spacing w:before="260" w:after="260" w:line="416" w:lineRule="auto"/>
      <w:jc w:val="both"/>
      <w:outlineLvl w:val="2"/>
    </w:pPr>
    <w:rPr>
      <w:rFonts w:ascii="Calibri" w:hAnsi="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nhideWhenUsed/>
    <w:qFormat/>
    <w:locked/>
    <w:pPr>
      <w:spacing w:line="580" w:lineRule="exact"/>
      <w:ind w:firstLine="720"/>
      <w:jc w:val="left"/>
    </w:pPr>
    <w:rPr>
      <w:rFonts w:eastAsia="楷体"/>
      <w:sz w:val="34"/>
    </w:rPr>
  </w:style>
  <w:style w:type="paragraph" w:styleId="a3">
    <w:name w:val="annotation text"/>
    <w:basedOn w:val="a"/>
    <w:link w:val="a4"/>
    <w:uiPriority w:val="99"/>
    <w:qFormat/>
    <w:pPr>
      <w:jc w:val="left"/>
    </w:pPr>
  </w:style>
  <w:style w:type="paragraph" w:styleId="TOC3">
    <w:name w:val="toc 3"/>
    <w:basedOn w:val="a"/>
    <w:next w:val="a"/>
    <w:uiPriority w:val="99"/>
    <w:semiHidden/>
    <w:qFormat/>
    <w:pPr>
      <w:spacing w:line="240" w:lineRule="auto"/>
      <w:ind w:leftChars="400" w:left="840" w:firstLineChars="0" w:firstLine="0"/>
    </w:pPr>
    <w:rPr>
      <w:rFonts w:ascii="DengXian" w:eastAsia="DengXian" w:hAnsi="DengXian"/>
      <w:sz w:val="21"/>
      <w:szCs w:val="22"/>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pPr>
      <w:tabs>
        <w:tab w:val="center" w:pos="4153"/>
        <w:tab w:val="right" w:pos="8306"/>
      </w:tabs>
      <w:snapToGrid w:val="0"/>
      <w:jc w:val="left"/>
    </w:pPr>
    <w:rPr>
      <w:sz w:val="18"/>
    </w:rPr>
  </w:style>
  <w:style w:type="paragraph" w:styleId="a9">
    <w:name w:val="header"/>
    <w:basedOn w:val="a"/>
    <w:link w:val="aa"/>
    <w:uiPriority w:val="9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Normal (Web)"/>
    <w:basedOn w:val="a"/>
    <w:uiPriority w:val="99"/>
    <w:pPr>
      <w:spacing w:beforeAutospacing="1" w:afterAutospacing="1"/>
      <w:jc w:val="left"/>
    </w:pPr>
    <w:rPr>
      <w:kern w:val="0"/>
      <w:sz w:val="24"/>
    </w:rPr>
  </w:style>
  <w:style w:type="paragraph" w:styleId="ac">
    <w:name w:val="Title"/>
    <w:basedOn w:val="a"/>
    <w:next w:val="a"/>
    <w:link w:val="ad"/>
    <w:uiPriority w:val="99"/>
    <w:qFormat/>
    <w:pPr>
      <w:spacing w:beforeLines="150" w:afterLines="100" w:line="360" w:lineRule="auto"/>
      <w:ind w:firstLineChars="0" w:firstLine="0"/>
      <w:jc w:val="center"/>
      <w:outlineLvl w:val="0"/>
    </w:pPr>
    <w:rPr>
      <w:rFonts w:ascii="Cambria" w:eastAsia="方正小标宋简体" w:hAnsi="Cambria"/>
      <w:bCs/>
      <w:sz w:val="44"/>
      <w:szCs w:val="32"/>
    </w:rPr>
  </w:style>
  <w:style w:type="paragraph" w:styleId="ae">
    <w:name w:val="annotation subject"/>
    <w:basedOn w:val="a3"/>
    <w:next w:val="a3"/>
    <w:link w:val="af"/>
    <w:uiPriority w:val="99"/>
    <w:qFormat/>
    <w:rPr>
      <w:b/>
      <w:bCs/>
    </w:rPr>
  </w:style>
  <w:style w:type="character" w:styleId="af0">
    <w:name w:val="Strong"/>
    <w:basedOn w:val="a0"/>
    <w:uiPriority w:val="99"/>
    <w:qFormat/>
    <w:rPr>
      <w:rFonts w:cs="Times New Roman"/>
      <w:b/>
    </w:rPr>
  </w:style>
  <w:style w:type="character" w:styleId="af1">
    <w:name w:val="page number"/>
    <w:basedOn w:val="a0"/>
    <w:uiPriority w:val="99"/>
    <w:locked/>
    <w:rPr>
      <w:rFonts w:cs="Times New Roman"/>
    </w:rPr>
  </w:style>
  <w:style w:type="character" w:styleId="af2">
    <w:name w:val="Emphasis"/>
    <w:basedOn w:val="a0"/>
    <w:uiPriority w:val="20"/>
    <w:qFormat/>
    <w:locked/>
    <w:rPr>
      <w:i/>
    </w:rPr>
  </w:style>
  <w:style w:type="character" w:styleId="af3">
    <w:name w:val="annotation reference"/>
    <w:basedOn w:val="a0"/>
    <w:uiPriority w:val="99"/>
    <w:rPr>
      <w:rFonts w:cs="Times New Roman"/>
      <w:sz w:val="21"/>
      <w:szCs w:val="21"/>
    </w:rPr>
  </w:style>
  <w:style w:type="character" w:customStyle="1" w:styleId="a4">
    <w:name w:val="批注文字 字符"/>
    <w:basedOn w:val="a0"/>
    <w:link w:val="a3"/>
    <w:uiPriority w:val="99"/>
    <w:locked/>
    <w:rPr>
      <w:rFonts w:ascii="Calibri" w:eastAsia="仿宋_GB2312" w:hAnsi="Calibri" w:cs="Times New Roman"/>
      <w:kern w:val="2"/>
      <w:sz w:val="24"/>
      <w:szCs w:val="24"/>
    </w:rPr>
  </w:style>
  <w:style w:type="character" w:customStyle="1" w:styleId="a6">
    <w:name w:val="批注框文本 字符"/>
    <w:basedOn w:val="a0"/>
    <w:link w:val="a5"/>
    <w:uiPriority w:val="99"/>
    <w:locked/>
    <w:rPr>
      <w:rFonts w:ascii="Calibri" w:eastAsia="仿宋_GB2312" w:hAnsi="Calibri" w:cs="Times New Roman"/>
      <w:kern w:val="2"/>
      <w:sz w:val="18"/>
      <w:szCs w:val="18"/>
    </w:rPr>
  </w:style>
  <w:style w:type="character" w:customStyle="1" w:styleId="a8">
    <w:name w:val="页脚 字符"/>
    <w:basedOn w:val="a0"/>
    <w:link w:val="a7"/>
    <w:uiPriority w:val="99"/>
    <w:semiHidden/>
    <w:locked/>
    <w:rPr>
      <w:rFonts w:ascii="Calibri" w:eastAsia="仿宋_GB2312" w:hAnsi="Calibri" w:cs="Times New Roman"/>
      <w:sz w:val="18"/>
      <w:szCs w:val="18"/>
    </w:rPr>
  </w:style>
  <w:style w:type="character" w:customStyle="1" w:styleId="aa">
    <w:name w:val="页眉 字符"/>
    <w:basedOn w:val="a0"/>
    <w:link w:val="a9"/>
    <w:uiPriority w:val="99"/>
    <w:semiHidden/>
    <w:locked/>
    <w:rPr>
      <w:rFonts w:ascii="Calibri" w:eastAsia="仿宋_GB2312" w:hAnsi="Calibri" w:cs="Times New Roman"/>
      <w:sz w:val="18"/>
      <w:szCs w:val="18"/>
    </w:rPr>
  </w:style>
  <w:style w:type="character" w:customStyle="1" w:styleId="ad">
    <w:name w:val="标题 字符"/>
    <w:basedOn w:val="a0"/>
    <w:link w:val="ac"/>
    <w:uiPriority w:val="99"/>
    <w:locked/>
    <w:rPr>
      <w:rFonts w:ascii="Cambria" w:eastAsia="方正小标宋简体" w:hAnsi="Cambria" w:cs="Times New Roman"/>
      <w:bCs/>
      <w:kern w:val="2"/>
      <w:sz w:val="32"/>
      <w:szCs w:val="32"/>
    </w:rPr>
  </w:style>
  <w:style w:type="character" w:customStyle="1" w:styleId="af">
    <w:name w:val="批注主题 字符"/>
    <w:basedOn w:val="a4"/>
    <w:link w:val="ae"/>
    <w:uiPriority w:val="99"/>
    <w:locked/>
    <w:rPr>
      <w:rFonts w:ascii="Calibri" w:eastAsia="仿宋_GB2312" w:hAnsi="Calibri" w:cs="Times New Roman"/>
      <w:b/>
      <w:bCs/>
      <w:kern w:val="2"/>
      <w:sz w:val="24"/>
      <w:szCs w:val="24"/>
    </w:rPr>
  </w:style>
  <w:style w:type="paragraph" w:customStyle="1" w:styleId="1">
    <w:name w:val="修订1"/>
    <w:hidden/>
    <w:uiPriority w:val="99"/>
    <w:semiHidden/>
    <w:qFormat/>
    <w:rPr>
      <w:rFonts w:ascii="Calibri" w:eastAsia="仿宋_GB2312" w:hAnsi="Calibri"/>
      <w:kern w:val="2"/>
      <w:sz w:val="32"/>
      <w:szCs w:val="24"/>
    </w:rPr>
  </w:style>
  <w:style w:type="paragraph" w:customStyle="1" w:styleId="2">
    <w:name w:val="修订2"/>
    <w:hidden/>
    <w:uiPriority w:val="99"/>
    <w:qFormat/>
    <w:rPr>
      <w:rFonts w:ascii="Calibri" w:eastAsia="仿宋_GB2312" w:hAnsi="Calibri"/>
      <w:kern w:val="2"/>
      <w:sz w:val="32"/>
      <w:szCs w:val="24"/>
    </w:rPr>
  </w:style>
  <w:style w:type="paragraph" w:customStyle="1" w:styleId="30">
    <w:name w:val="修订3"/>
    <w:hidden/>
    <w:uiPriority w:val="99"/>
    <w:semiHidden/>
    <w:qFormat/>
    <w:rPr>
      <w:rFonts w:ascii="Calibri" w:eastAsia="仿宋_GB2312" w:hAnsi="Calibri"/>
      <w:kern w:val="2"/>
      <w:sz w:val="32"/>
      <w:szCs w:val="24"/>
    </w:rPr>
  </w:style>
  <w:style w:type="paragraph" w:styleId="af4">
    <w:name w:val="List Paragraph"/>
    <w:basedOn w:val="a"/>
    <w:uiPriority w:val="99"/>
    <w:qFormat/>
    <w:pPr>
      <w:ind w:firstLine="420"/>
    </w:pPr>
  </w:style>
  <w:style w:type="character" w:customStyle="1" w:styleId="CharChar">
    <w:name w:val="通政办发 Char Char"/>
    <w:basedOn w:val="a0"/>
    <w:link w:val="af5"/>
    <w:uiPriority w:val="99"/>
    <w:qFormat/>
    <w:locked/>
    <w:rPr>
      <w:rFonts w:ascii="仿宋_GB2312" w:eastAsia="仿宋_GB2312" w:cs="Times New Roman"/>
      <w:kern w:val="2"/>
      <w:sz w:val="32"/>
      <w:szCs w:val="32"/>
      <w:lang w:val="en-US" w:eastAsia="zh-CN" w:bidi="ar-SA"/>
    </w:rPr>
  </w:style>
  <w:style w:type="paragraph" w:customStyle="1" w:styleId="af5">
    <w:name w:val="通政办发"/>
    <w:basedOn w:val="a"/>
    <w:link w:val="CharChar"/>
    <w:uiPriority w:val="99"/>
    <w:qFormat/>
    <w:pPr>
      <w:snapToGrid w:val="0"/>
      <w:spacing w:line="600" w:lineRule="exact"/>
      <w:ind w:firstLineChars="0" w:firstLine="0"/>
      <w:jc w:val="center"/>
    </w:pPr>
    <w:rPr>
      <w:rFonts w:ascii="仿宋_GB2312" w:hAnsi="Times New Roman"/>
      <w:szCs w:val="32"/>
    </w:rPr>
  </w:style>
  <w:style w:type="paragraph" w:styleId="af6">
    <w:name w:val="Revision"/>
    <w:hidden/>
    <w:uiPriority w:val="99"/>
    <w:semiHidden/>
    <w:rsid w:val="003D07C1"/>
    <w:rPr>
      <w:rFonts w:ascii="Calibri" w:eastAsia="仿宋_GB2312" w:hAnsi="Calibr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通州区支持基础设施领域不动产投资</dc:title>
  <dc:creator>PC</dc:creator>
  <cp:lastModifiedBy>QU YQ</cp:lastModifiedBy>
  <cp:revision>68</cp:revision>
  <cp:lastPrinted>2022-02-09T01:12:00Z</cp:lastPrinted>
  <dcterms:created xsi:type="dcterms:W3CDTF">2022-02-09T01:13:00Z</dcterms:created>
  <dcterms:modified xsi:type="dcterms:W3CDTF">2023-02-15T10:40:00Z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9F3EDB6D248642938ABD17619846DF72</vt:lpwstr>
  </property>
</Properties>
</file>