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468" w:afterLines="15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北京市</w:t>
      </w:r>
      <w:bookmarkStart w:id="0" w:name="_Hlk124237916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门头沟区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生态保护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2023年行动计划（征求意见稿）</w:t>
      </w:r>
    </w:p>
    <w:tbl>
      <w:tblPr>
        <w:tblStyle w:val="4"/>
        <w:tblW w:w="15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84"/>
        <w:gridCol w:w="7646"/>
        <w:gridCol w:w="1245"/>
        <w:gridCol w:w="217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重点任务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工作措施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时限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牵头单位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责任</w:t>
            </w: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420" w:type="dxa"/>
            <w:gridSpan w:val="6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一、生态环境质量状况目标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目标任务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生态环境质量指数（EI）力争稳中向好。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420" w:type="dxa"/>
            <w:gridSpan w:val="6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二、强化生物多样性保护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建立工作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建立落实生物多样性保护行动计划的部门会商、进展报送、专家咨询和信息共享机制。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区规自分局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区园林绿化局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百花山管理处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加大生物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多样性保护力度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构建生态廊道，连通物种栖息地。</w:t>
            </w:r>
            <w:r>
              <w:rPr>
                <w:rFonts w:ascii="仿宋_GB2312" w:hAnsi="仿宋_GB2312" w:eastAsia="仿宋_GB2312" w:cs="仿宋_GB2312"/>
                <w:sz w:val="24"/>
              </w:rPr>
              <w:t>加强与环京地区林草部门区域协同，推动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生态林断带织补</w:t>
            </w:r>
            <w:r>
              <w:rPr>
                <w:rFonts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万亩以上绿色版块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千亩以上绿色版块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达到市级要求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在有条件的地区改造硬质护岸，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恢复河湖库自然岸线，提升河流横向连通性，保持现有自然岸线总体格局不变，确保自然岸线保有率总体不降低。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区发改委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统筹生态补水流量过程，结合实际，分时段、分河段、分流量开展阶段性生态补水，协同做好生物多样性保护。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基于河流生态系统特征，加强信息沟通协调，科学开展增殖放流并做好记录。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Style w:val="2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开展京津冀鸟类等野生动物联合保护行动，协同防控美国白蛾、松材线虫等有害生物。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公安</w:t>
            </w:r>
            <w:r>
              <w:rPr>
                <w:rFonts w:ascii="仿宋_GB2312" w:eastAsia="仿宋_GB2312"/>
                <w:sz w:val="24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强化外来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入侵物种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防控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完成年度外来入侵物种普查任务，进一步掌握外来入侵物种数量、分布范围、危害程度等情况。制定重点外来入侵物种管控策略</w:t>
            </w:r>
            <w:r>
              <w:rPr>
                <w:rFonts w:ascii="仿宋_GB2312" w:eastAsia="仿宋_GB2312"/>
                <w:sz w:val="24"/>
              </w:rPr>
              <w:t>，形成</w:t>
            </w:r>
            <w:r>
              <w:rPr>
                <w:rFonts w:hint="eastAsia" w:ascii="仿宋_GB2312" w:eastAsia="仿宋_GB2312"/>
                <w:sz w:val="24"/>
              </w:rPr>
              <w:t>年度防治报告。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依法严格外来物种引入审批，强化引入后使用管控。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强化森林、草地、湿地、河流、水库等重点区域外来入侵物种治理。重点做好松材线虫、美国白蛾、牛蛙等外来入侵物种的监测与综合治理</w:t>
            </w:r>
            <w:r>
              <w:rPr>
                <w:rFonts w:ascii="仿宋_GB2312" w:eastAsia="仿宋_GB2312"/>
                <w:sz w:val="24"/>
              </w:rPr>
              <w:t>，形成年度监测治理报告。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完善生物资源保护信息管理平台，建立区级外来入侵物种及有害生物数据库。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1" w:name="_Hlk124238184"/>
            <w:r>
              <w:rPr>
                <w:rFonts w:hint="eastAsia" w:ascii="仿宋_GB2312" w:eastAsia="仿宋_GB2312"/>
                <w:sz w:val="24"/>
              </w:rPr>
              <w:t>保护重点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生物遗传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资源</w:t>
            </w:r>
            <w:bookmarkEnd w:id="1"/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加强种质资源保护管理，研究建立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级种质资源保护单位（区、地、库），建设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级林木良种基地、采种基地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达到市级要求</w:t>
            </w:r>
            <w:r>
              <w:rPr>
                <w:rFonts w:hint="eastAsia" w:ascii="仿宋_GB2312" w:eastAsia="仿宋_GB2312"/>
                <w:sz w:val="24"/>
              </w:rPr>
              <w:t>。新建或扩建林草种质资源异地保存库、菌种资源库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达到市级要求</w:t>
            </w:r>
            <w:r>
              <w:rPr>
                <w:rFonts w:hint="eastAsia" w:ascii="仿宋_GB2312" w:eastAsia="仿宋_GB2312"/>
                <w:sz w:val="24"/>
              </w:rPr>
              <w:t>。形成种质资源保护年度报告。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做好古树保护工作</w:t>
            </w:r>
            <w:r>
              <w:rPr>
                <w:rFonts w:ascii="仿宋_GB2312" w:eastAsia="仿宋_GB2312"/>
                <w:sz w:val="24"/>
              </w:rPr>
              <w:t>。建设</w:t>
            </w:r>
            <w:r>
              <w:rPr>
                <w:rFonts w:hint="eastAsia" w:ascii="仿宋_GB2312" w:eastAsia="仿宋_GB2312"/>
                <w:sz w:val="24"/>
              </w:rPr>
              <w:t>2个古树主题公园，1个古树村庄</w:t>
            </w:r>
            <w:r>
              <w:rPr>
                <w:rFonts w:ascii="仿宋_GB2312" w:eastAsia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继续实施古树抢救性复壮修复工程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保护重要生物遗传资源，开展年度畜禽、水产种质资源普查，完成年度普查报告。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因地制宜适度规模化扩繁</w:t>
            </w:r>
            <w:r>
              <w:rPr>
                <w:rFonts w:hint="eastAsia" w:ascii="仿宋_GB2312" w:eastAsia="仿宋_GB2312"/>
                <w:sz w:val="24"/>
              </w:rPr>
              <w:t>二黄棒、白马牙、骡子尾高粱等传统种质资源，推动香椿、藜麦、黍子等本地特色农产品品种培优、品质提升。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2" w:name="_Hlk124238201"/>
            <w:r>
              <w:rPr>
                <w:rFonts w:hint="eastAsia" w:ascii="仿宋_GB2312" w:eastAsia="仿宋_GB2312"/>
                <w:sz w:val="24"/>
              </w:rPr>
              <w:t>加强监测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评估和执法检查</w:t>
            </w:r>
            <w:bookmarkEnd w:id="2"/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开展生物多样性本底调查。完成2023年鸟类、鱼类、大型真菌等生物多样性调查。开展良好生态环境指示物种观测工作。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区农业农村局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区水务局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百花山管理处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依法查处破坏陆生野生动植物资源及栖息地、侵占和破坏林木种质资源等违法行为。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公安</w:t>
            </w:r>
            <w:r>
              <w:rPr>
                <w:rFonts w:ascii="仿宋_GB2312" w:eastAsia="仿宋_GB2312"/>
                <w:sz w:val="24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以国家重点保护野生动物、植物名录、</w:t>
            </w:r>
            <w:r>
              <w:rPr>
                <w:rFonts w:hint="eastAsia" w:ascii="仿宋_GB2312" w:eastAsia="仿宋_GB2312"/>
                <w:sz w:val="24"/>
              </w:rPr>
              <w:t>《濒危野生动植物种国际贸易公约》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《国家保护的有益的或者有重要经济、科学研究价值的陆生野生动物》</w:t>
            </w:r>
            <w:r>
              <w:rPr>
                <w:rFonts w:ascii="仿宋_GB2312" w:eastAsia="仿宋_GB2312"/>
                <w:sz w:val="24"/>
              </w:rPr>
              <w:t>等文件</w:t>
            </w:r>
            <w:r>
              <w:rPr>
                <w:rFonts w:hint="eastAsia" w:ascii="仿宋_GB2312" w:eastAsia="仿宋_GB2312"/>
                <w:sz w:val="24"/>
              </w:rPr>
              <w:t>为依据，</w:t>
            </w:r>
            <w:r>
              <w:rPr>
                <w:rFonts w:ascii="仿宋_GB2312" w:eastAsia="仿宋_GB2312"/>
                <w:sz w:val="24"/>
              </w:rPr>
              <w:t>结合生物多样性本底调查，</w:t>
            </w:r>
            <w:r>
              <w:rPr>
                <w:rFonts w:hint="eastAsia" w:ascii="仿宋_GB2312" w:eastAsia="仿宋_GB2312"/>
                <w:sz w:val="24"/>
              </w:rPr>
              <w:t>遴选出区野生生物重点保护生物名录。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pStyle w:val="3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区生态环境局</w:t>
            </w:r>
          </w:p>
          <w:p>
            <w:pPr>
              <w:pStyle w:val="3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pStyle w:val="3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百花山管理处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依法查处违反破坏水生野生动植物资源及栖息地、侵占和破坏农作物种质资源以及擅自引进、释放、丢弃外来物种等违法行为。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区园林绿化局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公安</w:t>
            </w:r>
            <w:r>
              <w:rPr>
                <w:rFonts w:ascii="仿宋_GB2312" w:eastAsia="仿宋_GB2312"/>
                <w:sz w:val="24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局</w:t>
            </w:r>
          </w:p>
          <w:p>
            <w:pPr>
              <w:pStyle w:val="3"/>
              <w:snapToGrid w:val="0"/>
              <w:spacing w:line="360" w:lineRule="exact"/>
              <w:jc w:val="center"/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依法查处出售、收购、运输、携带国家或者地方重点保护野生动物或者其产品等违法行为。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市场监管局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公安</w:t>
            </w:r>
            <w:r>
              <w:rPr>
                <w:rFonts w:ascii="仿宋_GB2312" w:eastAsia="仿宋_GB2312"/>
                <w:sz w:val="24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20" w:type="dxa"/>
            <w:gridSpan w:val="6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6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三、维护生态空间格局稳定性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3" w:name="_Hlk124238216"/>
            <w:r>
              <w:rPr>
                <w:rFonts w:hint="eastAsia" w:ascii="仿宋_GB2312" w:eastAsia="仿宋_GB2312"/>
                <w:sz w:val="24"/>
              </w:rPr>
              <w:t>深化生态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保护红线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划定成果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</w:t>
            </w:r>
            <w:bookmarkEnd w:id="3"/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强化规划引领和刚性约束，有序实施分区规划三年行动计划，</w:t>
            </w:r>
            <w:r>
              <w:rPr>
                <w:rFonts w:hint="eastAsia" w:ascii="仿宋_GB2312" w:eastAsia="仿宋_GB2312"/>
                <w:sz w:val="24"/>
              </w:rPr>
              <w:t>根据“三区三线”中生态保护红线划定成果，组织完成分区规划涉及生态保护红线相关内容的修改。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生态环境局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园林绿化局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水务局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持续构建生态友好型国土空间规划体系，严格实施国土空间用途管制，严控新增建设用地。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以百花山和永定河流域为重点，健全生态保护红线监管机制，加强重要生态空间人为活动管控。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持续推进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区规自分局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区水务局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区园林绿化局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百花山管理处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提升自然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保护地监督管理水平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按照市级要求，推进自然保护地优化调整，完善自然保护地体系。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持续推进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FF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开展年度重点自然保护地保护成效评估，</w:t>
            </w:r>
            <w:r>
              <w:rPr>
                <w:rFonts w:hint="eastAsia" w:ascii="仿宋_GB2312" w:eastAsia="仿宋_GB2312"/>
                <w:kern w:val="0"/>
                <w:sz w:val="24"/>
              </w:rPr>
              <w:t>提高自然保护地管理效能。加强自然保护地监督管理，保护重要生态空间。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区规自分局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color w:val="0000FF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按照统一部署，开展自然保护地生态环境监督工作，落实整改销号要求。加强百花山国家级自然保护区的人类活动遥感监测和监管。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百花山管理处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农业农村局</w:t>
            </w:r>
          </w:p>
          <w:p>
            <w:pPr>
              <w:pStyle w:val="2"/>
              <w:spacing w:line="360" w:lineRule="exact"/>
              <w:jc w:val="center"/>
            </w:pPr>
            <w:r>
              <w:rPr>
                <w:rFonts w:hint="eastAsia" w:ascii="仿宋_GB2312" w:eastAsia="仿宋_GB2312"/>
                <w:kern w:val="0"/>
                <w:sz w:val="24"/>
              </w:rPr>
              <w:t>区规自分局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FF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做好自然保护区日常管理和例行巡查，遏制新增问题，推动历史遗留问题解决。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区园林绿化局</w:t>
            </w:r>
          </w:p>
          <w:p>
            <w:pPr>
              <w:pStyle w:val="2"/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百花山管理处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kern w:val="0"/>
                <w:sz w:val="24"/>
              </w:rPr>
              <w:t>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加强资源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开发利用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活动监督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开展矿产等自然资源私挖盗采活动线索的遥感监测，严格查处违法违规开采行为。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区生态环境局</w:t>
            </w:r>
          </w:p>
          <w:p>
            <w:pPr>
              <w:pStyle w:val="2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4" w:name="_Hlk124238233"/>
            <w:r>
              <w:rPr>
                <w:rFonts w:hint="eastAsia" w:ascii="仿宋_GB2312" w:eastAsia="仿宋_GB2312"/>
                <w:sz w:val="24"/>
              </w:rPr>
              <w:t>统筹推进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实施生态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保护修复</w:t>
            </w:r>
            <w:bookmarkEnd w:id="4"/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编制门头沟区国土空间生态修复规划。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11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组织完成2023年矿山治理项目勘查设计报告评审，组织实施项目治理，完成市级部门下达治理任务。建立完善区级生态修复台账管理机制，推进已完成治理的矿山生态修复工程补充绿化提升工作。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区财政局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区园林绿化局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区农业农村局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广泛吸引社会投资，探索废弃矿山修复治理新路径。申报首都西部生态涵养区山水林田湖草沙一体化保护和修复项目。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长期实施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区规自分局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区发改委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区财政局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推进园林绿化“增绿提质”，森林覆盖率达到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市级要求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，实施</w:t>
            </w:r>
            <w:r>
              <w:rPr>
                <w:rFonts w:hint="eastAsia" w:ascii="仿宋_GB2312" w:eastAsia="仿宋_GB2312"/>
                <w:kern w:val="0"/>
                <w:sz w:val="24"/>
              </w:rPr>
              <w:t>分级分类管护经营。优化林分结构、树种组成及分布格局，推动建立可持续的近自然森林经营与管理模式。</w:t>
            </w:r>
            <w:r>
              <w:rPr>
                <w:rFonts w:hint="eastAsia" w:ascii="仿宋_GB2312" w:hAnsi="Calibri" w:eastAsia="仿宋_GB2312"/>
                <w:kern w:val="0"/>
                <w:sz w:val="24"/>
              </w:rPr>
              <w:t>加强生态林、绿地公园管护，完成森林健康经营8.7万亩、国家公益林抚育1.6万亩。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建设生态保育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小区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</w:rPr>
              <w:t>建立自然带营造和管理示范点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达到市级要求</w:t>
            </w:r>
            <w:r>
              <w:rPr>
                <w:rFonts w:hint="eastAsia" w:ascii="仿宋_GB2312" w:hAnsi="Calibri" w:eastAsia="仿宋_GB2312"/>
                <w:kern w:val="0"/>
                <w:sz w:val="24"/>
              </w:rPr>
              <w:t>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宋体"/>
                <w:color w:val="FF0000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推进西峰寺沟上游综合治理、永定河环境综合整治等项目，以建设“三大湿地”为契机打造永定河生态走廊。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pacing w:val="-11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统筹推进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实施生态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保护修复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启动“六水联通”工程，推动实现“六水环绕映门城”景观格局。分阶段开展“百泉复涌”修复与保护工作，优先完成试点示范及新复涌泉的泉域保护。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区水务局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相关镇街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4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优先在耕地集中连片区内开展农田生态修复,修复面积达到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市级要求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2"/>
                <w:sz w:val="24"/>
              </w:rPr>
              <w:t>区农业农村局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pacing w:val="-26"/>
                <w:sz w:val="24"/>
              </w:rPr>
              <w:t>区规自分局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420" w:type="dxa"/>
            <w:gridSpan w:val="6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四、促进生态保护可持续发展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开展生态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产品价值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核算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主动对接、配合开展全市生态产品总值系统性核算，推动生态产品总值核算标准化，为促进生态产品价值实现奠定基础。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统计局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区发改委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区规自分局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住房城乡建设委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交通委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水务局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文化旅游局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5" w:name="_Hlk124238252"/>
            <w:r>
              <w:rPr>
                <w:rFonts w:hint="eastAsia" w:ascii="仿宋_GB2312" w:eastAsia="仿宋_GB2312"/>
                <w:sz w:val="24"/>
              </w:rPr>
              <w:t>巩固“两山”实践创新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基地成果</w:t>
            </w:r>
            <w:bookmarkEnd w:id="5"/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落实“两山”基地建设实施方案，全力做好“两山”基地三年复核验收。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开展第三届最美“两山”理论守护人选树，提升生态文明建设影响力和引导力，凝聚生态共识和发展合力，释放绿水青山生态效益、经济效益和社会效益。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持续推进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11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区生态环境局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巩固生态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文明建设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示范区创建成果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深入开展生态文明示范创建后评估，有序落实重点任务，努力提高各项创建指标，巩固提升创建成果。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持续推进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巩固</w:t>
            </w:r>
            <w:r>
              <w:rPr>
                <w:rFonts w:hint="eastAsia" w:ascii="仿宋_GB2312" w:eastAsia="仿宋_GB2312"/>
                <w:sz w:val="24"/>
              </w:rPr>
              <w:t>森林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城市创建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成果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color w:val="FF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坚持扩大生态容量、提升森林质量、增强碳汇能力并重，抓好荒山造林、城市绿化、林木抚育、生态林管护等工作，厚植绿色资源本底，巩固城建成果。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4"/>
              </w:rPr>
              <w:t>持续推进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园林绿化局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eastAsia="仿宋_GB2312"/>
                <w:spacing w:val="-26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巩固天然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氧吧创建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制定中国天然氧吧三年行动计划并挖掘品牌效益。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持续推进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区气象局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开展生态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评价与应用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配合开展生态环境质量评价和应用，客观反映生态环境质量状况及变化趋势。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6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完善生态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保护补偿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764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深入落实综合性生态保护补偿政策，统筹实施生态保护重点工作，不断提高生态环境质量。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年底前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财政局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区发改委</w:t>
            </w:r>
          </w:p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>生态环境</w:t>
            </w:r>
            <w:r>
              <w:rPr>
                <w:rFonts w:ascii="仿宋_GB2312" w:eastAsia="仿宋_GB2312"/>
                <w:sz w:val="24"/>
              </w:rPr>
              <w:t>局</w:t>
            </w:r>
          </w:p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区园林绿化局</w:t>
            </w:r>
          </w:p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区规自分局</w:t>
            </w:r>
          </w:p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区水务局</w:t>
            </w:r>
          </w:p>
          <w:p>
            <w:pPr>
              <w:autoSpaceDE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区农业农村局</w:t>
            </w:r>
          </w:p>
        </w:tc>
      </w:tr>
    </w:tbl>
    <w:p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E3ZTBjYTA0N2JmMGMzMWUwYTZlYzJiY2ZjMGYifQ=="/>
  </w:docVars>
  <w:rsids>
    <w:rsidRoot w:val="193C65E6"/>
    <w:rsid w:val="193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2023-01-11T09:05:00Z</dcterms:created>
  <dc:creator>张苡漠</dc:creator>
  <cp:lastModifiedBy>张苡漠</cp:lastModifiedBy>
  <dcterms:modified xsi:type="dcterms:W3CDTF">2023-01-11T09:06:21Z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BA8C2A857831455B9ADEE1F475365B12</vt:lpwstr>
  </property>
</Properties>
</file>