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附件3</w:t>
      </w:r>
    </w:p>
    <w:p>
      <w:pPr>
        <w:spacing w:before="312" w:beforeLines="100" w:after="312" w:afterLines="100" w:line="560" w:lineRule="exact"/>
        <w:jc w:val="center"/>
        <w:rPr>
          <w:rFonts w:ascii="方正小标宋简体" w:hAnsi="方正小标宋简体" w:eastAsia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/>
          <w:sz w:val="44"/>
          <w:szCs w:val="44"/>
          <w:lang w:eastAsia="zh-CN"/>
        </w:rPr>
        <w:t>北京市</w:t>
      </w:r>
      <w:r>
        <w:rPr>
          <w:rFonts w:hint="eastAsia" w:ascii="方正小标宋简体" w:hAnsi="方正小标宋简体" w:eastAsia="方正小标宋简体"/>
          <w:sz w:val="44"/>
          <w:szCs w:val="44"/>
        </w:rPr>
        <w:t>门头沟区水污染防治2023年行动计划（征求意见稿）</w:t>
      </w:r>
    </w:p>
    <w:tbl>
      <w:tblPr>
        <w:tblStyle w:val="3"/>
        <w:tblW w:w="1542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4"/>
        <w:gridCol w:w="1418"/>
        <w:gridCol w:w="7654"/>
        <w:gridCol w:w="1276"/>
        <w:gridCol w:w="2126"/>
        <w:gridCol w:w="226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tblHeader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autoSpaceDE w:val="0"/>
              <w:snapToGrid w:val="0"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autoSpaceDE w:val="0"/>
              <w:snapToGrid w:val="0"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重点任务</w:t>
            </w:r>
          </w:p>
        </w:tc>
        <w:tc>
          <w:tcPr>
            <w:tcW w:w="76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autoSpaceDE w:val="0"/>
              <w:snapToGrid w:val="0"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工作措施</w:t>
            </w: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autoSpaceDE w:val="0"/>
              <w:snapToGrid w:val="0"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完成时限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autoSpaceDE w:val="0"/>
              <w:snapToGrid w:val="0"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牵头单位</w:t>
            </w:r>
          </w:p>
        </w:tc>
        <w:tc>
          <w:tcPr>
            <w:tcW w:w="22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autoSpaceDE w:val="0"/>
              <w:snapToGrid w:val="0"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责任单位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542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autoSpaceDE w:val="0"/>
              <w:snapToGrid w:val="0"/>
              <w:jc w:val="center"/>
              <w:textAlignment w:val="center"/>
              <w:rPr>
                <w:rFonts w:ascii="黑体" w:hAnsi="宋体" w:eastAsia="黑体"/>
                <w:color w:val="0000FF"/>
                <w:sz w:val="24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 w:val="24"/>
              </w:rPr>
              <w:t>一、水环境质量目标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4" w:hRule="atLeast"/>
          <w:jc w:val="center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autoSpaceDE w:val="0"/>
              <w:snapToGrid w:val="0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autoSpaceDE w:val="0"/>
              <w:snapToGrid w:val="0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目标任务</w:t>
            </w:r>
          </w:p>
        </w:tc>
        <w:tc>
          <w:tcPr>
            <w:tcW w:w="7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autoSpaceDE w:val="0"/>
              <w:snapToGrid w:val="0"/>
              <w:textAlignment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水生态环境质量稳中向好。地表水市考断面水质达到市级目标要求。区级等集中式饮用水水源地水质保持稳定达标。地下水水质总体保持稳定。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autoSpaceDE w:val="0"/>
              <w:snapToGrid w:val="0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年底前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autoSpaceDE w:val="0"/>
              <w:snapToGrid w:val="0"/>
              <w:jc w:val="center"/>
              <w:textAlignment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区生态环境局</w:t>
            </w:r>
          </w:p>
          <w:p>
            <w:pPr>
              <w:widowControl/>
              <w:autoSpaceDE w:val="0"/>
              <w:snapToGrid w:val="0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区水务局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autoSpaceDE w:val="0"/>
              <w:snapToGrid w:val="0"/>
              <w:jc w:val="center"/>
              <w:textAlignment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区规自分局</w:t>
            </w:r>
          </w:p>
          <w:p>
            <w:pPr>
              <w:widowControl/>
              <w:autoSpaceDE w:val="0"/>
              <w:snapToGrid w:val="0"/>
              <w:jc w:val="center"/>
              <w:textAlignment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区农业农村局</w:t>
            </w:r>
          </w:p>
          <w:p>
            <w:pPr>
              <w:widowControl/>
              <w:autoSpaceDE w:val="0"/>
              <w:snapToGrid w:val="0"/>
              <w:jc w:val="center"/>
              <w:textAlignment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区科信局</w:t>
            </w:r>
          </w:p>
          <w:p>
            <w:pPr>
              <w:widowControl/>
              <w:autoSpaceDE w:val="0"/>
              <w:snapToGrid w:val="0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各镇街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5" w:hRule="atLeast"/>
          <w:jc w:val="center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autoSpaceDE w:val="0"/>
              <w:snapToGrid w:val="0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2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autoSpaceDE w:val="0"/>
              <w:snapToGrid w:val="0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深入实施</w:t>
            </w:r>
          </w:p>
          <w:p>
            <w:pPr>
              <w:widowControl/>
              <w:autoSpaceDE w:val="0"/>
              <w:snapToGrid w:val="0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总量减排</w:t>
            </w:r>
          </w:p>
        </w:tc>
        <w:tc>
          <w:tcPr>
            <w:tcW w:w="7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autoSpaceDE w:val="0"/>
              <w:snapToGrid w:val="0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实现主要水污染物排放总量持续下降，完成化学需氧量（COD）、氨氮（NH3-N）减排目标要求。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autoSpaceDE w:val="0"/>
              <w:snapToGrid w:val="0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年底前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autoSpaceDE w:val="0"/>
              <w:snapToGrid w:val="0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区生态环境局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autoSpaceDE w:val="0"/>
              <w:snapToGrid w:val="0"/>
              <w:jc w:val="center"/>
              <w:textAlignment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区水务局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54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autoSpaceDE w:val="0"/>
              <w:snapToGrid w:val="0"/>
              <w:jc w:val="center"/>
              <w:textAlignment w:val="center"/>
              <w:rPr>
                <w:rFonts w:ascii="黑体" w:hAnsi="宋体" w:eastAsia="黑体"/>
                <w:color w:val="0000FF"/>
                <w:sz w:val="24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 w:val="24"/>
              </w:rPr>
              <w:t>二、水资源保护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5" w:hRule="atLeast"/>
          <w:jc w:val="center"/>
        </w:trPr>
        <w:tc>
          <w:tcPr>
            <w:tcW w:w="6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autoSpaceDE w:val="0"/>
              <w:snapToGrid w:val="0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3</w:t>
            </w: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autoSpaceDE w:val="0"/>
              <w:snapToGrid w:val="0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加强饮用</w:t>
            </w:r>
          </w:p>
          <w:p>
            <w:pPr>
              <w:widowControl/>
              <w:autoSpaceDE w:val="0"/>
              <w:snapToGrid w:val="0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水保护</w:t>
            </w:r>
          </w:p>
        </w:tc>
        <w:tc>
          <w:tcPr>
            <w:tcW w:w="7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autoSpaceDE w:val="0"/>
              <w:snapToGrid w:val="0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完善本区重要饮用水水源地名录，9月底前制定出台本区饮用水水源地名录，动态更新水源地取水量数据并与区生态环境局共享。加强饮用水供水厂站水源水和出厂水水质检测；推进对水质不达标的饮用水水源，采取水源置换、集中供水、深度处理等措施确保饮用水安全。加强农村水源保护巡查，确保水源井周边30米范围内无污水、无垃圾、无厕所、无养殖粪污等污染源。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autoSpaceDE w:val="0"/>
              <w:snapToGrid w:val="0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长期实施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autoSpaceDE w:val="0"/>
              <w:snapToGrid w:val="0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区水务局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autoSpaceDE w:val="0"/>
              <w:snapToGrid w:val="0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spacing w:val="-26"/>
                <w:sz w:val="24"/>
              </w:rPr>
              <w:t>相关镇街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1" w:hRule="atLeast"/>
          <w:jc w:val="center"/>
        </w:trPr>
        <w:tc>
          <w:tcPr>
            <w:tcW w:w="6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7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autoSpaceDE w:val="0"/>
              <w:snapToGrid w:val="0"/>
              <w:spacing w:line="280" w:lineRule="exact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结合饮用水水源地名录及区域规划，统筹实施辖区集中式饮用水水源保护区划定和优化调整。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autoSpaceDE w:val="0"/>
              <w:snapToGrid w:val="0"/>
              <w:spacing w:line="28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长期实施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autoSpaceDE w:val="0"/>
              <w:snapToGrid w:val="0"/>
              <w:spacing w:line="28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区生态环境局</w:t>
            </w:r>
          </w:p>
          <w:p>
            <w:pPr>
              <w:widowControl/>
              <w:autoSpaceDE w:val="0"/>
              <w:snapToGrid w:val="0"/>
              <w:spacing w:line="28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区水务局</w:t>
            </w:r>
          </w:p>
          <w:p>
            <w:pPr>
              <w:widowControl/>
              <w:autoSpaceDE w:val="0"/>
              <w:snapToGrid w:val="0"/>
              <w:spacing w:line="28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区规自分局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autoSpaceDE w:val="0"/>
              <w:snapToGrid w:val="0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spacing w:val="-26"/>
                <w:sz w:val="24"/>
              </w:rPr>
              <w:t>相关镇街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8" w:hRule="atLeast"/>
          <w:jc w:val="center"/>
        </w:trPr>
        <w:tc>
          <w:tcPr>
            <w:tcW w:w="6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7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autoSpaceDE w:val="0"/>
              <w:snapToGrid w:val="0"/>
              <w:spacing w:line="280" w:lineRule="exact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开展饮用水水源地环境状况年度调查评估，按国家要求完成系统填报，年底前提交评估报告，实现水源地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“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一源一档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”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动态管理。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autoSpaceDE w:val="0"/>
              <w:snapToGrid w:val="0"/>
              <w:spacing w:line="28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年底前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autoSpaceDE w:val="0"/>
              <w:snapToGrid w:val="0"/>
              <w:spacing w:line="28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区生态环境局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autoSpaceDE w:val="0"/>
              <w:snapToGrid w:val="0"/>
              <w:spacing w:line="28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区水务局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7" w:hRule="atLeast"/>
          <w:jc w:val="center"/>
        </w:trPr>
        <w:tc>
          <w:tcPr>
            <w:tcW w:w="6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7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autoSpaceDE w:val="0"/>
              <w:snapToGrid w:val="0"/>
              <w:spacing w:line="280" w:lineRule="exact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开展水源地专项执法和日常监管,加强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“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三监联动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”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，动态清理整治水源保护区内影响水源安全的排污口、垃圾堆放等环境问题，因地制宜完善水源保护区（水源井）封闭隔离设施和标志标识牌。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autoSpaceDE w:val="0"/>
              <w:snapToGrid w:val="0"/>
              <w:spacing w:line="28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长期实施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autoSpaceDE w:val="0"/>
              <w:snapToGrid w:val="0"/>
              <w:spacing w:line="28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区生态环境局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autoSpaceDE w:val="0"/>
              <w:snapToGrid w:val="0"/>
              <w:spacing w:line="28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区水务局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7" w:hRule="atLeast"/>
          <w:jc w:val="center"/>
        </w:trPr>
        <w:tc>
          <w:tcPr>
            <w:tcW w:w="6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7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autoSpaceDE w:val="0"/>
              <w:snapToGrid w:val="0"/>
              <w:spacing w:line="280" w:lineRule="exact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定期向社会公开城镇集中式生活饮用水安全状况信息；推进农村集中式生活饮用水安全状况信息公开，年底前实现乡镇级生活饮用水安全状况定期公开。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autoSpaceDE w:val="0"/>
              <w:snapToGrid w:val="0"/>
              <w:spacing w:line="28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长期实施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autoSpaceDE w:val="0"/>
              <w:snapToGrid w:val="0"/>
              <w:spacing w:line="28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区生态环境局</w:t>
            </w:r>
          </w:p>
          <w:p>
            <w:pPr>
              <w:widowControl/>
              <w:autoSpaceDE w:val="0"/>
              <w:snapToGrid w:val="0"/>
              <w:spacing w:line="28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区水务局</w:t>
            </w:r>
          </w:p>
          <w:p>
            <w:pPr>
              <w:widowControl/>
              <w:autoSpaceDE w:val="0"/>
              <w:snapToGrid w:val="0"/>
              <w:spacing w:line="28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区卫健委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autoSpaceDE w:val="0"/>
              <w:snapToGrid w:val="0"/>
              <w:spacing w:line="28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spacing w:val="-26"/>
                <w:sz w:val="24"/>
              </w:rPr>
              <w:t>——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1" w:hRule="atLeast"/>
          <w:jc w:val="center"/>
        </w:trPr>
        <w:tc>
          <w:tcPr>
            <w:tcW w:w="6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4</w:t>
            </w: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加强地下水保护</w:t>
            </w:r>
          </w:p>
        </w:tc>
        <w:tc>
          <w:tcPr>
            <w:tcW w:w="7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autoSpaceDE w:val="0"/>
              <w:snapToGrid w:val="0"/>
              <w:spacing w:line="280" w:lineRule="exact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落实辖区地下水水质保持方案，确保地下水质保持稳定。对辖区地下水污染风险监控点开展丰、枯水期监测。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autoSpaceDE w:val="0"/>
              <w:snapToGrid w:val="0"/>
              <w:spacing w:line="28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长期实施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autoSpaceDE w:val="0"/>
              <w:snapToGrid w:val="0"/>
              <w:spacing w:line="28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区生态环境局</w:t>
            </w:r>
          </w:p>
          <w:p>
            <w:pPr>
              <w:widowControl/>
              <w:autoSpaceDE w:val="0"/>
              <w:snapToGrid w:val="0"/>
              <w:spacing w:line="28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区水务局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autoSpaceDE w:val="0"/>
              <w:snapToGrid w:val="0"/>
              <w:spacing w:line="28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spacing w:val="-26"/>
                <w:sz w:val="24"/>
              </w:rPr>
              <w:t>——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7" w:hRule="atLeast"/>
          <w:jc w:val="center"/>
        </w:trPr>
        <w:tc>
          <w:tcPr>
            <w:tcW w:w="6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4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7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autoSpaceDE w:val="0"/>
              <w:snapToGrid w:val="0"/>
              <w:spacing w:line="280" w:lineRule="exact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推进地下水超采治理，北京市新三年地下水超采治理行动，促进北京市地下水涵养和保护。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autoSpaceDE w:val="0"/>
              <w:snapToGrid w:val="0"/>
              <w:spacing w:line="28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年底前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autoSpaceDE w:val="0"/>
              <w:snapToGrid w:val="0"/>
              <w:spacing w:line="28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区水务局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autoSpaceDE w:val="0"/>
              <w:snapToGrid w:val="0"/>
              <w:spacing w:line="28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各镇街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9" w:hRule="atLeast"/>
          <w:jc w:val="center"/>
        </w:trPr>
        <w:tc>
          <w:tcPr>
            <w:tcW w:w="6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autoSpaceDE w:val="0"/>
              <w:snapToGrid w:val="0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5</w:t>
            </w: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autoSpaceDE w:val="0"/>
              <w:snapToGrid w:val="0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节水型社会建设</w:t>
            </w:r>
          </w:p>
        </w:tc>
        <w:tc>
          <w:tcPr>
            <w:tcW w:w="7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autoSpaceDE w:val="0"/>
              <w:snapToGrid w:val="0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持续推进节水型社会建设，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全区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生产生活用水总量控制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eastAsia="zh-CN" w:bidi="ar"/>
              </w:rPr>
              <w:t>达到市级要求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，万元GDP用水量比2022年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下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降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1.5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%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左右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autoSpaceDE w:val="0"/>
              <w:snapToGrid w:val="0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年底前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autoSpaceDE w:val="0"/>
              <w:snapToGrid w:val="0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区水务局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autoSpaceDE w:val="0"/>
              <w:snapToGrid w:val="0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各镇街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0" w:hRule="atLeast"/>
          <w:jc w:val="center"/>
        </w:trPr>
        <w:tc>
          <w:tcPr>
            <w:tcW w:w="6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7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autoSpaceDE w:val="0"/>
              <w:snapToGrid w:val="0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进一步加强用水总量管控，提高用水效率。结合本区用水实际情况，将用水总量进一步分解下达至街道、乡镇，并细化管控措施。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autoSpaceDE w:val="0"/>
              <w:snapToGrid w:val="0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年底前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autoSpaceDE w:val="0"/>
              <w:snapToGrid w:val="0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区水务局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autoSpaceDE w:val="0"/>
              <w:snapToGrid w:val="0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各镇街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54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autoSpaceDE w:val="0"/>
              <w:snapToGrid w:val="0"/>
              <w:jc w:val="center"/>
              <w:textAlignment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kern w:val="0"/>
                <w:sz w:val="24"/>
              </w:rPr>
              <w:t>三、水环境治理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7" w:hRule="atLeast"/>
          <w:jc w:val="center"/>
        </w:trPr>
        <w:tc>
          <w:tcPr>
            <w:tcW w:w="6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autoSpaceDE w:val="0"/>
              <w:snapToGrid w:val="0"/>
              <w:jc w:val="center"/>
              <w:textAlignment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6</w:t>
            </w: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autoSpaceDE w:val="0"/>
              <w:snapToGrid w:val="0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强化生活</w:t>
            </w:r>
          </w:p>
          <w:p>
            <w:pPr>
              <w:widowControl/>
              <w:autoSpaceDE w:val="0"/>
              <w:snapToGrid w:val="0"/>
              <w:jc w:val="center"/>
              <w:textAlignment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污染治理</w:t>
            </w:r>
          </w:p>
        </w:tc>
        <w:tc>
          <w:tcPr>
            <w:tcW w:w="7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autoSpaceDE w:val="0"/>
              <w:snapToGrid w:val="0"/>
              <w:textAlignment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实施第四个三年城市水环境治理三年行动方案，累计新（改）建污水收集管线公里</w:t>
            </w:r>
            <w:r>
              <w:rPr>
                <w:rFonts w:hint="eastAsia" w:ascii="仿宋_GB2312" w:hAnsi="宋体" w:eastAsia="仿宋_GB2312"/>
                <w:kern w:val="0"/>
                <w:sz w:val="24"/>
                <w:lang w:eastAsia="zh-CN"/>
              </w:rPr>
              <w:t>数达到市级要求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，强化再生水配置利用能力，2023年持续推进园林绿地再生水替代工程。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autoSpaceDE w:val="0"/>
              <w:snapToGrid w:val="0"/>
              <w:jc w:val="center"/>
              <w:textAlignment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年底前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autoSpaceDE w:val="0"/>
              <w:snapToGrid w:val="0"/>
              <w:jc w:val="center"/>
              <w:textAlignment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区水务局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autoSpaceDE w:val="0"/>
              <w:snapToGrid w:val="0"/>
              <w:jc w:val="center"/>
              <w:textAlignment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区发改委</w:t>
            </w:r>
          </w:p>
          <w:p>
            <w:pPr>
              <w:widowControl/>
              <w:autoSpaceDE w:val="0"/>
              <w:snapToGrid w:val="0"/>
              <w:jc w:val="center"/>
              <w:textAlignment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区规自分局</w:t>
            </w:r>
          </w:p>
          <w:p>
            <w:pPr>
              <w:widowControl/>
              <w:autoSpaceDE w:val="0"/>
              <w:snapToGrid w:val="0"/>
              <w:jc w:val="center"/>
              <w:textAlignment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区园林绿化局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8" w:hRule="atLeast"/>
          <w:jc w:val="center"/>
        </w:trPr>
        <w:tc>
          <w:tcPr>
            <w:tcW w:w="6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autoSpaceDE w:val="0"/>
              <w:snapToGrid w:val="0"/>
              <w:jc w:val="center"/>
              <w:textAlignment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autoSpaceDE w:val="0"/>
              <w:snapToGrid w:val="0"/>
              <w:jc w:val="center"/>
              <w:textAlignment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7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autoSpaceDE w:val="0"/>
              <w:snapToGrid w:val="0"/>
              <w:textAlignment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加大雨污混接错接巡查整治力度，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督促相关单位对新发现的错接混接点位及时处置，实现动态清零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，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积极推进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门城地区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合流溢流口治理。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autoSpaceDE w:val="0"/>
              <w:snapToGrid w:val="0"/>
              <w:jc w:val="center"/>
              <w:textAlignment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年底前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autoSpaceDE w:val="0"/>
              <w:snapToGrid w:val="0"/>
              <w:jc w:val="center"/>
              <w:textAlignment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区水务局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autoSpaceDE w:val="0"/>
              <w:snapToGrid w:val="0"/>
              <w:jc w:val="center"/>
              <w:textAlignment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26"/>
                <w:sz w:val="24"/>
              </w:rPr>
              <w:t>——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8" w:hRule="atLeast"/>
          <w:jc w:val="center"/>
        </w:trPr>
        <w:tc>
          <w:tcPr>
            <w:tcW w:w="6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6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autoSpaceDE w:val="0"/>
              <w:adjustRightInd w:val="0"/>
              <w:snapToGrid w:val="0"/>
              <w:textAlignment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加强汛期雨水面源污染和溢流污染防治，持续开展“清管行动”“清河行动”，聚焦汛期水质波动明显的河流，提前对雨水管涵、雨污合流管涵、雨水口（雨箅子）等进行全面清掏并加大巡查、清理力度。门头沟区第二再生水厂加强联动联调，雨前提前加大抽升处理，降低管网液位，实现管网腾容，最大程度减少污水溢流排河。加快推进汛期污水溢流问题整治，通过雨污分流改造、智慧化调蓄等工程措施，解决汛期污水冒溢问题，降低河道污染。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autoSpaceDE w:val="0"/>
              <w:snapToGrid w:val="0"/>
              <w:jc w:val="center"/>
              <w:textAlignment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9月底前</w:t>
            </w:r>
          </w:p>
        </w:tc>
        <w:tc>
          <w:tcPr>
            <w:tcW w:w="21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autoSpaceDE w:val="0"/>
              <w:snapToGrid w:val="0"/>
              <w:jc w:val="center"/>
              <w:textAlignment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区水务局</w:t>
            </w:r>
          </w:p>
        </w:tc>
        <w:tc>
          <w:tcPr>
            <w:tcW w:w="22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autoSpaceDE w:val="0"/>
              <w:snapToGrid w:val="0"/>
              <w:jc w:val="center"/>
              <w:textAlignment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各镇街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6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6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autoSpaceDE w:val="0"/>
              <w:snapToGrid w:val="0"/>
              <w:textAlignment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autoSpaceDE w:val="0"/>
              <w:snapToGrid w:val="0"/>
              <w:jc w:val="center"/>
              <w:textAlignment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1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autoSpaceDE w:val="0"/>
              <w:snapToGrid w:val="0"/>
              <w:jc w:val="center"/>
              <w:textAlignment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2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autoSpaceDE w:val="0"/>
              <w:snapToGrid w:val="0"/>
              <w:jc w:val="center"/>
              <w:textAlignment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6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6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autoSpaceDE w:val="0"/>
              <w:snapToGrid w:val="0"/>
              <w:textAlignment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主汛期开展雨后入河排口排污检查，加强对市考断面的监测和溯源排查。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autoSpaceDE w:val="0"/>
              <w:snapToGrid w:val="0"/>
              <w:jc w:val="center"/>
              <w:textAlignment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9月底前</w:t>
            </w:r>
          </w:p>
        </w:tc>
        <w:tc>
          <w:tcPr>
            <w:tcW w:w="21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autoSpaceDE w:val="0"/>
              <w:snapToGrid w:val="0"/>
              <w:jc w:val="center"/>
              <w:textAlignment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区生态环境局</w:t>
            </w:r>
          </w:p>
        </w:tc>
        <w:tc>
          <w:tcPr>
            <w:tcW w:w="22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autoSpaceDE w:val="0"/>
              <w:snapToGrid w:val="0"/>
              <w:jc w:val="center"/>
              <w:textAlignment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各镇街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6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76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autoSpaceDE w:val="0"/>
              <w:snapToGrid w:val="0"/>
              <w:jc w:val="left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autoSpaceDE w:val="0"/>
              <w:snapToGrid w:val="0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1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autoSpaceDE w:val="0"/>
              <w:snapToGrid w:val="0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2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autoSpaceDE w:val="0"/>
              <w:snapToGrid w:val="0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2" w:hRule="atLeast"/>
          <w:jc w:val="center"/>
        </w:trPr>
        <w:tc>
          <w:tcPr>
            <w:tcW w:w="6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7</w:t>
            </w: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深入推进</w:t>
            </w:r>
          </w:p>
          <w:p>
            <w:pPr>
              <w:widowControl/>
              <w:autoSpaceDE w:val="0"/>
              <w:snapToGrid w:val="0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农村污染</w:t>
            </w:r>
          </w:p>
          <w:p>
            <w:pPr>
              <w:widowControl/>
              <w:autoSpaceDE w:val="0"/>
              <w:snapToGrid w:val="0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防治</w:t>
            </w:r>
          </w:p>
        </w:tc>
        <w:tc>
          <w:tcPr>
            <w:tcW w:w="7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autoSpaceDE w:val="0"/>
              <w:snapToGrid w:val="0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加快农村污水处理设施建设，优化完善适合本地区的农村生活污水治理模式和技术工艺，以</w:t>
            </w:r>
            <w:r>
              <w:rPr>
                <w:rFonts w:hint="eastAsia" w:ascii="宋体" w:hAnsi="宋体"/>
                <w:kern w:val="0"/>
                <w:sz w:val="24"/>
              </w:rPr>
              <w:t>“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污水收集管网+厂站</w:t>
            </w:r>
            <w:r>
              <w:rPr>
                <w:rFonts w:hint="eastAsia" w:ascii="宋体" w:hAnsi="宋体"/>
                <w:kern w:val="0"/>
                <w:sz w:val="24"/>
              </w:rPr>
              <w:t>”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集中处理模式解决人口密集村庄的污水收集处理问题</w:t>
            </w:r>
            <w:r>
              <w:rPr>
                <w:rFonts w:hint="eastAsia" w:ascii="仿宋_GB2312" w:hAnsi="宋体" w:eastAsia="仿宋_GB2312"/>
                <w:kern w:val="0"/>
                <w:sz w:val="24"/>
                <w:lang w:eastAsia="zh-CN"/>
              </w:rPr>
              <w:t>数量达到市级要求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。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autoSpaceDE w:val="0"/>
              <w:snapToGrid w:val="0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年底前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autoSpaceDE w:val="0"/>
              <w:snapToGrid w:val="0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区水务局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autoSpaceDE w:val="0"/>
              <w:snapToGrid w:val="0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spacing w:val="-26"/>
                <w:sz w:val="24"/>
              </w:rPr>
              <w:t>——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2" w:hRule="atLeast"/>
          <w:jc w:val="center"/>
        </w:trPr>
        <w:tc>
          <w:tcPr>
            <w:tcW w:w="68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7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autoSpaceDE w:val="0"/>
              <w:snapToGrid w:val="0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强化现有设施的监管。组织开展现有农村污水处理设施运行情况调查评估，持续更新完善农村生活污水治理设施运行台账。加强农村生活污水处理设施运行监督管理力度，对运行不正常的处理设施随发现随督促整改，确保已建成设施正常运行率达到80%以上，按年度形成农村生活污水收集处理设施运行情况排查报告。加大农村生活污水处理设施监督性监测及执法力度。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autoSpaceDE w:val="0"/>
              <w:snapToGrid w:val="0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年底前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autoSpaceDE w:val="0"/>
              <w:snapToGrid w:val="0"/>
              <w:jc w:val="center"/>
              <w:textAlignment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区水务局</w:t>
            </w:r>
          </w:p>
          <w:p>
            <w:pPr>
              <w:widowControl/>
              <w:autoSpaceDE w:val="0"/>
              <w:snapToGrid w:val="0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区生态环境局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autoSpaceDE w:val="0"/>
              <w:snapToGrid w:val="0"/>
              <w:jc w:val="center"/>
              <w:textAlignment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区农业农村局</w:t>
            </w:r>
          </w:p>
          <w:p>
            <w:pPr>
              <w:widowControl/>
              <w:autoSpaceDE w:val="0"/>
              <w:snapToGrid w:val="0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相关镇街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7" w:hRule="atLeast"/>
          <w:jc w:val="center"/>
        </w:trPr>
        <w:tc>
          <w:tcPr>
            <w:tcW w:w="6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4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7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autoSpaceDE w:val="0"/>
              <w:snapToGrid w:val="0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巩固“十三五”时期农村环境整治成果，任务村庄环境干净整洁，生活污水、黑臭水体、集中式饮用水水源地达到国家整治要求，提质增效，长效管护。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autoSpaceDE w:val="0"/>
              <w:snapToGrid w:val="0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年底前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autoSpaceDE w:val="0"/>
              <w:snapToGrid w:val="0"/>
              <w:jc w:val="center"/>
              <w:textAlignment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区农业农村局</w:t>
            </w:r>
          </w:p>
          <w:p>
            <w:pPr>
              <w:widowControl/>
              <w:autoSpaceDE w:val="0"/>
              <w:snapToGrid w:val="0"/>
              <w:jc w:val="center"/>
              <w:textAlignment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区水务局</w:t>
            </w:r>
          </w:p>
          <w:p>
            <w:pPr>
              <w:widowControl/>
              <w:autoSpaceDE w:val="0"/>
              <w:snapToGrid w:val="0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区生态环境局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autoSpaceDE w:val="0"/>
              <w:snapToGrid w:val="0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相关镇街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1" w:hRule="atLeast"/>
          <w:jc w:val="center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8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加强医疗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机构污水</w:t>
            </w:r>
          </w:p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监管</w:t>
            </w:r>
          </w:p>
        </w:tc>
        <w:tc>
          <w:tcPr>
            <w:tcW w:w="7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textAlignment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加强医疗机构监管，定期检查医疗机构污水处理设施建设和运行管理情况，加强排污许可管理，确保污水处理设施和消毒设施配置齐全，运转正常。</w:t>
            </w:r>
          </w:p>
          <w:p>
            <w:pPr>
              <w:widowControl/>
              <w:autoSpaceDE w:val="0"/>
              <w:snapToGrid w:val="0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jc w:val="center"/>
              <w:textAlignment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长期实施</w:t>
            </w:r>
          </w:p>
          <w:p>
            <w:pPr>
              <w:widowControl/>
              <w:autoSpaceDE w:val="0"/>
              <w:snapToGrid w:val="0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jc w:val="center"/>
              <w:textAlignment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区卫健委</w:t>
            </w:r>
          </w:p>
          <w:p>
            <w:pPr>
              <w:widowControl/>
              <w:autoSpaceDE w:val="0"/>
              <w:snapToGrid w:val="0"/>
              <w:jc w:val="center"/>
              <w:textAlignment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区生态环境局</w:t>
            </w:r>
          </w:p>
          <w:p>
            <w:pPr>
              <w:widowControl/>
              <w:autoSpaceDE w:val="0"/>
              <w:snapToGrid w:val="0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jc w:val="center"/>
              <w:textAlignment w:val="center"/>
              <w:rPr>
                <w:rFonts w:ascii="仿宋_GB2312" w:eastAsia="仿宋_GB2312"/>
                <w:spacing w:val="-26"/>
                <w:sz w:val="24"/>
              </w:rPr>
            </w:pPr>
          </w:p>
          <w:p/>
          <w:p/>
          <w:p>
            <w:pPr>
              <w:widowControl/>
              <w:autoSpaceDE w:val="0"/>
              <w:snapToGrid w:val="0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1" w:hRule="atLeast"/>
          <w:jc w:val="center"/>
        </w:trPr>
        <w:tc>
          <w:tcPr>
            <w:tcW w:w="6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9</w:t>
            </w: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加强工业</w:t>
            </w:r>
          </w:p>
          <w:p>
            <w:pPr>
              <w:widowControl/>
              <w:autoSpaceDE w:val="0"/>
              <w:snapToGrid w:val="0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污染防治</w:t>
            </w:r>
          </w:p>
        </w:tc>
        <w:tc>
          <w:tcPr>
            <w:tcW w:w="7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加大工业污染防治力度，污水集中处理设施达标排放，污水管网质量和污水收集效能明显提升，污水实现应收尽收。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长期实施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区生态环境局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spacing w:val="-26"/>
                <w:sz w:val="24"/>
              </w:rPr>
              <w:t>——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1" w:hRule="atLeast"/>
          <w:jc w:val="center"/>
        </w:trPr>
        <w:tc>
          <w:tcPr>
            <w:tcW w:w="68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</w:p>
        </w:tc>
        <w:tc>
          <w:tcPr>
            <w:tcW w:w="7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textAlignment w:val="center"/>
              <w:rPr>
                <w:rFonts w:ascii="黑体" w:hAnsi="黑体" w:eastAsia="仿宋_GB2312" w:cs="黑体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落实《北京市土壤污染防治条例》要求，督促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>中关村门头沟园管委会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内工业企业落实地下水污染防治措施。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jc w:val="center"/>
              <w:textAlignment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长期实施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jc w:val="center"/>
              <w:textAlignment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区生态环境局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>中关村门头沟园</w:t>
            </w:r>
          </w:p>
          <w:p>
            <w:pPr>
              <w:widowControl/>
              <w:autoSpaceDE w:val="0"/>
              <w:snapToGrid w:val="0"/>
              <w:jc w:val="center"/>
              <w:textAlignment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>管委会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1" w:hRule="atLeast"/>
          <w:jc w:val="center"/>
        </w:trPr>
        <w:tc>
          <w:tcPr>
            <w:tcW w:w="6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</w:p>
        </w:tc>
        <w:tc>
          <w:tcPr>
            <w:tcW w:w="7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开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展排污许可证单位执行报告提交率审核。开展排污许可证执行报告、排污许可证和排污登记表质量审核，审核数量不少于总数的</w:t>
            </w:r>
            <w:r>
              <w:rPr>
                <w:rFonts w:ascii="仿宋_GB2312" w:hAnsi="宋体" w:eastAsia="仿宋_GB2312"/>
                <w:kern w:val="0"/>
                <w:sz w:val="24"/>
              </w:rPr>
              <w:t>20%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。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长期实施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区生态环境局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spacing w:val="-26"/>
                <w:sz w:val="24"/>
              </w:rPr>
              <w:t>——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1" w:hRule="atLeast"/>
          <w:jc w:val="center"/>
        </w:trPr>
        <w:tc>
          <w:tcPr>
            <w:tcW w:w="6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jc w:val="center"/>
              <w:textAlignment w:val="center"/>
              <w:rPr>
                <w:rFonts w:ascii="黑体" w:hAnsi="黑体" w:eastAsia="仿宋_GB2312" w:cs="黑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10</w:t>
            </w: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加强入河</w:t>
            </w:r>
          </w:p>
          <w:p>
            <w:pPr>
              <w:widowControl/>
              <w:autoSpaceDE w:val="0"/>
              <w:snapToGrid w:val="0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排污口监管</w:t>
            </w:r>
          </w:p>
        </w:tc>
        <w:tc>
          <w:tcPr>
            <w:tcW w:w="7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spacing w:line="300" w:lineRule="exact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巩固清理整治成效，问题排口动态清零。严格新建、改建、扩建入河排污口设置管理，按照分级审批权限做好设置审批。持续开展排查溯源和数据更新，实现排污口排查整治、设置审核备案、日常监督管理等信息互通，建立动态管理台账。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长期实施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区生态环境局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区水务局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6" w:hRule="atLeast"/>
          <w:jc w:val="center"/>
        </w:trPr>
        <w:tc>
          <w:tcPr>
            <w:tcW w:w="6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</w:p>
        </w:tc>
        <w:tc>
          <w:tcPr>
            <w:tcW w:w="7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spacing w:line="300" w:lineRule="exact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推进入河排口精细化管理，加强水质在线监管平台的应用，对水质异常的排口快速查找原因，及时组织整治。推动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“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排污单位-排污通道-排污口-受纳水体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”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全过程管理。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年底前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区生态环境局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区水务局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8" w:hRule="atLeast"/>
          <w:jc w:val="center"/>
        </w:trPr>
        <w:tc>
          <w:tcPr>
            <w:tcW w:w="6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jc w:val="center"/>
              <w:textAlignment w:val="center"/>
              <w:rPr>
                <w:rFonts w:ascii="黑体" w:hAnsi="黑体" w:eastAsia="仿宋_GB2312" w:cs="黑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11</w:t>
            </w: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巩固水体</w:t>
            </w:r>
          </w:p>
          <w:p>
            <w:pPr>
              <w:widowControl/>
              <w:autoSpaceDE w:val="0"/>
              <w:snapToGrid w:val="0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整治成效</w:t>
            </w:r>
          </w:p>
        </w:tc>
        <w:tc>
          <w:tcPr>
            <w:tcW w:w="7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spacing w:line="300" w:lineRule="exact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发挥</w:t>
            </w:r>
            <w:r>
              <w:rPr>
                <w:rStyle w:val="5"/>
                <w:rFonts w:hint="default"/>
                <w:lang w:bidi="ar"/>
              </w:rPr>
              <w:t>“</w:t>
            </w:r>
            <w:r>
              <w:rPr>
                <w:rStyle w:val="6"/>
                <w:rFonts w:hAnsi="宋体"/>
                <w:lang w:bidi="ar"/>
              </w:rPr>
              <w:t>河长制</w:t>
            </w:r>
            <w:r>
              <w:rPr>
                <w:rStyle w:val="5"/>
                <w:rFonts w:hint="default"/>
                <w:lang w:bidi="ar"/>
              </w:rPr>
              <w:t>”“</w:t>
            </w:r>
            <w:r>
              <w:rPr>
                <w:rStyle w:val="6"/>
                <w:rFonts w:hAnsi="宋体"/>
                <w:lang w:bidi="ar"/>
              </w:rPr>
              <w:t>湖长制</w:t>
            </w:r>
            <w:r>
              <w:rPr>
                <w:rStyle w:val="5"/>
                <w:rFonts w:hint="default"/>
                <w:lang w:bidi="ar"/>
              </w:rPr>
              <w:t>”</w:t>
            </w:r>
            <w:r>
              <w:rPr>
                <w:rStyle w:val="6"/>
                <w:rFonts w:hAnsi="宋体"/>
                <w:lang w:bidi="ar"/>
              </w:rPr>
              <w:t>统筹作用，加强汛期面源污染治理、污水直排混排入河监管巡查力度，将河流消劣治理、整治后黑臭水体管护、农村小微水体管护等任务纳入年度总河长令，加强日常监督检查并做好技术指导工作。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长期实施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区水务局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spacing w:val="-26"/>
                <w:sz w:val="24"/>
              </w:rPr>
              <w:t>——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7" w:hRule="atLeast"/>
          <w:jc w:val="center"/>
        </w:trPr>
        <w:tc>
          <w:tcPr>
            <w:tcW w:w="68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</w:p>
        </w:tc>
        <w:tc>
          <w:tcPr>
            <w:tcW w:w="7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spacing w:line="300" w:lineRule="exact"/>
              <w:textAlignment w:val="center"/>
              <w:rPr>
                <w:rFonts w:ascii="黑体" w:hAnsi="黑体" w:eastAsia="黑体" w:cs="黑体"/>
                <w:color w:val="FF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加强对黑臭水体、农村小微水体、劣V类水体监测巡查，如发现黑臭水体，第二、三季度每月开展黑臭水体水质监测，对黑臭问题，当月完成整改，确保动态清零。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jc w:val="center"/>
              <w:textAlignment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长期实施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jc w:val="center"/>
              <w:textAlignment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区水务局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jc w:val="center"/>
              <w:textAlignment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spacing w:val="-26"/>
                <w:sz w:val="24"/>
              </w:rPr>
              <w:t>——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68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</w:p>
        </w:tc>
        <w:tc>
          <w:tcPr>
            <w:tcW w:w="7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spacing w:line="300" w:lineRule="exact"/>
              <w:textAlignment w:val="center"/>
              <w:rPr>
                <w:rFonts w:ascii="仿宋_GB2312" w:hAnsi="宋体" w:eastAsia="仿宋_GB2312"/>
                <w:color w:val="FF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加强污染减排与生态扩容，推进西峰寺沟等重要水体</w:t>
            </w:r>
            <w:r>
              <w:rPr>
                <w:rFonts w:ascii="仿宋_GB2312" w:hAnsi="宋体" w:eastAsia="仿宋_GB2312"/>
                <w:color w:val="000000"/>
                <w:kern w:val="0"/>
                <w:sz w:val="24"/>
              </w:rPr>
              <w:t>稳定达标，防止劣V类水体反弹。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jc w:val="center"/>
              <w:textAlignment w:val="center"/>
              <w:rPr>
                <w:rFonts w:ascii="仿宋_GB2312" w:hAnsi="宋体" w:eastAsia="仿宋_GB2312"/>
                <w:color w:val="FF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长期实施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jc w:val="center"/>
              <w:textAlignment w:val="center"/>
              <w:rPr>
                <w:rFonts w:ascii="黑体" w:hAnsi="黑体" w:eastAsia="黑体" w:cs="黑体"/>
                <w:color w:val="FF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区水务局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jc w:val="center"/>
              <w:textAlignment w:val="center"/>
              <w:rPr>
                <w:rFonts w:ascii="黑体" w:hAnsi="黑体" w:eastAsia="黑体" w:cs="黑体"/>
                <w:color w:val="FF0000"/>
                <w:kern w:val="0"/>
                <w:sz w:val="24"/>
              </w:rPr>
            </w:pPr>
            <w:r>
              <w:rPr>
                <w:rFonts w:hint="eastAsia" w:ascii="仿宋_GB2312" w:eastAsia="仿宋_GB2312"/>
                <w:spacing w:val="-26"/>
                <w:sz w:val="24"/>
              </w:rPr>
              <w:t>——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1" w:hRule="atLeast"/>
          <w:jc w:val="center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12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深化流域</w:t>
            </w:r>
          </w:p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生态补偿</w:t>
            </w:r>
          </w:p>
        </w:tc>
        <w:tc>
          <w:tcPr>
            <w:tcW w:w="7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textAlignment w:val="center"/>
              <w:rPr>
                <w:rFonts w:ascii="仿宋_GB2312" w:hAnsi="宋体" w:eastAsia="仿宋_GB2312"/>
                <w:color w:val="FF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按照北京市水生态环境区域补偿办法，修订本区跨镇街水生态环境区域补偿办法，保障生态水流、增加流动性，加大对劣V类水体扣缴力度，建立双向补偿机制，促进生境生物多样性，以经济政策推动实现水流流动、水环境洁净、水生态健康。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jc w:val="center"/>
              <w:textAlignment w:val="center"/>
              <w:rPr>
                <w:rFonts w:ascii="仿宋_GB2312" w:hAnsi="宋体" w:eastAsia="仿宋_GB2312"/>
                <w:color w:val="FF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年底前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jc w:val="center"/>
              <w:textAlignment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区水务局</w:t>
            </w:r>
          </w:p>
          <w:p>
            <w:pPr>
              <w:widowControl/>
              <w:autoSpaceDE w:val="0"/>
              <w:snapToGrid w:val="0"/>
              <w:jc w:val="center"/>
              <w:textAlignment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区生态环境局</w:t>
            </w:r>
          </w:p>
          <w:p>
            <w:pPr>
              <w:widowControl/>
              <w:autoSpaceDE w:val="0"/>
              <w:snapToGrid w:val="0"/>
              <w:jc w:val="center"/>
              <w:textAlignment w:val="center"/>
              <w:rPr>
                <w:rFonts w:ascii="仿宋_GB2312" w:hAnsi="宋体" w:eastAsia="仿宋_GB2312"/>
                <w:color w:val="FF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区财政局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jc w:val="center"/>
              <w:textAlignment w:val="center"/>
              <w:rPr>
                <w:rFonts w:ascii="黑体" w:hAnsi="黑体" w:eastAsia="黑体" w:cs="黑体"/>
                <w:color w:val="FF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各镇街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1" w:hRule="atLeast"/>
          <w:jc w:val="center"/>
        </w:trPr>
        <w:tc>
          <w:tcPr>
            <w:tcW w:w="6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13</w:t>
            </w: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强化监管</w:t>
            </w:r>
          </w:p>
          <w:p>
            <w:pPr>
              <w:widowControl/>
              <w:autoSpaceDE w:val="0"/>
              <w:snapToGrid w:val="0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执法</w:t>
            </w:r>
          </w:p>
        </w:tc>
        <w:tc>
          <w:tcPr>
            <w:tcW w:w="7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textAlignment w:val="center"/>
              <w:rPr>
                <w:rFonts w:ascii="仿宋_GB2312" w:hAnsi="宋体" w:eastAsia="仿宋_GB2312"/>
                <w:color w:val="FF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巩固多部门联合执法机制，加大环境执法力度。以水环境问题为导向，开展流域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“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点穴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”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执法，重点对饮用水水源地、入河排污口、未纳管企业和农村污水治理设施等开展专项执法。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jc w:val="center"/>
              <w:textAlignment w:val="center"/>
              <w:rPr>
                <w:rFonts w:ascii="仿宋_GB2312" w:hAnsi="宋体" w:eastAsia="仿宋_GB2312"/>
                <w:color w:val="FF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年底前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jc w:val="center"/>
              <w:textAlignment w:val="center"/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区生态环境局</w:t>
            </w:r>
          </w:p>
          <w:p>
            <w:pPr>
              <w:widowControl/>
              <w:autoSpaceDE w:val="0"/>
              <w:snapToGrid w:val="0"/>
              <w:jc w:val="center"/>
              <w:textAlignment w:val="center"/>
              <w:rPr>
                <w:rFonts w:ascii="仿宋_GB2312" w:hAnsi="宋体" w:eastAsia="仿宋_GB2312"/>
                <w:color w:val="FF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区城管委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jc w:val="center"/>
              <w:textAlignment w:val="center"/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</w:rPr>
              <w:t>区农业农村局</w:t>
            </w:r>
          </w:p>
          <w:p>
            <w:pPr>
              <w:widowControl/>
              <w:autoSpaceDE w:val="0"/>
              <w:snapToGrid w:val="0"/>
              <w:jc w:val="center"/>
              <w:textAlignment w:val="center"/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</w:rPr>
              <w:t>区水务局</w:t>
            </w:r>
          </w:p>
          <w:p>
            <w:pPr>
              <w:widowControl/>
              <w:autoSpaceDE w:val="0"/>
              <w:snapToGrid w:val="0"/>
              <w:jc w:val="center"/>
              <w:textAlignment w:val="center"/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lang w:eastAsia="zh-CN"/>
              </w:rPr>
              <w:t>各镇街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1" w:hRule="atLeast"/>
          <w:jc w:val="center"/>
        </w:trPr>
        <w:tc>
          <w:tcPr>
            <w:tcW w:w="6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</w:p>
        </w:tc>
        <w:tc>
          <w:tcPr>
            <w:tcW w:w="7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textAlignment w:val="center"/>
              <w:rPr>
                <w:rFonts w:ascii="仿宋_GB2312" w:hAnsi="宋体" w:eastAsia="仿宋_GB2312"/>
                <w:color w:val="FF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严厉打击向城市雨水管道排污及倾倒垃圾、向河道倾倒及填埋垃圾等违法行为，切实降低初期雨水污染对河流水质的影响。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jc w:val="center"/>
              <w:textAlignment w:val="center"/>
              <w:rPr>
                <w:rFonts w:ascii="仿宋_GB2312" w:hAnsi="宋体" w:eastAsia="仿宋_GB2312"/>
                <w:color w:val="FF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长期实施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jc w:val="center"/>
              <w:textAlignment w:val="center"/>
              <w:rPr>
                <w:rFonts w:ascii="仿宋_GB2312" w:hAnsi="宋体" w:eastAsia="仿宋_GB2312"/>
                <w:color w:val="FF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区城管委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jc w:val="center"/>
              <w:textAlignment w:val="center"/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</w:rPr>
              <w:t>区水务局</w:t>
            </w:r>
          </w:p>
          <w:p>
            <w:pPr>
              <w:widowControl/>
              <w:autoSpaceDE w:val="0"/>
              <w:snapToGrid w:val="0"/>
              <w:jc w:val="center"/>
              <w:textAlignment w:val="center"/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lang w:eastAsia="zh-CN"/>
              </w:rPr>
              <w:t>各镇街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atLeast"/>
          <w:jc w:val="center"/>
        </w:trPr>
        <w:tc>
          <w:tcPr>
            <w:tcW w:w="6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14</w:t>
            </w: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落实监督</w:t>
            </w:r>
          </w:p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指导</w:t>
            </w:r>
          </w:p>
        </w:tc>
        <w:tc>
          <w:tcPr>
            <w:tcW w:w="7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spacing w:line="300" w:lineRule="exact"/>
              <w:textAlignment w:val="center"/>
              <w:rPr>
                <w:rFonts w:ascii="仿宋_GB2312" w:hAnsi="宋体" w:eastAsia="仿宋_GB2312"/>
                <w:color w:val="FF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继续实施覆盖到村的水环境质量监测评价体系，每月进行监测、评价。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jc w:val="center"/>
              <w:textAlignment w:val="center"/>
              <w:rPr>
                <w:rFonts w:ascii="仿宋_GB2312" w:hAnsi="宋体" w:eastAsia="仿宋_GB2312"/>
                <w:color w:val="FF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长期实施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jc w:val="center"/>
              <w:textAlignment w:val="center"/>
              <w:rPr>
                <w:rFonts w:ascii="仿宋_GB2312" w:hAnsi="宋体" w:eastAsia="仿宋_GB2312"/>
                <w:color w:val="FF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区生态环境局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jc w:val="center"/>
              <w:textAlignment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区水务局</w:t>
            </w:r>
          </w:p>
          <w:p>
            <w:pPr>
              <w:widowControl/>
              <w:autoSpaceDE w:val="0"/>
              <w:snapToGrid w:val="0"/>
              <w:jc w:val="center"/>
              <w:textAlignment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各镇街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1" w:hRule="atLeast"/>
          <w:jc w:val="center"/>
        </w:trPr>
        <w:tc>
          <w:tcPr>
            <w:tcW w:w="6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7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spacing w:line="300" w:lineRule="exact"/>
              <w:textAlignment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针对市级部门反馈的饮用水水源地、重点河流、农村污水处理设施、汛期面源等重点区域和问题，加强指导帮扶推动问题整改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jc w:val="center"/>
              <w:textAlignment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长期实施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FF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区生态环境局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jc w:val="center"/>
              <w:textAlignment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区水务局</w:t>
            </w:r>
          </w:p>
          <w:p>
            <w:pPr>
              <w:widowControl/>
              <w:autoSpaceDE w:val="0"/>
              <w:snapToGrid w:val="0"/>
              <w:jc w:val="center"/>
              <w:textAlignment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各镇街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54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 w:val="24"/>
              </w:rPr>
              <w:t>四、水生态修复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3" w:hRule="atLeast"/>
          <w:jc w:val="center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15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保障重点</w:t>
            </w:r>
          </w:p>
          <w:p>
            <w:pPr>
              <w:widowControl/>
              <w:autoSpaceDE w:val="0"/>
              <w:snapToGrid w:val="0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河流生态</w:t>
            </w:r>
          </w:p>
          <w:p>
            <w:pPr>
              <w:widowControl/>
              <w:autoSpaceDE w:val="0"/>
              <w:snapToGrid w:val="0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流量</w:t>
            </w:r>
          </w:p>
        </w:tc>
        <w:tc>
          <w:tcPr>
            <w:tcW w:w="7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继续配合市级部门实施永定河生态补水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年底前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区水务局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spacing w:val="-26"/>
                <w:sz w:val="24"/>
              </w:rPr>
              <w:t>——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1" w:hRule="atLeast"/>
          <w:jc w:val="center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16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jc w:val="center"/>
              <w:textAlignment w:val="center"/>
              <w:rPr>
                <w:rFonts w:ascii="黑体" w:hAnsi="黑体" w:eastAsia="仿宋_GB2312" w:cs="黑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推进水生态保护与修复</w:t>
            </w:r>
          </w:p>
        </w:tc>
        <w:tc>
          <w:tcPr>
            <w:tcW w:w="7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继续开展门头沟区永定河水生态健康评估服务项目，完成永定河水生态健康评估报告。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年底前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区生态环境局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spacing w:val="-26"/>
                <w:sz w:val="24"/>
              </w:rPr>
              <w:t>——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6" w:hRule="atLeast"/>
          <w:jc w:val="center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17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开展水生态状况监测</w:t>
            </w:r>
          </w:p>
          <w:p>
            <w:pPr>
              <w:widowControl/>
              <w:autoSpaceDE w:val="0"/>
              <w:snapToGrid w:val="0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评估</w:t>
            </w:r>
          </w:p>
        </w:tc>
        <w:tc>
          <w:tcPr>
            <w:tcW w:w="7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开展水生态环境状况监测评价。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长期实施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jc w:val="center"/>
              <w:textAlignment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区生态环境局</w:t>
            </w:r>
          </w:p>
          <w:p>
            <w:pPr>
              <w:widowControl/>
              <w:autoSpaceDE w:val="0"/>
              <w:jc w:val="center"/>
              <w:textAlignment w:val="center"/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区水务局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各镇街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9" w:hRule="atLeast"/>
          <w:jc w:val="center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18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加强区级</w:t>
            </w:r>
          </w:p>
          <w:p>
            <w:pPr>
              <w:widowControl/>
              <w:autoSpaceDE w:val="0"/>
              <w:snapToGrid w:val="0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生态环境</w:t>
            </w:r>
          </w:p>
          <w:p>
            <w:pPr>
              <w:widowControl/>
              <w:autoSpaceDE w:val="0"/>
              <w:snapToGrid w:val="0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监测能力</w:t>
            </w:r>
          </w:p>
          <w:p>
            <w:pPr>
              <w:widowControl/>
              <w:autoSpaceDE w:val="0"/>
              <w:snapToGrid w:val="0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建设</w:t>
            </w:r>
          </w:p>
        </w:tc>
        <w:tc>
          <w:tcPr>
            <w:tcW w:w="7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加强区级生态环境监测能力建设，大力推进区级生态环境监测机构基础站、特色站监测能力建设，进一步提高数据支撑能力。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年底前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区生态环境局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区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财政局</w:t>
            </w:r>
          </w:p>
        </w:tc>
      </w:tr>
    </w:tbl>
    <w:p>
      <w:pPr>
        <w:pStyle w:val="2"/>
        <w:rPr>
          <w:rFonts w:hint="eastAsia"/>
        </w:rPr>
      </w:pPr>
    </w:p>
    <w:p>
      <w:pPr>
        <w:widowControl/>
        <w:jc w:val="left"/>
        <w:rPr>
          <w:rFonts w:ascii="黑体" w:hAnsi="黑体" w:eastAsia="黑体"/>
          <w:sz w:val="32"/>
          <w:szCs w:val="32"/>
        </w:rPr>
      </w:pPr>
    </w:p>
    <w:p>
      <w:pPr>
        <w:widowControl/>
        <w:jc w:val="left"/>
        <w:rPr>
          <w:rFonts w:ascii="黑体" w:hAnsi="黑体" w:eastAsia="黑体"/>
          <w:sz w:val="32"/>
          <w:szCs w:val="32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yNzE3ZTBjYTA0N2JmMGMzMWUwYTZlYzJiY2ZjMGYifQ=="/>
  </w:docVars>
  <w:rsids>
    <w:rsidRoot w:val="753B4246"/>
    <w:rsid w:val="753B4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5">
    <w:name w:val="font2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6">
    <w:name w:val="font01"/>
    <w:qFormat/>
    <w:uiPriority w:val="0"/>
    <w:rPr>
      <w:rFonts w:hint="default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2023-01-11T09:05:00Z</dcterms:created>
  <dc:creator>张苡漠</dc:creator>
  <cp:lastModifiedBy>张苡漠</cp:lastModifiedBy>
  <dcterms:modified xsi:type="dcterms:W3CDTF">2023-01-11T09:05:11Z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EB719A1B881F4C329C91B2CAE7402307</vt:lpwstr>
  </property>
</Properties>
</file>