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方正小标宋简体"/>
          <w:sz w:val="32"/>
          <w:szCs w:val="32"/>
        </w:rPr>
      </w:pPr>
      <w:bookmarkStart w:id="9" w:name="_GoBack"/>
      <w:r>
        <w:rPr>
          <w:rFonts w:hint="eastAsia" w:ascii="黑体" w:hAnsi="黑体" w:eastAsia="黑体" w:cs="方正小标宋简体"/>
          <w:sz w:val="32"/>
          <w:szCs w:val="32"/>
        </w:rPr>
        <w:t>附件2</w:t>
      </w:r>
    </w:p>
    <w:p>
      <w:pPr>
        <w:adjustRightInd w:val="0"/>
        <w:snapToGrid w:val="0"/>
        <w:spacing w:before="312" w:beforeLines="100" w:after="312" w:afterLines="100" w:line="660" w:lineRule="exact"/>
        <w:jc w:val="center"/>
        <w:rPr>
          <w:rFonts w:ascii="方正小标宋简体" w:hAnsi="黑体" w:eastAsia="方正小标宋简体"/>
          <w:sz w:val="44"/>
          <w:szCs w:val="44"/>
        </w:rPr>
      </w:pPr>
      <w:r>
        <w:rPr>
          <w:rFonts w:hint="eastAsia" w:ascii="方正小标宋简体" w:hAnsi="方正小标宋简体" w:eastAsia="方正小标宋简体"/>
          <w:sz w:val="44"/>
          <w:szCs w:val="44"/>
        </w:rPr>
        <w:t>北京市门头沟区</w:t>
      </w:r>
      <w:bookmarkStart w:id="0" w:name="_Hlk124264436"/>
      <w:r>
        <w:rPr>
          <w:rFonts w:hint="eastAsia" w:ascii="方正小标宋简体" w:hAnsi="方正小标宋简体" w:eastAsia="方正小标宋简体"/>
          <w:sz w:val="44"/>
          <w:szCs w:val="44"/>
        </w:rPr>
        <w:t>大气污染防治</w:t>
      </w:r>
      <w:bookmarkEnd w:id="0"/>
      <w:r>
        <w:rPr>
          <w:rFonts w:hint="eastAsia" w:ascii="方正小标宋简体" w:hAnsi="黑体" w:eastAsia="方正小标宋简体"/>
          <w:sz w:val="44"/>
          <w:szCs w:val="44"/>
        </w:rPr>
        <w:t>2023</w:t>
      </w:r>
      <w:r>
        <w:rPr>
          <w:rFonts w:hint="eastAsia" w:ascii="方正小标宋简体" w:hAnsi="方正小标宋简体" w:eastAsia="方正小标宋简体"/>
          <w:sz w:val="44"/>
          <w:szCs w:val="44"/>
        </w:rPr>
        <w:t>年行动计划（征求意见稿）</w:t>
      </w:r>
    </w:p>
    <w:bookmarkEnd w:id="9"/>
    <w:tbl>
      <w:tblPr>
        <w:tblStyle w:val="4"/>
        <w:tblW w:w="15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8"/>
        <w:gridCol w:w="7654"/>
        <w:gridCol w:w="1276"/>
        <w:gridCol w:w="2126"/>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41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重点任务</w:t>
            </w:r>
          </w:p>
        </w:tc>
        <w:tc>
          <w:tcPr>
            <w:tcW w:w="765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工作措施</w:t>
            </w:r>
          </w:p>
        </w:tc>
        <w:tc>
          <w:tcPr>
            <w:tcW w:w="1276" w:type="dxa"/>
            <w:tcBorders>
              <w:top w:val="single" w:color="auto" w:sz="4" w:space="0"/>
              <w:left w:val="nil"/>
              <w:bottom w:val="single" w:color="auto" w:sz="4" w:space="0"/>
              <w:right w:val="single" w:color="auto" w:sz="4" w:space="0"/>
            </w:tcBorders>
            <w:noWrap w:val="0"/>
            <w:vAlign w:val="center"/>
          </w:tcPr>
          <w:p>
            <w:pPr>
              <w:spacing w:line="360" w:lineRule="exact"/>
              <w:ind w:left="-105" w:leftChars="-50" w:right="-105" w:rightChars="-50"/>
              <w:jc w:val="center"/>
              <w:rPr>
                <w:rFonts w:ascii="黑体" w:hAnsi="黑体" w:eastAsia="黑体"/>
                <w:sz w:val="24"/>
              </w:rPr>
            </w:pPr>
            <w:r>
              <w:rPr>
                <w:rFonts w:hint="eastAsia" w:ascii="黑体" w:hAnsi="黑体" w:eastAsia="黑体"/>
                <w:sz w:val="24"/>
              </w:rPr>
              <w:t>完成</w:t>
            </w:r>
          </w:p>
          <w:p>
            <w:pPr>
              <w:spacing w:line="360" w:lineRule="exact"/>
              <w:ind w:left="-105" w:leftChars="-50" w:right="-105" w:rightChars="-50"/>
              <w:jc w:val="center"/>
              <w:rPr>
                <w:rFonts w:ascii="黑体" w:hAnsi="黑体" w:eastAsia="黑体"/>
                <w:sz w:val="24"/>
              </w:rPr>
            </w:pPr>
            <w:r>
              <w:rPr>
                <w:rFonts w:hint="eastAsia" w:ascii="黑体" w:hAnsi="黑体" w:eastAsia="黑体"/>
                <w:sz w:val="24"/>
              </w:rPr>
              <w:t>时限</w:t>
            </w:r>
          </w:p>
        </w:tc>
        <w:tc>
          <w:tcPr>
            <w:tcW w:w="212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牵头单位</w:t>
            </w:r>
          </w:p>
        </w:tc>
        <w:tc>
          <w:tcPr>
            <w:tcW w:w="223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主责单位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w:t>
            </w:r>
          </w:p>
        </w:tc>
        <w:tc>
          <w:tcPr>
            <w:tcW w:w="1418"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bookmarkStart w:id="1" w:name="_Hlk124264973"/>
            <w:r>
              <w:rPr>
                <w:rFonts w:hint="eastAsia" w:ascii="仿宋_GB2312" w:eastAsia="仿宋_GB2312"/>
                <w:sz w:val="24"/>
              </w:rPr>
              <w:t>空气质量</w:t>
            </w:r>
          </w:p>
          <w:p>
            <w:pPr>
              <w:snapToGrid w:val="0"/>
              <w:spacing w:line="360" w:lineRule="exact"/>
              <w:jc w:val="center"/>
              <w:rPr>
                <w:rFonts w:ascii="仿宋_GB2312" w:eastAsia="仿宋_GB2312"/>
                <w:sz w:val="24"/>
              </w:rPr>
            </w:pPr>
            <w:r>
              <w:rPr>
                <w:rFonts w:hint="eastAsia" w:ascii="仿宋_GB2312" w:eastAsia="仿宋_GB2312"/>
                <w:sz w:val="24"/>
              </w:rPr>
              <w:t>目标</w:t>
            </w:r>
            <w:bookmarkEnd w:id="1"/>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尽最大努力巩固空气质量改善成效，完成北京市下达的空气质量目标要求。</w:t>
            </w:r>
          </w:p>
          <w:p>
            <w:pPr>
              <w:snapToGrid w:val="0"/>
              <w:spacing w:line="360" w:lineRule="exact"/>
              <w:rPr>
                <w:rFonts w:ascii="仿宋_GB2312" w:eastAsia="仿宋_GB2312"/>
                <w:sz w:val="24"/>
              </w:rPr>
            </w:pPr>
            <w:r>
              <w:rPr>
                <w:rFonts w:hint="eastAsia" w:ascii="仿宋_GB2312" w:eastAsia="仿宋_GB2312"/>
                <w:sz w:val="24"/>
              </w:rPr>
              <w:t>各镇街完成门头沟区下达的空气质量目标要求。</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p>
            <w:pPr>
              <w:snapToGrid w:val="0"/>
              <w:spacing w:line="360" w:lineRule="exact"/>
              <w:jc w:val="center"/>
              <w:rPr>
                <w:rFonts w:ascii="仿宋_GB2312" w:eastAsia="仿宋_GB2312"/>
                <w:sz w:val="24"/>
              </w:rPr>
            </w:pPr>
            <w:r>
              <w:rPr>
                <w:rFonts w:hint="eastAsia" w:ascii="仿宋_GB2312" w:eastAsia="仿宋_GB2312"/>
                <w:color w:val="000000"/>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w:t>
            </w:r>
          </w:p>
        </w:tc>
        <w:tc>
          <w:tcPr>
            <w:tcW w:w="1418"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总量减排</w:t>
            </w:r>
          </w:p>
          <w:p>
            <w:pPr>
              <w:snapToGrid w:val="0"/>
              <w:spacing w:line="360" w:lineRule="exact"/>
              <w:jc w:val="center"/>
              <w:rPr>
                <w:rFonts w:ascii="仿宋_GB2312" w:eastAsia="仿宋_GB2312"/>
                <w:sz w:val="24"/>
              </w:rPr>
            </w:pPr>
            <w:r>
              <w:rPr>
                <w:rFonts w:hint="eastAsia" w:ascii="仿宋_GB2312" w:eastAsia="仿宋_GB2312"/>
                <w:sz w:val="24"/>
              </w:rPr>
              <w:t>目标</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实现主要大气污染物排放总量持续下降，完成挥发性有机物（VOCs）、氮氧化物（NOx）减排目标要求。对于新增涉气建设项目严格执行VOCs、NOx等主要污染物排放总量控制，实施“减二增一”削减量替代审批制度。</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二、实施挥发性有机物（VOCs）治理专项行动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3</w:t>
            </w:r>
          </w:p>
        </w:tc>
        <w:tc>
          <w:tcPr>
            <w:tcW w:w="1418"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推进VOCs综合整治</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Courier New" w:eastAsia="仿宋_GB2312"/>
                <w:sz w:val="24"/>
                <w:szCs w:val="21"/>
              </w:rPr>
            </w:pPr>
            <w:r>
              <w:rPr>
                <w:rFonts w:hint="eastAsia" w:ascii="仿宋_GB2312" w:hAnsi="Courier New" w:eastAsia="仿宋_GB2312"/>
                <w:sz w:val="24"/>
                <w:szCs w:val="21"/>
              </w:rPr>
              <w:t>加强VOCs浓度高值区、治理过程关键环节的突出问题溯源排查，持续开展VOCs全流程整治，有针对性地分类推进低（无）VOCs含量原辅材料源头替代、储罐综合治理、装卸废气收集治理、敞开液面逸散废气治理、加油站油气整治提升、有机废气收集处理设施升级改造、VOCs治理“绿岛”项目等减排工程。</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pacing w:val="-14"/>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p>
            <w:pPr>
              <w:snapToGrid w:val="0"/>
              <w:spacing w:line="360" w:lineRule="exact"/>
              <w:jc w:val="center"/>
              <w:rPr>
                <w:rFonts w:hint="eastAsia" w:ascii="仿宋_GB2312" w:eastAsia="仿宋_GB2312"/>
                <w:color w:val="000000"/>
                <w:sz w:val="24"/>
              </w:rPr>
            </w:pPr>
            <w:r>
              <w:rPr>
                <w:rFonts w:hint="eastAsia" w:ascii="仿宋_GB2312" w:eastAsia="仿宋_GB2312"/>
                <w:color w:val="000000"/>
                <w:sz w:val="24"/>
              </w:rPr>
              <w:t>中关村门头沟园</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47" w:type="dxa"/>
            <w:vMerge w:val="restart"/>
            <w:tcBorders>
              <w:top w:val="nil"/>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4</w:t>
            </w:r>
          </w:p>
        </w:tc>
        <w:tc>
          <w:tcPr>
            <w:tcW w:w="1418" w:type="dxa"/>
            <w:vMerge w:val="restart"/>
            <w:tcBorders>
              <w:top w:val="nil"/>
              <w:left w:val="nil"/>
              <w:right w:val="single" w:color="auto" w:sz="4" w:space="0"/>
            </w:tcBorders>
            <w:noWrap w:val="0"/>
            <w:vAlign w:val="center"/>
          </w:tcPr>
          <w:p>
            <w:pPr>
              <w:snapToGrid w:val="0"/>
              <w:spacing w:line="360" w:lineRule="exact"/>
              <w:jc w:val="center"/>
              <w:rPr>
                <w:rFonts w:hint="eastAsia" w:ascii="仿宋_GB2312" w:eastAsia="仿宋_GB2312"/>
                <w:sz w:val="24"/>
              </w:rPr>
            </w:pPr>
            <w:bookmarkStart w:id="2" w:name="_Hlk124265191"/>
            <w:r>
              <w:rPr>
                <w:rFonts w:hint="eastAsia" w:ascii="仿宋_GB2312" w:eastAsia="仿宋_GB2312"/>
                <w:sz w:val="24"/>
              </w:rPr>
              <w:t>积极推广</w:t>
            </w:r>
          </w:p>
          <w:p>
            <w:pPr>
              <w:snapToGrid w:val="0"/>
              <w:spacing w:line="360" w:lineRule="exact"/>
              <w:jc w:val="center"/>
              <w:rPr>
                <w:rFonts w:ascii="仿宋_GB2312" w:eastAsia="仿宋_GB2312"/>
                <w:sz w:val="24"/>
              </w:rPr>
            </w:pPr>
            <w:r>
              <w:rPr>
                <w:rFonts w:hint="eastAsia" w:ascii="仿宋_GB2312" w:eastAsia="仿宋_GB2312"/>
                <w:sz w:val="24"/>
              </w:rPr>
              <w:t>新能源汽车</w:t>
            </w:r>
            <w:bookmarkEnd w:id="2"/>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Courier New" w:eastAsia="仿宋_GB2312"/>
                <w:sz w:val="24"/>
                <w:szCs w:val="21"/>
              </w:rPr>
            </w:pPr>
            <w:r>
              <w:rPr>
                <w:rFonts w:hint="eastAsia" w:ascii="仿宋_GB2312" w:hAnsi="Courier New" w:eastAsia="仿宋_GB2312"/>
                <w:sz w:val="24"/>
                <w:szCs w:val="21"/>
              </w:rPr>
              <w:t>组织落实北京市“十四五”时期新能源汽车推广应用工作，按市级统一部署完成推广工作中期评估。针对生产、销售、使用、充电等环节，组织相关部门加快配套措施落地实施。</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按时间节点完成</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pacing w:val="-14"/>
                <w:sz w:val="24"/>
              </w:rPr>
            </w:pPr>
            <w:r>
              <w:rPr>
                <w:rFonts w:hint="eastAsia" w:ascii="仿宋_GB2312" w:eastAsia="仿宋_GB2312"/>
                <w:spacing w:val="-14"/>
                <w:sz w:val="24"/>
              </w:rPr>
              <w:t>区科信局</w:t>
            </w:r>
          </w:p>
          <w:p>
            <w:pPr>
              <w:snapToGrid w:val="0"/>
              <w:spacing w:line="360" w:lineRule="exact"/>
              <w:ind w:left="-105" w:leftChars="-50" w:right="-105" w:rightChars="-50"/>
              <w:jc w:val="center"/>
              <w:rPr>
                <w:sz w:val="24"/>
              </w:rPr>
            </w:pPr>
            <w:r>
              <w:rPr>
                <w:rFonts w:hint="eastAsia" w:ascii="仿宋_GB2312" w:eastAsia="仿宋_GB2312"/>
                <w:spacing w:val="-14"/>
                <w:sz w:val="24"/>
              </w:rPr>
              <w:t>（区</w:t>
            </w:r>
            <w:r>
              <w:rPr>
                <w:rFonts w:hint="eastAsia" w:ascii="仿宋_GB2312" w:hAnsi="Courier New" w:eastAsia="仿宋_GB2312"/>
                <w:sz w:val="24"/>
                <w:szCs w:val="21"/>
              </w:rPr>
              <w:t>新能源汽车联席会议办公室</w:t>
            </w:r>
            <w:r>
              <w:rPr>
                <w:rFonts w:hint="eastAsia" w:ascii="仿宋_GB2312" w:eastAsia="仿宋_GB2312"/>
                <w:spacing w:val="-14"/>
                <w:sz w:val="24"/>
              </w:rPr>
              <w:t>）</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747" w:type="dxa"/>
            <w:vMerge w:val="continue"/>
            <w:tcBorders>
              <w:left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left w:val="nil"/>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Courier New" w:eastAsia="仿宋_GB2312"/>
                <w:sz w:val="24"/>
                <w:szCs w:val="21"/>
              </w:rPr>
            </w:pPr>
            <w:r>
              <w:rPr>
                <w:rFonts w:hint="eastAsia" w:ascii="仿宋_GB2312" w:hAnsi="Courier New" w:eastAsia="仿宋_GB2312"/>
                <w:sz w:val="24"/>
                <w:szCs w:val="21"/>
              </w:rPr>
              <w:t>建立各级财政支持的机关、事业单位、国有企业和社会团体用车台账。</w:t>
            </w:r>
          </w:p>
          <w:p>
            <w:pPr>
              <w:snapToGrid w:val="0"/>
              <w:spacing w:line="360" w:lineRule="exact"/>
              <w:rPr>
                <w:rFonts w:ascii="仿宋_GB2312" w:hAnsi="Courier New" w:eastAsia="仿宋_GB2312"/>
                <w:sz w:val="24"/>
                <w:szCs w:val="21"/>
              </w:rPr>
            </w:pPr>
            <w:r>
              <w:rPr>
                <w:rFonts w:hint="eastAsia" w:ascii="仿宋_GB2312" w:hAnsi="Courier New" w:eastAsia="仿宋_GB2312"/>
                <w:sz w:val="24"/>
                <w:szCs w:val="21"/>
              </w:rPr>
              <w:t>各级财政支持的机关、事业单位、国有企业和社会团体新增和更新的车辆原则上为纯电动或氢燃料电池车（</w:t>
            </w:r>
            <w:r>
              <w:rPr>
                <w:rFonts w:hint="eastAsia" w:ascii="仿宋_GB2312" w:eastAsia="仿宋_GB2312"/>
                <w:color w:val="000000"/>
                <w:sz w:val="24"/>
              </w:rPr>
              <w:t>长期在偏远山区或河湖区使用、无适配车型及确因工作需要等除外</w:t>
            </w:r>
            <w:r>
              <w:rPr>
                <w:rFonts w:hint="eastAsia" w:ascii="仿宋_GB2312" w:hAnsi="Courier New" w:eastAsia="仿宋_GB2312"/>
                <w:sz w:val="24"/>
                <w:szCs w:val="21"/>
              </w:rPr>
              <w:t>）。对于具备条件的新增和更新执法执勤、通勤等专用或特殊车辆优先选用纯电动或氢燃料电池车。</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区机关事务管理服务中心</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区财政局</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区国资委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47" w:type="dxa"/>
            <w:vMerge w:val="continue"/>
            <w:tcBorders>
              <w:left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left w:val="nil"/>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Courier New" w:eastAsia="仿宋_GB2312"/>
                <w:sz w:val="24"/>
                <w:szCs w:val="21"/>
              </w:rPr>
            </w:pPr>
            <w:r>
              <w:rPr>
                <w:rFonts w:hint="eastAsia" w:ascii="仿宋_GB2312" w:hAnsi="Courier New" w:eastAsia="仿宋_GB2312"/>
                <w:sz w:val="24"/>
                <w:szCs w:val="21"/>
              </w:rPr>
              <w:t>结合资源禀赋和功能定位，因地制宜制定辖区新能源车推广、通行便利、停车优惠、配套设施建设、“油换电”促消费等鼓励政策。</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区科信局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区城管委</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区交通局</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47" w:type="dxa"/>
            <w:vMerge w:val="restart"/>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z w:val="24"/>
              </w:rPr>
              <w:t>5</w:t>
            </w:r>
          </w:p>
        </w:tc>
        <w:tc>
          <w:tcPr>
            <w:tcW w:w="1418" w:type="dxa"/>
            <w:vMerge w:val="restart"/>
            <w:tcBorders>
              <w:left w:val="nil"/>
              <w:right w:val="single" w:color="auto" w:sz="4" w:space="0"/>
            </w:tcBorders>
            <w:noWrap w:val="0"/>
            <w:vAlign w:val="center"/>
          </w:tcPr>
          <w:p>
            <w:pPr>
              <w:widowControl/>
              <w:snapToGrid w:val="0"/>
              <w:spacing w:line="360" w:lineRule="exact"/>
              <w:jc w:val="center"/>
              <w:rPr>
                <w:rFonts w:hint="eastAsia" w:ascii="仿宋_GB2312" w:eastAsia="仿宋_GB2312"/>
                <w:sz w:val="24"/>
              </w:rPr>
            </w:pPr>
            <w:r>
              <w:rPr>
                <w:rFonts w:hint="eastAsia" w:ascii="仿宋_GB2312" w:eastAsia="仿宋_GB2312"/>
                <w:sz w:val="24"/>
              </w:rPr>
              <w:t>推进低VOCs含量产品源头</w:t>
            </w:r>
          </w:p>
          <w:p>
            <w:pPr>
              <w:widowControl/>
              <w:snapToGrid w:val="0"/>
              <w:spacing w:line="360" w:lineRule="exact"/>
              <w:jc w:val="center"/>
              <w:rPr>
                <w:rFonts w:ascii="仿宋_GB2312" w:eastAsia="仿宋_GB2312"/>
                <w:sz w:val="24"/>
              </w:rPr>
            </w:pPr>
            <w:r>
              <w:rPr>
                <w:rFonts w:hint="eastAsia" w:ascii="仿宋_GB2312" w:eastAsia="仿宋_GB2312"/>
                <w:sz w:val="24"/>
              </w:rPr>
              <w:t>替代</w:t>
            </w:r>
          </w:p>
        </w:tc>
        <w:tc>
          <w:tcPr>
            <w:tcW w:w="7654" w:type="dxa"/>
            <w:tcBorders>
              <w:top w:val="single" w:color="auto" w:sz="4" w:space="0"/>
              <w:left w:val="nil"/>
              <w:right w:val="single" w:color="auto" w:sz="4" w:space="0"/>
            </w:tcBorders>
            <w:noWrap w:val="0"/>
            <w:vAlign w:val="center"/>
          </w:tcPr>
          <w:p>
            <w:pPr>
              <w:spacing w:line="300" w:lineRule="exact"/>
              <w:rPr>
                <w:spacing w:val="-6"/>
                <w:szCs w:val="21"/>
              </w:rPr>
            </w:pPr>
            <w:r>
              <w:rPr>
                <w:rFonts w:hint="eastAsia" w:ascii="仿宋_GB2312" w:eastAsia="仿宋_GB2312"/>
                <w:spacing w:val="-6"/>
                <w:sz w:val="24"/>
              </w:rPr>
              <w:t>对生产、流通环节涂料、胶粘剂、清洗剂、油墨等含VOCs产品开展抽检，强化对电商网络销售渠道含VOCs产品的抽检力度，全年检测量</w:t>
            </w:r>
            <w:r>
              <w:rPr>
                <w:rFonts w:hint="eastAsia" w:ascii="仿宋_GB2312" w:eastAsia="仿宋_GB2312"/>
                <w:spacing w:val="-6"/>
                <w:sz w:val="24"/>
                <w:lang w:eastAsia="zh-CN"/>
              </w:rPr>
              <w:t>达到市级要求</w:t>
            </w:r>
            <w:r>
              <w:rPr>
                <w:rFonts w:hint="eastAsia" w:ascii="仿宋_GB2312" w:eastAsia="仿宋_GB2312"/>
                <w:spacing w:val="-6"/>
                <w:sz w:val="24"/>
              </w:rPr>
              <w:t>。抽检结果定期公示。</w:t>
            </w:r>
          </w:p>
          <w:p>
            <w:pPr>
              <w:snapToGrid w:val="0"/>
              <w:spacing w:line="300" w:lineRule="exact"/>
              <w:rPr>
                <w:rFonts w:ascii="仿宋_GB2312" w:eastAsia="仿宋_GB2312"/>
                <w:sz w:val="24"/>
              </w:rPr>
            </w:pPr>
            <w:r>
              <w:rPr>
                <w:rFonts w:hint="eastAsia" w:ascii="仿宋_GB2312" w:eastAsia="仿宋_GB2312"/>
                <w:sz w:val="24"/>
              </w:rPr>
              <w:t>制定年度重点产品抽检计划，加强对溶剂型VOCs产品的抽检。</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区市场监管局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right w:val="single" w:color="auto" w:sz="4" w:space="0"/>
            </w:tcBorders>
            <w:noWrap w:val="0"/>
            <w:vAlign w:val="center"/>
          </w:tcPr>
          <w:p>
            <w:pPr>
              <w:snapToGrid w:val="0"/>
              <w:spacing w:line="300" w:lineRule="exact"/>
              <w:rPr>
                <w:rFonts w:ascii="仿宋_GB2312" w:eastAsia="仿宋_GB2312"/>
                <w:sz w:val="24"/>
              </w:rPr>
            </w:pPr>
            <w:r>
              <w:rPr>
                <w:rFonts w:hint="eastAsia" w:ascii="仿宋_GB2312" w:eastAsia="仿宋_GB2312"/>
                <w:sz w:val="24"/>
              </w:rPr>
              <w:t>工程建设领域大力推广绿色环保产品，建立政府投资建设工程台账，在政府投资建设工程中，优先使用低VOCs含量产品。</w:t>
            </w:r>
          </w:p>
          <w:p>
            <w:pPr>
              <w:snapToGrid w:val="0"/>
              <w:spacing w:line="320" w:lineRule="exact"/>
              <w:rPr>
                <w:rFonts w:ascii="仿宋_GB2312" w:eastAsia="仿宋_GB2312"/>
                <w:sz w:val="24"/>
              </w:rPr>
            </w:pPr>
            <w:r>
              <w:rPr>
                <w:rFonts w:hint="eastAsia" w:ascii="仿宋_GB2312" w:eastAsia="仿宋_GB2312"/>
                <w:sz w:val="24"/>
              </w:rPr>
              <w:t>住房城乡建设、城市管理、交通等行业主管部门指导、组织施工工地建设单位</w:t>
            </w:r>
            <w:r>
              <w:rPr>
                <w:rFonts w:hint="eastAsia" w:ascii="仿宋_GB2312" w:eastAsia="仿宋_GB2312" w:cs="仿宋_GB2312"/>
                <w:sz w:val="24"/>
              </w:rPr>
              <w:t>通过</w:t>
            </w:r>
            <w:r>
              <w:rPr>
                <w:rFonts w:hint="eastAsia" w:ascii="仿宋_GB2312" w:eastAsia="仿宋_GB2312"/>
                <w:sz w:val="24"/>
              </w:rPr>
              <w:t>招标文件</w:t>
            </w:r>
            <w:r>
              <w:rPr>
                <w:rFonts w:hint="eastAsia" w:ascii="仿宋_GB2312" w:eastAsia="仿宋_GB2312" w:cs="仿宋_GB2312"/>
                <w:sz w:val="24"/>
              </w:rPr>
              <w:t>等方式对施工单位</w:t>
            </w:r>
            <w:r>
              <w:rPr>
                <w:rFonts w:hint="eastAsia" w:ascii="仿宋_GB2312" w:eastAsia="仿宋_GB2312"/>
                <w:sz w:val="24"/>
              </w:rPr>
              <w:t>提出使用符合北京市《建筑类涂料与胶粘剂挥发性有机化合物含量限值标准》（DB11/ 1983-2022）产品的相关要求。</w:t>
            </w:r>
          </w:p>
          <w:p>
            <w:pPr>
              <w:snapToGrid w:val="0"/>
              <w:spacing w:line="300" w:lineRule="exact"/>
              <w:rPr>
                <w:rFonts w:ascii="仿宋_GB2312" w:eastAsia="仿宋_GB2312"/>
                <w:sz w:val="24"/>
              </w:rPr>
            </w:pPr>
            <w:r>
              <w:rPr>
                <w:rFonts w:hint="eastAsia" w:ascii="仿宋_GB2312" w:eastAsia="仿宋_GB2312"/>
                <w:spacing w:val="-6"/>
                <w:sz w:val="24"/>
              </w:rPr>
              <w:t>行业主管部门应对台账、检测报告等材料开展定期检查，并对10%的工地开展抽检，检查台账、监测报告和抽检结果按季度与区生态环境局共享。</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right w:val="single" w:color="auto" w:sz="4" w:space="0"/>
            </w:tcBorders>
            <w:noWrap w:val="0"/>
            <w:vAlign w:val="center"/>
          </w:tcPr>
          <w:p>
            <w:pPr>
              <w:snapToGrid w:val="0"/>
              <w:spacing w:line="320" w:lineRule="exact"/>
              <w:jc w:val="center"/>
              <w:rPr>
                <w:rFonts w:ascii="仿宋_GB2312" w:eastAsia="仿宋_GB2312"/>
                <w:sz w:val="24"/>
              </w:rPr>
            </w:pPr>
            <w:r>
              <w:rPr>
                <w:rFonts w:hint="eastAsia" w:ascii="仿宋_GB2312" w:eastAsia="仿宋_GB2312"/>
                <w:spacing w:val="-20"/>
                <w:sz w:val="24"/>
              </w:rPr>
              <w:t>区住建委</w:t>
            </w:r>
          </w:p>
          <w:p>
            <w:pPr>
              <w:snapToGrid w:val="0"/>
              <w:spacing w:line="320" w:lineRule="exact"/>
              <w:jc w:val="center"/>
              <w:rPr>
                <w:rFonts w:ascii="仿宋_GB2312" w:eastAsia="仿宋_GB2312"/>
                <w:sz w:val="24"/>
              </w:rPr>
            </w:pPr>
            <w:r>
              <w:rPr>
                <w:rFonts w:hint="eastAsia" w:ascii="仿宋_GB2312" w:eastAsia="仿宋_GB2312"/>
                <w:sz w:val="24"/>
              </w:rPr>
              <w:t>区公路分局</w:t>
            </w:r>
          </w:p>
          <w:p>
            <w:pPr>
              <w:snapToGrid w:val="0"/>
              <w:spacing w:line="320" w:lineRule="exact"/>
              <w:jc w:val="center"/>
              <w:rPr>
                <w:rFonts w:ascii="仿宋_GB2312" w:eastAsia="仿宋_GB2312"/>
                <w:sz w:val="24"/>
              </w:rPr>
            </w:pPr>
            <w:r>
              <w:rPr>
                <w:rFonts w:hint="eastAsia" w:ascii="仿宋_GB2312" w:eastAsia="仿宋_GB2312"/>
                <w:sz w:val="24"/>
              </w:rPr>
              <w:t>区城管委</w:t>
            </w:r>
          </w:p>
          <w:p>
            <w:pPr>
              <w:snapToGrid w:val="0"/>
              <w:spacing w:line="320" w:lineRule="exact"/>
              <w:jc w:val="center"/>
              <w:rPr>
                <w:rFonts w:ascii="仿宋_GB2312" w:eastAsia="仿宋_GB2312"/>
                <w:sz w:val="24"/>
              </w:rPr>
            </w:pPr>
            <w:r>
              <w:rPr>
                <w:rFonts w:hint="eastAsia" w:ascii="仿宋_GB2312" w:eastAsia="仿宋_GB2312"/>
                <w:sz w:val="24"/>
              </w:rPr>
              <w:t>区水务局</w:t>
            </w:r>
          </w:p>
          <w:p>
            <w:pPr>
              <w:snapToGrid w:val="0"/>
              <w:spacing w:line="320" w:lineRule="exact"/>
              <w:jc w:val="center"/>
              <w:rPr>
                <w:rFonts w:ascii="仿宋_GB2312" w:eastAsia="仿宋_GB2312"/>
                <w:sz w:val="24"/>
              </w:rPr>
            </w:pPr>
            <w:r>
              <w:rPr>
                <w:rFonts w:hint="eastAsia" w:ascii="仿宋_GB2312" w:eastAsia="仿宋_GB2312"/>
                <w:sz w:val="24"/>
              </w:rPr>
              <w:t>区园林绿化局</w:t>
            </w:r>
          </w:p>
          <w:p>
            <w:pPr>
              <w:snapToGrid w:val="0"/>
              <w:spacing w:line="320" w:lineRule="exact"/>
              <w:jc w:val="center"/>
              <w:rPr>
                <w:rFonts w:ascii="仿宋_GB2312" w:eastAsia="仿宋_GB2312"/>
                <w:sz w:val="24"/>
              </w:rPr>
            </w:pPr>
            <w:r>
              <w:rPr>
                <w:rFonts w:hint="eastAsia" w:ascii="仿宋_GB2312" w:eastAsia="仿宋_GB2312"/>
                <w:sz w:val="24"/>
              </w:rPr>
              <w:t>区重大项目协调服务中心</w:t>
            </w:r>
          </w:p>
          <w:p>
            <w:pPr>
              <w:snapToGrid w:val="0"/>
              <w:spacing w:line="320" w:lineRule="exact"/>
              <w:jc w:val="center"/>
              <w:rPr>
                <w:rFonts w:ascii="仿宋_GB2312" w:eastAsia="仿宋_GB2312"/>
                <w:sz w:val="24"/>
              </w:rPr>
            </w:pPr>
            <w:r>
              <w:rPr>
                <w:rFonts w:hint="eastAsia" w:ascii="仿宋_GB2312" w:eastAsia="仿宋_GB2312"/>
                <w:sz w:val="24"/>
              </w:rPr>
              <w:t>区财政局</w:t>
            </w:r>
          </w:p>
          <w:p>
            <w:pPr>
              <w:snapToGrid w:val="0"/>
              <w:spacing w:line="320" w:lineRule="exact"/>
              <w:jc w:val="center"/>
              <w:rPr>
                <w:rFonts w:ascii="仿宋_GB2312" w:eastAsia="仿宋_GB2312"/>
                <w:sz w:val="24"/>
              </w:rPr>
            </w:pPr>
            <w:r>
              <w:rPr>
                <w:rFonts w:hint="eastAsia" w:ascii="仿宋_GB2312" w:eastAsia="仿宋_GB2312"/>
                <w:sz w:val="24"/>
              </w:rPr>
              <w:t>各镇街</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right w:val="single" w:color="auto" w:sz="4" w:space="0"/>
            </w:tcBorders>
            <w:noWrap w:val="0"/>
            <w:vAlign w:val="center"/>
          </w:tcPr>
          <w:p>
            <w:pPr>
              <w:snapToGrid w:val="0"/>
              <w:spacing w:line="300" w:lineRule="exact"/>
              <w:rPr>
                <w:rFonts w:ascii="仿宋_GB2312" w:eastAsia="仿宋_GB2312"/>
                <w:sz w:val="24"/>
              </w:rPr>
            </w:pPr>
            <w:r>
              <w:rPr>
                <w:rFonts w:hint="eastAsia" w:ascii="仿宋_GB2312" w:eastAsia="仿宋_GB2312"/>
                <w:sz w:val="24"/>
              </w:rPr>
              <w:t>区科信局鼓励工业涂装企业使用符合国家和本市标准的涂料、胶粘剂等低VOCs含量原辅材料。区生态环境局开展专项执法检查，对发现的含VOCs原辅材料检测超标线索移交市场监管局，市场监管局定期反馈处置结果。</w:t>
            </w:r>
          </w:p>
          <w:p>
            <w:pPr>
              <w:snapToGrid w:val="0"/>
              <w:spacing w:line="300" w:lineRule="exact"/>
              <w:rPr>
                <w:rFonts w:ascii="仿宋_GB2312" w:eastAsia="仿宋_GB2312"/>
                <w:sz w:val="24"/>
              </w:rPr>
            </w:pPr>
            <w:r>
              <w:rPr>
                <w:rFonts w:hint="eastAsia" w:ascii="仿宋_GB2312" w:eastAsia="仿宋_GB2312"/>
                <w:sz w:val="24"/>
              </w:rPr>
              <w:t>加强检查，督促企业建立原辅材料台账，并使用符合标准的低VOCs含量产品。</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区科信局</w:t>
            </w:r>
          </w:p>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sz w:val="24"/>
              </w:rPr>
            </w:pPr>
            <w:r>
              <w:rPr>
                <w:rFonts w:hint="eastAsia" w:ascii="仿宋_GB2312" w:eastAsia="仿宋_GB2312"/>
                <w:sz w:val="24"/>
              </w:rPr>
              <w:t>区市场监管局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right w:val="single" w:color="auto" w:sz="4" w:space="0"/>
            </w:tcBorders>
            <w:noWrap w:val="0"/>
            <w:vAlign w:val="center"/>
          </w:tcPr>
          <w:p>
            <w:pPr>
              <w:snapToGrid w:val="0"/>
              <w:spacing w:line="300" w:lineRule="exact"/>
              <w:rPr>
                <w:rFonts w:ascii="仿宋_GB2312" w:eastAsia="仿宋_GB2312"/>
                <w:sz w:val="24"/>
                <w:highlight w:val="yellow"/>
              </w:rPr>
            </w:pPr>
            <w:r>
              <w:rPr>
                <w:rFonts w:hint="eastAsia" w:ascii="仿宋_GB2312" w:eastAsia="仿宋_GB2312" w:cs="仿宋_GB2312"/>
                <w:sz w:val="24"/>
              </w:rPr>
              <w:t>按市级统一部署，对照《北京市沥青混合料绿色评价技术指南》，组织对沥青混合料开展分级评价；并研究鼓励政策，推进优先使用污染排放、能耗低的产品。</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s="仿宋_GB2312"/>
                <w:sz w:val="24"/>
              </w:rPr>
              <w:t>长期实施</w:t>
            </w:r>
          </w:p>
        </w:tc>
        <w:tc>
          <w:tcPr>
            <w:tcW w:w="2126" w:type="dxa"/>
            <w:tcBorders>
              <w:top w:val="single" w:color="auto" w:sz="4" w:space="0"/>
              <w:left w:val="nil"/>
              <w:right w:val="single" w:color="auto" w:sz="4" w:space="0"/>
            </w:tcBorders>
            <w:noWrap w:val="0"/>
            <w:vAlign w:val="center"/>
          </w:tcPr>
          <w:p>
            <w:pPr>
              <w:snapToGrid w:val="0"/>
              <w:spacing w:line="300" w:lineRule="exact"/>
              <w:ind w:left="-105" w:leftChars="-50" w:right="-105" w:rightChars="-50"/>
              <w:jc w:val="center"/>
              <w:rPr>
                <w:rFonts w:ascii="仿宋_GB2312" w:eastAsia="仿宋_GB2312" w:cs="仿宋_GB2312"/>
                <w:sz w:val="24"/>
              </w:rPr>
            </w:pPr>
            <w:r>
              <w:rPr>
                <w:rFonts w:hint="eastAsia" w:ascii="仿宋_GB2312" w:eastAsia="仿宋_GB2312" w:cs="仿宋_GB2312"/>
                <w:sz w:val="24"/>
              </w:rPr>
              <w:t>区城管委</w:t>
            </w:r>
          </w:p>
          <w:p>
            <w:pPr>
              <w:snapToGrid w:val="0"/>
              <w:spacing w:line="300" w:lineRule="exact"/>
              <w:ind w:left="-105" w:leftChars="-50" w:right="-105" w:rightChars="-50"/>
              <w:jc w:val="center"/>
              <w:rPr>
                <w:rFonts w:ascii="仿宋_GB2312" w:eastAsia="仿宋_GB2312" w:cs="仿宋_GB2312"/>
                <w:sz w:val="24"/>
              </w:rPr>
            </w:pPr>
            <w:r>
              <w:rPr>
                <w:rFonts w:hint="eastAsia" w:ascii="仿宋_GB2312" w:eastAsia="仿宋_GB2312" w:cs="仿宋_GB2312"/>
                <w:sz w:val="24"/>
              </w:rPr>
              <w:t>区公路分局</w:t>
            </w:r>
          </w:p>
          <w:p>
            <w:pPr>
              <w:snapToGrid w:val="0"/>
              <w:spacing w:line="300" w:lineRule="exact"/>
              <w:ind w:left="-105" w:leftChars="-50" w:right="-105" w:rightChars="-50"/>
              <w:jc w:val="center"/>
              <w:rPr>
                <w:rFonts w:ascii="仿宋_GB2312" w:eastAsia="仿宋_GB2312" w:cs="仿宋_GB2312"/>
                <w:sz w:val="24"/>
              </w:rPr>
            </w:pPr>
            <w:r>
              <w:rPr>
                <w:rFonts w:hint="eastAsia" w:ascii="仿宋_GB2312" w:eastAsia="仿宋_GB2312" w:cs="仿宋_GB2312"/>
                <w:sz w:val="24"/>
              </w:rPr>
              <w:t>区生态环境局</w:t>
            </w:r>
          </w:p>
          <w:p>
            <w:pPr>
              <w:snapToGrid w:val="0"/>
              <w:spacing w:line="300" w:lineRule="exact"/>
              <w:ind w:left="-105" w:leftChars="-50" w:right="-105" w:rightChars="-50"/>
              <w:jc w:val="center"/>
              <w:rPr>
                <w:rFonts w:ascii="仿宋_GB2312" w:eastAsia="仿宋_GB2312"/>
                <w:sz w:val="24"/>
              </w:rPr>
            </w:pPr>
            <w:r>
              <w:rPr>
                <w:rFonts w:hint="eastAsia" w:ascii="仿宋_GB2312" w:eastAsia="仿宋_GB2312" w:cs="仿宋_GB2312"/>
                <w:sz w:val="24"/>
              </w:rPr>
              <w:t>区财政局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6</w:t>
            </w:r>
          </w:p>
        </w:tc>
        <w:tc>
          <w:tcPr>
            <w:tcW w:w="1418" w:type="dxa"/>
            <w:vMerge w:val="restart"/>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加强重点</w:t>
            </w:r>
          </w:p>
          <w:p>
            <w:pPr>
              <w:snapToGrid w:val="0"/>
              <w:spacing w:line="360" w:lineRule="exact"/>
              <w:jc w:val="center"/>
              <w:rPr>
                <w:rFonts w:ascii="仿宋_GB2312" w:eastAsia="仿宋_GB2312"/>
                <w:sz w:val="24"/>
              </w:rPr>
            </w:pPr>
            <w:r>
              <w:rPr>
                <w:rFonts w:hint="eastAsia" w:ascii="仿宋_GB2312" w:eastAsia="仿宋_GB2312"/>
                <w:sz w:val="24"/>
              </w:rPr>
              <w:t>行业VOCs全流程管控</w:t>
            </w:r>
          </w:p>
        </w:tc>
        <w:tc>
          <w:tcPr>
            <w:tcW w:w="7654" w:type="dxa"/>
            <w:tcBorders>
              <w:top w:val="single" w:color="auto" w:sz="4" w:space="0"/>
              <w:left w:val="nil"/>
              <w:right w:val="single" w:color="auto" w:sz="4" w:space="0"/>
            </w:tcBorders>
            <w:noWrap w:val="0"/>
            <w:vAlign w:val="center"/>
          </w:tcPr>
          <w:p>
            <w:pPr>
              <w:snapToGrid w:val="0"/>
              <w:spacing w:line="360" w:lineRule="exact"/>
              <w:rPr>
                <w:rFonts w:ascii="仿宋_GB2312" w:eastAsia="仿宋_GB2312"/>
                <w:color w:val="000000"/>
                <w:sz w:val="24"/>
              </w:rPr>
            </w:pPr>
            <w:r>
              <w:rPr>
                <w:rFonts w:hint="eastAsia" w:ascii="仿宋_GB2312" w:eastAsia="仿宋_GB2312"/>
                <w:color w:val="000000"/>
                <w:sz w:val="24"/>
              </w:rPr>
              <w:t>按市级统一部署，以涉VOCs排放行业为重点，开展强制性清洁生产审核；结合重污染天气重点企业绩效提级、重点行业评估等工作，开展“一厂一策”精细化治理。强化对审核企业的监管，对不实施强制性清洁生产审核或者不报告审核结果的企业依法责令限期改正。</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年底前</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区发改委</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right w:val="single" w:color="auto" w:sz="4" w:space="0"/>
            </w:tcBorders>
            <w:noWrap w:val="0"/>
            <w:vAlign w:val="center"/>
          </w:tcPr>
          <w:p>
            <w:pPr>
              <w:snapToGrid w:val="0"/>
              <w:spacing w:line="360" w:lineRule="exact"/>
              <w:rPr>
                <w:rFonts w:ascii="仿宋_GB2312" w:eastAsia="仿宋_GB2312"/>
                <w:color w:val="000000"/>
                <w:sz w:val="24"/>
              </w:rPr>
            </w:pPr>
            <w:r>
              <w:rPr>
                <w:rFonts w:hint="eastAsia" w:ascii="仿宋_GB2312" w:eastAsia="仿宋_GB2312"/>
                <w:color w:val="000000"/>
                <w:sz w:val="24"/>
              </w:rPr>
              <w:t>对重点企业实施绿色诊断，支持企业对标行业先进资源能源消耗水平和污染物排放水平等开展绿色化技术改造。</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年底前</w:t>
            </w:r>
          </w:p>
        </w:tc>
        <w:tc>
          <w:tcPr>
            <w:tcW w:w="212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区科信局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各镇街</w:t>
            </w:r>
          </w:p>
          <w:p>
            <w:pPr>
              <w:snapToGrid w:val="0"/>
              <w:spacing w:line="360" w:lineRule="exact"/>
              <w:jc w:val="center"/>
              <w:rPr>
                <w:rFonts w:hint="eastAsia" w:ascii="仿宋_GB2312" w:eastAsia="仿宋_GB2312"/>
                <w:sz w:val="24"/>
              </w:rPr>
            </w:pPr>
            <w:r>
              <w:rPr>
                <w:rFonts w:hint="eastAsia" w:ascii="仿宋_GB2312" w:eastAsia="仿宋_GB2312"/>
                <w:sz w:val="24"/>
              </w:rPr>
              <w:t>中关村门头沟园</w:t>
            </w:r>
          </w:p>
          <w:p>
            <w:pPr>
              <w:snapToGrid w:val="0"/>
              <w:spacing w:line="360" w:lineRule="exact"/>
              <w:jc w:val="center"/>
              <w:rPr>
                <w:rFonts w:ascii="仿宋_GB2312" w:eastAsia="仿宋_GB2312"/>
                <w:sz w:val="24"/>
              </w:rPr>
            </w:pPr>
            <w:r>
              <w:rPr>
                <w:rFonts w:hint="eastAsia" w:ascii="仿宋_GB2312" w:eastAsia="仿宋_GB2312"/>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z w:val="24"/>
              </w:rPr>
              <w:t>7</w:t>
            </w:r>
          </w:p>
        </w:tc>
        <w:tc>
          <w:tcPr>
            <w:tcW w:w="1418" w:type="dxa"/>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推进重点</w:t>
            </w:r>
          </w:p>
          <w:p>
            <w:pPr>
              <w:snapToGrid w:val="0"/>
              <w:spacing w:line="360" w:lineRule="exact"/>
              <w:jc w:val="center"/>
              <w:rPr>
                <w:rFonts w:hint="eastAsia" w:ascii="仿宋_GB2312" w:eastAsia="仿宋_GB2312"/>
                <w:sz w:val="24"/>
              </w:rPr>
            </w:pPr>
            <w:r>
              <w:rPr>
                <w:rFonts w:hint="eastAsia" w:ascii="仿宋_GB2312" w:eastAsia="仿宋_GB2312"/>
                <w:sz w:val="24"/>
              </w:rPr>
              <w:t>工业园区</w:t>
            </w:r>
          </w:p>
          <w:p>
            <w:pPr>
              <w:snapToGrid w:val="0"/>
              <w:spacing w:line="360" w:lineRule="exact"/>
              <w:jc w:val="center"/>
              <w:rPr>
                <w:rFonts w:ascii="仿宋_GB2312" w:eastAsia="仿宋_GB2312"/>
                <w:sz w:val="24"/>
              </w:rPr>
            </w:pPr>
            <w:r>
              <w:rPr>
                <w:rFonts w:hint="eastAsia" w:ascii="仿宋_GB2312" w:eastAsia="仿宋_GB2312"/>
                <w:sz w:val="24"/>
              </w:rPr>
              <w:t>治理</w:t>
            </w:r>
          </w:p>
        </w:tc>
        <w:tc>
          <w:tcPr>
            <w:tcW w:w="7654" w:type="dxa"/>
            <w:tcBorders>
              <w:top w:val="single" w:color="auto" w:sz="4" w:space="0"/>
              <w:left w:val="nil"/>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按市级统一部署要求，依照绿色发展行动方案及涉VOCs排放企业清单，组织中关村门头沟园区开展园区规划环评，明确“十四五”时期VOCs排放总量和减排路径；中关村门头沟园结合自身产业结构和VOCs排放特点，制定2023年VOCs治理措施清单并组织实施。</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区科信局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中关村门头沟园</w:t>
            </w:r>
          </w:p>
          <w:p>
            <w:pPr>
              <w:snapToGrid w:val="0"/>
              <w:spacing w:line="360" w:lineRule="exact"/>
              <w:jc w:val="center"/>
              <w:rPr>
                <w:rFonts w:ascii="仿宋_GB2312" w:eastAsia="仿宋_GB2312"/>
                <w:sz w:val="24"/>
              </w:rPr>
            </w:pPr>
            <w:r>
              <w:rPr>
                <w:rFonts w:hint="eastAsia" w:ascii="仿宋_GB2312" w:eastAsia="仿宋_GB2312"/>
                <w:sz w:val="24"/>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747" w:type="dxa"/>
            <w:vMerge w:val="restart"/>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z w:val="24"/>
              </w:rPr>
              <w:t>8</w:t>
            </w:r>
          </w:p>
        </w:tc>
        <w:tc>
          <w:tcPr>
            <w:tcW w:w="1418" w:type="dxa"/>
            <w:vMerge w:val="restart"/>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促进油品</w:t>
            </w:r>
          </w:p>
          <w:p>
            <w:pPr>
              <w:snapToGrid w:val="0"/>
              <w:spacing w:line="360" w:lineRule="exact"/>
              <w:jc w:val="center"/>
              <w:rPr>
                <w:rFonts w:hint="eastAsia" w:ascii="仿宋_GB2312" w:eastAsia="仿宋_GB2312"/>
                <w:sz w:val="24"/>
              </w:rPr>
            </w:pPr>
            <w:r>
              <w:rPr>
                <w:rFonts w:hint="eastAsia" w:ascii="仿宋_GB2312" w:eastAsia="仿宋_GB2312"/>
                <w:sz w:val="24"/>
              </w:rPr>
              <w:t>储运环节</w:t>
            </w:r>
          </w:p>
          <w:p>
            <w:pPr>
              <w:snapToGrid w:val="0"/>
              <w:spacing w:line="360" w:lineRule="exact"/>
              <w:jc w:val="center"/>
              <w:rPr>
                <w:rFonts w:ascii="仿宋_GB2312" w:eastAsia="仿宋_GB2312"/>
                <w:sz w:val="24"/>
              </w:rPr>
            </w:pPr>
            <w:r>
              <w:rPr>
                <w:rFonts w:hint="eastAsia" w:ascii="仿宋_GB2312" w:eastAsia="仿宋_GB2312"/>
                <w:sz w:val="24"/>
              </w:rPr>
              <w:t>减排</w:t>
            </w:r>
          </w:p>
        </w:tc>
        <w:tc>
          <w:tcPr>
            <w:tcW w:w="7654" w:type="dxa"/>
            <w:tcBorders>
              <w:top w:val="single" w:color="auto" w:sz="4" w:space="0"/>
              <w:left w:val="nil"/>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市场监管部门依法对生产、销售和使用环节的机动车和非道路移动机械用油品及清净剂、还原剂等产品质量开展监督检查，开展重型车和非道路移动机械实际使用柴油和尿素抽测，依法查处以假充真、以次充好等生产、销售伪劣产品行为。</w:t>
            </w:r>
          </w:p>
          <w:p>
            <w:pPr>
              <w:snapToGrid w:val="0"/>
              <w:spacing w:line="360" w:lineRule="exact"/>
              <w:rPr>
                <w:rFonts w:ascii="仿宋_GB2312" w:eastAsia="仿宋_GB2312"/>
                <w:spacing w:val="-6"/>
                <w:sz w:val="24"/>
              </w:rPr>
            </w:pPr>
            <w:r>
              <w:rPr>
                <w:rFonts w:hint="eastAsia" w:ascii="仿宋_GB2312" w:eastAsia="仿宋_GB2312"/>
                <w:sz w:val="24"/>
              </w:rPr>
              <w:t>区公安分局负责依法打击通过“自备罐”“流动加油车”“黑加油站点”等非法储存、运输、销售成品油的违法犯罪行为，及时宣传曝光典型案例，营造高压态势。</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区市场监管局</w:t>
            </w:r>
          </w:p>
          <w:p>
            <w:pPr>
              <w:snapToGrid w:val="0"/>
              <w:spacing w:line="360" w:lineRule="exact"/>
              <w:jc w:val="center"/>
              <w:rPr>
                <w:rFonts w:ascii="仿宋_GB2312" w:eastAsia="仿宋_GB2312"/>
                <w:sz w:val="24"/>
              </w:rPr>
            </w:pPr>
            <w:r>
              <w:rPr>
                <w:rFonts w:hint="eastAsia" w:ascii="仿宋_GB2312" w:eastAsia="仿宋_GB2312"/>
                <w:color w:val="000000"/>
                <w:sz w:val="24"/>
              </w:rPr>
              <w:t>区公安分局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督促加油站和储油库夏季实施错峰装卸油，引导加油站出台鼓励夜间加油的措施。</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6-9月</w:t>
            </w:r>
          </w:p>
        </w:tc>
        <w:tc>
          <w:tcPr>
            <w:tcW w:w="2126"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区商务局</w:t>
            </w:r>
          </w:p>
          <w:p>
            <w:pPr>
              <w:snapToGrid w:val="0"/>
              <w:spacing w:line="360" w:lineRule="exact"/>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5451" w:type="dxa"/>
            <w:gridSpan w:val="6"/>
            <w:tcBorders>
              <w:left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三、实施氮氧化物（NOx）减排专项行动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tcBorders>
              <w:top w:val="nil"/>
              <w:left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9</w:t>
            </w:r>
          </w:p>
        </w:tc>
        <w:tc>
          <w:tcPr>
            <w:tcW w:w="1418" w:type="dxa"/>
            <w:vMerge w:val="restart"/>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削减固定源NOx排放量</w:t>
            </w:r>
          </w:p>
        </w:tc>
        <w:tc>
          <w:tcPr>
            <w:tcW w:w="7654" w:type="dxa"/>
            <w:tcBorders>
              <w:top w:val="single" w:color="auto" w:sz="4" w:space="0"/>
              <w:left w:val="nil"/>
              <w:bottom w:val="single" w:color="auto" w:sz="4" w:space="0"/>
              <w:right w:val="single" w:color="auto" w:sz="4" w:space="0"/>
            </w:tcBorders>
            <w:noWrap w:val="0"/>
            <w:vAlign w:val="center"/>
          </w:tcPr>
          <w:p>
            <w:pPr>
              <w:pStyle w:val="3"/>
              <w:snapToGrid w:val="0"/>
              <w:spacing w:line="360" w:lineRule="exact"/>
              <w:rPr>
                <w:rFonts w:hAnsi="宋体"/>
              </w:rPr>
            </w:pPr>
            <w:r>
              <w:rPr>
                <w:rFonts w:hint="eastAsia" w:ascii="仿宋_GB2312" w:eastAsia="仿宋_GB2312"/>
                <w:sz w:val="24"/>
                <w:szCs w:val="24"/>
              </w:rPr>
              <w:t>在保证群众安全温暖过冬的前提下，按照国家北方清洁取暖等资金支持项目要求，按计划开展剩余村庄煤改清洁能源和配套电力基础设施建设工作，共完成约1万户村庄煤改清洁能源工程。</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kern w:val="0"/>
                <w:sz w:val="24"/>
              </w:rPr>
            </w:pPr>
            <w:r>
              <w:rPr>
                <w:rFonts w:hint="eastAsia" w:ascii="仿宋_GB2312" w:eastAsia="仿宋_GB2312"/>
                <w:kern w:val="0"/>
                <w:sz w:val="24"/>
              </w:rPr>
              <w:t>区农业农村局</w:t>
            </w:r>
          </w:p>
          <w:p>
            <w:pPr>
              <w:snapToGrid w:val="0"/>
              <w:spacing w:line="360" w:lineRule="exact"/>
              <w:jc w:val="center"/>
              <w:rPr>
                <w:rFonts w:ascii="仿宋_GB2312" w:eastAsia="仿宋_GB2312"/>
                <w:spacing w:val="-20"/>
                <w:sz w:val="24"/>
              </w:rPr>
            </w:pPr>
            <w:r>
              <w:rPr>
                <w:rFonts w:hint="eastAsia" w:ascii="仿宋_GB2312" w:eastAsia="仿宋_GB2312"/>
                <w:kern w:val="0"/>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jc w:val="center"/>
              <w:rPr>
                <w:rFonts w:ascii="宋体" w:hAnsi="Courier New" w:eastAsia="仿宋_GB2312"/>
                <w:szCs w:val="21"/>
              </w:rPr>
            </w:pPr>
            <w:r>
              <w:rPr>
                <w:rFonts w:hint="eastAsia" w:ascii="仿宋_GB2312" w:eastAsia="仿宋_GB2312"/>
                <w:color w:val="000000"/>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rPr>
                <w:rFonts w:ascii="仿宋_GB2312" w:eastAsia="仿宋_GB2312"/>
                <w:sz w:val="24"/>
              </w:rPr>
            </w:pPr>
            <w:r>
              <w:rPr>
                <w:rFonts w:hint="eastAsia" w:ascii="仿宋_GB2312" w:eastAsia="仿宋_GB2312"/>
                <w:sz w:val="24"/>
              </w:rPr>
              <w:t>未实施煤改清洁能源替代地区加强优质煤使用。巩固“无煤化”成果。</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20" w:lineRule="exact"/>
              <w:jc w:val="center"/>
              <w:rPr>
                <w:rFonts w:ascii="仿宋_GB2312" w:eastAsia="仿宋_GB2312"/>
                <w:kern w:val="0"/>
                <w:sz w:val="24"/>
              </w:rPr>
            </w:pPr>
            <w:r>
              <w:rPr>
                <w:rFonts w:hint="eastAsia" w:ascii="仿宋_GB2312" w:eastAsia="仿宋_GB2312"/>
                <w:kern w:val="0"/>
                <w:sz w:val="24"/>
              </w:rPr>
              <w:t>区农业农村局</w:t>
            </w:r>
          </w:p>
          <w:p>
            <w:pPr>
              <w:snapToGrid w:val="0"/>
              <w:spacing w:line="320" w:lineRule="exact"/>
              <w:jc w:val="center"/>
              <w:rPr>
                <w:rFonts w:ascii="仿宋_GB2312" w:eastAsia="仿宋_GB2312"/>
                <w:kern w:val="0"/>
                <w:sz w:val="24"/>
              </w:rPr>
            </w:pPr>
            <w:r>
              <w:rPr>
                <w:rFonts w:hint="eastAsia" w:ascii="仿宋_GB2312" w:eastAsia="仿宋_GB2312"/>
                <w:kern w:val="0"/>
                <w:sz w:val="24"/>
              </w:rPr>
              <w:t>区城管委</w:t>
            </w:r>
          </w:p>
          <w:p>
            <w:pPr>
              <w:snapToGrid w:val="0"/>
              <w:spacing w:line="320" w:lineRule="exact"/>
              <w:jc w:val="center"/>
              <w:rPr>
                <w:rFonts w:ascii="仿宋_GB2312" w:eastAsia="仿宋_GB2312"/>
                <w:kern w:val="0"/>
                <w:sz w:val="24"/>
              </w:rPr>
            </w:pPr>
            <w:r>
              <w:rPr>
                <w:rFonts w:hint="eastAsia" w:ascii="仿宋_GB2312" w:eastAsia="仿宋_GB2312"/>
                <w:kern w:val="0"/>
                <w:sz w:val="24"/>
              </w:rPr>
              <w:t>区市场监管局</w:t>
            </w:r>
          </w:p>
          <w:p>
            <w:pPr>
              <w:snapToGrid w:val="0"/>
              <w:spacing w:line="320" w:lineRule="exact"/>
              <w:jc w:val="center"/>
              <w:rPr>
                <w:rFonts w:ascii="仿宋_GB2312" w:eastAsia="仿宋_GB2312"/>
                <w:sz w:val="24"/>
              </w:rPr>
            </w:pPr>
            <w:r>
              <w:rPr>
                <w:rFonts w:hint="eastAsia" w:ascii="仿宋_GB2312" w:eastAsia="仿宋_GB2312"/>
                <w:kern w:val="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10</w:t>
            </w:r>
          </w:p>
        </w:tc>
        <w:tc>
          <w:tcPr>
            <w:tcW w:w="1418" w:type="dxa"/>
            <w:vMerge w:val="restart"/>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柴油车</w:t>
            </w:r>
          </w:p>
          <w:p>
            <w:pPr>
              <w:snapToGrid w:val="0"/>
              <w:spacing w:line="360" w:lineRule="exact"/>
              <w:jc w:val="center"/>
              <w:rPr>
                <w:rFonts w:hint="eastAsia" w:ascii="仿宋_GB2312" w:eastAsia="仿宋_GB2312"/>
                <w:sz w:val="24"/>
              </w:rPr>
            </w:pPr>
            <w:r>
              <w:rPr>
                <w:rFonts w:hint="eastAsia" w:ascii="仿宋_GB2312" w:eastAsia="仿宋_GB2312"/>
                <w:sz w:val="24"/>
              </w:rPr>
              <w:t>（机械）</w:t>
            </w:r>
          </w:p>
          <w:p>
            <w:pPr>
              <w:snapToGrid w:val="0"/>
              <w:spacing w:line="360" w:lineRule="exact"/>
              <w:jc w:val="center"/>
              <w:rPr>
                <w:rFonts w:ascii="仿宋_GB2312" w:eastAsia="仿宋_GB2312"/>
                <w:sz w:val="24"/>
              </w:rPr>
            </w:pPr>
            <w:r>
              <w:rPr>
                <w:rFonts w:hint="eastAsia" w:ascii="仿宋_GB2312" w:eastAsia="仿宋_GB2312"/>
                <w:sz w:val="24"/>
              </w:rPr>
              <w:t>清洁化</w:t>
            </w:r>
          </w:p>
        </w:tc>
        <w:tc>
          <w:tcPr>
            <w:tcW w:w="7654" w:type="dxa"/>
            <w:tcBorders>
              <w:top w:val="single" w:color="auto" w:sz="4" w:space="0"/>
              <w:left w:val="nil"/>
              <w:right w:val="single" w:color="auto" w:sz="4" w:space="0"/>
            </w:tcBorders>
            <w:noWrap w:val="0"/>
            <w:vAlign w:val="center"/>
          </w:tcPr>
          <w:p>
            <w:pPr>
              <w:pStyle w:val="3"/>
              <w:rPr>
                <w:rFonts w:ascii="仿宋_GB2312" w:eastAsia="仿宋_GB2312"/>
                <w:color w:val="000000"/>
                <w:sz w:val="24"/>
                <w:szCs w:val="24"/>
              </w:rPr>
            </w:pPr>
            <w:r>
              <w:rPr>
                <w:rFonts w:hint="eastAsia" w:ascii="仿宋_GB2312" w:eastAsia="仿宋_GB2312"/>
                <w:color w:val="000000"/>
                <w:sz w:val="24"/>
              </w:rPr>
              <w:t>新增和更新的商超、快递等轻型物流配送车辆8</w:t>
            </w:r>
            <w:r>
              <w:rPr>
                <w:rFonts w:ascii="仿宋_GB2312" w:eastAsia="仿宋_GB2312"/>
                <w:color w:val="000000"/>
                <w:sz w:val="24"/>
              </w:rPr>
              <w:t>0</w:t>
            </w:r>
            <w:r>
              <w:rPr>
                <w:rFonts w:hint="eastAsia" w:ascii="仿宋_GB2312" w:eastAsia="仿宋_GB2312"/>
                <w:color w:val="000000"/>
                <w:sz w:val="24"/>
              </w:rPr>
              <w:t>%为纯电动或氢燃料电池车。</w:t>
            </w:r>
          </w:p>
        </w:tc>
        <w:tc>
          <w:tcPr>
            <w:tcW w:w="1276" w:type="dxa"/>
            <w:tcBorders>
              <w:top w:val="single" w:color="auto" w:sz="4" w:space="0"/>
              <w:left w:val="nil"/>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cs="仿宋_GB2312"/>
                <w:sz w:val="24"/>
              </w:rPr>
              <w:t>年底前</w:t>
            </w:r>
          </w:p>
        </w:tc>
        <w:tc>
          <w:tcPr>
            <w:tcW w:w="2126" w:type="dxa"/>
            <w:tcBorders>
              <w:top w:val="single" w:color="auto" w:sz="4" w:space="0"/>
              <w:left w:val="nil"/>
              <w:right w:val="single" w:color="auto" w:sz="4" w:space="0"/>
            </w:tcBorders>
            <w:noWrap w:val="0"/>
            <w:vAlign w:val="center"/>
          </w:tcPr>
          <w:p>
            <w:pPr>
              <w:snapToGrid w:val="0"/>
              <w:spacing w:line="360" w:lineRule="exact"/>
              <w:ind w:right="-105" w:rightChars="-50"/>
              <w:jc w:val="center"/>
            </w:pPr>
            <w:r>
              <w:rPr>
                <w:rFonts w:hint="eastAsia" w:ascii="仿宋_GB2312" w:eastAsia="仿宋_GB2312"/>
                <w:color w:val="000000"/>
                <w:sz w:val="24"/>
              </w:rPr>
              <w:t>区商务局</w:t>
            </w:r>
          </w:p>
          <w:p>
            <w:pPr>
              <w:pStyle w:val="2"/>
              <w:jc w:val="center"/>
            </w:pPr>
            <w:r>
              <w:rPr>
                <w:rFonts w:hint="eastAsia" w:ascii="仿宋_GB2312" w:eastAsia="仿宋_GB2312"/>
                <w:color w:val="000000"/>
                <w:sz w:val="24"/>
              </w:rPr>
              <w:t>邮政管理西局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color w:val="FF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pStyle w:val="3"/>
              <w:rPr>
                <w:rFonts w:ascii="仿宋_GB2312" w:eastAsia="仿宋_GB2312"/>
                <w:sz w:val="24"/>
                <w:szCs w:val="24"/>
              </w:rPr>
            </w:pPr>
            <w:r>
              <w:rPr>
                <w:rFonts w:hint="eastAsia" w:ascii="仿宋_GB2312" w:eastAsia="仿宋_GB2312"/>
                <w:color w:val="000000"/>
                <w:sz w:val="24"/>
              </w:rPr>
              <w:t>新增和更新的4.5吨以下环卫车为纯电动或氢燃料电池车，新增和更新4.5吨以上环卫作业车中，纯电动或氢燃料电池车比例达到60%。到2023年底，纯电动或氢燃料电池车比例均达到40%。</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区城管委</w:t>
            </w:r>
          </w:p>
          <w:p>
            <w:pPr>
              <w:snapToGrid w:val="0"/>
              <w:spacing w:line="360" w:lineRule="exact"/>
              <w:ind w:left="-105" w:leftChars="-50" w:right="-105" w:rightChars="-50"/>
              <w:jc w:val="center"/>
              <w:rPr>
                <w:rFonts w:ascii="仿宋_GB2312" w:eastAsia="仿宋_GB2312"/>
                <w:spacing w:val="-26"/>
                <w:sz w:val="24"/>
              </w:rPr>
            </w:pPr>
            <w:r>
              <w:rPr>
                <w:rFonts w:hint="eastAsia" w:ascii="仿宋_GB2312" w:eastAsia="仿宋_GB2312"/>
                <w:color w:val="000000"/>
                <w:sz w:val="24"/>
              </w:rPr>
              <w:t>区环卫中心</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pStyle w:val="3"/>
              <w:rPr>
                <w:rFonts w:ascii="仿宋_GB2312" w:eastAsia="仿宋_GB2312"/>
                <w:color w:val="0000FF"/>
                <w:sz w:val="24"/>
                <w:szCs w:val="24"/>
              </w:rPr>
            </w:pPr>
            <w:r>
              <w:rPr>
                <w:rFonts w:hint="eastAsia" w:ascii="仿宋_GB2312" w:eastAsia="仿宋_GB2312"/>
                <w:color w:val="000000"/>
                <w:sz w:val="24"/>
              </w:rPr>
              <w:t>新增和更新的4.5吨以下邮政车（机要通信车和郊区邮路盘驳邮政车除外）为纯电动或氢燃料电池车，到2023年底，纯电动或氢燃料电池车比例均达到</w:t>
            </w:r>
            <w:r>
              <w:rPr>
                <w:rFonts w:ascii="仿宋_GB2312" w:eastAsia="仿宋_GB2312"/>
                <w:color w:val="000000"/>
                <w:sz w:val="24"/>
              </w:rPr>
              <w:t>5</w:t>
            </w:r>
            <w:r>
              <w:rPr>
                <w:rFonts w:hint="eastAsia" w:ascii="仿宋_GB2312" w:eastAsia="仿宋_GB2312"/>
                <w:color w:val="000000"/>
                <w:sz w:val="24"/>
              </w:rPr>
              <w:t>0%。</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65" w:rightChars="-31"/>
              <w:jc w:val="center"/>
              <w:rPr>
                <w:rFonts w:ascii="仿宋_GB2312" w:eastAsia="仿宋_GB2312"/>
                <w:color w:val="000000"/>
                <w:sz w:val="24"/>
              </w:rPr>
            </w:pPr>
            <w:r>
              <w:rPr>
                <w:rFonts w:hint="eastAsia" w:ascii="仿宋_GB2312" w:eastAsia="仿宋_GB2312"/>
                <w:color w:val="000000"/>
                <w:sz w:val="24"/>
              </w:rPr>
              <w:t>邮政管理西局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2023年11月起，申请办理货车通行证的燃料种类为柴油和天然气的危险品运输车辆、冷链运输车辆、4.5吨以上（含）货车，须满足国五及以上排放标准，具备在线监控功能并与生态环境部门联网；优先保障纯电动和氢燃料电池车辆申办。</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按时间节点完成</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pacing w:val="-26"/>
                <w:sz w:val="24"/>
              </w:rPr>
            </w:pPr>
            <w:r>
              <w:rPr>
                <w:rFonts w:hint="eastAsia" w:ascii="仿宋_GB2312" w:eastAsia="仿宋_GB2312"/>
                <w:color w:val="000000"/>
                <w:sz w:val="24"/>
              </w:rPr>
              <w:t>区交通局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right w:val="single" w:color="auto" w:sz="4" w:space="0"/>
            </w:tcBorders>
            <w:noWrap w:val="0"/>
            <w:vAlign w:val="center"/>
          </w:tcPr>
          <w:p>
            <w:pPr>
              <w:pStyle w:val="3"/>
              <w:snapToGrid w:val="0"/>
              <w:spacing w:line="360" w:lineRule="exact"/>
              <w:rPr>
                <w:rFonts w:ascii="仿宋_GB2312" w:hAnsi="Times New Roman" w:eastAsia="仿宋_GB2312"/>
                <w:color w:val="000000"/>
                <w:sz w:val="24"/>
                <w:szCs w:val="24"/>
              </w:rPr>
            </w:pPr>
            <w:r>
              <w:rPr>
                <w:rFonts w:hint="eastAsia" w:ascii="仿宋_GB2312" w:eastAsia="仿宋_GB2312"/>
                <w:sz w:val="24"/>
                <w:szCs w:val="24"/>
              </w:rPr>
              <w:t>落实推广纯电动或氢燃料混凝土搅拌车、渣土运输车、重型货车的鼓励政策。</w:t>
            </w:r>
          </w:p>
        </w:tc>
        <w:tc>
          <w:tcPr>
            <w:tcW w:w="1276" w:type="dxa"/>
            <w:tcBorders>
              <w:top w:val="single" w:color="auto" w:sz="4" w:space="0"/>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p>
            <w:pPr>
              <w:snapToGrid w:val="0"/>
              <w:spacing w:line="360" w:lineRule="exact"/>
              <w:ind w:left="-105" w:leftChars="-50" w:right="-105" w:rightChars="-50"/>
              <w:jc w:val="center"/>
              <w:rPr>
                <w:rFonts w:ascii="仿宋_GB2312" w:eastAsia="仿宋_GB2312"/>
                <w:sz w:val="24"/>
              </w:rPr>
            </w:pPr>
          </w:p>
        </w:tc>
        <w:tc>
          <w:tcPr>
            <w:tcW w:w="2126" w:type="dxa"/>
            <w:tcBorders>
              <w:top w:val="single" w:color="auto" w:sz="4" w:space="0"/>
              <w:left w:val="nil"/>
              <w:right w:val="single" w:color="auto" w:sz="4" w:space="0"/>
            </w:tcBorders>
            <w:noWrap w:val="0"/>
            <w:vAlign w:val="center"/>
          </w:tcPr>
          <w:p>
            <w:pPr>
              <w:widowControl/>
              <w:snapToGrid w:val="0"/>
              <w:spacing w:line="320" w:lineRule="exact"/>
              <w:ind w:left="-105" w:leftChars="-50" w:right="-105" w:rightChars="-50"/>
              <w:jc w:val="center"/>
              <w:rPr>
                <w:rFonts w:ascii="仿宋_GB2312" w:eastAsia="仿宋_GB2312"/>
                <w:sz w:val="24"/>
              </w:rPr>
            </w:pPr>
            <w:r>
              <w:rPr>
                <w:rFonts w:hint="eastAsia" w:ascii="仿宋_GB2312" w:eastAsia="仿宋_GB2312"/>
                <w:sz w:val="24"/>
              </w:rPr>
              <w:t>区住建委</w:t>
            </w:r>
          </w:p>
          <w:p>
            <w:pPr>
              <w:widowControl/>
              <w:snapToGrid w:val="0"/>
              <w:spacing w:line="320" w:lineRule="exact"/>
              <w:ind w:left="-105" w:leftChars="-50" w:right="-105" w:rightChars="-50"/>
              <w:jc w:val="center"/>
              <w:rPr>
                <w:rFonts w:ascii="仿宋_GB2312" w:eastAsia="仿宋_GB2312"/>
                <w:sz w:val="24"/>
              </w:rPr>
            </w:pPr>
            <w:r>
              <w:rPr>
                <w:rFonts w:hint="eastAsia" w:ascii="仿宋_GB2312" w:eastAsia="仿宋_GB2312"/>
                <w:sz w:val="24"/>
              </w:rPr>
              <w:t>区城管委</w:t>
            </w:r>
          </w:p>
          <w:p>
            <w:pPr>
              <w:widowControl/>
              <w:snapToGrid w:val="0"/>
              <w:spacing w:line="320" w:lineRule="exact"/>
              <w:ind w:left="-105" w:leftChars="-50" w:right="-105" w:rightChars="-50"/>
              <w:jc w:val="center"/>
              <w:rPr>
                <w:rFonts w:ascii="仿宋_GB2312" w:eastAsia="仿宋_GB2312"/>
                <w:spacing w:val="-26"/>
                <w:sz w:val="24"/>
              </w:rPr>
            </w:pPr>
            <w:r>
              <w:rPr>
                <w:rFonts w:hint="eastAsia" w:ascii="仿宋_GB2312" w:eastAsia="仿宋_GB2312"/>
                <w:sz w:val="24"/>
              </w:rPr>
              <w:t>区交通局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11</w:t>
            </w:r>
          </w:p>
        </w:tc>
        <w:tc>
          <w:tcPr>
            <w:tcW w:w="1418" w:type="dxa"/>
            <w:vMerge w:val="restart"/>
            <w:tcBorders>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非道路</w:t>
            </w:r>
          </w:p>
          <w:p>
            <w:pPr>
              <w:snapToGrid w:val="0"/>
              <w:spacing w:line="360" w:lineRule="exact"/>
              <w:jc w:val="center"/>
              <w:rPr>
                <w:rFonts w:ascii="仿宋_GB2312" w:eastAsia="仿宋_GB2312"/>
                <w:sz w:val="24"/>
              </w:rPr>
            </w:pPr>
            <w:r>
              <w:rPr>
                <w:rFonts w:hint="eastAsia" w:ascii="仿宋_GB2312" w:eastAsia="仿宋_GB2312"/>
                <w:sz w:val="24"/>
              </w:rPr>
              <w:t>移动机械</w:t>
            </w:r>
          </w:p>
          <w:p>
            <w:pPr>
              <w:snapToGrid w:val="0"/>
              <w:spacing w:line="360" w:lineRule="exact"/>
              <w:jc w:val="center"/>
              <w:rPr>
                <w:rFonts w:ascii="仿宋_GB2312" w:eastAsia="仿宋_GB2312"/>
                <w:sz w:val="24"/>
              </w:rPr>
            </w:pPr>
            <w:r>
              <w:rPr>
                <w:rFonts w:hint="eastAsia" w:ascii="仿宋_GB2312" w:eastAsia="仿宋_GB2312"/>
                <w:sz w:val="24"/>
              </w:rPr>
              <w:t>综合治理</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20" w:lineRule="exact"/>
              <w:rPr>
                <w:rFonts w:ascii="仿宋_GB2312" w:eastAsia="仿宋_GB2312"/>
                <w:sz w:val="24"/>
              </w:rPr>
            </w:pPr>
            <w:r>
              <w:rPr>
                <w:rFonts w:hint="eastAsia" w:ascii="仿宋_GB2312" w:eastAsia="仿宋_GB2312"/>
                <w:sz w:val="24"/>
              </w:rPr>
              <w:t>严格实施国四非道路移动机械排放标准。</w:t>
            </w:r>
          </w:p>
          <w:p>
            <w:pPr>
              <w:snapToGrid w:val="0"/>
              <w:spacing w:line="360" w:lineRule="exact"/>
              <w:rPr>
                <w:rFonts w:ascii="仿宋_GB2312" w:eastAsia="仿宋_GB2312"/>
                <w:sz w:val="24"/>
                <w:highlight w:val="yellow"/>
              </w:rPr>
            </w:pPr>
            <w:r>
              <w:rPr>
                <w:rFonts w:hint="eastAsia" w:ascii="仿宋_GB2312" w:eastAsia="仿宋_GB2312"/>
                <w:sz w:val="24"/>
              </w:rP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电动机械。</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区住建委</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区公路分局</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区城管委</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区水务局</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区园林绿化局</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区重大项目协调服务中心</w:t>
            </w:r>
          </w:p>
          <w:p>
            <w:pPr>
              <w:widowControl/>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推进重点企业、工业园区、物流园区的国四货车、国二及以下(含x阶段)排放标准非道路移动机械淘汰,加速自有及使用的机动车和非道路移动机械电动化。</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区科信局</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区商务局</w:t>
            </w:r>
          </w:p>
          <w:p>
            <w:pPr>
              <w:widowControl/>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区交通局</w:t>
            </w:r>
          </w:p>
          <w:p>
            <w:pPr>
              <w:widowControl/>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中关村门头沟区管委会</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推进铁路货场的国四货车、国二及以下(含x阶段)排放标准非道路移动机械淘汰,加速自有及使用的机动车和非道路移动机械电动化。</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中铁三局四处</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05" w:rightChars="-50"/>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区生态环境局加强对非道路移动机械排放、编码登记状况的监督检查。</w:t>
            </w:r>
          </w:p>
          <w:p>
            <w:pPr>
              <w:snapToGrid w:val="0"/>
              <w:spacing w:line="360" w:lineRule="exact"/>
              <w:rPr>
                <w:rFonts w:ascii="仿宋_GB2312" w:eastAsia="仿宋_GB2312"/>
                <w:sz w:val="24"/>
                <w:highlight w:val="yellow"/>
              </w:rPr>
            </w:pPr>
            <w:r>
              <w:rPr>
                <w:rFonts w:hint="eastAsia" w:ascii="仿宋_GB2312" w:eastAsia="仿宋_GB2312"/>
                <w:sz w:val="24"/>
              </w:rPr>
              <w:t>区住房城乡建设委依法将使用未经信息编码登记或者不符合排放标准的非道路移动机械的建设单位或者施工单位，记入信用信息记录，并开展行业督导。</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highlight w:val="yellow"/>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color w:val="000000"/>
                <w:sz w:val="24"/>
                <w:highlight w:val="yellow"/>
              </w:rPr>
            </w:pPr>
            <w:r>
              <w:rPr>
                <w:rFonts w:hint="eastAsia" w:ascii="仿宋_GB2312" w:eastAsia="仿宋_GB2312"/>
                <w:sz w:val="24"/>
              </w:rPr>
              <w:t>区住建委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pacing w:val="-26"/>
                <w:sz w:val="24"/>
                <w:highlight w:val="yellow"/>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12</w:t>
            </w:r>
          </w:p>
        </w:tc>
        <w:tc>
          <w:tcPr>
            <w:tcW w:w="1418" w:type="dxa"/>
            <w:vMerge w:val="restart"/>
            <w:tcBorders>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强化移动源排放监管</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区公安分局交通支队、区生态环境局全年在进京路口和区内主要道路完成2万辆次以上的重型柴油车和重型燃气车人工检查。</w:t>
            </w:r>
          </w:p>
          <w:p>
            <w:pPr>
              <w:snapToGrid w:val="0"/>
              <w:spacing w:line="360" w:lineRule="exact"/>
              <w:rPr>
                <w:rFonts w:ascii="仿宋_GB2312" w:eastAsia="仿宋_GB2312"/>
                <w:sz w:val="24"/>
              </w:rPr>
            </w:pPr>
            <w:r>
              <w:rPr>
                <w:rFonts w:hint="eastAsia" w:ascii="仿宋_GB2312" w:eastAsia="仿宋_GB2312"/>
                <w:sz w:val="24"/>
              </w:rPr>
              <w:t>区公安分局交通支队加强对低速货车的路检抽查，加大对摩托车非法上路行驶和非法改装的执法处罚力度。</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按时间节点完成</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区公安分局</w:t>
            </w:r>
          </w:p>
          <w:p>
            <w:pPr>
              <w:snapToGrid w:val="0"/>
              <w:spacing w:line="360" w:lineRule="exact"/>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ind w:right="-105" w:rightChars="-50"/>
              <w:jc w:val="cente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ind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区市场监管局牵头开展机动车检验领域专项整治行动，严惩违法违规行为，加大曝光力度。</w:t>
            </w:r>
          </w:p>
          <w:p>
            <w:pPr>
              <w:snapToGrid w:val="0"/>
              <w:spacing w:line="360" w:lineRule="exact"/>
              <w:rPr>
                <w:rFonts w:ascii="宋体" w:hAnsi="Courier New" w:eastAsia="仿宋_GB2312"/>
                <w:szCs w:val="21"/>
              </w:rPr>
            </w:pPr>
            <w:r>
              <w:rPr>
                <w:rFonts w:hint="eastAsia" w:ascii="仿宋_GB2312" w:eastAsia="仿宋_GB2312"/>
                <w:sz w:val="24"/>
              </w:rPr>
              <w:t>市场监管、生态环境、公安交管等部门按照职责分工，对机动车检验机构的违法行为及其他不符合规范的行为进行记分。</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hAnsi="宋体" w:eastAsia="仿宋_GB2312"/>
                <w:spacing w:val="-12"/>
                <w:kern w:val="0"/>
                <w:sz w:val="24"/>
              </w:rPr>
            </w:pPr>
            <w:r>
              <w:rPr>
                <w:rFonts w:hint="eastAsia" w:ascii="仿宋_GB2312" w:hAnsi="宋体" w:eastAsia="仿宋_GB2312"/>
                <w:spacing w:val="-12"/>
                <w:kern w:val="0"/>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hAnsi="宋体" w:eastAsia="仿宋_GB2312"/>
                <w:spacing w:val="-12"/>
                <w:kern w:val="0"/>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区市场监管局</w:t>
            </w:r>
          </w:p>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sz w:val="24"/>
              </w:rPr>
            </w:pPr>
            <w:r>
              <w:rPr>
                <w:rFonts w:hint="eastAsia" w:ascii="仿宋_GB2312" w:eastAsia="仿宋_GB2312"/>
                <w:sz w:val="24"/>
              </w:rPr>
              <w:t>区公安分局</w:t>
            </w:r>
          </w:p>
          <w:p>
            <w:pPr>
              <w:snapToGrid w:val="0"/>
              <w:spacing w:line="360" w:lineRule="exact"/>
              <w:jc w:val="center"/>
              <w:rPr>
                <w:rFonts w:ascii="仿宋_GB2312" w:eastAsia="仿宋_GB2312"/>
                <w:color w:val="000000"/>
                <w:sz w:val="24"/>
              </w:rPr>
            </w:pPr>
            <w:r>
              <w:rPr>
                <w:rFonts w:hint="eastAsia" w:ascii="仿宋_GB2312" w:eastAsia="仿宋_GB2312"/>
                <w:sz w:val="24"/>
              </w:rPr>
              <w:t>区交通局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7" w:type="dxa"/>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13</w:t>
            </w:r>
          </w:p>
        </w:tc>
        <w:tc>
          <w:tcPr>
            <w:tcW w:w="1418" w:type="dxa"/>
            <w:tcBorders>
              <w:left w:val="nil"/>
              <w:bottom w:val="single" w:color="auto" w:sz="4" w:space="0"/>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推进运输</w:t>
            </w:r>
          </w:p>
          <w:p>
            <w:pPr>
              <w:snapToGrid w:val="0"/>
              <w:spacing w:line="360" w:lineRule="exact"/>
              <w:jc w:val="center"/>
              <w:rPr>
                <w:rFonts w:hint="eastAsia" w:ascii="仿宋_GB2312" w:eastAsia="仿宋_GB2312"/>
                <w:sz w:val="24"/>
              </w:rPr>
            </w:pPr>
            <w:r>
              <w:rPr>
                <w:rFonts w:hint="eastAsia" w:ascii="仿宋_GB2312" w:eastAsia="仿宋_GB2312"/>
                <w:sz w:val="24"/>
              </w:rPr>
              <w:t>结构调整</w:t>
            </w:r>
          </w:p>
          <w:p>
            <w:pPr>
              <w:snapToGrid w:val="0"/>
              <w:spacing w:line="360" w:lineRule="exact"/>
              <w:jc w:val="center"/>
              <w:rPr>
                <w:rFonts w:ascii="仿宋_GB2312" w:eastAsia="仿宋_GB2312"/>
                <w:sz w:val="24"/>
              </w:rPr>
            </w:pPr>
            <w:r>
              <w:rPr>
                <w:rFonts w:hint="eastAsia" w:ascii="仿宋_GB2312" w:eastAsia="仿宋_GB2312"/>
                <w:sz w:val="24"/>
              </w:rPr>
              <w:t>工作</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Courier New" w:eastAsia="仿宋_GB2312"/>
                <w:sz w:val="24"/>
              </w:rPr>
            </w:pPr>
            <w:r>
              <w:rPr>
                <w:rFonts w:hint="eastAsia" w:ascii="仿宋_GB2312" w:eastAsia="仿宋_GB2312" w:cs="仿宋_GB2312"/>
                <w:sz w:val="24"/>
              </w:rPr>
              <w:t>鼓励重点企业开展零排放货物运输车队试点。鼓励重点企业等用车单位与运输企业（个人）签订合作协议等方式实现清洁运输。</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z w:val="24"/>
              </w:rPr>
              <w:t>区科信局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1" w:type="dxa"/>
            <w:gridSpan w:val="6"/>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四、提升城市环境精细化管控水平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14</w:t>
            </w:r>
          </w:p>
        </w:tc>
        <w:tc>
          <w:tcPr>
            <w:tcW w:w="1418" w:type="dxa"/>
            <w:vMerge w:val="restart"/>
            <w:tcBorders>
              <w:left w:val="nil"/>
              <w:right w:val="single" w:color="auto" w:sz="4" w:space="0"/>
            </w:tcBorders>
            <w:noWrap w:val="0"/>
            <w:vAlign w:val="center"/>
          </w:tcPr>
          <w:p>
            <w:pPr>
              <w:snapToGrid w:val="0"/>
              <w:spacing w:line="360" w:lineRule="exact"/>
              <w:jc w:val="center"/>
              <w:rPr>
                <w:rFonts w:ascii="仿宋_GB2312" w:eastAsia="仿宋_GB2312"/>
                <w:sz w:val="24"/>
              </w:rPr>
            </w:pPr>
            <w:bookmarkStart w:id="3" w:name="_Hlk124265242"/>
            <w:r>
              <w:rPr>
                <w:rFonts w:hint="eastAsia" w:ascii="仿宋_GB2312" w:eastAsia="仿宋_GB2312"/>
                <w:sz w:val="24"/>
              </w:rPr>
              <w:t>严控降尘量</w:t>
            </w:r>
            <w:bookmarkEnd w:id="3"/>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降尘量控制在5吨/平方公里·月左右（扣除沙尘影响）。</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vMerge w:val="restart"/>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sz w:val="24"/>
              </w:rPr>
            </w:pPr>
            <w:r>
              <w:rPr>
                <w:rFonts w:hint="eastAsia" w:ascii="仿宋_GB2312" w:eastAsia="仿宋_GB2312"/>
                <w:sz w:val="24"/>
              </w:rPr>
              <w:t>各镇街</w:t>
            </w:r>
          </w:p>
        </w:tc>
        <w:tc>
          <w:tcPr>
            <w:tcW w:w="2230" w:type="dxa"/>
            <w:vMerge w:val="restart"/>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永定镇、龙泉镇、军庄镇、东辛房街道、城子街道、大峪街道降尘量控制在5.0吨/平方公里·月以内。潭柘寺镇、妙峰山镇、王平镇、雁翅镇、斋堂镇、清水镇、大台街道降尘量控制在4.5吨/平方公里·月以内。</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2230" w:type="dxa"/>
            <w:vMerge w:val="continue"/>
            <w:tcBorders>
              <w:left w:val="nil"/>
              <w:right w:val="single" w:color="auto" w:sz="4" w:space="0"/>
            </w:tcBorders>
            <w:noWrap w:val="0"/>
            <w:vAlign w:val="center"/>
          </w:tcPr>
          <w:p>
            <w:pPr>
              <w:snapToGrid w:val="0"/>
              <w:spacing w:line="3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各镇街粗颗粒物持续改善，年均浓度力争继续下降。</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vMerge w:val="continue"/>
            <w:tcBorders>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p>
        </w:tc>
        <w:tc>
          <w:tcPr>
            <w:tcW w:w="2230" w:type="dxa"/>
            <w:vMerge w:val="continue"/>
            <w:tcBorders>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定期通报各镇街降尘量、粗颗粒物（TSP）浓度、裸地覆盖率、门城地区道路尘负荷等排名情况。</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w:t>
            </w:r>
            <w:r>
              <w:rPr>
                <w:rFonts w:hint="eastAsia" w:ascii="仿宋_GB2312" w:eastAsia="仿宋_GB2312"/>
                <w:color w:val="000000"/>
                <w:sz w:val="24"/>
              </w:rPr>
              <w:t>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47" w:type="dxa"/>
            <w:vMerge w:val="restart"/>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15</w:t>
            </w:r>
          </w:p>
        </w:tc>
        <w:tc>
          <w:tcPr>
            <w:tcW w:w="1418" w:type="dxa"/>
            <w:vMerge w:val="restart"/>
            <w:tcBorders>
              <w:top w:val="nil"/>
              <w:left w:val="nil"/>
              <w:bottom w:val="single" w:color="auto" w:sz="4" w:space="0"/>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强化施工</w:t>
            </w:r>
          </w:p>
          <w:p>
            <w:pPr>
              <w:snapToGrid w:val="0"/>
              <w:spacing w:line="360" w:lineRule="exact"/>
              <w:jc w:val="center"/>
              <w:rPr>
                <w:rFonts w:ascii="仿宋_GB2312" w:eastAsia="仿宋_GB2312"/>
                <w:sz w:val="24"/>
              </w:rPr>
            </w:pPr>
            <w:r>
              <w:rPr>
                <w:rFonts w:hint="eastAsia" w:ascii="仿宋_GB2312" w:eastAsia="仿宋_GB2312"/>
                <w:sz w:val="24"/>
              </w:rPr>
              <w:t>扬尘精细化管控</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pacing w:val="-20"/>
                <w:sz w:val="24"/>
              </w:rPr>
            </w:pPr>
            <w:r>
              <w:rPr>
                <w:rFonts w:hint="eastAsia" w:ascii="仿宋_GB2312" w:eastAsia="仿宋_GB2312"/>
                <w:sz w:val="24"/>
              </w:rPr>
              <w:t>区住建委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区重大项目协调服务中心</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加强扬尘视频监管平台使用，发现问题及时督促整改并移送城管执法部门依法处罚，同时抄送住房城乡建设、生态环境部门。</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区住建委</w:t>
            </w:r>
          </w:p>
          <w:p>
            <w:pPr>
              <w:snapToGrid w:val="0"/>
              <w:spacing w:line="360" w:lineRule="exact"/>
              <w:jc w:val="center"/>
              <w:rPr>
                <w:rFonts w:ascii="仿宋_GB2312" w:eastAsia="仿宋_GB2312"/>
                <w:sz w:val="24"/>
              </w:rPr>
            </w:pPr>
            <w:r>
              <w:rPr>
                <w:rFonts w:hint="eastAsia" w:ascii="仿宋_GB2312" w:eastAsia="仿宋_GB2312"/>
                <w:sz w:val="24"/>
              </w:rPr>
              <w:t>区公路分局</w:t>
            </w:r>
          </w:p>
          <w:p>
            <w:pPr>
              <w:snapToGrid w:val="0"/>
              <w:spacing w:line="360" w:lineRule="exact"/>
              <w:jc w:val="center"/>
              <w:rPr>
                <w:rFonts w:ascii="仿宋_GB2312" w:eastAsia="仿宋_GB2312"/>
                <w:sz w:val="24"/>
              </w:rPr>
            </w:pPr>
            <w:r>
              <w:rPr>
                <w:rFonts w:hint="eastAsia" w:ascii="仿宋_GB2312" w:eastAsia="仿宋_GB2312"/>
                <w:sz w:val="24"/>
              </w:rPr>
              <w:t>区城管委</w:t>
            </w:r>
          </w:p>
          <w:p>
            <w:pPr>
              <w:snapToGrid w:val="0"/>
              <w:spacing w:line="360" w:lineRule="exact"/>
              <w:jc w:val="center"/>
              <w:rPr>
                <w:rFonts w:ascii="仿宋_GB2312" w:eastAsia="仿宋_GB2312"/>
                <w:sz w:val="24"/>
              </w:rPr>
            </w:pPr>
            <w:r>
              <w:rPr>
                <w:rFonts w:hint="eastAsia" w:ascii="仿宋_GB2312" w:eastAsia="仿宋_GB2312"/>
                <w:sz w:val="24"/>
              </w:rPr>
              <w:t>区水务局</w:t>
            </w:r>
          </w:p>
          <w:p>
            <w:pPr>
              <w:snapToGrid w:val="0"/>
              <w:spacing w:line="360" w:lineRule="exact"/>
              <w:jc w:val="center"/>
              <w:rPr>
                <w:rFonts w:ascii="仿宋_GB2312" w:eastAsia="仿宋_GB2312"/>
                <w:sz w:val="24"/>
              </w:rPr>
            </w:pPr>
            <w:r>
              <w:rPr>
                <w:rFonts w:hint="eastAsia" w:ascii="仿宋_GB2312" w:eastAsia="仿宋_GB2312"/>
                <w:sz w:val="24"/>
              </w:rPr>
              <w:t>区园林绿化局</w:t>
            </w:r>
          </w:p>
          <w:p>
            <w:pPr>
              <w:snapToGrid w:val="0"/>
              <w:spacing w:line="360" w:lineRule="exact"/>
              <w:jc w:val="center"/>
              <w:rPr>
                <w:rFonts w:ascii="仿宋_GB2312" w:eastAsia="仿宋_GB2312"/>
                <w:sz w:val="24"/>
              </w:rPr>
            </w:pPr>
            <w:r>
              <w:rPr>
                <w:rFonts w:hint="eastAsia" w:ascii="仿宋_GB2312" w:eastAsia="仿宋_GB2312"/>
                <w:sz w:val="24"/>
              </w:rPr>
              <w:t>区重大项目协调服务中心</w:t>
            </w:r>
          </w:p>
          <w:p>
            <w:pPr>
              <w:snapToGrid w:val="0"/>
              <w:spacing w:line="360" w:lineRule="exact"/>
              <w:jc w:val="center"/>
              <w:rPr>
                <w:rFonts w:ascii="仿宋_GB2312" w:eastAsia="仿宋_GB2312"/>
                <w:sz w:val="24"/>
              </w:rPr>
            </w:pPr>
            <w:r>
              <w:rPr>
                <w:rFonts w:hint="eastAsia" w:ascii="仿宋_GB2312" w:eastAsia="仿宋_GB2312"/>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组织土石方工程、建筑垃圾消纳场，安装建筑垃圾运输车辆车牌识别和洗轮机监测功能视频设备，并与北京市施工扬尘视频监管平台联网。</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区住建委</w:t>
            </w:r>
          </w:p>
          <w:p>
            <w:pPr>
              <w:snapToGrid w:val="0"/>
              <w:spacing w:line="360" w:lineRule="exact"/>
              <w:jc w:val="center"/>
              <w:rPr>
                <w:rFonts w:ascii="仿宋_GB2312" w:eastAsia="仿宋_GB2312"/>
                <w:sz w:val="24"/>
              </w:rPr>
            </w:pPr>
            <w:r>
              <w:rPr>
                <w:rFonts w:hint="eastAsia" w:ascii="仿宋_GB2312" w:eastAsia="仿宋_GB2312"/>
                <w:sz w:val="24"/>
              </w:rPr>
              <w:t>区公路分局</w:t>
            </w:r>
          </w:p>
          <w:p>
            <w:pPr>
              <w:snapToGrid w:val="0"/>
              <w:spacing w:line="360" w:lineRule="exact"/>
              <w:jc w:val="center"/>
              <w:rPr>
                <w:rFonts w:ascii="仿宋_GB2312" w:eastAsia="仿宋_GB2312"/>
                <w:sz w:val="24"/>
              </w:rPr>
            </w:pPr>
            <w:r>
              <w:rPr>
                <w:rFonts w:hint="eastAsia" w:ascii="仿宋_GB2312" w:eastAsia="仿宋_GB2312"/>
                <w:sz w:val="24"/>
              </w:rPr>
              <w:t>区城管委</w:t>
            </w:r>
          </w:p>
          <w:p>
            <w:pPr>
              <w:snapToGrid w:val="0"/>
              <w:spacing w:line="360" w:lineRule="exact"/>
              <w:jc w:val="center"/>
              <w:rPr>
                <w:rFonts w:ascii="仿宋_GB2312" w:eastAsia="仿宋_GB2312"/>
                <w:sz w:val="24"/>
              </w:rPr>
            </w:pPr>
            <w:r>
              <w:rPr>
                <w:rFonts w:hint="eastAsia" w:ascii="仿宋_GB2312" w:eastAsia="仿宋_GB2312"/>
                <w:sz w:val="24"/>
              </w:rPr>
              <w:t>区水务局</w:t>
            </w:r>
          </w:p>
          <w:p>
            <w:pPr>
              <w:snapToGrid w:val="0"/>
              <w:spacing w:line="360" w:lineRule="exact"/>
              <w:jc w:val="center"/>
              <w:rPr>
                <w:rFonts w:ascii="仿宋_GB2312" w:eastAsia="仿宋_GB2312"/>
                <w:sz w:val="24"/>
              </w:rPr>
            </w:pPr>
            <w:r>
              <w:rPr>
                <w:rFonts w:hint="eastAsia" w:ascii="仿宋_GB2312" w:eastAsia="仿宋_GB2312"/>
                <w:sz w:val="24"/>
              </w:rPr>
              <w:t>区园林绿化局</w:t>
            </w:r>
          </w:p>
          <w:p>
            <w:pPr>
              <w:snapToGrid w:val="0"/>
              <w:spacing w:line="360" w:lineRule="exact"/>
              <w:jc w:val="center"/>
              <w:rPr>
                <w:rFonts w:ascii="仿宋_GB2312" w:eastAsia="仿宋_GB2312"/>
                <w:sz w:val="24"/>
              </w:rPr>
            </w:pPr>
            <w:r>
              <w:rPr>
                <w:rFonts w:hint="eastAsia" w:ascii="仿宋_GB2312" w:eastAsia="仿宋_GB2312"/>
                <w:sz w:val="24"/>
              </w:rPr>
              <w:t>区重大项目协调服务中心</w:t>
            </w:r>
          </w:p>
          <w:p>
            <w:pPr>
              <w:snapToGrid w:val="0"/>
              <w:spacing w:line="360" w:lineRule="exact"/>
              <w:jc w:val="center"/>
              <w:rPr>
                <w:rFonts w:ascii="仿宋_GB2312" w:eastAsia="仿宋_GB2312"/>
                <w:sz w:val="24"/>
              </w:rPr>
            </w:pPr>
            <w:r>
              <w:rPr>
                <w:rFonts w:hint="eastAsia" w:ascii="仿宋_GB2312" w:eastAsia="仿宋_GB2312"/>
                <w:color w:val="000000"/>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15</w:t>
            </w:r>
          </w:p>
        </w:tc>
        <w:tc>
          <w:tcPr>
            <w:tcW w:w="1418" w:type="dxa"/>
            <w:vMerge w:val="restart"/>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强化施工</w:t>
            </w:r>
          </w:p>
          <w:p>
            <w:pPr>
              <w:snapToGrid w:val="0"/>
              <w:spacing w:line="360" w:lineRule="exact"/>
              <w:jc w:val="center"/>
              <w:rPr>
                <w:rFonts w:ascii="仿宋_GB2312" w:eastAsia="仿宋_GB2312"/>
                <w:sz w:val="24"/>
              </w:rPr>
            </w:pPr>
            <w:r>
              <w:rPr>
                <w:rFonts w:hint="eastAsia" w:ascii="仿宋_GB2312" w:eastAsia="仿宋_GB2312"/>
                <w:sz w:val="24"/>
              </w:rPr>
              <w:t>扬尘精细化管控</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行业主管部门组织工地（场站）严格落实扬尘管控措施及“门前三包”，强化工地（场站）出口1</w:t>
            </w:r>
            <w:r>
              <w:rPr>
                <w:rFonts w:ascii="仿宋_GB2312" w:eastAsia="仿宋_GB2312"/>
                <w:sz w:val="24"/>
              </w:rPr>
              <w:t>00</w:t>
            </w:r>
            <w:r>
              <w:rPr>
                <w:rFonts w:hint="eastAsia" w:ascii="仿宋_GB2312" w:eastAsia="仿宋_GB2312"/>
                <w:sz w:val="24"/>
              </w:rPr>
              <w:t>米范围内遗撒情况巡查，强化渣土车辆管控，做到“进门查证、出门查车”，杜绝车辆违规、带泥上路行驶。</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区住建委</w:t>
            </w:r>
          </w:p>
          <w:p>
            <w:pPr>
              <w:snapToGrid w:val="0"/>
              <w:spacing w:line="360" w:lineRule="exact"/>
              <w:jc w:val="center"/>
              <w:rPr>
                <w:rFonts w:ascii="仿宋_GB2312" w:eastAsia="仿宋_GB2312"/>
                <w:sz w:val="24"/>
              </w:rPr>
            </w:pPr>
            <w:r>
              <w:rPr>
                <w:rFonts w:hint="eastAsia" w:ascii="仿宋_GB2312" w:eastAsia="仿宋_GB2312"/>
                <w:sz w:val="24"/>
              </w:rPr>
              <w:t>区公路分局</w:t>
            </w:r>
          </w:p>
          <w:p>
            <w:pPr>
              <w:snapToGrid w:val="0"/>
              <w:spacing w:line="360" w:lineRule="exact"/>
              <w:jc w:val="center"/>
              <w:rPr>
                <w:rFonts w:ascii="仿宋_GB2312" w:eastAsia="仿宋_GB2312"/>
                <w:sz w:val="24"/>
              </w:rPr>
            </w:pPr>
            <w:r>
              <w:rPr>
                <w:rFonts w:hint="eastAsia" w:ascii="仿宋_GB2312" w:eastAsia="仿宋_GB2312"/>
                <w:sz w:val="24"/>
              </w:rPr>
              <w:t>区城管委</w:t>
            </w:r>
          </w:p>
          <w:p>
            <w:pPr>
              <w:snapToGrid w:val="0"/>
              <w:spacing w:line="360" w:lineRule="exact"/>
              <w:jc w:val="center"/>
              <w:rPr>
                <w:rFonts w:ascii="仿宋_GB2312" w:eastAsia="仿宋_GB2312"/>
                <w:sz w:val="24"/>
              </w:rPr>
            </w:pPr>
            <w:r>
              <w:rPr>
                <w:rFonts w:hint="eastAsia" w:ascii="仿宋_GB2312" w:eastAsia="仿宋_GB2312"/>
                <w:sz w:val="24"/>
              </w:rPr>
              <w:t>区水务局</w:t>
            </w:r>
          </w:p>
          <w:p>
            <w:pPr>
              <w:snapToGrid w:val="0"/>
              <w:spacing w:line="360" w:lineRule="exact"/>
              <w:jc w:val="center"/>
              <w:rPr>
                <w:rFonts w:ascii="仿宋_GB2312" w:eastAsia="仿宋_GB2312"/>
                <w:sz w:val="24"/>
              </w:rPr>
            </w:pPr>
            <w:r>
              <w:rPr>
                <w:rFonts w:hint="eastAsia" w:ascii="仿宋_GB2312" w:eastAsia="仿宋_GB2312"/>
                <w:sz w:val="24"/>
              </w:rPr>
              <w:t>区园林绿化局</w:t>
            </w:r>
          </w:p>
          <w:p>
            <w:pPr>
              <w:widowControl/>
              <w:snapToGrid w:val="0"/>
              <w:spacing w:line="360" w:lineRule="exact"/>
              <w:jc w:val="center"/>
              <w:rPr>
                <w:rFonts w:ascii="仿宋_GB2312" w:eastAsia="仿宋_GB2312"/>
                <w:color w:val="000000"/>
                <w:sz w:val="24"/>
              </w:rPr>
            </w:pPr>
            <w:r>
              <w:rPr>
                <w:rFonts w:hint="eastAsia" w:ascii="仿宋_GB2312" w:eastAsia="仿宋_GB2312"/>
                <w:sz w:val="24"/>
              </w:rPr>
              <w:t>区重大项目协调服务中心</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城管执法部门加强对扬尘执法工作的指导，提升属地扬尘执法效能，重点加强对空气质量排名靠后街道（乡镇）的执法检查，做好各类扬尘执法数据的汇总分析并及时向同级相关行业主管部门推送。</w:t>
            </w:r>
          </w:p>
          <w:p>
            <w:pPr>
              <w:snapToGrid w:val="0"/>
              <w:spacing w:line="360" w:lineRule="exact"/>
              <w:rPr>
                <w:rFonts w:ascii="仿宋_GB2312" w:eastAsia="仿宋_GB2312"/>
                <w:sz w:val="24"/>
              </w:rPr>
            </w:pPr>
            <w:r>
              <w:rPr>
                <w:rFonts w:hint="eastAsia" w:ascii="仿宋_GB2312" w:eastAsia="仿宋_GB2312"/>
                <w:sz w:val="24"/>
              </w:rPr>
              <w:t>依据《中华人民共和国大气污染防治法》和《北京市大气污染防治条例》有关规定，按市级统一部署，落实建筑施工扬尘按日连续处罚实施办法，加大对扬尘违法行为查处力度。曝光扬尘违法行为，营造扬尘执法高压态势。</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pacing w:val="-20"/>
                <w:sz w:val="24"/>
              </w:rPr>
            </w:pPr>
            <w:r>
              <w:rPr>
                <w:rFonts w:hint="eastAsia" w:ascii="仿宋_GB2312" w:eastAsia="仿宋_GB2312"/>
                <w:color w:val="000000"/>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color w:val="000000"/>
                <w:sz w:val="24"/>
              </w:rPr>
            </w:pPr>
            <w:r>
              <w:rPr>
                <w:rFonts w:hint="eastAsia" w:ascii="仿宋_GB2312" w:eastAsia="仿宋_GB2312"/>
                <w:color w:val="000000"/>
                <w:sz w:val="24"/>
              </w:rPr>
              <w:t>对辖区内各类施工工地、拆迁拆违、线性工程、“小微工程”等建立扬尘管控台账，按月开展全覆盖检查。</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长期</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pacing w:val="-26"/>
                <w:sz w:val="24"/>
              </w:rPr>
            </w:pPr>
            <w:r>
              <w:rPr>
                <w:rFonts w:hint="eastAsia" w:ascii="仿宋_GB2312" w:eastAsia="仿宋_GB2312"/>
                <w:color w:val="000000"/>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47"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z w:val="24"/>
              </w:rPr>
              <w:t>16</w:t>
            </w:r>
          </w:p>
        </w:tc>
        <w:tc>
          <w:tcPr>
            <w:tcW w:w="1418" w:type="dxa"/>
            <w:vMerge w:val="restart"/>
            <w:tcBorders>
              <w:top w:val="single" w:color="auto" w:sz="4" w:space="0"/>
              <w:left w:val="nil"/>
              <w:right w:val="single" w:color="auto" w:sz="4" w:space="0"/>
            </w:tcBorders>
            <w:noWrap w:val="0"/>
            <w:vAlign w:val="center"/>
          </w:tcPr>
          <w:p>
            <w:pPr>
              <w:widowControl/>
              <w:snapToGrid w:val="0"/>
              <w:spacing w:line="360" w:lineRule="exact"/>
              <w:jc w:val="center"/>
              <w:rPr>
                <w:rFonts w:hint="eastAsia" w:ascii="仿宋_GB2312" w:eastAsia="仿宋_GB2312"/>
                <w:sz w:val="24"/>
              </w:rPr>
            </w:pPr>
            <w:bookmarkStart w:id="4" w:name="_Hlk124265279"/>
            <w:r>
              <w:rPr>
                <w:rFonts w:hint="eastAsia" w:ascii="仿宋_GB2312" w:eastAsia="仿宋_GB2312"/>
                <w:sz w:val="24"/>
              </w:rPr>
              <w:t>强化道路</w:t>
            </w:r>
          </w:p>
          <w:p>
            <w:pPr>
              <w:widowControl/>
              <w:snapToGrid w:val="0"/>
              <w:spacing w:line="360" w:lineRule="exact"/>
              <w:jc w:val="center"/>
              <w:rPr>
                <w:rFonts w:ascii="仿宋_GB2312" w:eastAsia="仿宋_GB2312"/>
                <w:sz w:val="24"/>
              </w:rPr>
            </w:pPr>
            <w:r>
              <w:rPr>
                <w:rFonts w:hint="eastAsia" w:ascii="仿宋_GB2312" w:eastAsia="仿宋_GB2312"/>
                <w:sz w:val="24"/>
              </w:rPr>
              <w:t>扬尘管控</w:t>
            </w:r>
            <w:bookmarkEnd w:id="4"/>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sz w:val="24"/>
              </w:rPr>
            </w:pPr>
            <w:r>
              <w:rPr>
                <w:rFonts w:hint="eastAsia" w:ascii="仿宋_GB2312" w:eastAsia="仿宋_GB2312"/>
                <w:spacing w:val="-6"/>
                <w:sz w:val="24"/>
              </w:rPr>
              <w:t>提升道路清扫保洁水平，不断降低道路尘土残存量。</w:t>
            </w:r>
            <w:r>
              <w:rPr>
                <w:rFonts w:hint="eastAsia" w:ascii="仿宋_GB2312" w:eastAsia="仿宋_GB2312"/>
                <w:sz w:val="24"/>
              </w:rPr>
              <w:t>推进辖区内农村道路和街巷规范化清扫保洁工作</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区环卫中心</w:t>
            </w:r>
          </w:p>
          <w:p>
            <w:pPr>
              <w:snapToGrid w:val="0"/>
              <w:spacing w:line="360" w:lineRule="exact"/>
              <w:jc w:val="center"/>
              <w:rPr>
                <w:rFonts w:ascii="仿宋_GB2312" w:eastAsia="仿宋_GB2312"/>
                <w:sz w:val="24"/>
              </w:rPr>
            </w:pPr>
            <w:r>
              <w:rPr>
                <w:rFonts w:hint="eastAsia" w:ascii="仿宋_GB2312" w:eastAsia="仿宋_GB2312"/>
                <w:sz w:val="24"/>
              </w:rPr>
              <w:t>区公路分局</w:t>
            </w:r>
          </w:p>
          <w:p>
            <w:pPr>
              <w:snapToGrid w:val="0"/>
              <w:spacing w:line="360" w:lineRule="exact"/>
              <w:jc w:val="center"/>
              <w:rPr>
                <w:rFonts w:ascii="仿宋_GB2312" w:eastAsia="仿宋_GB2312"/>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color w:val="000000"/>
                <w:sz w:val="24"/>
              </w:rPr>
            </w:pPr>
            <w:r>
              <w:rPr>
                <w:rFonts w:hint="eastAsia" w:ascii="仿宋_GB2312" w:eastAsia="仿宋_GB2312"/>
                <w:sz w:val="24"/>
              </w:rPr>
              <w:t>道路尘负荷较高的道路立行立改。</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ascii="仿宋_GB2312" w:eastAsia="仿宋_GB2312"/>
                <w:sz w:val="24"/>
              </w:rPr>
            </w:pPr>
            <w:r>
              <w:rPr>
                <w:rFonts w:hint="eastAsia" w:ascii="仿宋_GB2312" w:eastAsia="仿宋_GB2312"/>
                <w:sz w:val="24"/>
              </w:rPr>
              <w:t>区环卫中心</w:t>
            </w:r>
          </w:p>
          <w:p>
            <w:pPr>
              <w:snapToGrid w:val="0"/>
              <w:spacing w:line="340" w:lineRule="exact"/>
              <w:jc w:val="center"/>
              <w:rPr>
                <w:rFonts w:ascii="仿宋_GB2312" w:eastAsia="仿宋_GB2312"/>
                <w:sz w:val="24"/>
              </w:rPr>
            </w:pPr>
            <w:r>
              <w:rPr>
                <w:rFonts w:hint="eastAsia" w:ascii="仿宋_GB2312" w:eastAsia="仿宋_GB2312"/>
                <w:sz w:val="24"/>
              </w:rPr>
              <w:t>区公路分局</w:t>
            </w:r>
          </w:p>
          <w:p>
            <w:pPr>
              <w:snapToGrid w:val="0"/>
              <w:spacing w:line="340" w:lineRule="exact"/>
              <w:jc w:val="center"/>
              <w:rPr>
                <w:rFonts w:ascii="仿宋_GB2312" w:eastAsia="仿宋_GB2312"/>
                <w:sz w:val="24"/>
              </w:rPr>
            </w:pPr>
            <w:r>
              <w:rPr>
                <w:rFonts w:hint="eastAsia" w:ascii="仿宋_GB2312" w:eastAsia="仿宋_GB2312"/>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color w:val="000000"/>
                <w:sz w:val="24"/>
              </w:rPr>
            </w:pPr>
            <w:r>
              <w:rPr>
                <w:rFonts w:hint="eastAsia" w:ascii="仿宋_GB2312" w:eastAsia="仿宋_GB2312"/>
                <w:sz w:val="24"/>
              </w:rPr>
              <w:t>组织加强普通公路及国道109沿线清扫保洁工作，逐步向公路两侧道路延伸保洁。</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区公路分局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47"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z w:val="24"/>
              </w:rPr>
              <w:t>16</w:t>
            </w:r>
          </w:p>
        </w:tc>
        <w:tc>
          <w:tcPr>
            <w:tcW w:w="1418" w:type="dxa"/>
            <w:vMerge w:val="restart"/>
            <w:tcBorders>
              <w:top w:val="single" w:color="auto" w:sz="4" w:space="0"/>
              <w:left w:val="nil"/>
              <w:right w:val="single" w:color="auto" w:sz="4" w:space="0"/>
            </w:tcBorders>
            <w:noWrap w:val="0"/>
            <w:vAlign w:val="center"/>
          </w:tcPr>
          <w:p>
            <w:pPr>
              <w:widowControl/>
              <w:snapToGrid w:val="0"/>
              <w:spacing w:line="360" w:lineRule="exact"/>
              <w:jc w:val="center"/>
              <w:rPr>
                <w:rFonts w:hint="eastAsia" w:ascii="仿宋_GB2312" w:eastAsia="仿宋_GB2312"/>
                <w:sz w:val="24"/>
              </w:rPr>
            </w:pPr>
            <w:r>
              <w:rPr>
                <w:rFonts w:hint="eastAsia" w:ascii="仿宋_GB2312" w:eastAsia="仿宋_GB2312"/>
                <w:sz w:val="24"/>
              </w:rPr>
              <w:t>强化道路</w:t>
            </w:r>
          </w:p>
          <w:p>
            <w:pPr>
              <w:widowControl/>
              <w:snapToGrid w:val="0"/>
              <w:spacing w:line="360" w:lineRule="exact"/>
              <w:jc w:val="center"/>
              <w:rPr>
                <w:rFonts w:ascii="仿宋_GB2312" w:eastAsia="仿宋_GB2312"/>
                <w:sz w:val="24"/>
              </w:rPr>
            </w:pPr>
            <w:r>
              <w:rPr>
                <w:rFonts w:hint="eastAsia" w:ascii="仿宋_GB2312" w:eastAsia="仿宋_GB2312"/>
                <w:sz w:val="24"/>
              </w:rPr>
              <w:t>扬尘管控</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sz w:val="24"/>
              </w:rPr>
            </w:pPr>
            <w:r>
              <w:rPr>
                <w:rFonts w:hint="eastAsia" w:ascii="仿宋_GB2312" w:eastAsia="仿宋_GB2312"/>
                <w:spacing w:val="-6"/>
                <w:sz w:val="24"/>
              </w:rPr>
              <w:t>提升道路清扫保洁水平，不断降低道路尘土残存量。</w:t>
            </w:r>
            <w:r>
              <w:rPr>
                <w:rFonts w:hint="eastAsia" w:ascii="仿宋_GB2312" w:eastAsia="仿宋_GB2312"/>
                <w:sz w:val="24"/>
              </w:rPr>
              <w:t>推进辖区内农村道路和街巷规范化清扫保洁工作</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区环卫中心</w:t>
            </w:r>
          </w:p>
          <w:p>
            <w:pPr>
              <w:snapToGrid w:val="0"/>
              <w:spacing w:line="360" w:lineRule="exact"/>
              <w:jc w:val="center"/>
              <w:rPr>
                <w:rFonts w:ascii="仿宋_GB2312" w:eastAsia="仿宋_GB2312"/>
                <w:sz w:val="24"/>
              </w:rPr>
            </w:pPr>
            <w:r>
              <w:rPr>
                <w:rFonts w:hint="eastAsia" w:ascii="仿宋_GB2312" w:eastAsia="仿宋_GB2312"/>
                <w:sz w:val="24"/>
              </w:rPr>
              <w:t>区公路分局</w:t>
            </w:r>
          </w:p>
          <w:p>
            <w:pPr>
              <w:snapToGrid w:val="0"/>
              <w:spacing w:line="360" w:lineRule="exact"/>
              <w:jc w:val="center"/>
              <w:rPr>
                <w:rFonts w:ascii="仿宋_GB2312" w:eastAsia="仿宋_GB2312"/>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tcBorders>
              <w:left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color w:val="000000"/>
                <w:sz w:val="24"/>
              </w:rPr>
            </w:pPr>
            <w:r>
              <w:rPr>
                <w:rFonts w:hint="eastAsia" w:ascii="仿宋_GB2312" w:eastAsia="仿宋_GB2312"/>
                <w:sz w:val="24"/>
              </w:rPr>
              <w:t>组织加强普通公路及国道109沿线清扫保洁工作，逐步向公路两侧道路延伸保洁。</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z w:val="24"/>
              </w:rPr>
              <w:t>区公路分局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47" w:type="dxa"/>
            <w:vMerge w:val="restart"/>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17</w:t>
            </w:r>
          </w:p>
        </w:tc>
        <w:tc>
          <w:tcPr>
            <w:tcW w:w="1418" w:type="dxa"/>
            <w:vMerge w:val="restart"/>
            <w:tcBorders>
              <w:top w:val="nil"/>
              <w:left w:val="nil"/>
              <w:bottom w:val="single" w:color="auto" w:sz="4" w:space="0"/>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强化裸地</w:t>
            </w:r>
          </w:p>
          <w:p>
            <w:pPr>
              <w:snapToGrid w:val="0"/>
              <w:spacing w:line="360" w:lineRule="exact"/>
              <w:jc w:val="center"/>
              <w:rPr>
                <w:rFonts w:ascii="仿宋_GB2312" w:eastAsia="仿宋_GB2312"/>
                <w:sz w:val="24"/>
              </w:rPr>
            </w:pPr>
            <w:r>
              <w:rPr>
                <w:rFonts w:hint="eastAsia" w:ascii="仿宋_GB2312" w:eastAsia="仿宋_GB2312"/>
                <w:sz w:val="24"/>
              </w:rPr>
              <w:t>扬尘管控</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sz w:val="24"/>
              </w:rPr>
            </w:pPr>
            <w:r>
              <w:rPr>
                <w:rFonts w:hint="eastAsia" w:ascii="仿宋_GB2312" w:eastAsia="仿宋_GB2312"/>
                <w:sz w:val="24"/>
              </w:rPr>
              <w:t>区园林绿化局强化绿化过程技术指导，开展裸地生态治理和林下植被种植。对短期无建设或利用计划的裸地通过硬化、绿化等方式减少扬尘。</w:t>
            </w:r>
          </w:p>
          <w:p>
            <w:pPr>
              <w:snapToGrid w:val="0"/>
              <w:spacing w:line="340" w:lineRule="exact"/>
              <w:rPr>
                <w:rFonts w:ascii="仿宋_GB2312" w:eastAsia="仿宋_GB2312"/>
                <w:sz w:val="24"/>
              </w:rPr>
            </w:pPr>
            <w:r>
              <w:rPr>
                <w:rFonts w:hint="eastAsia" w:ascii="仿宋_GB2312" w:eastAsia="仿宋_GB2312"/>
                <w:sz w:val="24"/>
              </w:rPr>
              <w:t>区农业农村局强化农作物耕收技术指导，完善农作物秸秆资源台账并开展综合利用，结合实际种植越冬作物，避免耕地长期裸露。</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区园林绿化局</w:t>
            </w:r>
          </w:p>
          <w:p>
            <w:pPr>
              <w:pStyle w:val="3"/>
              <w:snapToGrid w:val="0"/>
              <w:spacing w:line="360" w:lineRule="exact"/>
              <w:jc w:val="center"/>
              <w:rPr>
                <w:rFonts w:ascii="仿宋_GB2312" w:eastAsia="仿宋_GB2312"/>
                <w:color w:val="000000"/>
                <w:sz w:val="24"/>
                <w:szCs w:val="24"/>
              </w:rPr>
            </w:pPr>
            <w:r>
              <w:rPr>
                <w:rFonts w:hint="eastAsia" w:ascii="仿宋_GB2312" w:eastAsia="仿宋_GB2312"/>
                <w:sz w:val="24"/>
                <w:szCs w:val="24"/>
              </w:rPr>
              <w:t>区农业农村局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color w:val="0000FF"/>
                <w:sz w:val="24"/>
              </w:rPr>
            </w:pPr>
            <w:r>
              <w:rPr>
                <w:rFonts w:hint="eastAsia" w:ascii="仿宋_GB2312" w:eastAsia="仿宋_GB2312"/>
                <w:color w:val="000000"/>
                <w:sz w:val="24"/>
              </w:rPr>
              <w:t>定期更新裸地台账，做好扬尘精细化管理。</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长期</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7"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18</w:t>
            </w:r>
          </w:p>
        </w:tc>
        <w:tc>
          <w:tcPr>
            <w:tcW w:w="1418" w:type="dxa"/>
            <w:vMerge w:val="restart"/>
            <w:tcBorders>
              <w:top w:val="single" w:color="auto" w:sz="4" w:space="0"/>
              <w:left w:val="nil"/>
              <w:right w:val="single" w:color="auto" w:sz="4" w:space="0"/>
            </w:tcBorders>
            <w:noWrap w:val="0"/>
            <w:vAlign w:val="center"/>
          </w:tcPr>
          <w:p>
            <w:pPr>
              <w:widowControl/>
              <w:snapToGrid w:val="0"/>
              <w:spacing w:line="360" w:lineRule="exact"/>
              <w:jc w:val="center"/>
              <w:rPr>
                <w:rFonts w:ascii="仿宋_GB2312" w:eastAsia="仿宋_GB2312"/>
                <w:sz w:val="24"/>
              </w:rPr>
            </w:pPr>
            <w:bookmarkStart w:id="5" w:name="_Hlk124265358"/>
            <w:r>
              <w:rPr>
                <w:rFonts w:hint="eastAsia" w:ascii="仿宋_GB2312" w:eastAsia="仿宋_GB2312"/>
                <w:sz w:val="24"/>
              </w:rPr>
              <w:t>加强餐饮油烟源头管控</w:t>
            </w:r>
            <w:bookmarkEnd w:id="5"/>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color w:val="000000"/>
                <w:sz w:val="24"/>
              </w:rPr>
            </w:pPr>
            <w:r>
              <w:rPr>
                <w:rFonts w:hint="eastAsia" w:ascii="仿宋_GB2312" w:eastAsia="仿宋_GB2312"/>
                <w:sz w:val="24"/>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并做好事中事后监管。</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sz w:val="24"/>
              </w:rPr>
            </w:pPr>
            <w:r>
              <w:rPr>
                <w:rFonts w:hint="eastAsia" w:ascii="仿宋_GB2312" w:eastAsia="仿宋_GB2312"/>
                <w:sz w:val="24"/>
              </w:rPr>
              <w:t>区市场监管局</w:t>
            </w:r>
          </w:p>
        </w:tc>
        <w:tc>
          <w:tcPr>
            <w:tcW w:w="223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仿宋_GB2312" w:eastAsia="仿宋_GB2312"/>
                <w:color w:val="000000"/>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40" w:lineRule="exact"/>
              <w:rPr>
                <w:rFonts w:ascii="仿宋_GB2312" w:eastAsia="仿宋_GB2312"/>
                <w:sz w:val="24"/>
              </w:rPr>
            </w:pPr>
            <w:r>
              <w:rPr>
                <w:rFonts w:hint="eastAsia" w:ascii="仿宋_GB2312" w:eastAsia="仿宋_GB2312"/>
                <w:sz w:val="24"/>
              </w:rPr>
              <w:t>开展门头沟区餐饮油烟专项评估</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各相关单位</w:t>
            </w:r>
          </w:p>
          <w:p>
            <w:pPr>
              <w:spacing w:line="360" w:lineRule="exact"/>
              <w:jc w:val="cente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47" w:type="dxa"/>
            <w:vMerge w:val="restart"/>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19</w:t>
            </w:r>
          </w:p>
        </w:tc>
        <w:tc>
          <w:tcPr>
            <w:tcW w:w="1418" w:type="dxa"/>
            <w:vMerge w:val="restart"/>
            <w:tcBorders>
              <w:top w:val="nil"/>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加强氨排放、恶臭、烟花爆竹等管控</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持续做好消耗臭氧层物质企业备案管理，加强对使用未备案及淘汰物质违法行为的执法检查。</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pacing w:val="-20"/>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仿宋_GB2312" w:eastAsia="仿宋_GB2312"/>
                <w:color w:val="000000"/>
                <w:sz w:val="24"/>
              </w:rPr>
            </w:pPr>
            <w:r>
              <w:rPr>
                <w:rFonts w:hint="eastAsia" w:ascii="仿宋_GB2312" w:eastAsia="仿宋_GB2312"/>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落实《城镇污水处理厂大气污染物排放标准》（DB11/ 2007—2022），以处理规模在5万吨/日以上的城镇污水处理厂为对象，开展大气污染物排放专项执法。</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落实《北京市烟花爆竹安全管理规定》和《关于门头沟区行政区域内禁止燃放烟花爆竹的通告》，禁止销售、燃放烟花爆竹。</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区公安分局</w:t>
            </w:r>
          </w:p>
          <w:p>
            <w:pPr>
              <w:snapToGrid w:val="0"/>
              <w:spacing w:line="360" w:lineRule="exact"/>
              <w:jc w:val="center"/>
              <w:rPr>
                <w:rFonts w:ascii="仿宋_GB2312" w:eastAsia="仿宋_GB2312"/>
                <w:color w:val="000000"/>
                <w:sz w:val="24"/>
              </w:rPr>
            </w:pPr>
            <w:r>
              <w:rPr>
                <w:rFonts w:hint="eastAsia" w:ascii="仿宋_GB2312" w:eastAsia="仿宋_GB2312"/>
                <w:sz w:val="24"/>
              </w:rPr>
              <w:t>区应急局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right="-124" w:rightChars="-59"/>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积极开展文明祭祀宣传，引导市民遵守文明行为规范，倡导文明、低碳、绿色祭祀。</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区精神文明办</w:t>
            </w:r>
          </w:p>
          <w:p>
            <w:pPr>
              <w:pStyle w:val="3"/>
              <w:snapToGrid w:val="0"/>
              <w:spacing w:line="360" w:lineRule="exact"/>
              <w:jc w:val="center"/>
              <w:rPr>
                <w:rFonts w:ascii="仿宋_GB2312" w:hAnsi="Times New Roman" w:eastAsia="仿宋_GB2312"/>
                <w:sz w:val="24"/>
                <w:szCs w:val="24"/>
              </w:rPr>
            </w:pPr>
            <w:r>
              <w:rPr>
                <w:rFonts w:hint="eastAsia" w:ascii="仿宋_GB2312" w:hAnsi="Times New Roman" w:eastAsia="仿宋_GB2312"/>
                <w:sz w:val="24"/>
                <w:szCs w:val="24"/>
              </w:rPr>
              <w:t>区民政局</w:t>
            </w:r>
          </w:p>
        </w:tc>
        <w:tc>
          <w:tcPr>
            <w:tcW w:w="223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ind w:right="-124" w:rightChars="-59"/>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47" w:type="dxa"/>
            <w:vMerge w:val="restart"/>
            <w:tcBorders>
              <w:top w:val="nil"/>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20</w:t>
            </w:r>
          </w:p>
        </w:tc>
        <w:tc>
          <w:tcPr>
            <w:tcW w:w="1418" w:type="dxa"/>
            <w:vMerge w:val="restart"/>
            <w:tcBorders>
              <w:top w:val="nil"/>
              <w:left w:val="nil"/>
              <w:right w:val="single" w:color="auto" w:sz="4" w:space="0"/>
            </w:tcBorders>
            <w:noWrap w:val="0"/>
            <w:vAlign w:val="center"/>
          </w:tcPr>
          <w:p>
            <w:pPr>
              <w:snapToGrid w:val="0"/>
              <w:spacing w:line="360" w:lineRule="exact"/>
              <w:jc w:val="center"/>
              <w:rPr>
                <w:rFonts w:hint="eastAsia" w:ascii="仿宋_GB2312" w:eastAsia="仿宋_GB2312"/>
                <w:color w:val="000000"/>
                <w:sz w:val="24"/>
              </w:rPr>
            </w:pPr>
            <w:r>
              <w:rPr>
                <w:rFonts w:hint="eastAsia" w:ascii="仿宋_GB2312" w:eastAsia="仿宋_GB2312"/>
                <w:color w:val="000000"/>
                <w:sz w:val="24"/>
              </w:rPr>
              <w:t>加强噪声</w:t>
            </w:r>
          </w:p>
          <w:p>
            <w:pPr>
              <w:snapToGrid w:val="0"/>
              <w:spacing w:line="360" w:lineRule="exact"/>
              <w:jc w:val="center"/>
              <w:rPr>
                <w:rFonts w:ascii="仿宋_GB2312" w:eastAsia="仿宋_GB2312"/>
                <w:sz w:val="24"/>
              </w:rPr>
            </w:pPr>
            <w:r>
              <w:rPr>
                <w:rFonts w:hint="eastAsia" w:ascii="仿宋_GB2312" w:eastAsia="仿宋_GB2312"/>
                <w:color w:val="000000"/>
                <w:sz w:val="24"/>
              </w:rPr>
              <w:t>污染治理</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完成声环境功能区划分情况评估工作；完成国家声环境质量监测站点布设、调整。</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6月底</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ind w:right="-124" w:rightChars="-59"/>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47" w:type="dxa"/>
            <w:vMerge w:val="continue"/>
            <w:tcBorders>
              <w:left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left w:val="nil"/>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优化夜间施工证明办理条件和程序，加大服务指导力度。按照重大项目建筑垃圾运输通行保障工作方案，缓解建筑垃圾夜间运输噪声扰民。落实房屋建筑和市政基础设施工程施工现场绿色施工考核评价办法，将夜间施工扰民纳入考核及信用评价。</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区住建委</w:t>
            </w:r>
          </w:p>
          <w:p>
            <w:pPr>
              <w:snapToGrid w:val="0"/>
              <w:spacing w:line="360" w:lineRule="exact"/>
              <w:jc w:val="center"/>
              <w:rPr>
                <w:rFonts w:ascii="仿宋_GB2312" w:eastAsia="仿宋_GB2312"/>
                <w:sz w:val="24"/>
              </w:rPr>
            </w:pPr>
            <w:r>
              <w:rPr>
                <w:rFonts w:hint="eastAsia" w:ascii="仿宋_GB2312" w:eastAsia="仿宋_GB2312"/>
                <w:color w:val="000000"/>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widowControl/>
              <w:jc w:val="lef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color w:val="000000"/>
                <w:sz w:val="24"/>
              </w:rPr>
              <w:t>按照北京市交通运输专项补助资金、轨道交通噪声治理资金等有关管理办法要求，落实北京市交通噪声缓解年度治理计划。</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区公安分局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21</w:t>
            </w:r>
          </w:p>
        </w:tc>
        <w:tc>
          <w:tcPr>
            <w:tcW w:w="1418"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提升</w:t>
            </w:r>
          </w:p>
          <w:p>
            <w:pPr>
              <w:snapToGrid w:val="0"/>
              <w:spacing w:line="360" w:lineRule="exact"/>
              <w:jc w:val="center"/>
              <w:rPr>
                <w:rFonts w:hint="eastAsia" w:ascii="仿宋_GB2312" w:eastAsia="仿宋_GB2312"/>
                <w:sz w:val="24"/>
              </w:rPr>
            </w:pPr>
            <w:r>
              <w:rPr>
                <w:rFonts w:hint="eastAsia" w:ascii="仿宋_GB2312" w:eastAsia="仿宋_GB2312"/>
                <w:sz w:val="24"/>
              </w:rPr>
              <w:t>生态环境类接诉即办</w:t>
            </w:r>
          </w:p>
          <w:p>
            <w:pPr>
              <w:snapToGrid w:val="0"/>
              <w:spacing w:line="360" w:lineRule="exact"/>
              <w:jc w:val="center"/>
              <w:rPr>
                <w:rFonts w:ascii="仿宋_GB2312" w:eastAsia="仿宋_GB2312"/>
                <w:sz w:val="24"/>
              </w:rPr>
            </w:pPr>
            <w:r>
              <w:rPr>
                <w:rFonts w:hint="eastAsia" w:ascii="仿宋_GB2312" w:eastAsia="仿宋_GB2312"/>
                <w:sz w:val="24"/>
              </w:rPr>
              <w:t>工作成效</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color w:val="000000"/>
                <w:sz w:val="24"/>
              </w:rPr>
            </w:pPr>
            <w:r>
              <w:rPr>
                <w:rFonts w:hint="eastAsia" w:ascii="仿宋_GB2312" w:eastAsia="仿宋_GB2312"/>
                <w:sz w:val="24"/>
              </w:rPr>
              <w:t>加强生态环境类诉求办理工作，结合生态环境治理工作，健全生态环境接诉即办“管家”机制，落实属地责任，加强日常巡查检查，重点解决市民反映集中的油烟、噪声等共性问题，进一步提升诉求办理解决率和满意率。</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长期实施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各镇街</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区城指中心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五、“一微克”行动区级示范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22</w:t>
            </w:r>
          </w:p>
        </w:tc>
        <w:tc>
          <w:tcPr>
            <w:tcW w:w="1418" w:type="dxa"/>
            <w:vMerge w:val="restart"/>
            <w:tcBorders>
              <w:top w:val="single" w:color="auto" w:sz="4" w:space="0"/>
              <w:left w:val="nil"/>
              <w:right w:val="single" w:color="auto" w:sz="4" w:space="0"/>
            </w:tcBorders>
            <w:noWrap w:val="0"/>
            <w:vAlign w:val="center"/>
          </w:tcPr>
          <w:p>
            <w:pPr>
              <w:snapToGrid w:val="0"/>
              <w:spacing w:line="360" w:lineRule="exact"/>
              <w:jc w:val="center"/>
              <w:rPr>
                <w:rFonts w:hint="eastAsia" w:ascii="仿宋_GB2312" w:eastAsia="仿宋_GB2312"/>
                <w:sz w:val="24"/>
              </w:rPr>
            </w:pPr>
            <w:bookmarkStart w:id="6" w:name="_Hlk124265392"/>
            <w:r>
              <w:rPr>
                <w:rFonts w:hint="eastAsia" w:ascii="仿宋_GB2312" w:eastAsia="仿宋_GB2312"/>
                <w:sz w:val="24"/>
              </w:rPr>
              <w:t>提升重点</w:t>
            </w:r>
          </w:p>
          <w:p>
            <w:pPr>
              <w:snapToGrid w:val="0"/>
              <w:spacing w:line="360" w:lineRule="exact"/>
              <w:jc w:val="center"/>
              <w:rPr>
                <w:rFonts w:hint="eastAsia" w:ascii="仿宋_GB2312" w:eastAsia="仿宋_GB2312"/>
                <w:sz w:val="24"/>
              </w:rPr>
            </w:pPr>
            <w:r>
              <w:rPr>
                <w:rFonts w:hint="eastAsia" w:ascii="仿宋_GB2312" w:eastAsia="仿宋_GB2312"/>
                <w:sz w:val="24"/>
              </w:rPr>
              <w:t>地区扬尘</w:t>
            </w:r>
          </w:p>
          <w:p>
            <w:pPr>
              <w:snapToGrid w:val="0"/>
              <w:spacing w:line="360" w:lineRule="exact"/>
              <w:jc w:val="center"/>
              <w:rPr>
                <w:rFonts w:ascii="仿宋_GB2312" w:eastAsia="仿宋_GB2312"/>
                <w:sz w:val="24"/>
              </w:rPr>
            </w:pPr>
            <w:r>
              <w:rPr>
                <w:rFonts w:hint="eastAsia" w:ascii="仿宋_GB2312" w:eastAsia="仿宋_GB2312"/>
                <w:sz w:val="24"/>
              </w:rPr>
              <w:t>管控</w:t>
            </w:r>
            <w:bookmarkEnd w:id="6"/>
          </w:p>
        </w:tc>
        <w:tc>
          <w:tcPr>
            <w:tcW w:w="7654" w:type="dxa"/>
            <w:tcBorders>
              <w:top w:val="single" w:color="auto" w:sz="4" w:space="0"/>
              <w:left w:val="nil"/>
              <w:bottom w:val="single" w:color="auto" w:sz="4" w:space="0"/>
              <w:right w:val="single" w:color="auto" w:sz="4" w:space="0"/>
            </w:tcBorders>
            <w:noWrap w:val="0"/>
            <w:vAlign w:val="center"/>
          </w:tcPr>
          <w:p>
            <w:pPr>
              <w:pStyle w:val="3"/>
              <w:snapToGrid w:val="0"/>
              <w:spacing w:line="360" w:lineRule="exact"/>
              <w:rPr>
                <w:rFonts w:ascii="仿宋_GB2312" w:hAnsi="Times New Roman" w:eastAsia="仿宋_GB2312"/>
                <w:sz w:val="24"/>
                <w:szCs w:val="24"/>
              </w:rPr>
            </w:pPr>
            <w:r>
              <w:rPr>
                <w:rFonts w:hint="eastAsia" w:ascii="仿宋_GB2312" w:hAnsi="Times New Roman" w:eastAsia="仿宋_GB2312"/>
                <w:sz w:val="24"/>
                <w:szCs w:val="24"/>
              </w:rPr>
              <w:t>开展施工工地专项监督检查，重点检查工地出入口道路扬尘问题，力争TSP年均浓度不进入全市后三十，减少道路尘负荷进入全市后十问题。</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永定镇</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开展辖区内道路扬尘治理，重点加强河西路、香杏路、石担路辅线等道路清扫保洁，减少道路尘负荷进入全市后十问题。</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龙泉镇</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47" w:type="dxa"/>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23</w:t>
            </w:r>
          </w:p>
        </w:tc>
        <w:tc>
          <w:tcPr>
            <w:tcW w:w="1418" w:type="dxa"/>
            <w:tcBorders>
              <w:left w:val="nil"/>
              <w:bottom w:val="single" w:color="auto" w:sz="4" w:space="0"/>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燃气锅炉</w:t>
            </w:r>
          </w:p>
          <w:p>
            <w:pPr>
              <w:snapToGrid w:val="0"/>
              <w:spacing w:line="360" w:lineRule="exact"/>
              <w:jc w:val="center"/>
              <w:rPr>
                <w:rFonts w:hint="eastAsia" w:ascii="仿宋_GB2312" w:eastAsia="仿宋_GB2312"/>
                <w:sz w:val="24"/>
              </w:rPr>
            </w:pPr>
            <w:r>
              <w:rPr>
                <w:rFonts w:hint="eastAsia" w:ascii="仿宋_GB2312" w:eastAsia="仿宋_GB2312"/>
                <w:sz w:val="24"/>
              </w:rPr>
              <w:t>深度治理</w:t>
            </w:r>
          </w:p>
          <w:p>
            <w:pPr>
              <w:snapToGrid w:val="0"/>
              <w:spacing w:line="360" w:lineRule="exact"/>
              <w:jc w:val="center"/>
              <w:rPr>
                <w:rFonts w:ascii="仿宋_GB2312" w:eastAsia="仿宋_GB2312"/>
                <w:sz w:val="24"/>
              </w:rPr>
            </w:pPr>
            <w:r>
              <w:rPr>
                <w:rFonts w:hint="eastAsia" w:ascii="仿宋_GB2312" w:eastAsia="仿宋_GB2312"/>
                <w:sz w:val="24"/>
              </w:rPr>
              <w:t>示范项目</w:t>
            </w:r>
          </w:p>
        </w:tc>
        <w:tc>
          <w:tcPr>
            <w:tcW w:w="7654" w:type="dxa"/>
            <w:tcBorders>
              <w:top w:val="single" w:color="auto" w:sz="4" w:space="0"/>
              <w:left w:val="nil"/>
              <w:bottom w:val="single" w:color="auto" w:sz="4" w:space="0"/>
              <w:right w:val="single" w:color="auto" w:sz="4" w:space="0"/>
            </w:tcBorders>
            <w:noWrap w:val="0"/>
            <w:vAlign w:val="center"/>
          </w:tcPr>
          <w:p>
            <w:pPr>
              <w:pStyle w:val="3"/>
              <w:snapToGrid w:val="0"/>
              <w:spacing w:line="360" w:lineRule="exact"/>
              <w:rPr>
                <w:rFonts w:ascii="仿宋_GB2312" w:hAnsi="Times New Roman" w:eastAsia="仿宋_GB2312"/>
                <w:sz w:val="24"/>
                <w:szCs w:val="24"/>
              </w:rPr>
            </w:pPr>
            <w:r>
              <w:rPr>
                <w:rFonts w:hint="eastAsia" w:ascii="仿宋_GB2312" w:eastAsia="仿宋_GB2312"/>
                <w:color w:val="000000"/>
                <w:sz w:val="24"/>
                <w:szCs w:val="24"/>
              </w:rPr>
              <w:t>组织对辖区内具备改造条件的燃气锅炉开展进一步低氮改造。</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采暖季前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color w:val="000000"/>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47" w:type="dxa"/>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24</w:t>
            </w:r>
          </w:p>
        </w:tc>
        <w:tc>
          <w:tcPr>
            <w:tcW w:w="1418" w:type="dxa"/>
            <w:tcBorders>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“油换电”“油换氢”示范项目</w:t>
            </w:r>
          </w:p>
        </w:tc>
        <w:tc>
          <w:tcPr>
            <w:tcW w:w="7654" w:type="dxa"/>
            <w:tcBorders>
              <w:top w:val="single" w:color="auto" w:sz="4" w:space="0"/>
              <w:left w:val="nil"/>
              <w:bottom w:val="single" w:color="auto" w:sz="4" w:space="0"/>
              <w:right w:val="single" w:color="auto" w:sz="4" w:space="0"/>
            </w:tcBorders>
            <w:noWrap w:val="0"/>
            <w:vAlign w:val="center"/>
          </w:tcPr>
          <w:p>
            <w:pPr>
              <w:pStyle w:val="3"/>
              <w:snapToGrid w:val="0"/>
              <w:spacing w:line="360" w:lineRule="exact"/>
              <w:rPr>
                <w:rFonts w:ascii="仿宋_GB2312" w:eastAsia="仿宋_GB2312"/>
                <w:color w:val="000000"/>
                <w:sz w:val="24"/>
                <w:szCs w:val="24"/>
              </w:rPr>
            </w:pPr>
            <w:r>
              <w:rPr>
                <w:rFonts w:hint="eastAsia" w:ascii="仿宋_GB2312" w:eastAsia="仿宋_GB2312"/>
                <w:sz w:val="24"/>
              </w:rPr>
              <w:t>以工业园区等场所内3吨及以下叉车为重点，加快推动10辆叉车电动化。</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color w:val="000000"/>
                <w:sz w:val="24"/>
              </w:rPr>
              <w:t>区科信局</w:t>
            </w:r>
          </w:p>
          <w:p>
            <w:pPr>
              <w:spacing w:line="360" w:lineRule="exact"/>
              <w:jc w:val="center"/>
              <w:rPr>
                <w:rFonts w:ascii="仿宋_GB2312" w:eastAsia="仿宋_GB2312"/>
                <w:color w:val="000000"/>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1" w:type="dxa"/>
            <w:gridSpan w:val="6"/>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olor w:val="000000"/>
                <w:sz w:val="24"/>
              </w:rPr>
            </w:pPr>
            <w:r>
              <w:rPr>
                <w:rFonts w:hint="eastAsia" w:ascii="黑体" w:hAnsi="黑体" w:eastAsia="黑体"/>
                <w:sz w:val="24"/>
              </w:rPr>
              <w:t>六、加强大气环境治理能力建设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47"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25</w:t>
            </w:r>
          </w:p>
          <w:p>
            <w:pPr>
              <w:snapToGrid w:val="0"/>
              <w:spacing w:line="360" w:lineRule="exact"/>
              <w:jc w:val="center"/>
              <w:rPr>
                <w:rFonts w:ascii="仿宋_GB2312" w:eastAsia="仿宋_GB2312"/>
                <w:sz w:val="24"/>
              </w:rPr>
            </w:pPr>
          </w:p>
        </w:tc>
        <w:tc>
          <w:tcPr>
            <w:tcW w:w="1418" w:type="dxa"/>
            <w:vMerge w:val="restart"/>
            <w:tcBorders>
              <w:top w:val="single" w:color="auto" w:sz="4" w:space="0"/>
              <w:left w:val="nil"/>
              <w:right w:val="single" w:color="auto" w:sz="4" w:space="0"/>
            </w:tcBorders>
            <w:noWrap w:val="0"/>
            <w:vAlign w:val="center"/>
          </w:tcPr>
          <w:p>
            <w:pPr>
              <w:snapToGrid w:val="0"/>
              <w:spacing w:line="360" w:lineRule="exact"/>
              <w:jc w:val="center"/>
              <w:rPr>
                <w:rFonts w:hint="eastAsia" w:ascii="仿宋_GB2312" w:eastAsia="仿宋_GB2312"/>
                <w:sz w:val="24"/>
              </w:rPr>
            </w:pPr>
            <w:bookmarkStart w:id="7" w:name="_Hlk124265402"/>
            <w:r>
              <w:rPr>
                <w:rFonts w:hint="eastAsia" w:ascii="仿宋_GB2312" w:eastAsia="仿宋_GB2312"/>
                <w:sz w:val="24"/>
              </w:rPr>
              <w:t>加强区域</w:t>
            </w:r>
          </w:p>
          <w:p>
            <w:pPr>
              <w:snapToGrid w:val="0"/>
              <w:spacing w:line="360" w:lineRule="exact"/>
              <w:jc w:val="center"/>
              <w:rPr>
                <w:rFonts w:ascii="仿宋_GB2312" w:eastAsia="仿宋_GB2312"/>
                <w:sz w:val="24"/>
              </w:rPr>
            </w:pPr>
            <w:r>
              <w:rPr>
                <w:rFonts w:hint="eastAsia" w:ascii="仿宋_GB2312" w:eastAsia="仿宋_GB2312"/>
                <w:sz w:val="24"/>
              </w:rPr>
              <w:t>联防联控</w:t>
            </w:r>
            <w:bookmarkEnd w:id="7"/>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hAnsi="黑体" w:eastAsia="仿宋_GB2312" w:cs="黑体"/>
                <w:sz w:val="24"/>
              </w:rPr>
            </w:pPr>
            <w:r>
              <w:rPr>
                <w:rFonts w:hint="eastAsia" w:ascii="仿宋_GB2312" w:eastAsia="仿宋_GB2312"/>
                <w:sz w:val="24"/>
              </w:rPr>
              <w:t>落实京津冀生态环境执法联动工作机制，以空气重污染、秸秆焚烧等时段为重点，对涉气固定源和重型柴油车、重型燃气车等与交界市（区、县）开展联动执法，共同排查、打击交界处大气违法行为。</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持续巩固同石景山区生态环境局、广宁街道办事处建立的联防联控机制，加强日常联合执法巡查，加大联合治理力度。</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p>
            <w:pPr>
              <w:snapToGrid w:val="0"/>
              <w:spacing w:line="360" w:lineRule="exact"/>
              <w:jc w:val="center"/>
              <w:rPr>
                <w:rFonts w:ascii="仿宋_GB2312" w:eastAsia="仿宋_GB2312"/>
                <w:sz w:val="24"/>
              </w:rPr>
            </w:pPr>
            <w:r>
              <w:rPr>
                <w:rFonts w:hint="eastAsia" w:ascii="仿宋_GB2312" w:eastAsia="仿宋_GB2312"/>
                <w:sz w:val="24"/>
              </w:rPr>
              <w:t>大峪街道</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Cs w:val="21"/>
              </w:rPr>
            </w:pPr>
            <w:r>
              <w:rPr>
                <w:rFonts w:hint="eastAsia" w:ascii="仿宋_GB2312" w:eastAsia="仿宋_GB2312"/>
                <w:sz w:val="24"/>
              </w:rPr>
              <w:t>推动企业绩效评级提升，更新工业源应急减排清单。</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区交通局</w:t>
            </w:r>
          </w:p>
          <w:p>
            <w:pPr>
              <w:snapToGrid w:val="0"/>
              <w:spacing w:line="360" w:lineRule="exact"/>
              <w:jc w:val="center"/>
              <w:rPr>
                <w:rFonts w:ascii="仿宋_GB2312" w:eastAsia="仿宋_GB2312"/>
                <w:sz w:val="24"/>
              </w:rPr>
            </w:pPr>
            <w:r>
              <w:rPr>
                <w:rFonts w:hint="eastAsia" w:ascii="仿宋_GB2312" w:eastAsia="仿宋_GB2312"/>
                <w:sz w:val="24"/>
              </w:rPr>
              <w:t>区科信局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强化区域空气重污染应对，完善空气重污染绩效分级管理，更新扬尘源应急减排清单。依法依规启动重污染天气预警，空气重污染期间，各成员单位组织落实各项减排措施，并加强督查检查执法。</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长期</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实施</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区空气重污染应急指挥部成员单位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7"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26</w:t>
            </w:r>
          </w:p>
        </w:tc>
        <w:tc>
          <w:tcPr>
            <w:tcW w:w="1418" w:type="dxa"/>
            <w:vMerge w:val="restart"/>
            <w:tcBorders>
              <w:top w:val="single" w:color="auto" w:sz="4" w:space="0"/>
              <w:left w:val="nil"/>
              <w:right w:val="single" w:color="auto" w:sz="4" w:space="0"/>
            </w:tcBorders>
            <w:noWrap w:val="0"/>
            <w:vAlign w:val="center"/>
          </w:tcPr>
          <w:p>
            <w:pPr>
              <w:snapToGrid w:val="0"/>
              <w:spacing w:line="360" w:lineRule="exact"/>
              <w:jc w:val="center"/>
              <w:rPr>
                <w:rFonts w:ascii="仿宋_GB2312" w:eastAsia="仿宋_GB2312"/>
                <w:sz w:val="24"/>
              </w:rPr>
            </w:pPr>
            <w:bookmarkStart w:id="8" w:name="_Hlk124265425"/>
            <w:r>
              <w:rPr>
                <w:rFonts w:hint="eastAsia" w:ascii="仿宋_GB2312" w:eastAsia="仿宋_GB2312"/>
                <w:sz w:val="24"/>
              </w:rPr>
              <w:t>强化督导、执法和信息公开</w:t>
            </w:r>
            <w:bookmarkEnd w:id="8"/>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充分运用大气精细化管理平台，定期通报各镇街PM</w:t>
            </w:r>
            <w:r>
              <w:rPr>
                <w:rFonts w:hint="eastAsia" w:ascii="仿宋_GB2312" w:eastAsia="仿宋_GB2312"/>
                <w:sz w:val="24"/>
                <w:vertAlign w:val="subscript"/>
              </w:rPr>
              <w:t>2.5</w:t>
            </w:r>
            <w:r>
              <w:rPr>
                <w:rFonts w:hint="eastAsia" w:ascii="仿宋_GB2312" w:eastAsia="仿宋_GB2312"/>
                <w:sz w:val="24"/>
              </w:rPr>
              <w:t>、TSP、VOCs、NOx浓度及高值地区，各镇街、各部门组织对高值地区开展溯源排查整改，反馈整改情况。</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区住建委</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区公路分局</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区城管委</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区水务局</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区园林绿化局</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区重大项目协调服务中心</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left="-105" w:leftChars="-50" w:right="-105" w:rightChars="-50"/>
              <w:jc w:val="center"/>
            </w:pPr>
          </w:p>
        </w:tc>
        <w:tc>
          <w:tcPr>
            <w:tcW w:w="1418" w:type="dxa"/>
            <w:vMerge w:val="continue"/>
            <w:tcBorders>
              <w:left w:val="nil"/>
              <w:right w:val="single" w:color="auto" w:sz="4" w:space="0"/>
            </w:tcBorders>
            <w:noWrap w:val="0"/>
            <w:vAlign w:val="center"/>
          </w:tcPr>
          <w:p>
            <w:pPr>
              <w:snapToGrid w:val="0"/>
              <w:spacing w:line="360" w:lineRule="exact"/>
              <w:ind w:left="-105" w:leftChars="-50" w:right="-105" w:rightChars="-50"/>
              <w:jc w:val="cente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生态环境、公安、城管执法、市场监管等部门依据职责，组织开展贯穿全年的环境问题执法检查专项，重点加强对餐饮、汽修、VOCs和N</w:t>
            </w:r>
            <w:r>
              <w:rPr>
                <w:rFonts w:ascii="仿宋_GB2312" w:eastAsia="仿宋_GB2312"/>
                <w:sz w:val="24"/>
              </w:rPr>
              <w:t>Ox</w:t>
            </w:r>
            <w:r>
              <w:rPr>
                <w:rFonts w:hint="eastAsia" w:ascii="仿宋_GB2312" w:eastAsia="仿宋_GB2312"/>
                <w:sz w:val="24"/>
              </w:rPr>
              <w:t>排放重点企业、施工工地等单位的执法检查。强化排污许可证后监管执法，严格查处无证和不按证排污行为。</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区生态环境局</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区公安分局</w:t>
            </w:r>
          </w:p>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color w:val="000000"/>
                <w:sz w:val="24"/>
              </w:rPr>
              <w:t>区城管委</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区市场监管局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7" w:type="dxa"/>
            <w:vMerge w:val="continue"/>
            <w:tcBorders>
              <w:left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1418" w:type="dxa"/>
            <w:vMerge w:val="continue"/>
            <w:tcBorders>
              <w:left w:val="nil"/>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pStyle w:val="3"/>
              <w:snapToGrid w:val="0"/>
              <w:spacing w:line="360" w:lineRule="exact"/>
              <w:rPr>
                <w:rFonts w:ascii="仿宋_GB2312" w:eastAsia="仿宋_GB2312"/>
                <w:sz w:val="24"/>
              </w:rPr>
            </w:pPr>
            <w:r>
              <w:rPr>
                <w:rFonts w:hint="eastAsia" w:ascii="仿宋_GB2312" w:eastAsia="仿宋_GB2312" w:cs="仿宋_GB2312"/>
                <w:sz w:val="24"/>
              </w:rPr>
              <w:t>整治建筑垃圾违法违规行为，区城市管委牵头，加大对道路遗撒、扬尘、冒黑烟等问题的查处力度，对违法行为依法处理处置，对典型案例加强宣传曝光，形成震慑。</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区城管委</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rPr>
                <w:rFonts w:ascii="仿宋_GB2312" w:eastAsia="仿宋_GB2312"/>
                <w:sz w:val="24"/>
              </w:rPr>
            </w:pPr>
            <w:r>
              <w:rPr>
                <w:rFonts w:hint="eastAsia" w:ascii="仿宋_GB2312" w:eastAsia="仿宋_GB2312"/>
                <w:sz w:val="24"/>
              </w:rPr>
              <w:t>落实环境信息依法披露改革要求，督促重点排污单位、实施强制性清洁生产审核的企业等依法披露年度报告等环境信息。</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color w:val="00000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747" w:type="dxa"/>
            <w:vMerge w:val="restart"/>
            <w:tcBorders>
              <w:left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27</w:t>
            </w:r>
          </w:p>
        </w:tc>
        <w:tc>
          <w:tcPr>
            <w:tcW w:w="1418" w:type="dxa"/>
            <w:vMerge w:val="restart"/>
            <w:tcBorders>
              <w:left w:val="nil"/>
              <w:right w:val="single" w:color="auto" w:sz="4" w:space="0"/>
            </w:tcBorders>
            <w:noWrap w:val="0"/>
            <w:vAlign w:val="center"/>
          </w:tcPr>
          <w:p>
            <w:pPr>
              <w:snapToGrid w:val="0"/>
              <w:spacing w:line="360" w:lineRule="exact"/>
              <w:jc w:val="center"/>
              <w:rPr>
                <w:rFonts w:hint="eastAsia" w:ascii="仿宋_GB2312" w:eastAsia="仿宋_GB2312"/>
                <w:sz w:val="24"/>
              </w:rPr>
            </w:pPr>
            <w:r>
              <w:rPr>
                <w:rFonts w:hint="eastAsia" w:ascii="仿宋_GB2312" w:eastAsia="仿宋_GB2312"/>
                <w:sz w:val="24"/>
              </w:rPr>
              <w:t>发挥生态</w:t>
            </w:r>
          </w:p>
          <w:p>
            <w:pPr>
              <w:snapToGrid w:val="0"/>
              <w:spacing w:line="360" w:lineRule="exact"/>
              <w:jc w:val="center"/>
              <w:rPr>
                <w:rFonts w:hint="eastAsia" w:ascii="仿宋_GB2312" w:eastAsia="仿宋_GB2312"/>
                <w:sz w:val="24"/>
              </w:rPr>
            </w:pPr>
            <w:r>
              <w:rPr>
                <w:rFonts w:hint="eastAsia" w:ascii="仿宋_GB2312" w:eastAsia="仿宋_GB2312"/>
                <w:sz w:val="24"/>
              </w:rPr>
              <w:t>环境经济</w:t>
            </w:r>
          </w:p>
          <w:p>
            <w:pPr>
              <w:snapToGrid w:val="0"/>
              <w:spacing w:line="360" w:lineRule="exact"/>
              <w:jc w:val="center"/>
              <w:rPr>
                <w:rFonts w:hint="eastAsia" w:ascii="仿宋_GB2312" w:eastAsia="仿宋_GB2312"/>
                <w:sz w:val="24"/>
              </w:rPr>
            </w:pPr>
            <w:r>
              <w:rPr>
                <w:rFonts w:hint="eastAsia" w:ascii="仿宋_GB2312" w:eastAsia="仿宋_GB2312"/>
                <w:sz w:val="24"/>
              </w:rPr>
              <w:t>激励引导</w:t>
            </w:r>
          </w:p>
          <w:p>
            <w:pPr>
              <w:snapToGrid w:val="0"/>
              <w:spacing w:line="360" w:lineRule="exact"/>
              <w:jc w:val="center"/>
              <w:rPr>
                <w:rFonts w:ascii="仿宋_GB2312" w:eastAsia="仿宋_GB2312"/>
                <w:sz w:val="24"/>
              </w:rPr>
            </w:pPr>
            <w:r>
              <w:rPr>
                <w:rFonts w:hint="eastAsia" w:ascii="仿宋_GB2312" w:eastAsia="仿宋_GB2312"/>
                <w:sz w:val="24"/>
              </w:rPr>
              <w:t>作用</w:t>
            </w: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rPr>
                <w:rFonts w:ascii="仿宋_GB2312" w:eastAsia="仿宋_GB2312"/>
                <w:sz w:val="24"/>
              </w:rPr>
            </w:pPr>
            <w:r>
              <w:rPr>
                <w:rFonts w:hint="eastAsia" w:ascii="仿宋_GB2312" w:eastAsia="仿宋_GB2312"/>
                <w:sz w:val="24"/>
              </w:rPr>
              <w:t>加强市级资金统筹，按照污染防治专项转移支付资金管理办法，向环境质量改善情况好、污染防治任务重的街道、乡镇予以倾斜。</w:t>
            </w:r>
          </w:p>
          <w:p>
            <w:pPr>
              <w:snapToGrid w:val="0"/>
              <w:spacing w:line="360" w:lineRule="exact"/>
              <w:ind w:left="-105" w:leftChars="-50" w:right="-105" w:rightChars="-50"/>
              <w:rPr>
                <w:rFonts w:ascii="仿宋_GB2312" w:eastAsia="仿宋_GB2312"/>
                <w:sz w:val="24"/>
              </w:rPr>
            </w:pPr>
            <w:r>
              <w:rPr>
                <w:rFonts w:hint="eastAsia" w:ascii="仿宋_GB2312" w:eastAsia="仿宋_GB2312"/>
                <w:sz w:val="24"/>
              </w:rPr>
              <w:t>加强项目储备与资金使用管理，并结合辖区实际，相应加大区级财政投入力度。</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区财政局</w:t>
            </w:r>
          </w:p>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区生态环境局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1418" w:type="dxa"/>
            <w:vMerge w:val="continue"/>
            <w:tcBorders>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p>
        </w:tc>
        <w:tc>
          <w:tcPr>
            <w:tcW w:w="7654"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ascii="仿宋_GB2312" w:eastAsia="仿宋_GB2312"/>
                <w:sz w:val="24"/>
              </w:rPr>
            </w:pPr>
            <w:r>
              <w:rPr>
                <w:rFonts w:hint="eastAsia" w:ascii="仿宋_GB2312" w:eastAsia="仿宋_GB2312"/>
                <w:sz w:val="24"/>
              </w:rPr>
              <w:t>充分发挥施工扬尘环保税调控作用，区住建委、区城管委与区税务局进一步完善“绿牌”工地表彰和施工扬尘处罚等信息共享机制，实现纳税主体和施工主体信息畅通，确保依法足额征收施工扬尘环保税。</w:t>
            </w: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sz w:val="24"/>
              </w:rPr>
            </w:pPr>
            <w:r>
              <w:rPr>
                <w:rFonts w:hint="eastAsia" w:ascii="仿宋_GB2312" w:eastAsia="仿宋_GB2312"/>
                <w:sz w:val="24"/>
              </w:rPr>
              <w:t>年底前</w:t>
            </w:r>
          </w:p>
        </w:tc>
        <w:tc>
          <w:tcPr>
            <w:tcW w:w="212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仿宋_GB2312" w:eastAsia="仿宋_GB2312"/>
                <w:sz w:val="24"/>
              </w:rPr>
            </w:pPr>
            <w:r>
              <w:rPr>
                <w:rFonts w:hint="eastAsia" w:ascii="仿宋_GB2312" w:eastAsia="仿宋_GB2312"/>
                <w:sz w:val="24"/>
              </w:rPr>
              <w:t>区住建委</w:t>
            </w:r>
          </w:p>
          <w:p>
            <w:pPr>
              <w:snapToGrid w:val="0"/>
              <w:spacing w:line="360" w:lineRule="exact"/>
              <w:jc w:val="center"/>
              <w:rPr>
                <w:rFonts w:ascii="仿宋_GB2312" w:eastAsia="仿宋_GB2312"/>
                <w:sz w:val="24"/>
              </w:rPr>
            </w:pPr>
            <w:r>
              <w:rPr>
                <w:rFonts w:hint="eastAsia" w:ascii="仿宋_GB2312" w:eastAsia="仿宋_GB2312"/>
                <w:sz w:val="24"/>
              </w:rPr>
              <w:t>区城管委</w:t>
            </w:r>
          </w:p>
          <w:p>
            <w:pPr>
              <w:snapToGrid w:val="0"/>
              <w:spacing w:line="360" w:lineRule="exact"/>
              <w:jc w:val="center"/>
              <w:rPr>
                <w:rFonts w:ascii="仿宋_GB2312" w:eastAsia="仿宋_GB2312"/>
                <w:sz w:val="24"/>
              </w:rPr>
            </w:pPr>
            <w:r>
              <w:rPr>
                <w:rFonts w:hint="eastAsia" w:ascii="仿宋_GB2312" w:eastAsia="仿宋_GB2312"/>
                <w:sz w:val="24"/>
              </w:rPr>
              <w:t>区税务局</w:t>
            </w:r>
          </w:p>
        </w:tc>
        <w:tc>
          <w:tcPr>
            <w:tcW w:w="2230" w:type="dxa"/>
            <w:tcBorders>
              <w:top w:val="single" w:color="auto" w:sz="4" w:space="0"/>
              <w:left w:val="nil"/>
              <w:bottom w:val="single" w:color="auto" w:sz="4" w:space="0"/>
              <w:right w:val="single" w:color="auto" w:sz="4" w:space="0"/>
            </w:tcBorders>
            <w:noWrap w:val="0"/>
            <w:vAlign w:val="center"/>
          </w:tcPr>
          <w:p>
            <w:pPr>
              <w:snapToGrid w:val="0"/>
              <w:spacing w:line="360" w:lineRule="exact"/>
              <w:ind w:left="-105" w:leftChars="-50" w:right="-105" w:rightChars="-50"/>
              <w:jc w:val="center"/>
              <w:rPr>
                <w:rFonts w:ascii="仿宋_GB2312" w:eastAsia="仿宋_GB2312"/>
                <w:color w:val="000000"/>
                <w:sz w:val="24"/>
              </w:rPr>
            </w:pPr>
            <w:r>
              <w:rPr>
                <w:rFonts w:hint="eastAsia" w:ascii="仿宋_GB2312" w:eastAsia="仿宋_GB2312"/>
                <w:spacing w:val="-26"/>
                <w:sz w:val="24"/>
              </w:rPr>
              <w:t>——</w:t>
            </w:r>
          </w:p>
        </w:tc>
      </w:tr>
    </w:tbl>
    <w:p>
      <w:pPr>
        <w:widowControl/>
        <w:jc w:val="left"/>
        <w:rPr>
          <w:rFonts w:ascii="黑体" w:hAnsi="黑体" w:eastAsia="黑体"/>
          <w:sz w:val="32"/>
          <w:szCs w:val="32"/>
        </w:rPr>
      </w:pPr>
    </w:p>
    <w:p>
      <w:pPr>
        <w:pStyle w:val="2"/>
      </w:pPr>
    </w:p>
    <w:p/>
    <w:p>
      <w:pPr>
        <w:pStyle w:val="2"/>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zE3ZTBjYTA0N2JmMGMzMWUwYTZlYzJiY2ZjMGYifQ=="/>
  </w:docVars>
  <w:rsids>
    <w:rsidRoot w:val="1197603D"/>
    <w:rsid w:val="1197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Plain Text"/>
    <w:basedOn w:val="1"/>
    <w:unhideWhenUsed/>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2023-01-11T09:03:00Z</dcterms:created>
  <dc:creator>张苡漠</dc:creator>
  <cp:lastModifiedBy>张苡漠</cp:lastModifiedBy>
  <dcterms:modified xsi:type="dcterms:W3CDTF">2023-01-11T09:04:39Z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BF2F92D05792456BBEE33D9E941EA9E0</vt:lpwstr>
  </property>
</Properties>
</file>