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312" w:after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 w:eastAsia="zh-CN"/>
        </w:rPr>
        <w:t>附件</w:t>
      </w:r>
      <w:r>
        <w:rPr>
          <w:rFonts w:hint="eastAsia" w:ascii="黑体" w:hAnsi="黑体" w:eastAsia="黑体" w:cs="黑体"/>
          <w:color w:val="auto"/>
          <w:sz w:val="32"/>
          <w:szCs w:val="32"/>
          <w:lang w:val="en-US" w:eastAsia="zh-CN"/>
        </w:rPr>
        <w:t>1</w:t>
      </w:r>
    </w:p>
    <w:p>
      <w:pPr>
        <w:adjustRightInd w:val="0"/>
        <w:snapToGrid w:val="0"/>
        <w:spacing w:beforeLines="0" w:after="312" w:afterLines="100"/>
        <w:ind w:firstLine="0" w:firstLineChars="0"/>
        <w:jc w:val="center"/>
        <w:rPr>
          <w:rFonts w:hint="eastAsia" w:eastAsia="方正小标宋简体"/>
          <w:color w:val="auto"/>
          <w:sz w:val="52"/>
          <w:szCs w:val="24"/>
        </w:rPr>
      </w:pPr>
    </w:p>
    <w:p>
      <w:pPr>
        <w:adjustRightInd w:val="0"/>
        <w:snapToGrid w:val="0"/>
        <w:spacing w:beforeLines="0" w:after="312" w:afterLines="100"/>
        <w:ind w:firstLine="0" w:firstLineChars="0"/>
        <w:jc w:val="center"/>
        <w:rPr>
          <w:rFonts w:hint="eastAsia"/>
          <w:color w:val="auto"/>
          <w:sz w:val="52"/>
          <w:szCs w:val="24"/>
        </w:rPr>
      </w:pPr>
      <w:r>
        <w:rPr>
          <w:rFonts w:hint="eastAsia" w:eastAsia="方正小标宋简体"/>
          <w:color w:val="auto"/>
          <w:sz w:val="52"/>
          <w:szCs w:val="24"/>
        </w:rPr>
        <w:t>大兴区新型智慧城市建设行动计划</w:t>
      </w:r>
    </w:p>
    <w:p>
      <w:pPr>
        <w:adjustRightInd w:val="0"/>
        <w:snapToGrid w:val="0"/>
        <w:spacing w:beforeLines="0" w:after="312" w:afterLines="100"/>
        <w:ind w:firstLine="0" w:firstLineChars="0"/>
        <w:jc w:val="center"/>
        <w:rPr>
          <w:rFonts w:hint="eastAsia" w:ascii="方正小标宋简体" w:hAnsi="方正小标宋简体" w:eastAsia="方正小标宋简体"/>
          <w:color w:val="auto"/>
          <w:sz w:val="52"/>
          <w:szCs w:val="24"/>
        </w:rPr>
      </w:pPr>
      <w:r>
        <w:rPr>
          <w:rFonts w:hint="eastAsia" w:ascii="方正小标宋简体" w:hAnsi="方正小标宋简体" w:eastAsia="方正小标宋简体"/>
          <w:color w:val="auto"/>
          <w:sz w:val="52"/>
          <w:szCs w:val="24"/>
        </w:rPr>
        <w:t>（2022-2025年）</w:t>
      </w:r>
    </w:p>
    <w:p>
      <w:pPr>
        <w:adjustRightInd w:val="0"/>
        <w:snapToGrid w:val="0"/>
        <w:spacing w:beforeLines="0" w:afterLines="0"/>
        <w:ind w:firstLine="0" w:firstLineChars="0"/>
        <w:jc w:val="center"/>
        <w:rPr>
          <w:rFonts w:hint="eastAsia"/>
          <w:sz w:val="32"/>
          <w:szCs w:val="24"/>
        </w:rPr>
      </w:pPr>
      <w:r>
        <w:rPr>
          <w:rFonts w:hint="eastAsia" w:eastAsia="仿宋_GB2312"/>
          <w:sz w:val="32"/>
          <w:szCs w:val="24"/>
        </w:rPr>
        <w:t>（征求意见稿）</w:t>
      </w:r>
    </w:p>
    <w:p>
      <w:pPr>
        <w:tabs>
          <w:tab w:val="left" w:pos="5713"/>
        </w:tabs>
        <w:adjustRightInd w:val="0"/>
        <w:snapToGrid w:val="0"/>
        <w:spacing w:beforeLines="0" w:afterLines="0"/>
        <w:ind w:firstLine="0" w:firstLineChars="0"/>
        <w:jc w:val="left"/>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pStyle w:val="2"/>
        <w:rPr>
          <w:rFonts w:hint="eastAsia"/>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adjustRightInd w:val="0"/>
        <w:snapToGrid w:val="0"/>
        <w:spacing w:beforeLines="0" w:afterLines="0"/>
        <w:ind w:firstLine="0" w:firstLineChars="0"/>
        <w:jc w:val="center"/>
        <w:rPr>
          <w:rFonts w:hint="eastAsia" w:ascii="仿宋_GB2312" w:hAnsi="仿宋" w:eastAsia="仿宋_GB2312"/>
          <w:color w:val="auto"/>
          <w:sz w:val="28"/>
          <w:szCs w:val="24"/>
        </w:rPr>
      </w:pPr>
    </w:p>
    <w:p>
      <w:pPr>
        <w:spacing w:beforeLines="0" w:after="312" w:afterLines="100"/>
        <w:ind w:firstLine="0" w:firstLineChars="0"/>
        <w:jc w:val="center"/>
        <w:rPr>
          <w:rFonts w:hint="eastAsia" w:ascii="仿宋_GB2312" w:hAnsi="仿宋" w:eastAsia="仿宋_GB2312"/>
          <w:b/>
          <w:color w:val="auto"/>
          <w:sz w:val="32"/>
          <w:szCs w:val="24"/>
        </w:rPr>
      </w:pPr>
      <w:bookmarkStart w:id="0" w:name="_Hlk79688481"/>
      <w:r>
        <w:rPr>
          <w:rFonts w:hint="eastAsia" w:ascii="仿宋_GB2312" w:hAnsi="仿宋" w:eastAsia="仿宋_GB2312"/>
          <w:b/>
          <w:color w:val="auto"/>
          <w:sz w:val="32"/>
          <w:szCs w:val="24"/>
        </w:rPr>
        <w:t>大兴区新型智慧城市建设工作领导小组办公室</w:t>
      </w:r>
    </w:p>
    <w:p>
      <w:pPr>
        <w:spacing w:beforeLines="0" w:after="312" w:afterLines="100"/>
        <w:ind w:firstLine="0" w:firstLineChars="0"/>
        <w:jc w:val="center"/>
        <w:rPr>
          <w:rFonts w:hint="eastAsia" w:ascii="仿宋_GB2312" w:hAnsi="仿宋" w:eastAsia="仿宋_GB2312"/>
          <w:b/>
          <w:color w:val="auto"/>
          <w:sz w:val="32"/>
          <w:szCs w:val="24"/>
        </w:rPr>
      </w:pPr>
      <w:r>
        <w:rPr>
          <w:rFonts w:hint="eastAsia" w:ascii="仿宋_GB2312" w:hAnsi="仿宋" w:eastAsia="仿宋_GB2312"/>
          <w:b/>
          <w:color w:val="auto"/>
          <w:sz w:val="32"/>
          <w:szCs w:val="24"/>
        </w:rPr>
        <w:t>2022年5月</w:t>
      </w:r>
    </w:p>
    <w:bookmarkEnd w:id="0"/>
    <w:p>
      <w:pPr>
        <w:spacing w:beforeLines="0" w:afterLines="0"/>
        <w:ind w:firstLine="720"/>
        <w:rPr>
          <w:rFonts w:hint="eastAsia" w:ascii="方正小标宋简体" w:eastAsia="方正小标宋简体"/>
          <w:color w:val="auto"/>
          <w:sz w:val="36"/>
          <w:szCs w:val="24"/>
        </w:rPr>
        <w:sectPr>
          <w:headerReference r:id="rId3" w:type="default"/>
          <w:footerReference r:id="rId4" w:type="default"/>
          <w:pgSz w:w="11906" w:h="16838"/>
          <w:pgMar w:top="1440" w:right="1800" w:bottom="1440" w:left="1800" w:header="851" w:footer="992" w:gutter="0"/>
          <w:lnNumType w:countBy="0" w:distance="360"/>
          <w:pgNumType w:fmt="numberInDash" w:start="1"/>
          <w:cols w:space="720" w:num="1"/>
          <w:docGrid w:type="lines" w:linePitch="312" w:charSpace="0"/>
        </w:sectPr>
      </w:pPr>
    </w:p>
    <w:p>
      <w:pPr>
        <w:spacing w:beforeLines="0" w:afterLines="0"/>
        <w:ind w:firstLine="0" w:firstLineChars="0"/>
        <w:jc w:val="center"/>
        <w:rPr>
          <w:rFonts w:hint="eastAsia" w:ascii="黑体" w:hAnsi="黑体" w:eastAsia="黑体"/>
          <w:color w:val="auto"/>
          <w:sz w:val="36"/>
          <w:szCs w:val="24"/>
        </w:rPr>
      </w:pPr>
      <w:r>
        <w:rPr>
          <w:rFonts w:hint="eastAsia" w:ascii="黑体" w:hAnsi="黑体" w:eastAsia="黑体"/>
          <w:color w:val="auto"/>
          <w:sz w:val="36"/>
          <w:szCs w:val="24"/>
        </w:rPr>
        <w:t>目 录</w:t>
      </w:r>
    </w:p>
    <w:p>
      <w:pPr>
        <w:pStyle w:val="11"/>
        <w:tabs>
          <w:tab w:val="right" w:leader="dot" w:pos="8306"/>
        </w:tabs>
        <w:spacing w:beforeLines="0" w:afterLines="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"1-2" \u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一、现状形势</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_Toc10239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二、总体要求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_Toc29862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（一）指导思想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_Toc31499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（二）发展目标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_Toc3454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三、主要任务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（一）夯实智慧城市数字底座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_Toc28933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（二）构建协同一体数字政府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（三）打造智慧便捷公共服务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_Toc6390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（四）实现集约高效城市治理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（五）助力数字经济加速发展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四、保障措施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（一）强化统筹协调力度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_Toc26560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（二）创新项目管理模式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_Toc5333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（三）拓展建设资金来源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_Toc16764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（四）加大人才培养力度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72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（五）加强宣传培训引导</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_Toc27753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p>
    <w:p>
      <w:pPr>
        <w:pStyle w:val="11"/>
        <w:tabs>
          <w:tab w:val="right" w:leader="dot" w:pos="8306"/>
        </w:tabs>
        <w:spacing w:beforeLines="0" w:afterLines="0"/>
        <w:ind w:left="0" w:firstLine="0" w:firstLineChars="0"/>
        <w:rPr>
          <w:rFonts w:hint="eastAsia" w:ascii="仿宋_GB2312" w:hAnsi="仿宋_GB2312" w:eastAsia="仿宋_GB2312" w:cs="仿宋_GB2312"/>
          <w:color w:val="auto"/>
          <w:sz w:val="32"/>
          <w:szCs w:val="32"/>
        </w:rPr>
        <w:sectPr>
          <w:footerReference r:id="rId5" w:type="default"/>
          <w:pgSz w:w="11906" w:h="16838"/>
          <w:pgMar w:top="1440" w:right="1800" w:bottom="1440" w:left="1800" w:header="851" w:footer="992" w:gutter="0"/>
          <w:lnNumType w:countBy="0" w:distance="360"/>
          <w:pgNumType w:fmt="numberInDash" w:start="1"/>
          <w:cols w:space="720" w:num="1"/>
          <w:docGrid w:type="lines" w:linePitch="312" w:charSpace="0"/>
        </w:sectPr>
      </w:pPr>
      <w:r>
        <w:rPr>
          <w:rFonts w:hint="eastAsia" w:ascii="仿宋_GB2312" w:hAnsi="仿宋_GB2312" w:eastAsia="仿宋_GB2312" w:cs="仿宋_GB2312"/>
          <w:sz w:val="32"/>
          <w:szCs w:val="32"/>
        </w:rPr>
        <w:fldChar w:fldCharType="end"/>
      </w:r>
    </w:p>
    <w:p>
      <w:pPr>
        <w:keepNext/>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eastAsia="仿宋_GB2312"/>
          <w:sz w:val="32"/>
          <w:szCs w:val="24"/>
          <w:highlight w:val="none"/>
        </w:rPr>
      </w:pPr>
      <w:bookmarkStart w:id="1" w:name="_Toc16868"/>
      <w:bookmarkStart w:id="2" w:name="_Toc28640"/>
      <w:bookmarkStart w:id="3" w:name="_Toc26188"/>
      <w:bookmarkStart w:id="4" w:name="_Toc18411"/>
      <w:bookmarkStart w:id="5" w:name="_Toc27553"/>
      <w:bookmarkStart w:id="6" w:name="_Toc9595"/>
      <w:bookmarkStart w:id="7" w:name="_Toc4648"/>
      <w:bookmarkStart w:id="8" w:name="_Toc5943"/>
      <w:bookmarkStart w:id="9" w:name="_Toc92179949"/>
      <w:bookmarkStart w:id="10" w:name="_Toc31738"/>
      <w:bookmarkStart w:id="11" w:name="_Toc11614"/>
      <w:r>
        <w:rPr>
          <w:rFonts w:hint="eastAsia" w:ascii="仿宋_GB2312" w:eastAsia="仿宋_GB2312"/>
          <w:sz w:val="32"/>
          <w:szCs w:val="24"/>
          <w:highlight w:val="none"/>
        </w:rPr>
        <w:t>为</w:t>
      </w:r>
      <w:r>
        <w:rPr>
          <w:rFonts w:hint="eastAsia" w:ascii="仿宋_GB2312" w:hAnsi="仿宋_GB2312" w:eastAsia="仿宋_GB2312"/>
          <w:color w:val="auto"/>
          <w:sz w:val="32"/>
          <w:szCs w:val="24"/>
          <w:highlight w:val="none"/>
        </w:rPr>
        <w:t>贯彻落实《北京市智慧城市十四五发展行动纲要》，</w:t>
      </w:r>
      <w:r>
        <w:rPr>
          <w:rFonts w:hint="eastAsia" w:ascii="仿宋_GB2312" w:eastAsia="仿宋_GB2312"/>
          <w:sz w:val="32"/>
          <w:szCs w:val="24"/>
          <w:highlight w:val="none"/>
        </w:rPr>
        <w:t>进一步推动“十四五”时期大兴区智慧城市发展，结合大兴区实际情况，特制定本行动计划。</w:t>
      </w:r>
    </w:p>
    <w:p>
      <w:pPr>
        <w:pStyle w:val="4"/>
        <w:keepNext/>
        <w:keepLines w:val="0"/>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eastAsia="仿宋_GB2312"/>
          <w:color w:val="auto"/>
          <w:sz w:val="32"/>
          <w:szCs w:val="24"/>
          <w:highlight w:val="none"/>
        </w:rPr>
      </w:pPr>
      <w:bookmarkStart w:id="12" w:name="_Toc10239"/>
      <w:bookmarkStart w:id="13" w:name="_Toc29432"/>
      <w:r>
        <w:rPr>
          <w:rFonts w:hint="eastAsia" w:eastAsia="黑体"/>
          <w:color w:val="auto"/>
          <w:sz w:val="32"/>
          <w:szCs w:val="24"/>
          <w:highlight w:val="none"/>
        </w:rPr>
        <w:t>一、现状形势</w:t>
      </w:r>
      <w:bookmarkEnd w:id="12"/>
      <w:bookmarkEnd w:id="13"/>
    </w:p>
    <w:p>
      <w:pPr>
        <w:pStyle w:val="4"/>
        <w:keepNext/>
        <w:keepLines w:val="0"/>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2018-2021大兴区新型智慧城市行动计划》的实施，为大兴区智慧城市向纵深推进奠定了坚实的基础。在信息基础设施建设、民生服务、城市治理、产业经济等方面取得了显著成效，形成了“一云+两平台+N应用”智慧城市总体框架，以筑基为核心的智慧城市1.0建设已基本完成。</w:t>
      </w:r>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以“智慧云”为核心，基本建成城市数字底座。城市物联感知体系逐步完善，建成各类视频监控3万余路。城市基础通信网络持续优化，光纤网络100%覆盖，5G基站2466个。政务云服务体系已初步建成，建成大兴区统一的政务云平台。数据整合共享力度不断加大，建成区级大数据平台，建立和完善人口、法人两大基础库以及城市运行、信用等主题库，联通市大数据平台，共享市级11个部门、2.14亿条数据。</w:t>
      </w:r>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以重点领域应用为突破，社会服务、城市治理、数字经济发展水平显著提升。社会服务方面，初步形成跨部门公共服务框架，建立三级政务服务接件受理体系，建成区级电子证照分发中心，建成人口健康、数字教育和数字文化馆、智慧养老试点等项目。在城市治理方面，建设城市运行管理平台。交通治理能力持续提升，完成170个路口交通信号智能化改造，建成公交监控调度指挥平台。生态环境管控能力显著增强，建设“智慧生态”工程。在数字经济方面，建成产业服务数字化平台、政企通平台、投资促进平台等。推动利亚德等4家企业成为北京市智能制造标杆企业。完成48600亩的“数字菜田”建设。</w:t>
      </w:r>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以“两平台”为支撑，形成“两屏、两端、两网站”的入口框架。统一公共服务入口，在移动端，依托大兴区公共服务平台，建成“北京大兴”APP。依托大兴区政府网站集约化平台，建设大兴区人民政府网站。统一政府办公入口，建设区政务协同办公云平台（OA系统），实现区级各属地、各部门的协同办公业务应用。统一领导决策服务入口，形成了“两屏一端”的决策入口。“两屏”主要是“平时”支撑工作人员对城市运行态势监测、日常调度和事件分转。“一端”的功能主要是基于大兴区政务协同办公平台。</w:t>
      </w:r>
    </w:p>
    <w:p>
      <w:pPr>
        <w:pStyle w:val="4"/>
        <w:keepNext/>
        <w:keepLines w:val="0"/>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color w:val="auto"/>
          <w:sz w:val="32"/>
          <w:szCs w:val="24"/>
          <w:highlight w:val="none"/>
        </w:rPr>
      </w:pPr>
      <w:bookmarkStart w:id="14" w:name="_Toc24879"/>
      <w:bookmarkStart w:id="15" w:name="_Toc29862"/>
      <w:r>
        <w:rPr>
          <w:rFonts w:hint="eastAsia" w:eastAsia="黑体"/>
          <w:color w:val="auto"/>
          <w:sz w:val="32"/>
          <w:szCs w:val="24"/>
          <w:highlight w:val="none"/>
        </w:rPr>
        <w:t>二、总体要求</w:t>
      </w:r>
      <w:bookmarkEnd w:id="1"/>
      <w:bookmarkEnd w:id="2"/>
      <w:bookmarkEnd w:id="3"/>
      <w:bookmarkEnd w:id="4"/>
      <w:bookmarkEnd w:id="5"/>
      <w:bookmarkEnd w:id="6"/>
      <w:bookmarkEnd w:id="7"/>
      <w:bookmarkEnd w:id="14"/>
      <w:bookmarkEnd w:id="15"/>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6" w:name="_Toc31499"/>
      <w:r>
        <w:rPr>
          <w:rFonts w:hint="eastAsia" w:ascii="楷体_GB2312" w:hAnsi="楷体_GB2312" w:eastAsia="楷体_GB2312" w:cs="楷体_GB2312"/>
          <w:color w:val="auto"/>
          <w:sz w:val="32"/>
          <w:szCs w:val="24"/>
          <w:highlight w:val="none"/>
        </w:rPr>
        <w:t>（一）指导思想</w:t>
      </w:r>
      <w:bookmarkEnd w:id="16"/>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以习近平新时代中国特色社会主义思想为指导，全面贯彻落实党的十九大及十九届历次全会精神，围绕“现代化平原新城、首都发展新的增长极、繁荣开放美丽新国门”的城市定位，坚持全局统筹理念，深化机制创新，以夯实“端网云数”一体融合的城市数字底座为统一支撑，以“一网通办”“一网统管”和民生服务领域应用为重点，以数据赋能、业务重构、应用场景创新为抓手，促进智慧城市建设与城市发展战略深度融合，全面推进大兴智慧城市建设踏入全国先进行列，使大兴区环境质量进一步改善，城市治理更加精细，社会更加和谐稳定，文化教育、医疗卫生等公共服务更加优质，大力改善大兴区营商环境，大幅提升人民群众幸福指数。</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7" w:name="_Toc29817"/>
      <w:bookmarkStart w:id="18" w:name="_Toc29083"/>
      <w:bookmarkStart w:id="19" w:name="_Toc630"/>
      <w:bookmarkStart w:id="20" w:name="_Toc8400"/>
      <w:bookmarkStart w:id="21" w:name="_Toc29522"/>
      <w:bookmarkStart w:id="22" w:name="_Toc3454"/>
      <w:bookmarkStart w:id="23" w:name="_Toc17628"/>
      <w:bookmarkStart w:id="24" w:name="_Toc15813"/>
      <w:bookmarkStart w:id="25" w:name="_Toc30001"/>
      <w:r>
        <w:rPr>
          <w:rFonts w:hint="eastAsia" w:ascii="楷体_GB2312" w:hAnsi="楷体_GB2312" w:eastAsia="楷体_GB2312" w:cs="楷体_GB2312"/>
          <w:color w:val="auto"/>
          <w:sz w:val="32"/>
          <w:szCs w:val="24"/>
          <w:highlight w:val="none"/>
        </w:rPr>
        <w:t>（二）发展目标</w:t>
      </w:r>
      <w:bookmarkEnd w:id="17"/>
      <w:bookmarkEnd w:id="18"/>
      <w:bookmarkEnd w:id="19"/>
      <w:bookmarkEnd w:id="20"/>
      <w:bookmarkEnd w:id="21"/>
      <w:bookmarkEnd w:id="22"/>
      <w:bookmarkEnd w:id="23"/>
      <w:bookmarkEnd w:id="24"/>
      <w:bookmarkEnd w:id="25"/>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color w:val="auto"/>
          <w:sz w:val="32"/>
          <w:szCs w:val="24"/>
          <w:highlight w:val="none"/>
        </w:rPr>
        <w:t>到2025年，建成“云网边端智”一体发展的城市数字底座，打造“强基为先”的智能感知之城；建成全程全时、普惠便捷的城市服务体系，打造“惠民为本”的服务体验之城；建成敏捷联动、智能高效的城市治理体系，打造“慧治为要”的精细共治之城；赋能数字经济加速发展，打造“兴业为源”的绿色创新之城，全面实现人民高品质生活、社会高效能治理、营商环境大幅度改善、经济社会高质量发展。</w:t>
      </w:r>
    </w:p>
    <w:bookmarkEnd w:id="8"/>
    <w:bookmarkEnd w:id="9"/>
    <w:bookmarkEnd w:id="10"/>
    <w:bookmarkEnd w:id="11"/>
    <w:p>
      <w:pPr>
        <w:pStyle w:val="4"/>
        <w:keepNext/>
        <w:keepLines w:val="0"/>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eastAsia="黑体"/>
          <w:color w:val="auto"/>
          <w:sz w:val="32"/>
          <w:szCs w:val="24"/>
          <w:highlight w:val="none"/>
        </w:rPr>
      </w:pPr>
      <w:bookmarkStart w:id="26" w:name="_Toc4360"/>
      <w:bookmarkStart w:id="27" w:name="_Toc256"/>
      <w:bookmarkStart w:id="28" w:name="_Toc1808"/>
      <w:bookmarkStart w:id="29" w:name="_Toc79701158"/>
      <w:bookmarkStart w:id="30" w:name="_Toc21582"/>
      <w:bookmarkStart w:id="31" w:name="_Toc92179952"/>
      <w:bookmarkStart w:id="32" w:name="_Toc3918"/>
      <w:bookmarkStart w:id="33" w:name="_Toc25911"/>
      <w:bookmarkStart w:id="34" w:name="_Toc1466"/>
      <w:bookmarkStart w:id="35" w:name="_Toc7931"/>
      <w:bookmarkStart w:id="36" w:name="_Toc1803"/>
      <w:bookmarkStart w:id="37" w:name="_Toc10386"/>
      <w:bookmarkStart w:id="38" w:name="_Toc20703"/>
      <w:bookmarkStart w:id="39" w:name="_Toc30784"/>
      <w:r>
        <w:rPr>
          <w:rFonts w:hint="eastAsia" w:eastAsia="黑体"/>
          <w:color w:val="auto"/>
          <w:sz w:val="32"/>
          <w:szCs w:val="24"/>
          <w:highlight w:val="none"/>
        </w:rPr>
        <w:t>三、主要任务</w:t>
      </w:r>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40" w:name="_Toc24175"/>
      <w:bookmarkStart w:id="41" w:name="_Toc611"/>
      <w:bookmarkStart w:id="42" w:name="_Toc5837"/>
      <w:bookmarkStart w:id="43" w:name="_Toc28933"/>
      <w:bookmarkStart w:id="44" w:name="_Toc10848"/>
      <w:bookmarkStart w:id="45" w:name="_Toc21809"/>
      <w:bookmarkStart w:id="46" w:name="_Toc22751"/>
      <w:bookmarkStart w:id="47" w:name="_Toc8986"/>
      <w:bookmarkStart w:id="48" w:name="_Toc29075"/>
      <w:bookmarkStart w:id="49" w:name="_Toc92179953"/>
      <w:bookmarkStart w:id="50" w:name="_Toc19520"/>
      <w:bookmarkStart w:id="51" w:name="_Toc10095_WPSOffice_Level2"/>
      <w:bookmarkStart w:id="52" w:name="_Toc6675"/>
      <w:bookmarkStart w:id="53" w:name="_Toc12351"/>
      <w:bookmarkStart w:id="54" w:name="_Toc327892983"/>
      <w:r>
        <w:rPr>
          <w:rFonts w:hint="eastAsia" w:ascii="楷体_GB2312" w:hAnsi="楷体_GB2312" w:eastAsia="楷体_GB2312" w:cs="楷体_GB2312"/>
          <w:color w:val="auto"/>
          <w:sz w:val="32"/>
          <w:szCs w:val="24"/>
          <w:highlight w:val="none"/>
        </w:rPr>
        <w:t>（一）夯实智慧城市数字底座</w:t>
      </w:r>
      <w:bookmarkEnd w:id="40"/>
      <w:bookmarkEnd w:id="41"/>
      <w:bookmarkEnd w:id="42"/>
      <w:bookmarkEnd w:id="43"/>
      <w:bookmarkEnd w:id="44"/>
      <w:bookmarkEnd w:id="45"/>
      <w:bookmarkEnd w:id="46"/>
      <w:bookmarkEnd w:id="47"/>
      <w:bookmarkEnd w:id="48"/>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夯实城市影像感知能力。依托“雪亮工程”对城市影像感知能力进行统筹管理，针对过度配置、重复建设、感知盲区等问题，结合“一网统管”需求，问题导向式完善城市影像感知能力。开展高清视频监控“补点、漏点”建设，围绕重点地区、重点道路、重点部位，在统筹集约的基础上，检视视频监控盲区和弱区，优化视频监控前端布局；完善外围防线智能化监控，聚焦大兴区外围防线和乡村道路关键点位，开展人车识别、外围防线声光警戒监控建设；加强铁路沿线视频监控建设，有效防范铁路安全事故；完善高空瞭望视频监控，建立实现秸秆焚烧、森林火情、治安管理等进行监控和预警。</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健全城市脉搏感知能力。重点加强对生态环境、城市生命线、公共特种设备、消防应急等的感知监测。优化环境物联监控体系，健全生态环境立体监测网络；完善水务物联网感知体系，健全以“五口、三点、一户”为主的“取供用排”水务监测体系，推动重要河道水文自动监测站建设；按照全市统一部署开展加强城市生命线统筹监测，更新新城地区下凹式地下桥的防汛监测点位；健全消防安全监测，开展智慧用电安全监控。</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强化城市感知设施统筹管控。统一感知前端编码和标识。遵循全市“城市码”管理要求，基于大兴区物联网资源服务管理平台，建设区级城市码分平台，开展感知前端的统一编（发）码、解码等服务，规范全区各行业感知终端编码和标识。各前端建设管理单位按照“城市码”编码规则，编制感知前端身份标识，推动二维码整合清理与转化，实现“一前端一标识”以及城市二维码统筹应用。</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建立全区感知前端台账。依托大兴区物联网资源服务管理平台，建设区级感知前端管理台账系统，实现全区感知前端的统一建账、上链，并对接大兴区时空信息云平台，建立全区感知“时空一张图”。依托区级感知前端管理台账系统，各部门实施感知前端管理，开展各类视频监控、传感器等感知前端普查、核对、标识编码、上账工作，定期开展感知设备巡检，保障感知前端运行正常，并动态更新。</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健全感知前端建设机制。实施前端建设行业联审机制，由区经济和信息化局统筹建立感知前端建设项目申报联审机制，联合相关行业主管部门开展前端审查工作。视频图像感知类项目由区公安分局联合审查，“一网统管”感知类项目由区城市管理委联合审查，应急监测感知类项目由区应急局联合审查，其他类型项目由区经济和信息化局视情况确定联审部门。各联审部门出台领域感知前端建设指南和规范要求，优化全区感知前端点位规划布局，通过联合审查机制提升前端建设的科学性、集约性。各部门应充分利用全区台账中已有前端开展感知监测，避免重复建设、过度配置等问题。</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加强视频影像数据联网整合。依托雪亮工程、社会治安综合治理平台，强化重点行业领域、关系国计民生设施周边区域视频监控建设联网工作，加大对重点企事业、商户、社区等社会视频监控资源的联网整合，确保全区视频监控数据全量接入大兴区智慧城市视频图像平台。</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lang w:val="zh-CN"/>
        </w:rPr>
      </w:pPr>
      <w:r>
        <w:rPr>
          <w:rFonts w:hint="eastAsia" w:ascii="仿宋_GB2312" w:hAnsi="仿宋_GB2312"/>
          <w:b w:val="0"/>
          <w:color w:val="auto"/>
          <w:sz w:val="32"/>
          <w:szCs w:val="24"/>
          <w:highlight w:val="none"/>
        </w:rPr>
        <w:t>扩大5G网络建设规模。根据全市5G基站规划，充分利用现有基站资源和市政公共资源建设5G基站，推动临空经济区、新城地区、重点商圈、交通枢纽、校园等重点区域的5G信号室外连续覆盖和室内精准覆盖。</w:t>
      </w:r>
      <w:r>
        <w:rPr>
          <w:rFonts w:hint="eastAsia" w:ascii="仿宋_GB2312" w:hAnsi="仿宋_GB2312"/>
          <w:b w:val="0"/>
          <w:color w:val="auto"/>
          <w:sz w:val="32"/>
          <w:szCs w:val="24"/>
          <w:highlight w:val="none"/>
          <w:lang w:val="zh-CN"/>
        </w:rPr>
        <w:t>提升政务网络覆盖与承载能力。持续优化电子政务网络建设，提升政务网络品质，加快基于IPv6的政务网络改造，提升政务网络承载能力；深入开展金财专网与政务外网两网融合，优化光纤链路资源，实现网络统一管理、终端灵活接入。</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lang w:val="zh-CN"/>
        </w:rPr>
        <w:t>提升全区物联感知网络服务能力。根据各领域感知终端建设和数据传输的需求，拓展大兴区物联专网覆盖范围，提升物联专网核心网的4G、5G、NB-I</w:t>
      </w:r>
      <w:r>
        <w:rPr>
          <w:rFonts w:hint="eastAsia" w:ascii="仿宋_GB2312" w:hAnsi="仿宋_GB2312"/>
          <w:b w:val="0"/>
          <w:color w:val="auto"/>
          <w:sz w:val="32"/>
          <w:szCs w:val="24"/>
          <w:highlight w:val="none"/>
        </w:rPr>
        <w:t>o</w:t>
      </w:r>
      <w:r>
        <w:rPr>
          <w:rFonts w:hint="eastAsia" w:ascii="仿宋_GB2312" w:hAnsi="仿宋_GB2312"/>
          <w:b w:val="0"/>
          <w:color w:val="auto"/>
          <w:sz w:val="32"/>
          <w:szCs w:val="24"/>
          <w:highlight w:val="none"/>
          <w:lang w:val="zh-CN"/>
        </w:rPr>
        <w:t>T网络接入能力，建成全区统一的物联感知网络体系；根据市公安局制定的视频专网与政务外网市、区两级对接标准规范，建设安全边界，按需开展政务外网与视频专网对接打通工作，实现两网视频及数据双向互通，各部门、各属地应充分依托物联专网开展感知数据传输，避免重复建设</w:t>
      </w:r>
      <w:r>
        <w:rPr>
          <w:rFonts w:hint="eastAsia" w:ascii="仿宋_GB2312" w:hAnsi="仿宋_GB2312"/>
          <w:b w:val="0"/>
          <w:color w:val="auto"/>
          <w:sz w:val="32"/>
          <w:szCs w:val="24"/>
          <w:highlight w:val="none"/>
        </w:rPr>
        <w:t>。</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提升政务云服务和管理能力。加强对全区政务信息化计算基础资源的统筹管理，采用对内整合各部门存量计算资源、对外购买云服务等多种模式相结合方式，强化区政务云平台的服务能力。</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多元协同算力设施合理部署。依据全市“2+15+N”人工智能算力规划布局要求，建设临空经济算力中心（100PFlops），支撑智能医药健康、数字贸易和临空经济等产业发展。建立区级算力资源全流程适配管控体系，实现全区算力组网统一管理和调度。</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建设全区统一的数据中台。完善大兴区大数据平台的数据建模分析、数据智能接口服务、数据可视化配置服务，提升数据“汇、管、用、评”全生命周期管理与服务水平，为基于大数据平台的应用场景快速构建提供支撑。</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打造全区统一的人工智能支撑服务。在充分利用市级大数据平台提供的音视频分析、图像分析、语音识别、知识图谱等AI通用能力的基础上，聚焦城市治理、民生服务、经济运行等领域智能应用方面的共性需求，提升大兴区大数据平台在行业领域个性化、特色化的AI服务能力，推动全区人工智能服务集约利用。</w:t>
      </w:r>
    </w:p>
    <w:p>
      <w:pPr>
        <w:keepNext/>
        <w:pageBreakBefore w:val="0"/>
        <w:widowControl w:val="0"/>
        <w:numPr>
          <w:ilvl w:val="0"/>
          <w:numId w:val="0"/>
        </w:numPr>
        <w:kinsoku/>
        <w:wordWrap/>
        <w:overflowPunct/>
        <w:topLinePunct w:val="0"/>
        <w:autoSpaceDE/>
        <w:autoSpaceDN/>
        <w:bidi w:val="0"/>
        <w:spacing w:beforeLines="0" w:afterLines="0" w:line="560" w:lineRule="exact"/>
        <w:ind w:firstLine="640" w:firstLineChars="200"/>
        <w:textAlignment w:val="auto"/>
        <w:outlineLvl w:val="3"/>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完善区级政务数据资源目录。完善数据资源汇聚、共享、开放清单，全面盘清数据资产“家底”，完善数据资源目录体系；依据市级大数据平台控制性要求，推动区级数据资源目录和市级目录区块链的融合改造。</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加强数据资源的采集汇聚。加强行业领域业务数据汇聚。依托区级大数据平台，以各部门为主体，沉淀履职过程中产生的数据资源，探索推进部门业务数据资源分中心建设，推动市级业务系统数据的下沉，加速行业领域业务数据在区级部门的汇聚、整合。加强第三方社会数据的采集。探索政府统一购买社会数据的模式，按需采购第三方手机信令、位置信息、电商交易、互联网诉求等与生产、生活、消费紧密相关的社会数据资源，实现第三方社会数据统采分用、分采统用，发挥政企数据互补优势，促进政务数据和社会数据融合治理和应用。</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深化数据资源的融合治理。建立数据核对及常态化更新机制，按照“一数一源”的原则，对各部门数据进行规范性检查、一致性比对等，确保数据的准确性、完整性、时效性；健全完善人口、法人、空间地理库、宏观经济基础信息库等基础数据库，以及城市治理、教育就业、卫生防疫、健康养老、经济运行等主题数据库，为智慧城市应用提供可靠的数据供给。</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加快数据资源的共享开放。深化数据共享交换。进一步完善大兴区内、市区两级常态化数据供需对接机制和数据共享交换机制，定期对区内各部门、市级部门的数据需求、供给和应用情况进行监测，确保数据按需共享、有序交换；依托区大数据平台，结合城市治理、政务和公共服务、政务协同、经济运行等应用要求，进一步拓展区内、市区两级的政府数据共享范围，深化共享内容、强化动态更新。</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拓展数据开放深度和广度。健全大兴区公共数据开放机制，依托北京市政府数据统一开放平台，聚焦政务服务、城市管理、医疗卫生、文化教育、智慧养老等重点领域建立大兴区政府数据开放专题模块，并逐步拓展政府数据开放深度和广度，按需提供数据无条件开放、定向开放服务。通过政府专项资金扶持、数据应用竞赛、政企数据合作等方式，推动社会主体对公共数据的创新应用和价值挖掘。</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强化政务网络安全防护能力。推进安全运营管理一体化，实现从被动保护安全体系向主动防控安全体系转变。持续提升大兴区政务外网安全防护水平，健全多层次纵深防护体系，强化安全防护边界，升级数据备份中心，提升数据安全防护能力。持续开展政务外网软硬件系统国产化升级，建设终端准入管理平台，建立终端准入管理机制，实现网络与终端一体化安全管理。依据信息安全等级保护2.0标准，建立健全大兴区物联专网安全技术防护和安全管理体系，加强网络安全边界防护，建设跨网安全接入平台。完善移动政务网络安全防护体系建设，完善E-DaXing政务无线WIFI网络，建设互联网安全接入系统，对移动政务管理平台进行安全加固，提升移动终端安全接入防护能力。</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政务云密码安全防范升级。根据国家密码法等法规和政策文件要求，推进政务云平台和云上政务信息系统的密码应用改造，推动国产密码在网络安全等级保护三级及以上政务信息系统、关键基础设施中的全面应用，提升政务云密码保护安全防范能力。</w:t>
      </w:r>
    </w:p>
    <w:bookmarkEnd w:id="49"/>
    <w:bookmarkEnd w:id="50"/>
    <w:bookmarkEnd w:id="51"/>
    <w:bookmarkEnd w:id="52"/>
    <w:bookmarkEnd w:id="53"/>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55" w:name="_Toc15311"/>
      <w:bookmarkStart w:id="56" w:name="_Toc7247"/>
      <w:bookmarkStart w:id="57" w:name="_Toc30154"/>
      <w:bookmarkStart w:id="58" w:name="_Toc18038"/>
      <w:bookmarkStart w:id="59" w:name="_Toc5150"/>
      <w:bookmarkStart w:id="60" w:name="_Toc11673"/>
      <w:bookmarkStart w:id="61" w:name="_Toc6878"/>
      <w:bookmarkStart w:id="62" w:name="_Toc26959"/>
      <w:bookmarkStart w:id="63" w:name="_Toc7883"/>
      <w:bookmarkStart w:id="64" w:name="_Toc30817"/>
      <w:bookmarkStart w:id="65" w:name="_Toc29226"/>
      <w:bookmarkStart w:id="66" w:name="_Toc14310"/>
      <w:r>
        <w:rPr>
          <w:rFonts w:hint="eastAsia" w:ascii="楷体_GB2312" w:hAnsi="楷体_GB2312" w:eastAsia="楷体_GB2312" w:cs="楷体_GB2312"/>
          <w:color w:val="auto"/>
          <w:sz w:val="32"/>
          <w:szCs w:val="24"/>
          <w:highlight w:val="none"/>
        </w:rPr>
        <w:t>（二）构建协同一体数字政府</w:t>
      </w:r>
      <w:bookmarkEnd w:id="55"/>
      <w:bookmarkEnd w:id="56"/>
      <w:bookmarkEnd w:id="57"/>
      <w:bookmarkEnd w:id="58"/>
      <w:bookmarkEnd w:id="59"/>
      <w:bookmarkEnd w:id="60"/>
      <w:bookmarkEnd w:id="61"/>
      <w:bookmarkEnd w:id="62"/>
      <w:bookmarkEnd w:id="63"/>
      <w:bookmarkEnd w:id="64"/>
      <w:bookmarkEnd w:id="65"/>
      <w:bookmarkEnd w:id="66"/>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加快推进政务服务全程网办。以政务服务事项标准化为基础内容，完善事项分发系统，明确预约申请、受理审查、处理结果送达等全流程标准，为全区提供统一规范的政务服务内容。推广电子证照、电子印章、区块链技术应用，推动部门间办事电子化、协同化、智能化运转，实现让“数据跑”代替“人工跑”。推进政务服务一体化2.0建设，升级“办好一件事”主题系统、建设智能语言检索功能、建设政务服务“好差评”系统，实现政务服务管理、办事、监督考核等一站式服务和线上线下一体化融合发展。</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政务服务智能化、精准化。推进“一人一档”建设，构建群众精准画像，提升政务服务智慧化水平，全面推动政务服务向主动式、精准化、个性化的服务转变。以“社会统一信用代码”为基础，推进“一企一档”建设，构建企业信用画像，提升企业办事便捷化水平。完善政务服务驾驶舱功能，加强市区两级业务数据对接，充分利用大数据分析技术，提升对全区服务情况实时掌握和统筹分析的能力。</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全面深化城市一体化服务能力。基于全区统一的公共服务平台，加快推动政务服务和医疗、教育、就业等公共服务资源以及电子商务、金融服务等第三方服务资源整合接入，健全公共服务平台功能，增强平台全流程智能化服务能力。加强“北京大兴”APP优化设计和功能开发，提升“北京大兴”APP使用体验感，增强城市服务移动端“指尖办”“刷脸办”服务能力。整合统一的前端政务服务入口和公共服务入口，移动用户端统一集成到“北京大兴”APP、“京通”APP 和小程序，PC用户端统一集成到市政务服务网，形成政务服务面向企业群众的统一用户端，实现从找“多个部门”到找“一个政府”转变。</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政府办公系统一体化建设。依托“京办”提供的核心服务能力，完善全区政府一体化OA办公系统，建立协同高效、上下联动的政府办公流程，实现政府跨层级、跨部门沟通和扁平化管理，提高政府办公效率。以“京办”APP为统一入口，建设大兴区移动政务办公系统，集成业务系统、即时通讯、智能会服、视频会议等政务应用，实现各部门、各属地掌上办公，促使政府办公工作转向“指尖办”。</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加强政府机关管理数字化建设。建设机关后勤事务综合管理平台，实现办公用房、公务用车、公共机构节能、机关运行成本等事务的数字化综合管理，促进机关事务信息系统跨层级、跨部门、跨业务互联互通，加强业务数据分析应用，提高科学决策水平。搭建大兴区内审平台，提供内审工作交流答疑、节点督办、成果展示、在线培训、审计模板运用、统计分析等功能服务，推动内部审计工作流程化、规范化、系统化，帮助内审人员快速进入工作角色，掌握工作要领，履行监督职责，提高内部审计监督的针对性和时效性。建设大兴区数字档案馆，促进各类电子文件归档，全面规范档案数字资源，推进档案管理数字化转型和智能升级。</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健全“一网统管”工作机制。理顺区、镇街城市运行工作体系，整合镇街市民诉求处置中心和相关科室职能，形成区、镇街两级城市运行调度指挥中心。建立高位统筹的“一网统管”工作机制，明确各部门分工和职责。梳理城市管理“多跨”事项。以“高效处置一件事”为目标，全面梳理相关部门职责范围内的城市管理事项，逐一明确管理主体、管理对象、管理措施等内容，梳理形成城市管理“多跨”事项清单；全面梳理各部门城市管理涉及的要素内容，将其标准化集成为“多跨”事项的治理要素；通过多部门、多环节联手，统一城市管理目标、标准、程序等，强化部门间的业务协同，并统筹制定配套的城市综合管理制度，推进“多跨”城市管理事项的流程再造、制度重塑，实施系统性、集成式、一体化的城市管理改革，构建城市运行管理新模式。</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进网格化管理多领域融合发展。依托市级统建的城市运行“一网统管”平台，开展全区城市管理部件普查，建立类别完善、数量准确、属性达标、区域覆盖全面的全区统一城市部件数据库。搭建“热线+网格”业务流程，挖掘高频集中诉求，利用网格队伍核实、督办群众反映的重点疑难诉求，强化“靶向治理”，深化“未诉先办”。推动“热线+网格”融合提升，依托目录链加强民生数据汇聚，建设智能受理、智能派单、智能回访等场景应用，整合形成全感知、全响应、全服务的社情民意感知办理平台。</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进“一网统管”场景建设。按照市“一网统管”工作方案要求，配合市级部门构建城市运行“一网统管”平台以及渣土车治理、垃圾分类全流程管理等“一网统管”试点应用场景建设，打造全面动态感知、智能化调度派发、联动协同处置的“一网统管”应用典型示范。</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强力打造区级领导驾驶舱。基于城市运行管理平台，优化城市运行生命体征指标体系，实现全区城市生命体征的实时掌握和智能预警；围绕行业领域业务开展和领导决策需求，开发一批面向不同业务领域的应用场景；聚焦跨部门、跨领域领导决策需求，拓展各协同业务场景的决策分析应用，提升区级领导辅助决策和实时决策能力。</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ascii="仿宋_GB2312" w:hAnsi="仿宋_GB2312"/>
          <w:b w:val="0"/>
          <w:color w:val="auto"/>
          <w:kern w:val="0"/>
          <w:sz w:val="32"/>
          <w:szCs w:val="24"/>
          <w:highlight w:val="none"/>
        </w:rPr>
        <w:t>推动基层治理模式升级。创新基层治理体制机制，加强镇街已建系统的应用，推动与区级系统的纵向贯通，切实发挥基层智能治理效能；聚焦市民关注热点诉求、基层治理高频事项，加强运行态势监测，构建领导驾驶舱，实现基层精准化服务和精细化治理，打造镇街基层治理标杆。</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ascii="仿宋_GB2312" w:hAnsi="仿宋_GB2312"/>
          <w:b w:val="0"/>
          <w:color w:val="auto"/>
          <w:kern w:val="0"/>
          <w:sz w:val="32"/>
          <w:szCs w:val="24"/>
          <w:highlight w:val="none"/>
        </w:rPr>
        <w:t>加强基层应用整合集成。基于区级智慧城市共性基础平台，试点建设镇街智慧城市分平台，加强对基层自建应用系统的整合，积极推进基层自建应用与垂直部门系统融合集成，以网格化管理为抓手，整合辖区内人、地、物、事、组织等数据并向区级大数据平台汇集，实现信息资源共享和高效利用，避免多头填报、重复填报，切实减轻基层负担，提升事件处置、专项整治及公共服务能力。</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67" w:name="_Toc29467"/>
      <w:bookmarkStart w:id="68" w:name="_Toc10318"/>
      <w:bookmarkStart w:id="69" w:name="_Toc31655"/>
      <w:bookmarkStart w:id="70" w:name="_Toc4030"/>
      <w:bookmarkStart w:id="71" w:name="_Toc25574"/>
      <w:bookmarkStart w:id="72" w:name="_Toc14618"/>
      <w:bookmarkStart w:id="73" w:name="_Toc13685"/>
      <w:bookmarkStart w:id="74" w:name="_Toc6390"/>
      <w:bookmarkStart w:id="75" w:name="_Toc6368"/>
      <w:bookmarkStart w:id="76" w:name="_Toc30804"/>
      <w:bookmarkStart w:id="77" w:name="_Toc7410"/>
      <w:bookmarkStart w:id="78" w:name="_Toc4387"/>
      <w:r>
        <w:rPr>
          <w:rFonts w:hint="eastAsia" w:ascii="楷体_GB2312" w:hAnsi="楷体_GB2312" w:eastAsia="楷体_GB2312" w:cs="楷体_GB2312"/>
          <w:color w:val="auto"/>
          <w:sz w:val="32"/>
          <w:szCs w:val="24"/>
          <w:highlight w:val="none"/>
        </w:rPr>
        <w:t>（三）打造智慧便捷公共服务</w:t>
      </w:r>
      <w:bookmarkEnd w:id="67"/>
      <w:bookmarkEnd w:id="68"/>
      <w:bookmarkEnd w:id="69"/>
      <w:bookmarkEnd w:id="70"/>
      <w:bookmarkEnd w:id="71"/>
      <w:bookmarkEnd w:id="72"/>
      <w:bookmarkEnd w:id="73"/>
      <w:bookmarkEnd w:id="74"/>
      <w:bookmarkEnd w:id="75"/>
      <w:bookmarkEnd w:id="76"/>
      <w:bookmarkEnd w:id="77"/>
      <w:bookmarkEnd w:id="78"/>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lang w:val="zh-CN"/>
        </w:rPr>
      </w:pPr>
      <w:r>
        <w:rPr>
          <w:rFonts w:hint="eastAsia" w:ascii="仿宋_GB2312" w:hAnsi="仿宋_GB2312"/>
          <w:b w:val="0"/>
          <w:color w:val="auto"/>
          <w:sz w:val="32"/>
          <w:szCs w:val="24"/>
          <w:highlight w:val="none"/>
        </w:rPr>
        <w:t>优化教师专业化发展模式。</w:t>
      </w:r>
      <w:r>
        <w:rPr>
          <w:rFonts w:hint="eastAsia" w:ascii="仿宋_GB2312" w:hAnsi="仿宋_GB2312"/>
          <w:b w:val="0"/>
          <w:color w:val="auto"/>
          <w:sz w:val="32"/>
          <w:szCs w:val="24"/>
          <w:highlight w:val="none"/>
          <w:lang w:val="zh-CN"/>
        </w:rPr>
        <w:t>开展人工智能助推教师队伍建设试点。充分利用人工智能、大数据、5G等新一代信息技术，</w:t>
      </w:r>
      <w:r>
        <w:rPr>
          <w:rFonts w:hint="eastAsia" w:ascii="仿宋_GB2312" w:hAnsi="仿宋_GB2312"/>
          <w:b w:val="0"/>
          <w:color w:val="auto"/>
          <w:sz w:val="32"/>
          <w:szCs w:val="24"/>
          <w:highlight w:val="none"/>
        </w:rPr>
        <w:t>提升教师教学效能，诊断教师学习与发展需求，优化教师管理评价方式，</w:t>
      </w:r>
      <w:r>
        <w:rPr>
          <w:rFonts w:hint="eastAsia" w:ascii="仿宋_GB2312" w:hAnsi="仿宋_GB2312"/>
          <w:b w:val="0"/>
          <w:color w:val="auto"/>
          <w:sz w:val="32"/>
          <w:szCs w:val="24"/>
          <w:highlight w:val="none"/>
          <w:lang w:val="zh-CN"/>
        </w:rPr>
        <w:t>以人工智能助推教师专业发展，优化</w:t>
      </w:r>
      <w:r>
        <w:rPr>
          <w:rFonts w:hint="eastAsia" w:ascii="仿宋_GB2312" w:hAnsi="仿宋_GB2312"/>
          <w:b w:val="0"/>
          <w:color w:val="auto"/>
          <w:sz w:val="32"/>
          <w:szCs w:val="24"/>
          <w:highlight w:val="none"/>
        </w:rPr>
        <w:t>教学</w:t>
      </w:r>
      <w:r>
        <w:rPr>
          <w:rFonts w:hint="eastAsia" w:ascii="仿宋_GB2312" w:hAnsi="仿宋_GB2312"/>
          <w:b w:val="0"/>
          <w:color w:val="auto"/>
          <w:sz w:val="32"/>
          <w:szCs w:val="24"/>
          <w:highlight w:val="none"/>
          <w:lang w:val="zh-CN"/>
        </w:rPr>
        <w:t>管理</w:t>
      </w:r>
      <w:r>
        <w:rPr>
          <w:rFonts w:hint="eastAsia" w:ascii="仿宋_GB2312" w:hAnsi="仿宋_GB2312"/>
          <w:b w:val="0"/>
          <w:color w:val="auto"/>
          <w:sz w:val="32"/>
          <w:szCs w:val="24"/>
          <w:highlight w:val="none"/>
        </w:rPr>
        <w:t>和模式创新</w:t>
      </w:r>
      <w:r>
        <w:rPr>
          <w:rFonts w:hint="eastAsia" w:ascii="仿宋_GB2312" w:hAnsi="仿宋_GB2312"/>
          <w:b w:val="0"/>
          <w:color w:val="auto"/>
          <w:sz w:val="32"/>
          <w:szCs w:val="24"/>
          <w:highlight w:val="none"/>
          <w:lang w:val="zh-CN"/>
        </w:rPr>
        <w:t>，均衡优质教育</w:t>
      </w:r>
      <w:r>
        <w:rPr>
          <w:rFonts w:hint="eastAsia" w:ascii="仿宋_GB2312" w:hAnsi="仿宋_GB2312"/>
          <w:b w:val="0"/>
          <w:color w:val="auto"/>
          <w:sz w:val="32"/>
          <w:szCs w:val="24"/>
          <w:highlight w:val="none"/>
        </w:rPr>
        <w:t>资源</w:t>
      </w:r>
      <w:r>
        <w:rPr>
          <w:rFonts w:hint="eastAsia" w:ascii="仿宋_GB2312" w:hAnsi="仿宋_GB2312"/>
          <w:b w:val="0"/>
          <w:color w:val="auto"/>
          <w:sz w:val="32"/>
          <w:szCs w:val="24"/>
          <w:highlight w:val="none"/>
          <w:lang w:val="zh-CN"/>
        </w:rPr>
        <w:t>。</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创新优质教育资源供给模式。</w:t>
      </w:r>
      <w:r>
        <w:rPr>
          <w:rFonts w:hint="eastAsia" w:ascii="仿宋_GB2312" w:hAnsi="仿宋_GB2312"/>
          <w:b w:val="0"/>
          <w:color w:val="auto"/>
          <w:sz w:val="32"/>
          <w:szCs w:val="24"/>
          <w:highlight w:val="none"/>
          <w:lang w:val="zh-CN"/>
        </w:rPr>
        <w:t>加快开发优质网络教育资源，创新教育教学的内容、方式和手段，</w:t>
      </w:r>
      <w:r>
        <w:rPr>
          <w:rFonts w:hint="eastAsia" w:ascii="仿宋_GB2312" w:hAnsi="仿宋_GB2312"/>
          <w:b w:val="0"/>
          <w:color w:val="auto"/>
          <w:sz w:val="32"/>
          <w:szCs w:val="24"/>
          <w:highlight w:val="none"/>
        </w:rPr>
        <w:t>扩大优质教育资源供给，实现城乡优质教学资源共享。</w:t>
      </w:r>
      <w:r>
        <w:rPr>
          <w:rFonts w:hint="eastAsia" w:ascii="仿宋_GB2312" w:hAnsi="仿宋_GB2312"/>
          <w:b w:val="0"/>
          <w:color w:val="auto"/>
          <w:sz w:val="32"/>
          <w:szCs w:val="24"/>
          <w:highlight w:val="none"/>
          <w:lang w:val="zh-CN"/>
        </w:rPr>
        <w:t>打造“三大智慧课堂”，</w:t>
      </w:r>
      <w:r>
        <w:rPr>
          <w:rFonts w:hint="eastAsia" w:ascii="仿宋_GB2312" w:hAnsi="仿宋_GB2312"/>
          <w:b w:val="0"/>
          <w:color w:val="auto"/>
          <w:sz w:val="32"/>
          <w:szCs w:val="24"/>
          <w:highlight w:val="none"/>
        </w:rPr>
        <w:t>即空中课堂、双师课堂、融合课堂，</w:t>
      </w:r>
      <w:r>
        <w:rPr>
          <w:rFonts w:hint="eastAsia" w:ascii="仿宋_GB2312" w:hAnsi="仿宋_GB2312"/>
          <w:b w:val="0"/>
          <w:color w:val="auto"/>
          <w:sz w:val="32"/>
          <w:szCs w:val="24"/>
          <w:highlight w:val="none"/>
          <w:lang w:val="zh-CN"/>
        </w:rPr>
        <w:t>形成线上线下教学新模式，</w:t>
      </w:r>
      <w:r>
        <w:rPr>
          <w:rFonts w:hint="eastAsia" w:ascii="仿宋_GB2312" w:hAnsi="仿宋_GB2312"/>
          <w:b w:val="0"/>
          <w:color w:val="auto"/>
          <w:sz w:val="32"/>
          <w:szCs w:val="24"/>
          <w:highlight w:val="none"/>
        </w:rPr>
        <w:t>缩小区域和校际教育差距，</w:t>
      </w:r>
      <w:r>
        <w:rPr>
          <w:rFonts w:hint="eastAsia" w:ascii="仿宋_GB2312" w:hAnsi="仿宋_GB2312"/>
          <w:b w:val="0"/>
          <w:color w:val="auto"/>
          <w:sz w:val="32"/>
          <w:szCs w:val="24"/>
          <w:highlight w:val="none"/>
          <w:lang w:val="zh-CN"/>
        </w:rPr>
        <w:t>实现教育资源均衡发展。</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推动教育教学管理精细化。</w:t>
      </w:r>
      <w:r>
        <w:rPr>
          <w:rFonts w:hint="eastAsia" w:ascii="仿宋_GB2312" w:hAnsi="仿宋_GB2312"/>
          <w:b w:val="0"/>
          <w:color w:val="auto"/>
          <w:sz w:val="32"/>
          <w:szCs w:val="24"/>
          <w:highlight w:val="none"/>
          <w:lang w:val="zh-CN"/>
        </w:rPr>
        <w:t>完善教育业务管理信息系统和教育统计信息管理体系，形成覆盖区域内各级各类教育机构、所有学习者和教育、学习全过程的教育管理和监测体系。构建教育行业大数据分析展示专题服务，面向教师、学生打造“千人千面”的知识结构画像，为我区师生提供个性化的教育服务，促进学生的个性化成长。</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lang w:val="zh-CN"/>
        </w:rPr>
      </w:pPr>
      <w:r>
        <w:rPr>
          <w:rFonts w:hint="eastAsia" w:ascii="仿宋_GB2312" w:hAnsi="仿宋_GB2312"/>
          <w:b w:val="0"/>
          <w:color w:val="auto"/>
          <w:sz w:val="32"/>
          <w:szCs w:val="24"/>
          <w:highlight w:val="none"/>
        </w:rPr>
        <w:t>开展未来学校试点建设。</w:t>
      </w:r>
      <w:r>
        <w:rPr>
          <w:rFonts w:hint="eastAsia" w:ascii="仿宋_GB2312" w:hAnsi="仿宋_GB2312"/>
          <w:b w:val="0"/>
          <w:color w:val="auto"/>
          <w:sz w:val="32"/>
          <w:szCs w:val="24"/>
          <w:highlight w:val="none"/>
          <w:lang w:val="zh-CN"/>
        </w:rPr>
        <w:t>启动智慧校园、数字化校园和平安校园建设，提升校园智能化水平。与海淀区未来学校示范校建立“手拉手”定期合作交流机制。组建未来学校名师名校长工作室，在试点校探索教育场景、理念、内容、方式和样态与智能技术深度融合的校本方案与创新机制，逐步建成多所个性多元、虚实融合、人机协同、智能管控的未来学校样板校，并开展未来学校样板校实施成效监测，系统评估试点校教学、科研、管理、生活等方面信息资源的智能化水平，以及教育供给与服务方式的多样化和个性化水平。</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ascii="仿宋_GB2312" w:hAnsi="仿宋_GB2312"/>
          <w:b w:val="0"/>
          <w:color w:val="auto"/>
          <w:sz w:val="32"/>
          <w:szCs w:val="24"/>
          <w:highlight w:val="none"/>
        </w:rPr>
        <w:t>全面提升医疗服务水平。推动</w:t>
      </w:r>
      <w:r>
        <w:rPr>
          <w:rFonts w:hint="eastAsia" w:ascii="仿宋_GB2312" w:hAnsi="仿宋_GB2312"/>
          <w:b w:val="0"/>
          <w:color w:val="auto"/>
          <w:sz w:val="32"/>
          <w:szCs w:val="24"/>
          <w:highlight w:val="none"/>
          <w:lang w:val="zh-CN"/>
        </w:rPr>
        <w:t>“健康大兴”APP</w:t>
      </w:r>
      <w:r>
        <w:rPr>
          <w:rFonts w:hint="eastAsia" w:ascii="仿宋_GB2312" w:hAnsi="仿宋_GB2312"/>
          <w:b w:val="0"/>
          <w:color w:val="auto"/>
          <w:sz w:val="32"/>
          <w:szCs w:val="24"/>
          <w:highlight w:val="none"/>
        </w:rPr>
        <w:t>向“北京大兴”APP整合以及</w:t>
      </w:r>
      <w:r>
        <w:rPr>
          <w:rFonts w:hint="eastAsia" w:ascii="仿宋_GB2312" w:hAnsi="仿宋_GB2312"/>
          <w:b w:val="0"/>
          <w:color w:val="auto"/>
          <w:sz w:val="32"/>
          <w:szCs w:val="24"/>
          <w:highlight w:val="none"/>
          <w:lang w:val="zh-CN"/>
        </w:rPr>
        <w:t>线上缴费、适老化改造，优化服务流程，提升服务便捷性，改善群众就医体验。完善区医联体医疗信息资源共享和协同服务系统应用，持续推进区内二级及以上医疗机构、社区服务中心（站）医疗信息资源共享，优化双向转诊模式，进一步推动远程会诊等协同诊疗模式。积极推进互联网诊疗（互联网医院）建设，拓宽医疗卫生应用场景，提高群众就医便捷性。</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ascii="仿宋_GB2312" w:hAnsi="仿宋_GB2312"/>
          <w:b w:val="0"/>
          <w:color w:val="auto"/>
          <w:sz w:val="32"/>
          <w:szCs w:val="24"/>
          <w:highlight w:val="none"/>
        </w:rPr>
        <w:t>促进医疗健康管理升级。</w:t>
      </w:r>
      <w:r>
        <w:rPr>
          <w:rFonts w:hint="eastAsia" w:ascii="仿宋_GB2312" w:hAnsi="仿宋_GB2312"/>
          <w:b w:val="0"/>
          <w:color w:val="auto"/>
          <w:sz w:val="32"/>
          <w:szCs w:val="24"/>
          <w:highlight w:val="none"/>
          <w:lang w:val="zh-CN"/>
        </w:rPr>
        <w:t>完善健康医疗大数据平台，提供实时检查检验结果查询、智能推送等新型健康医疗信息服务。加强智慧医疗服务、智能健康管理等领域应用，实现线上线下融合。为了进一步提升签约服务质量和效率，建设区级公共卫生家庭医生签约外呼服务系统；根据基层公共卫生实际需求，建设基层社区卫生服务中心区域体检系统，规范社区卫生服务机构体检业务，同时提高老年人体检便捷性及覆盖率。</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进公共数字文化服务。继续推进公共数字文化服务体系建设，完善公共数字文化服务供给机制。完善数字文化馆建设，分期实现全区三级数字文化馆联动贯通；以书香大兴建设为主线，把握节日、节庆等时间节点，充分利用微信公众号、微信小程序、悦读大兴云平台、“北京大兴”APP、网站等线上平台，向读者提供在线办证、在线借还、新书推荐、线上讲座、线上主题展览、在线答题等多种服务，增强公共数字文化服务互动性和趣味性。</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打造</w:t>
      </w:r>
      <w:r>
        <w:rPr>
          <w:rFonts w:hint="eastAsia" w:ascii="仿宋_GB2312" w:hAnsi="仿宋_GB2312"/>
          <w:b w:val="0"/>
          <w:color w:val="auto"/>
          <w:kern w:val="0"/>
          <w:sz w:val="32"/>
          <w:szCs w:val="24"/>
          <w:highlight w:val="none"/>
        </w:rPr>
        <w:t>数字新型体育服务。</w:t>
      </w:r>
      <w:r>
        <w:rPr>
          <w:rFonts w:hint="eastAsia" w:ascii="仿宋_GB2312" w:hAnsi="仿宋_GB2312"/>
          <w:b w:val="0"/>
          <w:color w:val="auto"/>
          <w:sz w:val="32"/>
          <w:szCs w:val="24"/>
          <w:highlight w:val="none"/>
        </w:rPr>
        <w:t>推动体育场馆管理模式和服务模式创新，开展体育行业管理数字化转型，依托区大数据平台和“北京大兴”APP，整合大兴区健身房、游泳馆等体育设施资源，积极开展网络体育运动场馆预订、体育活动和场馆信息精准推送服务，形成全区“需求地图”和精准“需求订单”，打造全方位、多角度的体育服务体系。充分保障未成年人、老年人、残疾人和流动人口等特殊群体的健康权益，推动体育场馆依靠数字化技术为特殊群体构建安全、便捷的运动空间。深化体育产业数据化分析应用，探索建立全民健身与全民健康深度融合的“大兴样本”。</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提升就业精准服务能力。优化升级大兴就业平台，搭建失业预警、政策咨询、职业指导、技能培训、云招聘等岗位发布和业务办理于一体的“就业超市”，扩展毕业生就业信息获取渠道，提供供需精准对接、人岗精准匹配服务，促进高质量就业。整合现有服务资源，升级大兴社保服务平台，实现与“北京市社会保险网上服务平台”“大兴区人力资源和社会保障局”微信公众号和“北京大兴”APP同时对接，提高经办服务能力和水平。</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创建社区服务智慧化模式。探索建设智慧社区综合服务平台，整合智慧平安小区已建的入驻人员信息、出入车辆、电瓶车入楼等数据，完善微环境监测、消防通道监控、温感烟感报警等数据资源，集成信息公开、网上办事、居民互动、家政互助等精细、多元的服务，推动社区服务和管理功能高度集成。基于智慧社区综合服务平台，广泛探索、整合、开展各类服务场景应用，重点推进智慧健康、居家养老、儿童教育、垃圾分类、5分钟家政等社区微单元服务场景创新，探索建立可复制可推广的智慧社区运营模式，提升社区智慧化、个性化、主动式服务，提升居民获得感。</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提升养老服务数字化水平。聚焦“七有”“五性”，加快建设居家社区机构相协调、医养康养相结合的智慧养老服务体系。优化养老服务指导中心的养老服务数字化信息平台，建立完善养老服务机构监管、养老政策法规宣传、养老电子地图、家庭照护床位管理、养老协会及服务商管理等功能。以具有医保资质和内设医务室的养老机构为试点，联合医院、社康机构，依托可穿戴智能设备建设老人数字化监护系统，提供公益论坛、健康咨询、健康检查、护理休养、医疗康复、疾病诊治、健康监测等服务，推动“医+养”服务深度融合，实现医疗和养老合二为一，打造老有所养、老有所医的良好氛围。</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民政事业智慧化管理。加快推动“互联网+民政”建设，按照“深度融合、上下联动、纵横协同”的思路，建设一体化民政服务系统，构建民政数据资源池，强化协管员队伍招、管、培、用、考的综合管理能力，提供儿童福利、精准救助、婚姻管理、殡葬管理、社会组织法人登记、区划地名、社区治理、社工服务、慈善捐赠等一体化管理与服务，提升民政综合管理和决策水平。</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79" w:name="_Toc23946"/>
      <w:bookmarkStart w:id="80" w:name="_Toc17474"/>
      <w:bookmarkStart w:id="81" w:name="_Toc2029"/>
      <w:bookmarkStart w:id="82" w:name="_Toc27111"/>
      <w:bookmarkStart w:id="83" w:name="_Toc14473"/>
      <w:bookmarkStart w:id="84" w:name="_Toc12409"/>
      <w:bookmarkStart w:id="85" w:name="_Toc10938"/>
      <w:bookmarkStart w:id="86" w:name="_Toc15097"/>
      <w:bookmarkStart w:id="87" w:name="_Toc6858"/>
      <w:bookmarkStart w:id="88" w:name="_Toc30008"/>
      <w:bookmarkStart w:id="89" w:name="_Toc29547"/>
      <w:bookmarkStart w:id="90" w:name="_Toc24552"/>
      <w:r>
        <w:rPr>
          <w:rFonts w:hint="eastAsia" w:ascii="楷体_GB2312" w:hAnsi="楷体_GB2312" w:eastAsia="楷体_GB2312" w:cs="楷体_GB2312"/>
          <w:color w:val="auto"/>
          <w:sz w:val="32"/>
          <w:szCs w:val="24"/>
          <w:highlight w:val="none"/>
        </w:rPr>
        <w:t>（四）实现集约高效城市</w:t>
      </w:r>
      <w:bookmarkEnd w:id="79"/>
      <w:bookmarkEnd w:id="80"/>
      <w:bookmarkEnd w:id="81"/>
      <w:r>
        <w:rPr>
          <w:rFonts w:hint="eastAsia" w:ascii="楷体_GB2312" w:hAnsi="楷体_GB2312" w:eastAsia="楷体_GB2312" w:cs="楷体_GB2312"/>
          <w:color w:val="auto"/>
          <w:sz w:val="32"/>
          <w:szCs w:val="24"/>
          <w:highlight w:val="none"/>
        </w:rPr>
        <w:t>治理</w:t>
      </w:r>
      <w:bookmarkEnd w:id="82"/>
      <w:bookmarkEnd w:id="83"/>
      <w:bookmarkEnd w:id="84"/>
      <w:bookmarkEnd w:id="85"/>
      <w:bookmarkEnd w:id="86"/>
      <w:bookmarkEnd w:id="87"/>
      <w:bookmarkEnd w:id="88"/>
      <w:bookmarkEnd w:id="89"/>
      <w:bookmarkEnd w:id="90"/>
      <w:r>
        <w:rPr>
          <w:rFonts w:hint="eastAsia" w:ascii="楷体_GB2312" w:hAnsi="楷体_GB2312" w:eastAsia="楷体_GB2312" w:cs="楷体_GB2312"/>
          <w:color w:val="auto"/>
          <w:sz w:val="32"/>
          <w:szCs w:val="24"/>
          <w:highlight w:val="none"/>
        </w:rPr>
        <w:t xml:space="preserve"> </w:t>
      </w:r>
    </w:p>
    <w:p>
      <w:pPr>
        <w:keepNext/>
        <w:pageBreakBefore w:val="0"/>
        <w:widowControl w:val="0"/>
        <w:numPr>
          <w:ilvl w:val="3"/>
          <w:numId w:val="0"/>
        </w:numPr>
        <w:kinsoku/>
        <w:wordWrap/>
        <w:overflowPunct/>
        <w:topLinePunct w:val="0"/>
        <w:autoSpaceDE/>
        <w:autoSpaceDN/>
        <w:bidi w:val="0"/>
        <w:spacing w:beforeLines="0" w:afterLines="0" w:line="560" w:lineRule="exact"/>
        <w:ind w:firstLine="640" w:firstLineChars="200"/>
        <w:textAlignment w:val="auto"/>
        <w:rPr>
          <w:rFonts w:hint="eastAsia" w:ascii="黑体" w:hAnsi="黑体" w:eastAsia="黑体"/>
          <w:color w:val="auto"/>
          <w:sz w:val="32"/>
          <w:szCs w:val="24"/>
          <w:highlight w:val="none"/>
        </w:rPr>
      </w:pPr>
      <w:r>
        <w:rPr>
          <w:rFonts w:hint="eastAsia" w:ascii="仿宋_GB2312" w:hAnsi="仿宋" w:eastAsia="仿宋_GB2312"/>
          <w:color w:val="auto"/>
          <w:kern w:val="0"/>
          <w:sz w:val="32"/>
          <w:szCs w:val="24"/>
          <w:highlight w:val="none"/>
        </w:rPr>
        <w:t>增强</w:t>
      </w:r>
      <w:r>
        <w:rPr>
          <w:rFonts w:hint="eastAsia" w:ascii="Arial" w:hAnsi="Arial" w:eastAsia="仿宋_GB2312"/>
          <w:color w:val="auto"/>
          <w:sz w:val="32"/>
          <w:szCs w:val="24"/>
          <w:highlight w:val="none"/>
        </w:rPr>
        <w:t>交通运输管理</w:t>
      </w:r>
      <w:r>
        <w:rPr>
          <w:rFonts w:hint="eastAsia" w:ascii="仿宋_GB2312" w:hAnsi="仿宋" w:eastAsia="仿宋_GB2312"/>
          <w:color w:val="auto"/>
          <w:kern w:val="0"/>
          <w:sz w:val="32"/>
          <w:szCs w:val="24"/>
          <w:highlight w:val="none"/>
        </w:rPr>
        <w:t>能力。打造智慧交通运输一体化信息服务平台，实现综合交通数据汇聚和可视化展示，为交通运输一体化管理提供交通运行监测、应急指挥和辅助决策服务。开展客运交通监控调度中心网络和功能升级，将境内公交公司营运公交车辆全部联网，实现车内监控全覆盖，加强客流识别、统计和分析，进行车辆智能调度。开展重点货运运营车辆视频监控系统升级，实现驾驶员管理、危险品</w:t>
      </w:r>
      <w:r>
        <w:rPr>
          <w:rFonts w:hint="eastAsia" w:ascii="仿宋_GB2312" w:hAnsi="仿宋_GB2312" w:eastAsia="仿宋_GB2312"/>
          <w:color w:val="auto"/>
          <w:kern w:val="0"/>
          <w:sz w:val="32"/>
          <w:szCs w:val="24"/>
          <w:highlight w:val="none"/>
        </w:rPr>
        <w:t>运输管理、挂靠经营管理以及超限运输和非法营运治理等功能。</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黑体" w:hAnsi="黑体" w:eastAsia="黑体"/>
          <w:b w:val="0"/>
          <w:color w:val="auto"/>
          <w:sz w:val="32"/>
          <w:szCs w:val="24"/>
          <w:highlight w:val="none"/>
        </w:rPr>
      </w:pPr>
      <w:r>
        <w:rPr>
          <w:rFonts w:hint="eastAsia"/>
          <w:b w:val="0"/>
          <w:color w:val="auto"/>
          <w:sz w:val="32"/>
          <w:szCs w:val="24"/>
          <w:highlight w:val="none"/>
        </w:rPr>
        <w:t>提升交通精细治理能力。</w:t>
      </w:r>
      <w:r>
        <w:rPr>
          <w:rFonts w:hint="eastAsia" w:ascii="仿宋_GB2312" w:hAnsi="仿宋"/>
          <w:b w:val="0"/>
          <w:color w:val="auto"/>
          <w:kern w:val="0"/>
          <w:sz w:val="32"/>
          <w:szCs w:val="24"/>
          <w:highlight w:val="none"/>
        </w:rPr>
        <w:t>开展交通信号灯系统智能化提升工程，整合道路视频监控、交通信号灯信息资源，实现24小时全区域道路运行态势可视、可测、可控，推动智能信号灯“绿波调节”，提升交通管理效能，有效规范道路行车秩序、预防重特大交通事故。开展“一键护航畅行”试点建设，保障救护车、消防车等特种车辆应急出行需求，以全局最小干扰为前提，实现应急车辆的</w:t>
      </w:r>
      <w:r>
        <w:rPr>
          <w:rFonts w:hint="eastAsia" w:ascii="仿宋_GB2312" w:hAnsi="仿宋_GB2312"/>
          <w:b w:val="0"/>
          <w:color w:val="auto"/>
          <w:kern w:val="0"/>
          <w:sz w:val="32"/>
          <w:szCs w:val="24"/>
          <w:highlight w:val="none"/>
        </w:rPr>
        <w:t>“一路绿灯、快速通行”。</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Times New Roman" w:hAnsi="Times New Roman" w:eastAsia="Times New Roman"/>
          <w:b w:val="0"/>
          <w:color w:val="auto"/>
          <w:sz w:val="32"/>
          <w:szCs w:val="24"/>
          <w:highlight w:val="none"/>
        </w:rPr>
      </w:pPr>
      <w:r>
        <w:rPr>
          <w:rFonts w:hint="eastAsia"/>
          <w:b w:val="0"/>
          <w:color w:val="auto"/>
          <w:sz w:val="32"/>
          <w:szCs w:val="24"/>
          <w:highlight w:val="none"/>
        </w:rPr>
        <w:t>提高交通信息</w:t>
      </w:r>
      <w:r>
        <w:rPr>
          <w:rFonts w:hint="eastAsia" w:ascii="仿宋_GB2312"/>
          <w:b w:val="0"/>
          <w:color w:val="auto"/>
          <w:sz w:val="32"/>
          <w:szCs w:val="24"/>
          <w:highlight w:val="none"/>
        </w:rPr>
        <w:t>服务</w:t>
      </w:r>
      <w:r>
        <w:rPr>
          <w:rFonts w:hint="eastAsia"/>
          <w:b w:val="0"/>
          <w:color w:val="auto"/>
          <w:sz w:val="32"/>
          <w:szCs w:val="24"/>
          <w:highlight w:val="none"/>
        </w:rPr>
        <w:t>能力。</w:t>
      </w:r>
      <w:r>
        <w:rPr>
          <w:rFonts w:hint="eastAsia" w:ascii="仿宋_GB2312" w:hAnsi="仿宋"/>
          <w:b w:val="0"/>
          <w:color w:val="auto"/>
          <w:kern w:val="0"/>
          <w:sz w:val="32"/>
          <w:szCs w:val="24"/>
          <w:highlight w:val="none"/>
        </w:rPr>
        <w:t>推广智慧停车应用，以重点商圈、重点小区、产业园区、主要道路等为切入点，整合空闲车位资源，为市民提供全区动态车位信息服务，引导停车错时共享、车位搜索、车位预约、停车导航、停车快</w:t>
      </w:r>
      <w:r>
        <w:rPr>
          <w:rFonts w:hint="eastAsia" w:ascii="仿宋_GB2312" w:hAnsi="仿宋_GB2312"/>
          <w:b w:val="0"/>
          <w:color w:val="auto"/>
          <w:kern w:val="0"/>
          <w:sz w:val="32"/>
          <w:szCs w:val="24"/>
          <w:highlight w:val="none"/>
        </w:rPr>
        <w:t>捷缴费等多种智慧停车服务。开展智慧公交站点建设，在大兴新城地区候车人员密集的公交站点建设智能多功能电子站牌，完善公交站点设施，提供预报站、交互查询、多媒体语音、视频监控等服务，满足市民便捷化出行需求。</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b w:val="0"/>
          <w:color w:val="auto"/>
          <w:sz w:val="32"/>
          <w:szCs w:val="24"/>
          <w:highlight w:val="none"/>
        </w:rPr>
        <w:t>提升水务治理智慧化水平。</w:t>
      </w:r>
      <w:r>
        <w:rPr>
          <w:rFonts w:hint="eastAsia" w:ascii="Times New Roman" w:hAnsi="Times New Roman"/>
          <w:b w:val="0"/>
          <w:color w:val="auto"/>
          <w:sz w:val="32"/>
          <w:szCs w:val="24"/>
          <w:highlight w:val="none"/>
        </w:rPr>
        <w:t>依托市级智慧水务建设，构建基于“一网一库一平台”的城市水务管理体系。完善水务信息点位监测和数据采集系统，</w:t>
      </w:r>
      <w:r>
        <w:rPr>
          <w:rFonts w:hint="eastAsia" w:ascii="仿宋_GB2312" w:hAnsi="仿宋_GB2312"/>
          <w:b w:val="0"/>
          <w:color w:val="auto"/>
          <w:sz w:val="32"/>
          <w:szCs w:val="24"/>
          <w:highlight w:val="none"/>
        </w:rPr>
        <w:t>形成城市防洪排涝的安全监测和水生态保护体系。</w:t>
      </w:r>
      <w:r>
        <w:rPr>
          <w:rFonts w:hint="eastAsia" w:ascii="Times New Roman" w:hAnsi="Times New Roman"/>
          <w:b w:val="0"/>
          <w:color w:val="auto"/>
          <w:sz w:val="32"/>
          <w:szCs w:val="24"/>
          <w:highlight w:val="none"/>
        </w:rPr>
        <w:t>建立水务数据资源分中心，</w:t>
      </w:r>
      <w:r>
        <w:rPr>
          <w:rFonts w:hint="eastAsia" w:ascii="仿宋_GB2312" w:hAnsi="仿宋_GB2312"/>
          <w:b w:val="0"/>
          <w:color w:val="auto"/>
          <w:sz w:val="32"/>
          <w:szCs w:val="24"/>
          <w:highlight w:val="none"/>
        </w:rPr>
        <w:t>汇聚整合从水源至末端、涵盖“取供用排”各环节的数据信息，完善相关行业部门、企业数据信息共享及动态更新机制，实现信息互通互联、数据共享整合。建立完善水资源“取供用排”综合业务平台，优化业务信息系统功能，实现日常管理业务全程“在线办理”，推动各管理环节协同联动、有效衔接。</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促进生态环保智能化建设。</w:t>
      </w:r>
      <w:r>
        <w:rPr>
          <w:rFonts w:hint="eastAsia" w:ascii="仿宋_GB2312" w:hAnsi="仿宋_GB2312"/>
          <w:b w:val="0"/>
          <w:color w:val="auto"/>
          <w:kern w:val="0"/>
          <w:sz w:val="32"/>
          <w:szCs w:val="24"/>
          <w:highlight w:val="none"/>
        </w:rPr>
        <w:t>构建全要素生态环境和污染源智慧管控体系。建立区智慧生态数据资源分中心，综合相关部门和社会数据，实现生态环境数据的智慧集成。打造智慧生态信息化服务平台，强化大气精细化管理、水环境智慧监控、土壤综合管理等全域支撑服务能力。构建全要素“生态环境一张图”，实现三维地图交互综合展示。</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b w:val="0"/>
          <w:color w:val="auto"/>
          <w:sz w:val="32"/>
          <w:szCs w:val="24"/>
          <w:highlight w:val="none"/>
        </w:rPr>
      </w:pPr>
      <w:r>
        <w:rPr>
          <w:rFonts w:hint="eastAsia"/>
          <w:b w:val="0"/>
          <w:color w:val="auto"/>
          <w:sz w:val="32"/>
          <w:szCs w:val="24"/>
          <w:highlight w:val="none"/>
        </w:rPr>
        <w:t>持续深化智慧灯杆集约建设。在集成现有智慧照明、视频监控功能基础上，探索智慧灯杆“规、建、管、运”一体化机制和多部门感知终端统筹集约部署机制，创新运营模式，实现智慧灯杆的统一规划、集约建设和统一运营。</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b w:val="0"/>
          <w:color w:val="auto"/>
          <w:sz w:val="32"/>
          <w:szCs w:val="24"/>
          <w:highlight w:val="none"/>
        </w:rPr>
      </w:pPr>
      <w:r>
        <w:rPr>
          <w:rFonts w:hint="eastAsia"/>
          <w:b w:val="0"/>
          <w:color w:val="auto"/>
          <w:sz w:val="32"/>
          <w:szCs w:val="24"/>
          <w:highlight w:val="none"/>
        </w:rPr>
        <w:t>加强市政交通基础设施管理。建设全区市政交通基础设施综合信息管理平台。制定供电、供气、供热、通信、环卫、综合管廊、地下设施、市政场（厂）站等基础设施普查方案，建设全区市政交通基础设施总数据库和综合信息管理平台，定期更新综合管理信息平台数据，逐步开展基础设施数据综合应用。扩展市政交通基础设施综合信息管理平台功能。实现数据共建共享，与城市大数据平台和各市政专业运行系统充分衔接，扩展完善实时监控、模拟仿真、事故预警决策支持等功能，实现市政基础设施管理精细化、智能化、科学化。</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b w:val="0"/>
          <w:color w:val="auto"/>
          <w:sz w:val="32"/>
          <w:szCs w:val="24"/>
          <w:highlight w:val="none"/>
        </w:rPr>
        <w:t>提升市政综合管理智慧化水平。围绕市容市貌智慧化监管、垃圾精细化管理、供热供电智慧监管、渣土车智能管理等重点领域，扩展智慧市政综合管理平台功能，强化数据支撑和业务规划能力，构建智慧城管大数据服务应用体系，推动市政管理水平提档升级。</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
          <w:b w:val="0"/>
          <w:color w:val="auto"/>
          <w:kern w:val="0"/>
          <w:sz w:val="32"/>
          <w:szCs w:val="24"/>
          <w:highlight w:val="none"/>
        </w:rPr>
      </w:pPr>
      <w:r>
        <w:rPr>
          <w:rFonts w:hint="eastAsia"/>
          <w:b w:val="0"/>
          <w:color w:val="auto"/>
          <w:sz w:val="32"/>
          <w:szCs w:val="24"/>
          <w:highlight w:val="none"/>
        </w:rPr>
        <w:t>打造精准智能社会防控体系。完成智慧平安小区建设任务，实现智慧平安小区全覆盖。强化社会治安综合治理平台决策支撑能力，完善综治数据资源库。强化外围防线智能化建设，依托社会治安综合治理平台实现事件由“事后处置”向“事前预警”转变，提升护城边界沿线管控精准化水平。完善区、镇街、村（社区）三级综治中心组织架构体系，强化社会治安综合治理平台和智慧平安小区系统的实战应用，建立事件发现、派单、处置、反馈、考核的全闭环管理机制，提升社会治理智能协同管理水平。</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黑体" w:hAnsi="黑体" w:eastAsia="黑体"/>
          <w:b w:val="0"/>
          <w:color w:val="auto"/>
          <w:kern w:val="0"/>
          <w:sz w:val="32"/>
          <w:szCs w:val="24"/>
          <w:highlight w:val="none"/>
        </w:rPr>
      </w:pPr>
      <w:r>
        <w:rPr>
          <w:rFonts w:hint="eastAsia"/>
          <w:b w:val="0"/>
          <w:color w:val="auto"/>
          <w:sz w:val="32"/>
          <w:szCs w:val="24"/>
          <w:highlight w:val="none"/>
        </w:rPr>
        <w:t>建设专业智能消防救援体系。造智慧用电安全监控体系，加强用电安全前端感知系统建设，升级用带电安全监控平台功能，实现报警关口前移，预先排除隐患，持续提升监管效能。完善现代化消防指挥中心建设，打造数智战训全要素管控系统，加强各类数字化成果在抢险救援行动中的应用，形成新型消防救援作战模式，全面提升消防救援队伍的作战能力。</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b w:val="0"/>
          <w:color w:val="auto"/>
          <w:sz w:val="32"/>
          <w:szCs w:val="24"/>
          <w:highlight w:val="none"/>
        </w:rPr>
        <w:t>建设智能应急指挥调度系统。根据上级部门工作要求，梳理我区第一次全国自然灾害风险普查相关数据内容，协调上级部门推进自然灾害综合风险普查成果的有效管理和数据运营，为自然灾害防治、救灾救援、应急处置、安全风险监控预警等常态化工作提供数据支撑；升级大兴区应急调度指挥平台，贯通区、镇街以及应急救援队伍之间应急调度指挥体系，升级预警发布模块，形成市区一体化的预警发布体系。建设大兴区智慧安全监管平台，对接各类安全监管业务系统，建设安全监管综合应用和移动化应用，实现安全生产数据的全汇聚和分析展示。</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bookmarkStart w:id="91" w:name="_Toc601"/>
      <w:r>
        <w:rPr>
          <w:rFonts w:hint="eastAsia"/>
          <w:b w:val="0"/>
          <w:color w:val="auto"/>
          <w:sz w:val="32"/>
          <w:szCs w:val="24"/>
          <w:highlight w:val="none"/>
        </w:rPr>
        <w:t>加强国土空间闭环管理。基于国土空间基础信息平台，建立土地利用规划、土地管理审批等自然资源数据库，实现各类空间管控要素精准落地，形成国土空间规划“一张图”；开展自然资源态势常态化分析，形成国土空间规划编制、实施、监督、保障的闭环管理体系。</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推动农村宅基地管理数字化。</w:t>
      </w:r>
      <w:r>
        <w:rPr>
          <w:rFonts w:hint="eastAsia"/>
          <w:b w:val="0"/>
          <w:color w:val="auto"/>
          <w:sz w:val="32"/>
          <w:szCs w:val="24"/>
          <w:highlight w:val="none"/>
        </w:rPr>
        <w:t>以国土调查、土地利用变更调查、村庄规划、房地一体的宅基地使用权确权登记颁证等数据成果为基础，建立农村宅基地数据库，制作宅基地数据台账和利用现状图，开展农村宅基地管理信息系统建设，实现农村宅基地的在线申请、审批、登记和日常监管，解决农村宅基地信息“碎片化”、归口“多头化”、管理“条块化”等难点，实现宅基地“信息一张图、管理一条链、监管一张网”。</w:t>
      </w:r>
    </w:p>
    <w:p>
      <w:pPr>
        <w:pStyle w:val="6"/>
        <w:keepNext/>
        <w:keepLines w:val="0"/>
        <w:pageBreakBefore w:val="0"/>
        <w:widowControl w:val="0"/>
        <w:numPr>
          <w:ilvl w:val="3"/>
          <w:numId w:val="0"/>
        </w:numPr>
        <w:kinsoku/>
        <w:wordWrap/>
        <w:overflowPunct/>
        <w:topLinePunct w:val="0"/>
        <w:autoSpaceDE/>
        <w:autoSpaceDN/>
        <w:bidi w:val="0"/>
        <w:spacing w:beforeLines="0" w:afterLines="0" w:line="560" w:lineRule="exact"/>
        <w:ind w:left="0" w:firstLine="640" w:firstLineChars="200"/>
        <w:textAlignment w:val="auto"/>
        <w:rPr>
          <w:rFonts w:hint="eastAsia" w:ascii="黑体" w:hAnsi="黑体" w:eastAsia="黑体"/>
          <w:b w:val="0"/>
          <w:color w:val="auto"/>
          <w:sz w:val="32"/>
          <w:szCs w:val="24"/>
          <w:highlight w:val="none"/>
        </w:rPr>
      </w:pPr>
      <w:r>
        <w:rPr>
          <w:rFonts w:hint="eastAsia"/>
          <w:b w:val="0"/>
          <w:color w:val="auto"/>
          <w:sz w:val="32"/>
          <w:szCs w:val="24"/>
          <w:highlight w:val="none"/>
        </w:rPr>
        <w:t>创新住房建设管理模式。搭建住建业务信息数据库，归集企业、人员、房屋等基础数据，实现数据的分类存储。依托“安居北京”建设智慧住房、智慧安居和业务协同管理系统，实现住房管理“一张图”、安居管理“一张图”和业务协同“一张图”，全景化展示智慧住建平台的业务和监管数据。</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92" w:name="_Toc12960"/>
      <w:bookmarkStart w:id="93" w:name="_Toc30834"/>
      <w:bookmarkStart w:id="94" w:name="_Toc9692"/>
      <w:bookmarkStart w:id="95" w:name="_Toc4737"/>
      <w:bookmarkStart w:id="96" w:name="_Toc7349"/>
      <w:bookmarkStart w:id="97" w:name="_Toc5159"/>
      <w:bookmarkStart w:id="98" w:name="_Toc24611"/>
      <w:bookmarkStart w:id="99" w:name="_Toc24381"/>
      <w:bookmarkStart w:id="100" w:name="_Toc26724"/>
      <w:bookmarkStart w:id="101" w:name="_Toc20105"/>
      <w:bookmarkStart w:id="102" w:name="_Toc19685"/>
      <w:r>
        <w:rPr>
          <w:rFonts w:hint="eastAsia" w:ascii="楷体_GB2312" w:hAnsi="楷体_GB2312" w:eastAsia="楷体_GB2312" w:cs="楷体_GB2312"/>
          <w:color w:val="auto"/>
          <w:sz w:val="32"/>
          <w:szCs w:val="24"/>
          <w:highlight w:val="none"/>
        </w:rPr>
        <w:t>（五）助力数字经济加速发展</w:t>
      </w:r>
      <w:bookmarkEnd w:id="91"/>
      <w:bookmarkEnd w:id="92"/>
      <w:bookmarkEnd w:id="93"/>
      <w:bookmarkEnd w:id="94"/>
      <w:bookmarkEnd w:id="95"/>
      <w:bookmarkEnd w:id="96"/>
      <w:bookmarkEnd w:id="97"/>
      <w:bookmarkEnd w:id="98"/>
      <w:bookmarkEnd w:id="99"/>
      <w:bookmarkEnd w:id="100"/>
      <w:bookmarkEnd w:id="101"/>
      <w:bookmarkEnd w:id="102"/>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bookmarkStart w:id="103" w:name="_Toc92179957"/>
      <w:bookmarkStart w:id="104" w:name="_Toc32325_WPSOffice_Level2"/>
      <w:bookmarkStart w:id="105" w:name="_Toc13574"/>
      <w:bookmarkStart w:id="106" w:name="_Toc28082"/>
      <w:r>
        <w:rPr>
          <w:rFonts w:hint="eastAsia" w:ascii="仿宋_GB2312" w:hAnsi="仿宋_GB2312"/>
          <w:b w:val="0"/>
          <w:color w:val="auto"/>
          <w:sz w:val="32"/>
          <w:szCs w:val="24"/>
          <w:highlight w:val="none"/>
        </w:rPr>
        <w:t>积极推动5G产业发展。开展重点领域5G应用试点示范，推进5G 在智慧医疗、智慧教育、公共安全、文化旅游、车联网等行业领域中的创新应用试点示范，形成可复制、可推广的典型案例。建立5G+超高清节目交换网络及平台、创新应用实验室，推动8K超高清技术在有线电视、IPTV和互联网电视的应用，培育智慧广电生态。加快工业互联网建设，推动“5G+工业互联网”融合创新。</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探索布局车联网产业。在临空经济区率先打通物流专用道路，试点三级配送体系下的物流车辆自动驾驶，主动吸纳、积极推广高级别自动驾驶示范区建设成果，加快布局车路协同基础设施，布设自动驾驶领域底层复用的数字化设施。在我区内部城市道路，适度超前开展车路协同路网建设和改造，逐步实现城区级交通体系全要素数字化。</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推动先进智能制造产业发展。围绕生物医药、医疗器械、航空航天装备、新一代信息技术、氢燃料电池汽车、智能装备等重点制造产业，加快重点项目落地建设。对标世界“灯塔工厂”和国家“智能制造标杆企业”，发挥领军企业的样板示范和产业链带动作用，引导企业加强工业互联网应用，推动建设一批全球领先的数字化车间、智能工厂，加速制造业智能转型升级。以国际氢能示范区重大示范应用为牵引，围绕绿色低碳的氢能产业，结合人工智能、物联网等技术，率先发展储能技术衍生服务、氢燃料电池服务、数字化节能服务等行业。推进氢能基础设施建设，加快氢能在交通、发电、供能、工业等多领域的全场景示范推广应用和规模化、商业化发展。面向京津冀一体化，探索建设多能互补互通的能源大数据平台，统筹推动能源企业数字化转型和区域节能减排。</w:t>
      </w:r>
    </w:p>
    <w:p>
      <w:pPr>
        <w:pStyle w:val="6"/>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打造数字医疗健康产业高地。针对寻医诊疗、健康保健、医药电商、医生服务等新业态，积极吸引知名互联网大健康平台入驻，支持优势企业建立医药垂直电商体系。落实国家“互联网＋医疗健康”指导意见，探索建立互联网医院，支持传统医疗机构创新发展，提供远程诊疗、健康管理等数字医疗服务。结合养老可穿戴设备、养老信息化平台、智慧居家养老等新模式，发展数字医疗康养产业。</w:t>
      </w:r>
    </w:p>
    <w:p>
      <w:pPr>
        <w:pStyle w:val="6"/>
        <w:keepNext/>
        <w:keepLines w:val="0"/>
        <w:pageBreakBefore w:val="0"/>
        <w:widowControl w:val="0"/>
        <w:numPr>
          <w:ilvl w:val="3"/>
          <w:numId w:val="0"/>
        </w:numPr>
        <w:shd w:val="clear" w:color="auto" w:fill="FFFFFF"/>
        <w:kinsoku/>
        <w:wordWrap/>
        <w:overflowPunct/>
        <w:topLinePunct w:val="0"/>
        <w:autoSpaceDE/>
        <w:autoSpaceDN/>
        <w:bidi w:val="0"/>
        <w:spacing w:beforeLines="0" w:afterLines="0" w:line="560" w:lineRule="exact"/>
        <w:ind w:left="0" w:firstLine="640" w:firstLineChars="200"/>
        <w:jc w:val="left"/>
        <w:textAlignment w:val="auto"/>
        <w:rPr>
          <w:rFonts w:hint="eastAsia" w:ascii="仿宋_GB2312" w:hAnsi="仿宋_GB2312"/>
          <w:b w:val="0"/>
          <w:color w:val="auto"/>
          <w:sz w:val="32"/>
          <w:szCs w:val="24"/>
          <w:highlight w:val="none"/>
        </w:rPr>
      </w:pPr>
      <w:r>
        <w:rPr>
          <w:rFonts w:hint="eastAsia" w:ascii="仿宋_GB2312" w:hAnsi="仿宋_GB2312"/>
          <w:b w:val="0"/>
          <w:color w:val="auto"/>
          <w:sz w:val="32"/>
          <w:szCs w:val="24"/>
          <w:highlight w:val="none"/>
        </w:rPr>
        <w:t>开展数字贸易试验区试点。完善数据跨境流动服务平台建设，建立国际数据跨境流动安全保护及风险控制机制形成数字贸易综合服务矩阵，率先在医疗、跨境贸易等优势产业领域明确重要数据目录。完善机制体制建设、政策创新，增强数字贸易试验区对国内外数字贸易龙头企业总部、研发中心和运营中心吸引力，打造数字贸易产业集群。以贸易数字化产业集群为发展基础，联动京津冀产业链，拓展远程医疗、金融科技、云服务、数字内容、数据交易等数字服务贸易新业态。</w:t>
      </w:r>
    </w:p>
    <w:p>
      <w:pPr>
        <w:pStyle w:val="6"/>
        <w:keepNext/>
        <w:keepLines w:val="0"/>
        <w:pageBreakBefore w:val="0"/>
        <w:widowControl w:val="0"/>
        <w:numPr>
          <w:ilvl w:val="3"/>
          <w:numId w:val="0"/>
        </w:numPr>
        <w:kinsoku/>
        <w:wordWrap/>
        <w:overflowPunct/>
        <w:topLinePunct w:val="0"/>
        <w:autoSpaceDE/>
        <w:autoSpaceDN/>
        <w:bidi w:val="0"/>
        <w:snapToGrid w:val="0"/>
        <w:spacing w:beforeLines="0" w:afterLines="0" w:line="560" w:lineRule="exact"/>
        <w:ind w:left="0" w:firstLine="640" w:firstLineChars="200"/>
        <w:textAlignment w:val="auto"/>
        <w:rPr>
          <w:rFonts w:hint="eastAsia" w:ascii="仿宋_GB2312" w:hAnsi="仿宋_GB2312"/>
          <w:b w:val="0"/>
          <w:color w:val="auto"/>
          <w:kern w:val="0"/>
          <w:sz w:val="32"/>
          <w:szCs w:val="24"/>
          <w:highlight w:val="none"/>
        </w:rPr>
      </w:pPr>
      <w:r>
        <w:rPr>
          <w:rFonts w:hint="eastAsia" w:ascii="仿宋_GB2312" w:hAnsi="仿宋_GB2312"/>
          <w:b w:val="0"/>
          <w:color w:val="auto"/>
          <w:sz w:val="32"/>
          <w:szCs w:val="24"/>
          <w:highlight w:val="none"/>
        </w:rPr>
        <w:t>打造国际贸易数字化示范区。依托临空经济区建设，打造贸易数字化综合服务平台，推动大兴机场综保区和智慧物流区电子商务、跨境贸易、离岸贸易等行业集聚发展。引进打造一批领军企业，创新发展智慧供应链服务、智慧检验、跨境合规服务等业态。探索跨境金融服务、电子认证、在线消费者权益保障等领域的规则制定，积极参与国际贸易数字化标准体系建设。</w:t>
      </w:r>
    </w:p>
    <w:p>
      <w:pPr>
        <w:pStyle w:val="5"/>
        <w:keepNext/>
        <w:keepLines w:val="0"/>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eastAsia="仿宋_GB2312"/>
          <w:b w:val="0"/>
          <w:color w:val="auto"/>
          <w:kern w:val="0"/>
          <w:sz w:val="32"/>
          <w:szCs w:val="24"/>
          <w:highlight w:val="none"/>
        </w:rPr>
      </w:pPr>
      <w:r>
        <w:rPr>
          <w:rFonts w:hint="eastAsia" w:ascii="仿宋_GB2312" w:hAnsi="仿宋_GB2312" w:eastAsia="仿宋_GB2312"/>
          <w:b w:val="0"/>
          <w:color w:val="auto"/>
          <w:sz w:val="32"/>
          <w:szCs w:val="24"/>
          <w:highlight w:val="none"/>
        </w:rPr>
        <w:t>建设数据共享智慧园区。依托临空经济区、大兴国际氢能示范区、北京中日创新合作示范区建设，按照“生产+生活+生态”的发展思路，推进智慧园区和园区数字化、智能化基础设施建设，支持镇级工业园引进数字化园区运营商，提升园区管理服务智慧化水平，赋能园区产业发展。立足临空经济区优势，超前布局一批先进适用的数字基础设施。</w:t>
      </w:r>
    </w:p>
    <w:bookmarkEnd w:id="54"/>
    <w:bookmarkEnd w:id="103"/>
    <w:bookmarkEnd w:id="104"/>
    <w:bookmarkEnd w:id="105"/>
    <w:bookmarkEnd w:id="106"/>
    <w:p>
      <w:pPr>
        <w:pStyle w:val="4"/>
        <w:keepNext/>
        <w:keepLines w:val="0"/>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eastAsia="黑体"/>
          <w:color w:val="auto"/>
          <w:sz w:val="32"/>
          <w:szCs w:val="24"/>
          <w:highlight w:val="none"/>
        </w:rPr>
      </w:pPr>
      <w:bookmarkStart w:id="107" w:name="_Toc327892990"/>
      <w:bookmarkStart w:id="108" w:name="_Toc28646"/>
      <w:bookmarkStart w:id="109" w:name="_Toc25405"/>
      <w:bookmarkStart w:id="110" w:name="_Toc79701162"/>
      <w:bookmarkStart w:id="111" w:name="_Toc14890"/>
      <w:bookmarkStart w:id="112" w:name="_Toc13757"/>
      <w:bookmarkStart w:id="113" w:name="_Toc9634"/>
      <w:bookmarkStart w:id="114" w:name="_Toc15232"/>
      <w:bookmarkStart w:id="115" w:name="_Toc8412"/>
      <w:bookmarkStart w:id="116" w:name="_Toc92179990"/>
      <w:bookmarkStart w:id="117" w:name="_Toc19572"/>
      <w:bookmarkStart w:id="118" w:name="_Toc30343"/>
      <w:bookmarkStart w:id="119" w:name="_Toc17843"/>
      <w:bookmarkStart w:id="120" w:name="_Toc4481"/>
      <w:bookmarkStart w:id="121" w:name="_Toc17389"/>
      <w:r>
        <w:rPr>
          <w:rFonts w:hint="eastAsia" w:eastAsia="黑体"/>
          <w:color w:val="auto"/>
          <w:sz w:val="32"/>
          <w:szCs w:val="24"/>
          <w:highlight w:val="none"/>
        </w:rPr>
        <w:t>四、保障</w:t>
      </w:r>
      <w:bookmarkEnd w:id="107"/>
      <w:r>
        <w:rPr>
          <w:rFonts w:hint="eastAsia" w:eastAsia="黑体"/>
          <w:color w:val="auto"/>
          <w:sz w:val="32"/>
          <w:szCs w:val="24"/>
          <w:highlight w:val="none"/>
        </w:rPr>
        <w:t>措施</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22" w:name="_Toc26560"/>
      <w:bookmarkStart w:id="123" w:name="_Toc23162"/>
      <w:bookmarkStart w:id="124" w:name="_Toc28399"/>
      <w:bookmarkStart w:id="125" w:name="_Toc10238"/>
      <w:bookmarkStart w:id="126" w:name="_Toc17367"/>
      <w:bookmarkStart w:id="127" w:name="_Toc29256"/>
      <w:bookmarkStart w:id="128" w:name="_Toc21363"/>
      <w:bookmarkStart w:id="129" w:name="_Toc12679"/>
      <w:bookmarkStart w:id="130" w:name="_Toc21897"/>
      <w:bookmarkStart w:id="131" w:name="_Toc27273"/>
      <w:bookmarkStart w:id="132" w:name="_Toc2403"/>
      <w:bookmarkStart w:id="133" w:name="_Toc13698"/>
      <w:r>
        <w:rPr>
          <w:rFonts w:hint="eastAsia" w:ascii="楷体_GB2312" w:hAnsi="楷体_GB2312" w:eastAsia="楷体_GB2312" w:cs="楷体_GB2312"/>
          <w:color w:val="auto"/>
          <w:sz w:val="32"/>
          <w:szCs w:val="24"/>
          <w:highlight w:val="none"/>
        </w:rPr>
        <w:t>（一）强化统筹协调力度</w:t>
      </w:r>
      <w:bookmarkEnd w:id="122"/>
      <w:bookmarkEnd w:id="123"/>
      <w:bookmarkEnd w:id="124"/>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充分发挥区新型智慧城市建设工作领导小组及办公室（简称区智慧城市领导小组、区智慧办）的关键指导与决策作用，指导各属地、各部门开展智慧城市建设，推动全区智慧城市一体化协同发展。各属地、各部门明确本单位智慧城市主管领导及责任科室，与区智慧办充分对接，统筹推进本区域、本行业智慧城市建设的规划、顶层设计、发展时序等工作。组建智慧城市专业咨询队伍，长期开展智慧城市总体规划设计和智库服务。</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34" w:name="_Toc5333"/>
      <w:bookmarkStart w:id="135" w:name="_Toc23214"/>
      <w:bookmarkStart w:id="136" w:name="_Toc15275"/>
      <w:r>
        <w:rPr>
          <w:rFonts w:hint="eastAsia" w:ascii="楷体_GB2312" w:hAnsi="楷体_GB2312" w:eastAsia="楷体_GB2312" w:cs="楷体_GB2312"/>
          <w:color w:val="auto"/>
          <w:sz w:val="32"/>
          <w:szCs w:val="24"/>
          <w:highlight w:val="none"/>
        </w:rPr>
        <w:t>（二）创新项目管理模式</w:t>
      </w:r>
      <w:bookmarkEnd w:id="134"/>
      <w:bookmarkEnd w:id="135"/>
      <w:bookmarkEnd w:id="136"/>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color w:val="auto"/>
          <w:sz w:val="32"/>
          <w:szCs w:val="24"/>
          <w:highlight w:val="none"/>
        </w:rPr>
      </w:pPr>
      <w:r>
        <w:rPr>
          <w:rFonts w:hint="eastAsia" w:ascii="仿宋_GB2312" w:hAnsi="仿宋_GB2312" w:eastAsia="仿宋_GB2312"/>
          <w:color w:val="auto"/>
          <w:sz w:val="32"/>
          <w:szCs w:val="24"/>
          <w:highlight w:val="none"/>
        </w:rPr>
        <w:t>按照《北京市“十四五”时期智慧城市发展行动纲要》、《北京市“十四五”时期智慧城市建设控制性规划要求（试行）》和《大兴区属地及部门智慧城市建设指导意见（试行）》，建立健全区级建设项目管控体系。发布《大兴区信息化项目评审管理办法》，在项目规划设计、项目征集、技术审查、项目立项、项目建设、运维运营、绩效考核、评估评价等环节，建立项目统筹管理“闭环”。加强基础平台和应用服务统筹约束能力，强化区级应用备案机制。建立智慧城市评估评价体系，落实月报、季评制度，加强对智慧城市建设应用成效的监督评价。</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37" w:name="_Toc9381"/>
      <w:bookmarkStart w:id="138" w:name="_Toc18906"/>
      <w:bookmarkStart w:id="139" w:name="_Toc16764"/>
      <w:bookmarkStart w:id="140" w:name="_Toc15579"/>
      <w:bookmarkStart w:id="141" w:name="_Toc3569"/>
      <w:bookmarkStart w:id="142" w:name="_Toc11151"/>
      <w:r>
        <w:rPr>
          <w:rFonts w:hint="eastAsia" w:ascii="楷体_GB2312" w:hAnsi="楷体_GB2312" w:eastAsia="楷体_GB2312" w:cs="楷体_GB2312"/>
          <w:color w:val="auto"/>
          <w:sz w:val="32"/>
          <w:szCs w:val="24"/>
          <w:highlight w:val="none"/>
        </w:rPr>
        <w:t>（三）拓展建设资金来源</w:t>
      </w:r>
      <w:bookmarkEnd w:id="137"/>
      <w:bookmarkEnd w:id="138"/>
      <w:bookmarkEnd w:id="139"/>
      <w:bookmarkEnd w:id="140"/>
      <w:bookmarkEnd w:id="141"/>
      <w:bookmarkEnd w:id="142"/>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32"/>
          <w:szCs w:val="24"/>
          <w:highlight w:val="none"/>
        </w:rPr>
      </w:pPr>
      <w:r>
        <w:rPr>
          <w:rFonts w:hint="eastAsia" w:ascii="仿宋_GB2312" w:hAnsi="仿宋_GB2312" w:eastAsia="仿宋_GB2312"/>
          <w:color w:val="auto"/>
          <w:sz w:val="32"/>
          <w:szCs w:val="24"/>
          <w:highlight w:val="none"/>
        </w:rPr>
        <w:t>大力吸引社会资本和金融资源在智慧城市建设领域的投入。提升金融服务环境，建立健全金融服务体系，积极引导金融机构支持大兴区智慧城市建设。研究放大产业基金引导效能和投融资平台引导效能，探索建立政府投资为引导、企业投资为主体、金融机构积极支持的投融资模式，助力大兴区智慧城市建设和数字经济发展。</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43" w:name="_Toc13635"/>
      <w:bookmarkStart w:id="144" w:name="_Toc14364"/>
      <w:bookmarkStart w:id="145" w:name="_Toc20314"/>
      <w:r>
        <w:rPr>
          <w:rFonts w:hint="eastAsia" w:ascii="楷体_GB2312" w:hAnsi="楷体_GB2312" w:eastAsia="楷体_GB2312" w:cs="楷体_GB2312"/>
          <w:color w:val="auto"/>
          <w:sz w:val="32"/>
          <w:szCs w:val="24"/>
          <w:highlight w:val="none"/>
        </w:rPr>
        <w:t>（四）加大人才培养力度</w:t>
      </w:r>
      <w:bookmarkEnd w:id="143"/>
      <w:bookmarkEnd w:id="144"/>
      <w:bookmarkEnd w:id="145"/>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olor w:val="auto"/>
          <w:sz w:val="24"/>
          <w:szCs w:val="24"/>
          <w:highlight w:val="none"/>
        </w:rPr>
      </w:pPr>
      <w:r>
        <w:rPr>
          <w:rFonts w:hint="eastAsia" w:ascii="仿宋_GB2312" w:hAnsi="仿宋_GB2312" w:eastAsia="仿宋_GB2312"/>
          <w:color w:val="auto"/>
          <w:sz w:val="32"/>
          <w:szCs w:val="24"/>
          <w:highlight w:val="none"/>
        </w:rPr>
        <w:t>优化人才发展环境，建立适应智慧城市建设的人才引进、培养和流动机制。实施柔性引智措施，变“刚性”引进为“柔性”集聚，通过项目合作、聘任顾问、选派挂职、兼职引进等方式快速引进实用人才，建立“关系不转、智力流动、来去自由”的用人机制。鼓励国内高校与大兴区重点企业联合建立人才培养基地、设立产学研人才社区，为大兴区输送专业人才。</w:t>
      </w:r>
    </w:p>
    <w:p>
      <w:pPr>
        <w:pStyle w:val="4"/>
        <w:keepNext/>
        <w:pageBreakBefore w:val="0"/>
        <w:widowControl w:val="0"/>
        <w:numPr>
          <w:ilvl w:val="1"/>
          <w:numId w:val="0"/>
        </w:numPr>
        <w:kinsoku/>
        <w:wordWrap/>
        <w:overflowPunct/>
        <w:topLinePunct w:val="0"/>
        <w:autoSpaceDE/>
        <w:autoSpaceDN/>
        <w:bidi w:val="0"/>
        <w:spacing w:beforeLines="0" w:afterLines="0" w:line="560" w:lineRule="exact"/>
        <w:ind w:left="0" w:firstLine="640" w:firstLineChars="200"/>
        <w:textAlignment w:val="auto"/>
        <w:rPr>
          <w:rFonts w:hint="eastAsia" w:ascii="楷体_GB2312" w:hAnsi="楷体_GB2312" w:eastAsia="楷体_GB2312" w:cs="楷体_GB2312"/>
          <w:color w:val="auto"/>
          <w:sz w:val="32"/>
          <w:szCs w:val="24"/>
          <w:highlight w:val="none"/>
        </w:rPr>
      </w:pPr>
      <w:bookmarkStart w:id="146" w:name="_Toc18215"/>
      <w:bookmarkStart w:id="147" w:name="_Toc6607"/>
      <w:bookmarkStart w:id="148" w:name="_Toc27753"/>
      <w:r>
        <w:rPr>
          <w:rFonts w:hint="eastAsia" w:ascii="楷体_GB2312" w:hAnsi="楷体_GB2312" w:eastAsia="楷体_GB2312" w:cs="楷体_GB2312"/>
          <w:color w:val="auto"/>
          <w:sz w:val="32"/>
          <w:szCs w:val="24"/>
          <w:highlight w:val="none"/>
        </w:rPr>
        <w:t>（五）加强宣传培训引导</w:t>
      </w:r>
      <w:bookmarkEnd w:id="146"/>
      <w:bookmarkEnd w:id="147"/>
      <w:bookmarkEnd w:id="148"/>
    </w:p>
    <w:p>
      <w:pPr>
        <w:keepNext/>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eastAsia="仿宋_GB2312"/>
          <w:color w:val="auto"/>
          <w:sz w:val="32"/>
          <w:szCs w:val="24"/>
          <w:highlight w:val="none"/>
        </w:rPr>
      </w:pPr>
      <w:r>
        <w:rPr>
          <w:rFonts w:hint="eastAsia" w:eastAsia="仿宋_GB2312"/>
          <w:color w:val="auto"/>
          <w:sz w:val="32"/>
          <w:szCs w:val="24"/>
          <w:highlight w:val="none"/>
        </w:rPr>
        <w:t>加大对政府信息化工作队伍，尤其是领导干部的培训，提高领导干部对智慧城市的认识，掌握和遵循智慧城市发展规律，培养运用数字化思维解决实际问题</w:t>
      </w:r>
      <w:r>
        <w:rPr>
          <w:rFonts w:hint="eastAsia" w:ascii="仿宋_GB2312" w:hAnsi="仿宋_GB2312" w:eastAsia="仿宋_GB2312"/>
          <w:color w:val="auto"/>
          <w:sz w:val="32"/>
          <w:szCs w:val="24"/>
          <w:highlight w:val="none"/>
        </w:rPr>
        <w:t>的能力。充分发挥区融媒体新闻资源聚合和传播能力，加大对智慧城市建设的宣传引导，促进全社会广泛参与、共同推进。</w:t>
      </w:r>
      <w:bookmarkEnd w:id="125"/>
      <w:bookmarkEnd w:id="126"/>
      <w:bookmarkEnd w:id="127"/>
      <w:bookmarkEnd w:id="128"/>
      <w:bookmarkEnd w:id="129"/>
      <w:bookmarkEnd w:id="130"/>
      <w:bookmarkEnd w:id="131"/>
      <w:bookmarkEnd w:id="132"/>
      <w:bookmarkEnd w:id="133"/>
    </w:p>
    <w:p>
      <w:pPr>
        <w:pStyle w:val="8"/>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p>
    <w:p>
      <w:pPr>
        <w:bidi w:val="0"/>
        <w:rPr>
          <w:rFonts w:hint="default"/>
          <w:lang w:val="en" w:eastAsia="zh-CN"/>
        </w:rPr>
      </w:pPr>
      <w:bookmarkStart w:id="149" w:name="_GoBack"/>
      <w:bookmarkEnd w:id="149"/>
    </w:p>
    <w:sectPr>
      <w:footerReference r:id="rId6"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firstLine="360"/>
      <w:rPr>
        <w:rFonts w:hint="eastAsia"/>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firstLine="560"/>
      <w:jc w:val="center"/>
      <w:rPr>
        <w:rFonts w:hint="eastAsia"/>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firstLine="560"/>
      <w:jc w:val="center"/>
      <w:rPr>
        <w:rFonts w:hint="eastAsia"/>
        <w:sz w:val="18"/>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Lines="0" w:afterLines="0"/>
      <w:ind w:firstLine="480"/>
      <w:rPr>
        <w:rFonts w:hint="default"/>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7D38E"/>
    <w:multiLevelType w:val="multilevel"/>
    <w:tmpl w:val="9D27D38E"/>
    <w:lvl w:ilvl="0" w:tentative="0">
      <w:start w:val="1"/>
      <w:numFmt w:val="chineseCountingThousand"/>
      <w:suff w:val="nothing"/>
      <w:lvlText w:val="第%1章 "/>
      <w:lvlJc w:val="left"/>
      <w:pPr>
        <w:ind w:left="0" w:firstLine="0"/>
      </w:pPr>
      <w:rPr>
        <w:rFonts w:hint="default"/>
        <w:u w:val="none" w:color="auto"/>
      </w:rPr>
    </w:lvl>
    <w:lvl w:ilvl="1" w:tentative="0">
      <w:start w:val="1"/>
      <w:numFmt w:val="chineseCountingThousand"/>
      <w:pStyle w:val="4"/>
      <w:suff w:val="nothing"/>
      <w:lvlText w:val="%2、"/>
      <w:lvlJc w:val="left"/>
      <w:pPr>
        <w:ind w:left="-83" w:firstLine="0"/>
      </w:pPr>
      <w:rPr>
        <w:rFonts w:hint="eastAsia" w:ascii="Times New Roman" w:hAnsi="Times New Roman" w:eastAsia="黑体"/>
        <w:color w:val="auto"/>
        <w:sz w:val="32"/>
        <w:u w:val="none" w:color="auto"/>
      </w:rPr>
    </w:lvl>
    <w:lvl w:ilvl="2" w:tentative="0">
      <w:start w:val="1"/>
      <w:numFmt w:val="chineseCountingThousand"/>
      <w:pStyle w:val="5"/>
      <w:suff w:val="nothing"/>
      <w:lvlText w:val="（%3）"/>
      <w:lvlJc w:val="left"/>
      <w:pPr>
        <w:ind w:left="560" w:firstLine="400"/>
      </w:pPr>
      <w:rPr>
        <w:rFonts w:hint="default" w:ascii="Times New Roman"/>
        <w:u w:val="none" w:color="auto"/>
      </w:rPr>
    </w:lvl>
    <w:lvl w:ilvl="3" w:tentative="0">
      <w:start w:val="1"/>
      <w:numFmt w:val="decimal"/>
      <w:pStyle w:val="6"/>
      <w:suff w:val="nothing"/>
      <w:lvlText w:val="%4、"/>
      <w:lvlJc w:val="left"/>
      <w:pPr>
        <w:ind w:left="237" w:firstLine="402"/>
      </w:pPr>
      <w:rPr>
        <w:rFonts w:hint="default"/>
        <w:u w:val="none" w:color="auto"/>
      </w:rPr>
    </w:lvl>
    <w:lvl w:ilvl="4" w:tentative="0">
      <w:start w:val="1"/>
      <w:numFmt w:val="decimal"/>
      <w:suff w:val="nothing"/>
      <w:lvlText w:val="（%5）"/>
      <w:lvlJc w:val="left"/>
      <w:pPr>
        <w:ind w:left="2434" w:firstLine="402"/>
      </w:pPr>
      <w:rPr>
        <w:rFonts w:hint="default"/>
        <w:u w:val="none" w:color="auto"/>
      </w:rPr>
    </w:lvl>
    <w:lvl w:ilvl="5" w:tentative="0">
      <w:start w:val="1"/>
      <w:numFmt w:val="decimal"/>
      <w:suff w:val="nothing"/>
      <w:lvlText w:val="%6）"/>
      <w:lvlJc w:val="left"/>
      <w:pPr>
        <w:ind w:left="0" w:firstLine="402"/>
      </w:pPr>
      <w:rPr>
        <w:rFonts w:hint="default"/>
        <w:u w:val="none" w:color="auto"/>
      </w:rPr>
    </w:lvl>
    <w:lvl w:ilvl="6" w:tentative="0">
      <w:start w:val="1"/>
      <w:numFmt w:val="lowerLetter"/>
      <w:suff w:val="nothing"/>
      <w:lvlText w:val="%7．"/>
      <w:lvlJc w:val="left"/>
      <w:pPr>
        <w:ind w:left="0" w:firstLine="402"/>
      </w:pPr>
      <w:rPr>
        <w:rFonts w:hint="default"/>
        <w:u w:val="none" w:color="auto"/>
      </w:rPr>
    </w:lvl>
    <w:lvl w:ilvl="7" w:tentative="0">
      <w:start w:val="1"/>
      <w:numFmt w:val="lowerLetter"/>
      <w:suff w:val="nothing"/>
      <w:lvlText w:val="%8）"/>
      <w:lvlJc w:val="left"/>
      <w:pPr>
        <w:ind w:left="0" w:firstLine="402"/>
      </w:pPr>
      <w:rPr>
        <w:rFonts w:hint="default"/>
        <w:u w:val="none" w:color="auto"/>
      </w:rPr>
    </w:lvl>
    <w:lvl w:ilvl="8" w:tentative="0">
      <w:start w:val="1"/>
      <w:numFmt w:val="lowerRoman"/>
      <w:suff w:val="nothing"/>
      <w:lvlText w:val="%9 "/>
      <w:lvlJc w:val="left"/>
      <w:pPr>
        <w:ind w:left="0" w:firstLine="402"/>
      </w:pPr>
      <w:rPr>
        <w:rFonts w:hint="default"/>
        <w:u w:val="none" w:color="auto"/>
      </w:rPr>
    </w:lvl>
  </w:abstractNum>
  <w:abstractNum w:abstractNumId="1">
    <w:nsid w:val="1F391C68"/>
    <w:multiLevelType w:val="multilevel"/>
    <w:tmpl w:val="1F391C68"/>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ascii="楷体_GB2312" w:hAnsi="楷体_GB2312" w:eastAsia="楷体_GB2312" w:cs="楷体_GB2312"/>
        <w:sz w:val="32"/>
        <w:szCs w:val="32"/>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NDU0NThmMDBmNTQzOGE1MzRkMGQzYzFlNDY2ODYifQ=="/>
  </w:docVars>
  <w:rsids>
    <w:rsidRoot w:val="00172A27"/>
    <w:rsid w:val="027515B0"/>
    <w:rsid w:val="1D013B75"/>
    <w:rsid w:val="24F7F917"/>
    <w:rsid w:val="3DA35AF1"/>
    <w:rsid w:val="497B77F5"/>
    <w:rsid w:val="76224A42"/>
    <w:rsid w:val="7B8D209D"/>
    <w:rsid w:val="BE7EF962"/>
    <w:rsid w:val="D4E75B62"/>
    <w:rsid w:val="D5CF7768"/>
    <w:rsid w:val="EFC281CA"/>
    <w:rsid w:val="FBDF3843"/>
    <w:rsid w:val="FF2F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240" w:lineRule="auto"/>
      <w:ind w:firstLine="880" w:firstLineChars="200"/>
      <w:outlineLvl w:val="0"/>
    </w:pPr>
    <w:rPr>
      <w:rFonts w:eastAsia="黑体" w:asciiTheme="minorAscii" w:hAnsiTheme="minorAscii"/>
      <w:kern w:val="44"/>
      <w:sz w:val="32"/>
    </w:rPr>
  </w:style>
  <w:style w:type="paragraph" w:styleId="4">
    <w:name w:val="heading 2"/>
    <w:basedOn w:val="1"/>
    <w:next w:val="1"/>
    <w:unhideWhenUsed/>
    <w:qFormat/>
    <w:uiPriority w:val="0"/>
    <w:pPr>
      <w:keepNext/>
      <w:keepLines/>
      <w:numPr>
        <w:ilvl w:val="1"/>
        <w:numId w:val="2"/>
      </w:numPr>
      <w:spacing w:beforeLines="0" w:afterLines="0"/>
      <w:ind w:left="-83"/>
      <w:outlineLvl w:val="1"/>
    </w:pPr>
    <w:rPr>
      <w:rFonts w:hint="eastAsia" w:ascii="等线 Light" w:hAnsi="等线 Light" w:eastAsia="等线 Light"/>
      <w:sz w:val="32"/>
      <w:szCs w:val="24"/>
    </w:rPr>
  </w:style>
  <w:style w:type="paragraph" w:styleId="5">
    <w:name w:val="heading 3"/>
    <w:basedOn w:val="1"/>
    <w:next w:val="1"/>
    <w:unhideWhenUsed/>
    <w:qFormat/>
    <w:uiPriority w:val="0"/>
    <w:pPr>
      <w:keepNext/>
      <w:keepLines/>
      <w:numPr>
        <w:ilvl w:val="2"/>
        <w:numId w:val="2"/>
      </w:numPr>
      <w:spacing w:beforeLines="0" w:afterLines="0"/>
      <w:ind w:left="560" w:firstLine="0" w:firstLineChars="0"/>
      <w:outlineLvl w:val="2"/>
    </w:pPr>
    <w:rPr>
      <w:rFonts w:hint="eastAsia"/>
      <w:b/>
      <w:sz w:val="32"/>
      <w:szCs w:val="24"/>
    </w:rPr>
  </w:style>
  <w:style w:type="paragraph" w:styleId="6">
    <w:name w:val="heading 4"/>
    <w:basedOn w:val="1"/>
    <w:next w:val="1"/>
    <w:unhideWhenUsed/>
    <w:qFormat/>
    <w:uiPriority w:val="0"/>
    <w:pPr>
      <w:keepNext/>
      <w:keepLines/>
      <w:numPr>
        <w:ilvl w:val="3"/>
        <w:numId w:val="2"/>
      </w:numPr>
      <w:spacing w:beforeLines="0" w:afterLines="0"/>
      <w:ind w:left="237"/>
      <w:outlineLvl w:val="3"/>
    </w:pPr>
    <w:rPr>
      <w:rFonts w:hint="default" w:ascii="Arial" w:hAnsi="Arial" w:eastAsia="仿宋_GB2312"/>
      <w:b/>
      <w:sz w:val="32"/>
      <w:szCs w:val="24"/>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beforeLines="0" w:after="120" w:afterLines="0"/>
      <w:jc w:val="left"/>
    </w:pPr>
    <w:rPr>
      <w:rFonts w:hint="eastAsia" w:ascii="等线" w:eastAsia="等线"/>
      <w:b/>
      <w:caps/>
      <w:sz w:val="20"/>
      <w:szCs w:val="24"/>
    </w:rPr>
  </w:style>
  <w:style w:type="paragraph" w:styleId="7">
    <w:name w:val="Body Text"/>
    <w:basedOn w:val="1"/>
    <w:next w:val="1"/>
    <w:unhideWhenUsed/>
    <w:qFormat/>
    <w:uiPriority w:val="99"/>
    <w:pPr>
      <w:spacing w:beforeLines="0" w:after="120" w:afterLines="0"/>
    </w:pPr>
    <w:rPr>
      <w:rFonts w:hint="eastAsia"/>
      <w:sz w:val="32"/>
      <w:szCs w:val="24"/>
    </w:rPr>
  </w:style>
  <w:style w:type="paragraph" w:styleId="8">
    <w:name w:val="Plain Text"/>
    <w:basedOn w:val="1"/>
    <w:qFormat/>
    <w:uiPriority w:val="0"/>
    <w:rPr>
      <w:rFonts w:ascii="宋体" w:hAnsi="Courier New"/>
    </w:rPr>
  </w:style>
  <w:style w:type="paragraph" w:styleId="9">
    <w:name w:val="footer"/>
    <w:basedOn w:val="1"/>
    <w:unhideWhenUsed/>
    <w:qFormat/>
    <w:uiPriority w:val="99"/>
    <w:pPr>
      <w:tabs>
        <w:tab w:val="center" w:pos="4153"/>
        <w:tab w:val="right" w:pos="8306"/>
      </w:tabs>
      <w:snapToGrid w:val="0"/>
      <w:spacing w:beforeLines="0" w:afterLines="0"/>
      <w:jc w:val="left"/>
    </w:pPr>
    <w:rPr>
      <w:rFonts w:hint="eastAsia"/>
      <w:sz w:val="18"/>
      <w:szCs w:val="24"/>
    </w:rPr>
  </w:style>
  <w:style w:type="paragraph" w:styleId="10">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szCs w:val="24"/>
    </w:rPr>
  </w:style>
  <w:style w:type="paragraph" w:styleId="11">
    <w:name w:val="toc 2"/>
    <w:basedOn w:val="1"/>
    <w:next w:val="1"/>
    <w:unhideWhenUsed/>
    <w:qFormat/>
    <w:uiPriority w:val="39"/>
    <w:pPr>
      <w:spacing w:beforeLines="0" w:afterLines="0"/>
      <w:ind w:left="320"/>
      <w:jc w:val="left"/>
    </w:pPr>
    <w:rPr>
      <w:rFonts w:hint="eastAsia" w:ascii="等线" w:eastAsia="等线"/>
      <w:smallCaps/>
      <w:sz w:val="20"/>
      <w:szCs w:val="24"/>
    </w:rPr>
  </w:style>
  <w:style w:type="character" w:styleId="14">
    <w:name w:val="Hyperlink"/>
    <w:basedOn w:val="13"/>
    <w:qFormat/>
    <w:uiPriority w:val="0"/>
    <w:rPr>
      <w:rFonts w:hint="eastAsia" w:ascii="微软雅黑" w:hAnsi="微软雅黑" w:eastAsia="微软雅黑" w:cs="微软雅黑"/>
      <w:color w:val="333333"/>
      <w:u w:val="none"/>
    </w:rPr>
  </w:style>
  <w:style w:type="paragraph" w:customStyle="1" w:styleId="15">
    <w:name w:val="G4"/>
    <w:basedOn w:val="1"/>
    <w:link w:val="16"/>
    <w:qFormat/>
    <w:uiPriority w:val="0"/>
    <w:pPr>
      <w:spacing w:line="360" w:lineRule="auto"/>
    </w:pPr>
    <w:rPr>
      <w:rFonts w:eastAsia="仿宋_GB2312" w:asciiTheme="minorAscii" w:hAnsiTheme="minorAscii"/>
      <w:sz w:val="32"/>
      <w:szCs w:val="22"/>
    </w:rPr>
  </w:style>
  <w:style w:type="character" w:customStyle="1" w:styleId="16">
    <w:name w:val="G4 字符"/>
    <w:basedOn w:val="13"/>
    <w:link w:val="15"/>
    <w:qFormat/>
    <w:uiPriority w:val="0"/>
    <w:rPr>
      <w:rFonts w:eastAsia="仿宋_GB2312" w:asciiTheme="minorAscii" w:hAnsiTheme="minorAscii"/>
      <w:sz w:val="32"/>
      <w:szCs w:val="22"/>
    </w:rPr>
  </w:style>
  <w:style w:type="paragraph" w:customStyle="1" w:styleId="17">
    <w:name w:val="!正文"/>
    <w:basedOn w:val="1"/>
    <w:unhideWhenUsed/>
    <w:qFormat/>
    <w:uiPriority w:val="0"/>
    <w:pPr>
      <w:spacing w:beforeLines="0" w:afterLines="0" w:line="360" w:lineRule="auto"/>
      <w:ind w:firstLine="200"/>
    </w:pPr>
    <w:rPr>
      <w:rFonts w:hint="default" w:ascii="宋体" w:hAnsi="宋体" w:eastAsia="宋体"/>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412</Words>
  <Characters>502</Characters>
  <Lines>1</Lines>
  <Paragraphs>1</Paragraphs>
  <TotalTime>2</TotalTime>
  <ScaleCrop>false</ScaleCrop>
  <LinksUpToDate>false</LinksUpToDate>
  <CharactersWithSpaces>525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2022-05-07T08:54:00Z</dcterms:created>
  <dc:creator>山伯</dc:creator>
  <cp:lastModifiedBy>user</cp:lastModifiedBy>
  <dcterms:modified xsi:type="dcterms:W3CDTF">2022-05-20T10:41:54Z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C896A45345D44D5CA3064DE72AA840B4</vt:lpwstr>
  </property>
</Properties>
</file>