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52"/>
          <w:lang w:val="en-US" w:eastAsia="zh-CN"/>
        </w:rPr>
        <w:t>北京市规划和自然资源委员会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52"/>
          <w:lang w:val="en-US" w:eastAsia="zh-CN"/>
        </w:rPr>
        <w:t>2022年政府信息公开工作年度报告</w:t>
      </w:r>
    </w:p>
    <w:p>
      <w:pPr>
        <w:pStyle w:val="5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Autospacing="0" w:after="0" w:afterAutospacing="0" w:line="560" w:lineRule="exact"/>
        <w:ind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pacing w:val="8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Autospacing="0" w:after="0" w:afterAutospacing="0" w:line="560" w:lineRule="exact"/>
        <w:ind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lang w:val="en-US" w:eastAsia="zh-CN"/>
        </w:rPr>
        <w:t>依据《中华人民共和国政府信息公开条例》第五十条规定，编制本报告。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一、总体情况</w:t>
      </w:r>
    </w:p>
    <w:p>
      <w:pPr>
        <w:pStyle w:val="5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beforeAutospacing="0" w:after="0" w:afterAutospacing="0" w:line="560" w:lineRule="exact"/>
        <w:ind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lang w:val="en-US" w:eastAsia="zh-CN"/>
        </w:rPr>
        <w:t>2022年，北京市规划和自然资源委员会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依据国办及北京市《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政务公开工作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要点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坚持以人民为中心的发展理念，切实服务企业和群众需求，全面提升政府信息公开质量和实效。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pacing w:val="8"/>
          <w:kern w:val="0"/>
          <w:sz w:val="32"/>
          <w:szCs w:val="32"/>
          <w:lang w:val="en-US" w:bidi="ar"/>
        </w:rPr>
      </w:pPr>
      <w:r>
        <w:rPr>
          <w:rFonts w:hint="eastAsia" w:ascii="楷体" w:hAnsi="楷体" w:eastAsia="楷体" w:cs="楷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（一）加强组织领导，健全制度机制。</w:t>
      </w:r>
      <w:r>
        <w:rPr>
          <w:rFonts w:hint="eastAsia" w:asci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调整完善政务公开领导小组架构，</w:t>
      </w:r>
      <w:r>
        <w:rPr>
          <w:rFonts w:hint="eastAsia" w:asci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层层压实责任，强化职责分工，定期研究年度重点任务，加强统筹协调，充分发挥政务公开工作领导小组作用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完善公文制作、获取环节公开属性确认制度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建立季度例会、讲评通报、重点事项会商等制度。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仿宋_GB2312"/>
          <w:b w:val="0"/>
          <w:bCs w:val="0"/>
          <w:color w:val="0070C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（二）突出重点领域，深化主动公开。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一是推动重大决策、实事项目主动公开。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每季度在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政府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网站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公开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承担的市政府工作报告重点任务及民生实事执行情况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对事关社会、民生利益的重要决策、实事项目通过官网广泛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征集意见建议，主动公开建议意见采信、采纳情况。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二是坚持行政执法主动公示。在政府网站设立“行政执法公示”专栏，主动公示行政执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法事前、事中、事后信息，方便市民群众查阅全流程工作信息，监督行政执法工作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。三是注重加强政策解读。通过发布科普读本、采取“一图读懂”、动画讲解、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网上咨询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答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等方式对出台的政策性文件进行解读。</w:t>
      </w:r>
    </w:p>
    <w:p>
      <w:pPr>
        <w:pStyle w:val="2"/>
        <w:ind w:firstLine="66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（三）强化服务意识，做好依申请公开。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一是畅通受理渠道。结合疫情防控形势，下发通知全面统筹信息公开工作，确保委机关、各分局网页、现场、邮寄等受理渠道畅通。二是规范受理流程。定期组织学习，加强培训帮带、严格督导审核，印发《关于印发依申请信息公开答复告知书模板（试行版）的通知》，进一步促进全委信息公开业务规范化建设。三是加强政民互动。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化便民服务意识，搭建网络邮箱、电话、微信等快捷沟通和补正平台，主动与申请人沟通，指导补正申请内容，做好释疑解惑工作。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（四）加强信息化保障，不断完善平台建设。</w:t>
      </w:r>
      <w:r>
        <w:rPr>
          <w:rFonts w:hint="eastAsia" w:ascii="仿宋_GB2312" w:hAnsi="仿宋_GB2312" w:eastAsia="仿宋_GB2312" w:cs="仿宋_GB2312"/>
          <w:color w:val="auto"/>
          <w:spacing w:val="8"/>
          <w:kern w:val="0"/>
          <w:sz w:val="32"/>
          <w:szCs w:val="32"/>
          <w:lang w:val="en-US" w:eastAsia="zh-CN" w:bidi="ar"/>
        </w:rPr>
        <w:t>不断加强政府网站“我是规划师”“名城保护大家谈”等专题栏目建设，主动公开城乡规划和自然资源信息，做好重大舆情回应处置。及时更新“北京规划自然资源”微博、微信、头条号。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针对新媒体发布内容严格进行三审三校，安排专人每月进行自查，及时查纠安全、泄密、表述错误等问题，本年度自查未发现存在问题。</w:t>
      </w:r>
    </w:p>
    <w:p>
      <w:pPr>
        <w:pStyle w:val="5"/>
        <w:widowControl/>
        <w:numPr>
          <w:ilvl w:val="-1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exact"/>
        <w:ind w:leftChars="0" w:firstLine="640" w:firstLineChars="200"/>
        <w:rPr>
          <w:rFonts w:hint="eastAsia" w:ascii="黑体" w:hAnsi="宋体" w:eastAsia="黑体" w:cs="黑体"/>
          <w:color w:val="333333"/>
          <w:sz w:val="32"/>
          <w:szCs w:val="32"/>
          <w:shd w:val="clear" w:color="auto" w:fill="FFFFFF"/>
          <w:lang w:eastAsia="zh-CN"/>
        </w:rPr>
      </w:pPr>
    </w:p>
    <w:p>
      <w:pPr>
        <w:pStyle w:val="5"/>
        <w:widowControl/>
        <w:numPr>
          <w:ilvl w:val="-1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exact"/>
        <w:ind w:leftChars="0" w:firstLine="640" w:firstLineChars="200"/>
        <w:rPr>
          <w:rFonts w:hint="eastAsia"/>
        </w:rPr>
      </w:pPr>
      <w:r>
        <w:rPr>
          <w:rFonts w:hint="eastAsia" w:ascii="黑体" w:hAnsi="宋体" w:eastAsia="黑体" w:cs="黑体"/>
          <w:color w:val="333333"/>
          <w:sz w:val="32"/>
          <w:szCs w:val="32"/>
          <w:shd w:val="clear" w:color="auto" w:fill="FFFFFF"/>
          <w:lang w:eastAsia="zh-CN"/>
        </w:rPr>
        <w:t>二、</w:t>
      </w:r>
      <w:r>
        <w:rPr>
          <w:rFonts w:hint="default" w:ascii="黑体" w:hAnsi="宋体" w:eastAsia="黑体" w:cs="黑体"/>
          <w:color w:val="333333"/>
          <w:sz w:val="32"/>
          <w:szCs w:val="32"/>
          <w:shd w:val="clear" w:color="auto" w:fill="FFFFFF"/>
        </w:rPr>
        <w:t>主动公开政府信息情况</w:t>
      </w:r>
    </w:p>
    <w:p>
      <w:pPr>
        <w:pStyle w:val="2"/>
        <w:numPr>
          <w:ilvl w:val="0"/>
          <w:numId w:val="0"/>
        </w:numPr>
        <w:rPr>
          <w:rFonts w:hint="eastAsia"/>
        </w:rPr>
      </w:pPr>
    </w:p>
    <w:tbl>
      <w:tblPr>
        <w:tblStyle w:val="8"/>
        <w:tblW w:w="974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  <w:lang w:val="en-US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Cs w:val="21"/>
                <w:lang w:val="en-US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left" w:pos="928"/>
              </w:tabs>
              <w:jc w:val="center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 w:bidi="ar"/>
              </w:rPr>
              <w:t>104532.0448</w:t>
            </w:r>
          </w:p>
        </w:tc>
      </w:tr>
    </w:tbl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numPr>
          <w:ilvl w:val="-1"/>
          <w:numId w:val="0"/>
        </w:numPr>
        <w:spacing w:line="560" w:lineRule="exact"/>
        <w:ind w:left="420" w:leftChars="200" w:firstLine="0"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收到和处理政府信息公开申请情况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8"/>
        <w:tblW w:w="9980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92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04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921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921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val="en-US"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8721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10178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val="en-US"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val="en-US"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val="en-US"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5927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val="en-US"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766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9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val="en-US"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8944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val="en-US"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val="en-US"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10409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21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</w:t>
            </w:r>
          </w:p>
        </w:tc>
      </w:tr>
    </w:tbl>
    <w:p>
      <w:pPr>
        <w:pStyle w:val="2"/>
        <w:numPr>
          <w:ilvl w:val="0"/>
          <w:numId w:val="0"/>
        </w:numPr>
        <w:ind w:leftChars="200"/>
        <w:rPr>
          <w:rFonts w:hint="eastAsia"/>
        </w:rPr>
      </w:pPr>
    </w:p>
    <w:p>
      <w:pPr>
        <w:pStyle w:val="2"/>
        <w:numPr>
          <w:ilvl w:val="0"/>
          <w:numId w:val="0"/>
        </w:numPr>
        <w:ind w:leftChars="200"/>
        <w:rPr>
          <w:rFonts w:hint="eastAsia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tbl>
      <w:tblPr>
        <w:tblStyle w:val="8"/>
        <w:tblW w:w="9748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51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2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31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5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89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7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5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10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22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13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outlineLvl w:val="9"/>
        <w:rPr>
          <w:rFonts w:ascii="黑体" w:hAnsi="黑体" w:eastAsia="黑体" w:cs="宋体"/>
          <w:spacing w:val="8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outlineLvl w:val="9"/>
        <w:rPr>
          <w:rFonts w:ascii="宋体" w:hAnsi="宋体" w:cs="宋体"/>
          <w:spacing w:val="8"/>
          <w:kern w:val="0"/>
          <w:sz w:val="24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五、存在的主要问题及改进情况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lang w:val="en-US" w:eastAsia="zh-CN"/>
        </w:rPr>
        <w:t>一是针对主动公开栏目设置、内容发布等方面还存在不够完善、内容设置比较分散的问题，及时优化调整栏目设置，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研究拓宽主动公开范围，完善改进主动公开方式，更加方便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lang w:val="en-US" w:eastAsia="zh-CN"/>
        </w:rPr>
        <w:t>群众查询信息。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lang w:val="en-US" w:eastAsia="zh-CN"/>
        </w:rPr>
        <w:t>二是针对依申请事项办理中个别类型信息需求量大，存在较多延期办理情况，要求办理部门增加力量，加强督办，延期办理件不得超过总数的5%。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outlineLvl w:val="9"/>
        <w:rPr>
          <w:rFonts w:ascii="宋体" w:hAnsi="宋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六、其他需要报告的事项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根据《政府信息公开信息处理费管理办法》（国办函〔2020〕109号），2022年度本机关发出收费通知95件，实际收费6.764万元（不含各分局）。委系统共发出收费通知320件、总金额122.031万元，实际收费96.13万元。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560" w:lineRule="exact"/>
        <w:ind w:left="0" w:right="0" w:firstLine="672" w:firstLineChars="200"/>
        <w:jc w:val="left"/>
        <w:textAlignment w:val="auto"/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eastAsia="zh-CN"/>
        </w:rPr>
        <w:t>北京市规划和自然资源委员会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政府网站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eastAsia="zh-CN"/>
        </w:rPr>
        <w:t>网址为：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val="en-US" w:eastAsia="zh-CN"/>
        </w:rPr>
        <w:t>http://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ghzrzyw.beijing.gov.cn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如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eastAsia="zh-CN"/>
        </w:rPr>
        <w:t>需了解更多政府信息，请登录查询。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F835E9"/>
    <w:rsid w:val="013F387A"/>
    <w:rsid w:val="02D53725"/>
    <w:rsid w:val="03275F3E"/>
    <w:rsid w:val="04613288"/>
    <w:rsid w:val="0822229D"/>
    <w:rsid w:val="09F835E9"/>
    <w:rsid w:val="0C90272C"/>
    <w:rsid w:val="0D397569"/>
    <w:rsid w:val="0E4042DA"/>
    <w:rsid w:val="15CC0EED"/>
    <w:rsid w:val="171A546E"/>
    <w:rsid w:val="1C8809C5"/>
    <w:rsid w:val="1D581FFA"/>
    <w:rsid w:val="21C012DF"/>
    <w:rsid w:val="233F3B68"/>
    <w:rsid w:val="34CE2065"/>
    <w:rsid w:val="37770D8D"/>
    <w:rsid w:val="37EA47E4"/>
    <w:rsid w:val="38DA3FFD"/>
    <w:rsid w:val="3F376564"/>
    <w:rsid w:val="42852E84"/>
    <w:rsid w:val="42E35DEA"/>
    <w:rsid w:val="4857622C"/>
    <w:rsid w:val="4FBB19E9"/>
    <w:rsid w:val="50415C61"/>
    <w:rsid w:val="53B93C30"/>
    <w:rsid w:val="55DE759D"/>
    <w:rsid w:val="5B300C38"/>
    <w:rsid w:val="5C1D64EB"/>
    <w:rsid w:val="5FFD234E"/>
    <w:rsid w:val="607D7F60"/>
    <w:rsid w:val="60F9491C"/>
    <w:rsid w:val="618B2573"/>
    <w:rsid w:val="62390965"/>
    <w:rsid w:val="62A227E8"/>
    <w:rsid w:val="696E1305"/>
    <w:rsid w:val="6A11590B"/>
    <w:rsid w:val="6AD73261"/>
    <w:rsid w:val="6D705C7E"/>
    <w:rsid w:val="6E7D7460"/>
    <w:rsid w:val="75E14C79"/>
    <w:rsid w:val="76151A7F"/>
    <w:rsid w:val="795E6F64"/>
    <w:rsid w:val="7BB94AEF"/>
    <w:rsid w:val="7CBF2EF5"/>
    <w:rsid w:val="7CC3174A"/>
    <w:rsid w:val="7D280D60"/>
    <w:rsid w:val="7DE7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index 1"/>
    <w:basedOn w:val="1"/>
    <w:next w:val="1"/>
    <w:qFormat/>
    <w:uiPriority w:val="0"/>
  </w:style>
  <w:style w:type="character" w:customStyle="1" w:styleId="9">
    <w:name w:val="font01"/>
    <w:basedOn w:val="7"/>
    <w:qFormat/>
    <w:uiPriority w:val="0"/>
    <w:rPr>
      <w:rFonts w:hint="eastAsia" w:ascii="楷体" w:hAnsi="楷体" w:eastAsia="楷体" w:cs="楷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2023-01-04T01:34:00Z</dcterms:created>
  <dc:creator>泥军儒</dc:creator>
  <cp:lastModifiedBy>吴新华</cp:lastModifiedBy>
  <dcterms:modified xsi:type="dcterms:W3CDTF">2023-01-17T11:31:19Z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