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Arial" w:eastAsia="仿宋_GB2312"/>
          <w:kern w:val="0"/>
          <w:sz w:val="32"/>
          <w:szCs w:val="32"/>
        </w:rPr>
      </w:pPr>
      <w:bookmarkStart w:id="0" w:name="_GoBack"/>
      <w:bookmarkEnd w:id="0"/>
    </w:p>
    <w:tbl>
      <w:tblPr>
        <w:tblStyle w:val="9"/>
        <w:tblW w:w="9660" w:type="dxa"/>
        <w:jc w:val="center"/>
        <w:tblInd w:w="0" w:type="dxa"/>
        <w:tblLayout w:type="fixed"/>
        <w:tblCellMar>
          <w:top w:w="0" w:type="dxa"/>
          <w:left w:w="108" w:type="dxa"/>
          <w:bottom w:w="0" w:type="dxa"/>
          <w:right w:w="108" w:type="dxa"/>
        </w:tblCellMar>
      </w:tblPr>
      <w:tblGrid>
        <w:gridCol w:w="7840"/>
        <w:gridCol w:w="760"/>
        <w:gridCol w:w="1060"/>
      </w:tblGrid>
      <w:tr>
        <w:tblPrEx>
          <w:tblLayout w:type="fixed"/>
          <w:tblCellMar>
            <w:top w:w="0" w:type="dxa"/>
            <w:left w:w="108" w:type="dxa"/>
            <w:bottom w:w="0" w:type="dxa"/>
            <w:right w:w="108" w:type="dxa"/>
          </w:tblCellMar>
        </w:tblPrEx>
        <w:trPr>
          <w:trHeight w:val="450" w:hRule="atLeast"/>
          <w:jc w:val="center"/>
        </w:trPr>
        <w:tc>
          <w:tcPr>
            <w:tcW w:w="9660" w:type="dxa"/>
            <w:gridSpan w:val="3"/>
            <w:tcBorders>
              <w:top w:val="nil"/>
              <w:left w:val="nil"/>
              <w:bottom w:val="nil"/>
              <w:right w:val="nil"/>
            </w:tcBorders>
            <w:shd w:val="clear" w:color="auto" w:fill="auto"/>
            <w:vAlign w:val="center"/>
          </w:tcPr>
          <w:p>
            <w:pPr>
              <w:widowControl/>
              <w:jc w:val="center"/>
              <w:rPr>
                <w:rFonts w:ascii="宋体" w:hAnsi="宋体" w:cs="宋体"/>
                <w:b/>
                <w:bCs/>
                <w:kern w:val="0"/>
                <w:sz w:val="36"/>
                <w:szCs w:val="36"/>
              </w:rPr>
            </w:pPr>
            <w:r>
              <w:rPr>
                <w:rFonts w:hint="eastAsia" w:ascii="宋体" w:hAnsi="宋体" w:cs="宋体"/>
                <w:b/>
                <w:bCs/>
                <w:kern w:val="0"/>
                <w:sz w:val="36"/>
                <w:szCs w:val="36"/>
              </w:rPr>
              <w:t>政府信息公开情况统计表</w:t>
            </w:r>
          </w:p>
        </w:tc>
      </w:tr>
      <w:tr>
        <w:tblPrEx>
          <w:tblLayout w:type="fixed"/>
          <w:tblCellMar>
            <w:top w:w="0" w:type="dxa"/>
            <w:left w:w="108" w:type="dxa"/>
            <w:bottom w:w="0" w:type="dxa"/>
            <w:right w:w="108" w:type="dxa"/>
          </w:tblCellMar>
        </w:tblPrEx>
        <w:trPr>
          <w:trHeight w:val="285" w:hRule="atLeast"/>
          <w:jc w:val="center"/>
        </w:trPr>
        <w:tc>
          <w:tcPr>
            <w:tcW w:w="9660" w:type="dxa"/>
            <w:gridSpan w:val="3"/>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（2015年度）</w:t>
            </w:r>
          </w:p>
        </w:tc>
      </w:tr>
      <w:tr>
        <w:tblPrEx>
          <w:tblLayout w:type="fixed"/>
          <w:tblCellMar>
            <w:top w:w="0" w:type="dxa"/>
            <w:left w:w="108" w:type="dxa"/>
            <w:bottom w:w="0" w:type="dxa"/>
            <w:right w:w="108" w:type="dxa"/>
          </w:tblCellMar>
        </w:tblPrEx>
        <w:trPr>
          <w:trHeight w:val="285" w:hRule="atLeast"/>
          <w:jc w:val="center"/>
        </w:trPr>
        <w:tc>
          <w:tcPr>
            <w:tcW w:w="7840" w:type="dxa"/>
            <w:tcBorders>
              <w:top w:val="nil"/>
              <w:left w:val="nil"/>
              <w:bottom w:val="nil"/>
              <w:right w:val="nil"/>
            </w:tcBorders>
            <w:shd w:val="clear" w:color="auto" w:fill="auto"/>
            <w:vAlign w:val="center"/>
          </w:tcPr>
          <w:p>
            <w:pPr>
              <w:widowControl/>
              <w:jc w:val="center"/>
              <w:rPr>
                <w:rFonts w:hint="eastAsia" w:ascii="宋体" w:hAnsi="宋体" w:cs="宋体"/>
                <w:b/>
                <w:bCs/>
                <w:kern w:val="0"/>
                <w:sz w:val="24"/>
                <w:szCs w:val="24"/>
              </w:rPr>
            </w:pPr>
          </w:p>
        </w:tc>
        <w:tc>
          <w:tcPr>
            <w:tcW w:w="76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06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r>
      <w:tr>
        <w:tblPrEx>
          <w:tblLayout w:type="fixed"/>
          <w:tblCellMar>
            <w:top w:w="0" w:type="dxa"/>
            <w:left w:w="108" w:type="dxa"/>
            <w:bottom w:w="0" w:type="dxa"/>
            <w:right w:w="108" w:type="dxa"/>
          </w:tblCellMar>
        </w:tblPrEx>
        <w:trPr>
          <w:trHeight w:val="435" w:hRule="atLeast"/>
          <w:jc w:val="center"/>
        </w:trPr>
        <w:tc>
          <w:tcPr>
            <w:tcW w:w="7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统 计 指 标</w:t>
            </w:r>
          </w:p>
        </w:tc>
        <w:tc>
          <w:tcPr>
            <w:tcW w:w="7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单位</w:t>
            </w:r>
          </w:p>
        </w:tc>
        <w:tc>
          <w:tcPr>
            <w:tcW w:w="10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统计数</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 一、主动公开情况</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7840" w:type="dxa"/>
            <w:tcBorders>
              <w:top w:val="nil"/>
              <w:left w:val="single" w:color="000000" w:sz="4" w:space="0"/>
              <w:bottom w:val="nil"/>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  （一）主动公开政府信息数</w:t>
            </w:r>
          </w:p>
        </w:tc>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997</w:t>
            </w:r>
          </w:p>
        </w:tc>
      </w:tr>
      <w:tr>
        <w:tblPrEx>
          <w:tblLayout w:type="fixed"/>
          <w:tblCellMar>
            <w:top w:w="0" w:type="dxa"/>
            <w:left w:w="108" w:type="dxa"/>
            <w:bottom w:w="0" w:type="dxa"/>
            <w:right w:w="108" w:type="dxa"/>
          </w:tblCellMar>
        </w:tblPrEx>
        <w:trPr>
          <w:trHeight w:val="360"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    （不同渠道和方式公开相同信息计1条）</w:t>
            </w:r>
          </w:p>
        </w:tc>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10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     其中：主动公开规范性文件数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        制发规范性文件总数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w:t>
            </w:r>
          </w:p>
        </w:tc>
      </w:tr>
      <w:tr>
        <w:tblPrEx>
          <w:tblLayout w:type="fixed"/>
          <w:tblCellMar>
            <w:top w:w="0" w:type="dxa"/>
            <w:left w:w="108" w:type="dxa"/>
            <w:bottom w:w="0" w:type="dxa"/>
            <w:right w:w="108" w:type="dxa"/>
          </w:tblCellMar>
        </w:tblPrEx>
        <w:trPr>
          <w:trHeight w:val="360" w:hRule="atLeast"/>
          <w:jc w:val="center"/>
        </w:trPr>
        <w:tc>
          <w:tcPr>
            <w:tcW w:w="7840" w:type="dxa"/>
            <w:tcBorders>
              <w:top w:val="nil"/>
              <w:left w:val="single" w:color="000000" w:sz="4" w:space="0"/>
              <w:bottom w:val="nil"/>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  （二）重点领域公开政府信息数</w:t>
            </w:r>
          </w:p>
        </w:tc>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57</w:t>
            </w:r>
          </w:p>
        </w:tc>
      </w:tr>
      <w:tr>
        <w:tblPrEx>
          <w:tblLayout w:type="fixed"/>
          <w:tblCellMar>
            <w:top w:w="0" w:type="dxa"/>
            <w:left w:w="108" w:type="dxa"/>
            <w:bottom w:w="0" w:type="dxa"/>
            <w:right w:w="108" w:type="dxa"/>
          </w:tblCellMar>
        </w:tblPrEx>
        <w:trPr>
          <w:trHeight w:val="360"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    （不同渠道和方式公开相同信息计1条）</w:t>
            </w:r>
          </w:p>
        </w:tc>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10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55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     其中：主动公开财政预算决算、“三公经费”和行政经费信息数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r>
      <w:tr>
        <w:tblPrEx>
          <w:tblLayout w:type="fixed"/>
          <w:tblCellMar>
            <w:top w:w="0" w:type="dxa"/>
            <w:left w:w="108" w:type="dxa"/>
            <w:bottom w:w="0" w:type="dxa"/>
            <w:right w:w="108" w:type="dxa"/>
          </w:tblCellMar>
        </w:tblPrEx>
        <w:trPr>
          <w:trHeight w:val="7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        主动公开保障性安居工程建设计划、项目开工和竣工情况，保障性住房的分配和退出等信息数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7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        主动公开食品安全标准，食品生产经营许可、专项检查整治等信息数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7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        主动公开环境核查审批、环境状况公报和重特大突发环境事件等信息数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7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        主动公开招投标违法违规行为及处理情况、国有资金占控股或者主导地位依法应当招标的项目等信息数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7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        主动公开生产安全事故的政府举措、处置进展、风险预警、防范措施等信息数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7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        主动公开农用地转为建设用地批准、征收集体土地批准、征地公告、征地补偿安置公示、集体土地征收结案等信息数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7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        主动公开政府指导价、政府定价和收费标准调整的项目、价格 、依据、执行时间和范围等信息数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7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        主动公开本市企业信用信息系统中的警示信息和良好信息等信息数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        主动公开政府部门预算执行审计结果等信息数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7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        主动公开行政机关对与人民群众利益密切相关的公共企事业单位进行监督管理的信息数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55</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nil"/>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        主动公开市人民政府决定主动公开的其他信息数</w:t>
            </w:r>
          </w:p>
        </w:tc>
        <w:tc>
          <w:tcPr>
            <w:tcW w:w="760" w:type="dxa"/>
            <w:tcBorders>
              <w:top w:val="nil"/>
              <w:left w:val="nil"/>
              <w:bottom w:val="nil"/>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nil"/>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r>
      <w:tr>
        <w:tblPrEx>
          <w:tblLayout w:type="fixed"/>
          <w:tblCellMar>
            <w:top w:w="0" w:type="dxa"/>
            <w:left w:w="108" w:type="dxa"/>
            <w:bottom w:w="0" w:type="dxa"/>
            <w:right w:w="108" w:type="dxa"/>
          </w:tblCellMar>
        </w:tblPrEx>
        <w:trPr>
          <w:trHeight w:val="435" w:hRule="atLeast"/>
          <w:jc w:val="center"/>
        </w:trPr>
        <w:tc>
          <w:tcPr>
            <w:tcW w:w="7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  （三）通过不同渠道和方式公开政府信息的情况</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       1.政府公报公开政府信息数</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       2.政府网站公开政府信息数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2900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       3.政务微博公开政府信息数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1137</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       4.政务微信公开政府信息数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540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       5.其他方式公开政府信息数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 二、回应解读情况</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7840" w:type="dxa"/>
            <w:tcBorders>
              <w:top w:val="nil"/>
              <w:left w:val="single" w:color="000000" w:sz="4" w:space="0"/>
              <w:bottom w:val="nil"/>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  （一）回应公众关注热点或重大舆情数</w:t>
            </w:r>
          </w:p>
        </w:tc>
        <w:tc>
          <w:tcPr>
            <w:tcW w:w="7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次</w:t>
            </w:r>
          </w:p>
        </w:tc>
        <w:tc>
          <w:tcPr>
            <w:tcW w:w="10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42</w:t>
            </w:r>
          </w:p>
        </w:tc>
      </w:tr>
      <w:tr>
        <w:tblPrEx>
          <w:tblLayout w:type="fixed"/>
          <w:tblCellMar>
            <w:top w:w="0" w:type="dxa"/>
            <w:left w:w="108" w:type="dxa"/>
            <w:bottom w:w="0" w:type="dxa"/>
            <w:right w:w="108" w:type="dxa"/>
          </w:tblCellMar>
        </w:tblPrEx>
        <w:trPr>
          <w:trHeight w:val="360"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     （不同方式回应同一热点或舆情计1次）</w:t>
            </w:r>
          </w:p>
        </w:tc>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10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  （二）通过不同渠道和方式回应解读的情况</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       1.参加或举办新闻发布会总次数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14</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         其中：主要负责同志参加新闻发布会次数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       2.政府网站在线访谈次数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16</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         其中：主要负责同志参加政府网站在线访谈次数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       3.政策解读稿件发布数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篇</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219</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       4.微博微信回应事件数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374</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       5.其他方式回应事件数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 三、依申请公开情况</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  （一）收到申请数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60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       1.当面申请数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13</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       2.传真申请数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       3.网络申请数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31</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       4.信函申请数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16</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  （二）申请办结数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42</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       1.按时办结数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41</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       2.延期办结数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  （三）申请答复数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42</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       1.属于已主动公开范围数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       2.同意公开答复数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15</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       3.同意部分公开答复数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nil"/>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       4.不同意公开答复数</w:t>
            </w:r>
          </w:p>
        </w:tc>
        <w:tc>
          <w:tcPr>
            <w:tcW w:w="760" w:type="dxa"/>
            <w:tcBorders>
              <w:top w:val="nil"/>
              <w:left w:val="nil"/>
              <w:bottom w:val="nil"/>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nil"/>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w:t>
            </w:r>
          </w:p>
        </w:tc>
      </w:tr>
      <w:tr>
        <w:tblPrEx>
          <w:tblLayout w:type="fixed"/>
          <w:tblCellMar>
            <w:top w:w="0" w:type="dxa"/>
            <w:left w:w="108" w:type="dxa"/>
            <w:bottom w:w="0" w:type="dxa"/>
            <w:right w:w="108" w:type="dxa"/>
          </w:tblCellMar>
        </w:tblPrEx>
        <w:trPr>
          <w:trHeight w:val="435" w:hRule="atLeast"/>
          <w:jc w:val="center"/>
        </w:trPr>
        <w:tc>
          <w:tcPr>
            <w:tcW w:w="7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         其中：涉及国家秘密</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            涉及商业秘密</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r>
      <w:tr>
        <w:tblPrEx>
          <w:tblLayout w:type="fixed"/>
          <w:tblCellMar>
            <w:top w:w="0" w:type="dxa"/>
            <w:left w:w="108" w:type="dxa"/>
            <w:bottom w:w="0" w:type="dxa"/>
            <w:right w:w="108" w:type="dxa"/>
          </w:tblCellMar>
        </w:tblPrEx>
        <w:trPr>
          <w:trHeight w:val="435" w:hRule="atLeast"/>
          <w:jc w:val="center"/>
        </w:trPr>
        <w:tc>
          <w:tcPr>
            <w:tcW w:w="78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            涉及个人隐私</w:t>
            </w:r>
          </w:p>
        </w:tc>
        <w:tc>
          <w:tcPr>
            <w:tcW w:w="7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64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            危及国家安全、公共安全、经济安全和社会稳定</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            不是《条例》所指政府信息</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            法律法规规定的其他情形</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       5.不属于本行政机关公开数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       6.申请信息不存在数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       7.告知作出更改补充数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       8.告知通过其他途径办理数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 四、行政复议数量</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  （一）维持具体行政行为数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  （二）被依法纠错数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  （三）其他情形数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 五、行政诉讼数量</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  （一）维持具体行政行为或者驳回原告诉讼请求数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6</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  （二）被依法纠错数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  （三）其他情形数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 六、举报投诉数量</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件</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 七、依申请公开信息收取的费用</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元</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21.40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 八、机构建设和保障经费情况</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  （一）政府信息公开工作专门机构数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  （二）设置政府信息公开查阅点数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个</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  （三）从事政府信息公开工作人员数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人</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       1.专职人员数（不包括政府公报及政府网站工作人员数）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人</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       2.兼职人员数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人</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7</w:t>
            </w:r>
          </w:p>
        </w:tc>
      </w:tr>
      <w:tr>
        <w:tblPrEx>
          <w:tblLayout w:type="fixed"/>
          <w:tblCellMar>
            <w:top w:w="0" w:type="dxa"/>
            <w:left w:w="108" w:type="dxa"/>
            <w:bottom w:w="0" w:type="dxa"/>
            <w:right w:w="108" w:type="dxa"/>
          </w:tblCellMar>
        </w:tblPrEx>
        <w:trPr>
          <w:trHeight w:val="7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  （四）政府信息公开专项经费（不包括用于政府公报编辑管理及政府网站建设维护等方面的经费）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元</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0.00</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b/>
                <w:bCs/>
                <w:kern w:val="0"/>
                <w:sz w:val="24"/>
                <w:szCs w:val="24"/>
              </w:rPr>
            </w:pPr>
            <w:r>
              <w:rPr>
                <w:rFonts w:hint="eastAsia" w:ascii="宋体" w:hAnsi="宋体" w:cs="宋体"/>
                <w:b/>
                <w:bCs/>
                <w:kern w:val="0"/>
                <w:sz w:val="24"/>
                <w:szCs w:val="24"/>
              </w:rPr>
              <w:t> 九、政府信息公开会议和培训情况</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  （一）召开政府信息公开工作会议或专题会议数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25</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  （二）举办各类培训班数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r>
      <w:tr>
        <w:tblPrEx>
          <w:tblLayout w:type="fixed"/>
          <w:tblCellMar>
            <w:top w:w="0" w:type="dxa"/>
            <w:left w:w="108" w:type="dxa"/>
            <w:bottom w:w="0" w:type="dxa"/>
            <w:right w:w="108" w:type="dxa"/>
          </w:tblCellMar>
        </w:tblPrEx>
        <w:trPr>
          <w:trHeight w:val="435" w:hRule="atLeast"/>
          <w:jc w:val="center"/>
        </w:trPr>
        <w:tc>
          <w:tcPr>
            <w:tcW w:w="784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  （三）接受培训人员数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人次</w:t>
            </w:r>
          </w:p>
        </w:tc>
        <w:tc>
          <w:tcPr>
            <w:tcW w:w="10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88</w:t>
            </w:r>
          </w:p>
        </w:tc>
      </w:tr>
    </w:tbl>
    <w:p>
      <w:pPr>
        <w:widowControl/>
        <w:jc w:val="left"/>
        <w:rPr>
          <w:rFonts w:hint="eastAsia" w:ascii="仿宋_GB2312" w:hAnsi="Arial" w:eastAsia="仿宋_GB231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00A"/>
    <w:rsid w:val="000065FD"/>
    <w:rsid w:val="00010374"/>
    <w:rsid w:val="00015E86"/>
    <w:rsid w:val="000162DC"/>
    <w:rsid w:val="00025787"/>
    <w:rsid w:val="000431F4"/>
    <w:rsid w:val="00043667"/>
    <w:rsid w:val="00051BFA"/>
    <w:rsid w:val="00056401"/>
    <w:rsid w:val="00056A25"/>
    <w:rsid w:val="00065A74"/>
    <w:rsid w:val="000737E2"/>
    <w:rsid w:val="00091F22"/>
    <w:rsid w:val="00093F86"/>
    <w:rsid w:val="000E0A93"/>
    <w:rsid w:val="000E236B"/>
    <w:rsid w:val="000F2544"/>
    <w:rsid w:val="00106AA4"/>
    <w:rsid w:val="00120853"/>
    <w:rsid w:val="0015162B"/>
    <w:rsid w:val="001523F3"/>
    <w:rsid w:val="00155A0F"/>
    <w:rsid w:val="00161F20"/>
    <w:rsid w:val="001638E0"/>
    <w:rsid w:val="00164D1D"/>
    <w:rsid w:val="00181F47"/>
    <w:rsid w:val="0018413F"/>
    <w:rsid w:val="001A08AD"/>
    <w:rsid w:val="001B6334"/>
    <w:rsid w:val="001F6DDB"/>
    <w:rsid w:val="00201592"/>
    <w:rsid w:val="00207CB0"/>
    <w:rsid w:val="00224934"/>
    <w:rsid w:val="002334DE"/>
    <w:rsid w:val="00242842"/>
    <w:rsid w:val="00254957"/>
    <w:rsid w:val="00265AE2"/>
    <w:rsid w:val="0026700A"/>
    <w:rsid w:val="002770DA"/>
    <w:rsid w:val="0029528D"/>
    <w:rsid w:val="002A18E0"/>
    <w:rsid w:val="002B404E"/>
    <w:rsid w:val="002B6E14"/>
    <w:rsid w:val="002D3BD9"/>
    <w:rsid w:val="002E2E13"/>
    <w:rsid w:val="002F384A"/>
    <w:rsid w:val="00322DBD"/>
    <w:rsid w:val="003261BC"/>
    <w:rsid w:val="003410A3"/>
    <w:rsid w:val="0035612E"/>
    <w:rsid w:val="00356816"/>
    <w:rsid w:val="0036384C"/>
    <w:rsid w:val="00364A18"/>
    <w:rsid w:val="003A130F"/>
    <w:rsid w:val="003A2B07"/>
    <w:rsid w:val="003C482A"/>
    <w:rsid w:val="003D58B3"/>
    <w:rsid w:val="003D5A50"/>
    <w:rsid w:val="003F0796"/>
    <w:rsid w:val="0040466C"/>
    <w:rsid w:val="00416421"/>
    <w:rsid w:val="004202D9"/>
    <w:rsid w:val="00423AC0"/>
    <w:rsid w:val="004251B0"/>
    <w:rsid w:val="004329CA"/>
    <w:rsid w:val="00454526"/>
    <w:rsid w:val="0047408A"/>
    <w:rsid w:val="004800E1"/>
    <w:rsid w:val="004901F3"/>
    <w:rsid w:val="004D1FE9"/>
    <w:rsid w:val="004D797B"/>
    <w:rsid w:val="005034E3"/>
    <w:rsid w:val="0051733E"/>
    <w:rsid w:val="00527600"/>
    <w:rsid w:val="005308D1"/>
    <w:rsid w:val="00533B2B"/>
    <w:rsid w:val="0055080E"/>
    <w:rsid w:val="00570F17"/>
    <w:rsid w:val="00571E85"/>
    <w:rsid w:val="005838F0"/>
    <w:rsid w:val="005956D9"/>
    <w:rsid w:val="00596B44"/>
    <w:rsid w:val="005B17A8"/>
    <w:rsid w:val="005D2F74"/>
    <w:rsid w:val="005E1E86"/>
    <w:rsid w:val="005E39DC"/>
    <w:rsid w:val="005F66E4"/>
    <w:rsid w:val="00603AED"/>
    <w:rsid w:val="0061649A"/>
    <w:rsid w:val="00621A97"/>
    <w:rsid w:val="00625A14"/>
    <w:rsid w:val="006336CF"/>
    <w:rsid w:val="00656A77"/>
    <w:rsid w:val="00663A01"/>
    <w:rsid w:val="00665B75"/>
    <w:rsid w:val="006A42C3"/>
    <w:rsid w:val="006A750E"/>
    <w:rsid w:val="006B7AFE"/>
    <w:rsid w:val="006C64CB"/>
    <w:rsid w:val="006C699B"/>
    <w:rsid w:val="006C75A1"/>
    <w:rsid w:val="006C7FC3"/>
    <w:rsid w:val="006D4AD6"/>
    <w:rsid w:val="006D53BA"/>
    <w:rsid w:val="006E5F6C"/>
    <w:rsid w:val="006E659A"/>
    <w:rsid w:val="006F654C"/>
    <w:rsid w:val="00704A25"/>
    <w:rsid w:val="00723A77"/>
    <w:rsid w:val="00726F92"/>
    <w:rsid w:val="007611B7"/>
    <w:rsid w:val="007637FC"/>
    <w:rsid w:val="007717D7"/>
    <w:rsid w:val="00776A1F"/>
    <w:rsid w:val="007912E1"/>
    <w:rsid w:val="00794B15"/>
    <w:rsid w:val="007C68EB"/>
    <w:rsid w:val="007C747A"/>
    <w:rsid w:val="007D6C56"/>
    <w:rsid w:val="007E2994"/>
    <w:rsid w:val="008071E7"/>
    <w:rsid w:val="00850F2B"/>
    <w:rsid w:val="00854960"/>
    <w:rsid w:val="00855A47"/>
    <w:rsid w:val="00865722"/>
    <w:rsid w:val="00865BB7"/>
    <w:rsid w:val="00872387"/>
    <w:rsid w:val="008778B6"/>
    <w:rsid w:val="00877F09"/>
    <w:rsid w:val="00886820"/>
    <w:rsid w:val="008A66FF"/>
    <w:rsid w:val="008B2092"/>
    <w:rsid w:val="008B2CCC"/>
    <w:rsid w:val="008C7010"/>
    <w:rsid w:val="008E598D"/>
    <w:rsid w:val="008E66D6"/>
    <w:rsid w:val="008F2415"/>
    <w:rsid w:val="008F2D67"/>
    <w:rsid w:val="008F5E21"/>
    <w:rsid w:val="00911007"/>
    <w:rsid w:val="009405B6"/>
    <w:rsid w:val="00940E35"/>
    <w:rsid w:val="0095118A"/>
    <w:rsid w:val="00960AD6"/>
    <w:rsid w:val="00967C03"/>
    <w:rsid w:val="009717B8"/>
    <w:rsid w:val="00981FB3"/>
    <w:rsid w:val="00990E68"/>
    <w:rsid w:val="009A7838"/>
    <w:rsid w:val="009B710A"/>
    <w:rsid w:val="009C2820"/>
    <w:rsid w:val="009D258A"/>
    <w:rsid w:val="009D5A26"/>
    <w:rsid w:val="009D61C1"/>
    <w:rsid w:val="009E23D7"/>
    <w:rsid w:val="009E3377"/>
    <w:rsid w:val="00A114FD"/>
    <w:rsid w:val="00A17647"/>
    <w:rsid w:val="00A332A5"/>
    <w:rsid w:val="00A515D3"/>
    <w:rsid w:val="00A51E0D"/>
    <w:rsid w:val="00A5760D"/>
    <w:rsid w:val="00A77EAF"/>
    <w:rsid w:val="00A802E9"/>
    <w:rsid w:val="00A933F0"/>
    <w:rsid w:val="00A94AE1"/>
    <w:rsid w:val="00AB634F"/>
    <w:rsid w:val="00AF1A64"/>
    <w:rsid w:val="00B04A1F"/>
    <w:rsid w:val="00B26A32"/>
    <w:rsid w:val="00B44244"/>
    <w:rsid w:val="00B4760B"/>
    <w:rsid w:val="00B76AC3"/>
    <w:rsid w:val="00B8404A"/>
    <w:rsid w:val="00BA437A"/>
    <w:rsid w:val="00BA4502"/>
    <w:rsid w:val="00BA5B62"/>
    <w:rsid w:val="00BC2B10"/>
    <w:rsid w:val="00BD7E1E"/>
    <w:rsid w:val="00BE44BE"/>
    <w:rsid w:val="00BF1EA9"/>
    <w:rsid w:val="00BF79A7"/>
    <w:rsid w:val="00C035E4"/>
    <w:rsid w:val="00C25248"/>
    <w:rsid w:val="00C32F2B"/>
    <w:rsid w:val="00C34D5C"/>
    <w:rsid w:val="00C62AA5"/>
    <w:rsid w:val="00C71A79"/>
    <w:rsid w:val="00C73691"/>
    <w:rsid w:val="00C8785E"/>
    <w:rsid w:val="00C9152A"/>
    <w:rsid w:val="00CB36ED"/>
    <w:rsid w:val="00CC5A54"/>
    <w:rsid w:val="00CD1B9B"/>
    <w:rsid w:val="00CD23E4"/>
    <w:rsid w:val="00CD3984"/>
    <w:rsid w:val="00CD4848"/>
    <w:rsid w:val="00CD49CB"/>
    <w:rsid w:val="00CD5D82"/>
    <w:rsid w:val="00CE0D3F"/>
    <w:rsid w:val="00D00BCA"/>
    <w:rsid w:val="00D04D60"/>
    <w:rsid w:val="00D14A55"/>
    <w:rsid w:val="00D20B04"/>
    <w:rsid w:val="00D30039"/>
    <w:rsid w:val="00D32789"/>
    <w:rsid w:val="00D6131B"/>
    <w:rsid w:val="00D7405F"/>
    <w:rsid w:val="00D77A70"/>
    <w:rsid w:val="00D80ACC"/>
    <w:rsid w:val="00D86BFF"/>
    <w:rsid w:val="00D90B5C"/>
    <w:rsid w:val="00D916B8"/>
    <w:rsid w:val="00DB22B4"/>
    <w:rsid w:val="00DC392B"/>
    <w:rsid w:val="00DD26A9"/>
    <w:rsid w:val="00DD5066"/>
    <w:rsid w:val="00DD6E6B"/>
    <w:rsid w:val="00DE3FBE"/>
    <w:rsid w:val="00DF1D5E"/>
    <w:rsid w:val="00DF6371"/>
    <w:rsid w:val="00E15DF2"/>
    <w:rsid w:val="00E23343"/>
    <w:rsid w:val="00E41EF8"/>
    <w:rsid w:val="00E4625B"/>
    <w:rsid w:val="00E56C0F"/>
    <w:rsid w:val="00E75BDF"/>
    <w:rsid w:val="00E80321"/>
    <w:rsid w:val="00E84ED6"/>
    <w:rsid w:val="00E93788"/>
    <w:rsid w:val="00E93B4B"/>
    <w:rsid w:val="00EA0D98"/>
    <w:rsid w:val="00EB4D0E"/>
    <w:rsid w:val="00EC07B1"/>
    <w:rsid w:val="00ED5600"/>
    <w:rsid w:val="00EE2C32"/>
    <w:rsid w:val="00EE7AD3"/>
    <w:rsid w:val="00EF5933"/>
    <w:rsid w:val="00EF772C"/>
    <w:rsid w:val="00F22858"/>
    <w:rsid w:val="00F24466"/>
    <w:rsid w:val="00F37277"/>
    <w:rsid w:val="00F4115E"/>
    <w:rsid w:val="00F632B7"/>
    <w:rsid w:val="00F73081"/>
    <w:rsid w:val="00F756E0"/>
    <w:rsid w:val="00F869B8"/>
    <w:rsid w:val="00F924F4"/>
    <w:rsid w:val="00F95A7C"/>
    <w:rsid w:val="00FA35DF"/>
    <w:rsid w:val="00FA3848"/>
    <w:rsid w:val="00FB43FB"/>
    <w:rsid w:val="00FB7951"/>
    <w:rsid w:val="00FC0685"/>
    <w:rsid w:val="00FC6B42"/>
    <w:rsid w:val="00FD4553"/>
    <w:rsid w:val="00FD563F"/>
    <w:rsid w:val="00FF54D2"/>
    <w:rsid w:val="585B78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4"/>
    <w:semiHidden/>
    <w:uiPriority w:val="99"/>
    <w:rPr>
      <w:rFonts w:ascii="宋体" w:cs="宋体"/>
      <w:sz w:val="18"/>
      <w:szCs w:val="18"/>
    </w:rPr>
  </w:style>
  <w:style w:type="paragraph" w:styleId="3">
    <w:name w:val="Date"/>
    <w:basedOn w:val="1"/>
    <w:next w:val="1"/>
    <w:link w:val="18"/>
    <w:semiHidden/>
    <w:unhideWhenUsed/>
    <w:uiPriority w:val="99"/>
    <w:pPr>
      <w:ind w:left="100" w:leftChars="2500"/>
    </w:pPr>
  </w:style>
  <w:style w:type="paragraph" w:styleId="4">
    <w:name w:val="Balloon Text"/>
    <w:basedOn w:val="1"/>
    <w:link w:val="10"/>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99"/>
    <w:rPr>
      <w:rFonts w:cs="Times New Roman"/>
      <w:color w:val="000000"/>
      <w:u w:val="none"/>
    </w:rPr>
  </w:style>
  <w:style w:type="character" w:customStyle="1" w:styleId="10">
    <w:name w:val="批注框文本 Char"/>
    <w:link w:val="4"/>
    <w:semiHidden/>
    <w:qFormat/>
    <w:locked/>
    <w:uiPriority w:val="99"/>
    <w:rPr>
      <w:rFonts w:cs="Times New Roman"/>
      <w:sz w:val="2"/>
      <w:szCs w:val="2"/>
    </w:rPr>
  </w:style>
  <w:style w:type="character" w:customStyle="1" w:styleId="11">
    <w:name w:val="页眉 Char"/>
    <w:link w:val="6"/>
    <w:qFormat/>
    <w:locked/>
    <w:uiPriority w:val="99"/>
    <w:rPr>
      <w:rFonts w:cs="Times New Roman"/>
      <w:kern w:val="2"/>
      <w:sz w:val="18"/>
      <w:szCs w:val="18"/>
    </w:rPr>
  </w:style>
  <w:style w:type="character" w:customStyle="1" w:styleId="12">
    <w:name w:val="页脚 Char"/>
    <w:link w:val="5"/>
    <w:qFormat/>
    <w:locked/>
    <w:uiPriority w:val="99"/>
    <w:rPr>
      <w:rFonts w:cs="Times New Roman"/>
      <w:kern w:val="2"/>
      <w:sz w:val="18"/>
      <w:szCs w:val="18"/>
    </w:rPr>
  </w:style>
  <w:style w:type="paragraph" w:customStyle="1" w:styleId="13">
    <w:name w:val="Char Char Char"/>
    <w:next w:val="4"/>
    <w:qFormat/>
    <w:uiPriority w:val="99"/>
    <w:pPr>
      <w:shd w:val="clear" w:color="auto" w:fill="000080"/>
      <w:adjustRightInd w:val="0"/>
      <w:spacing w:line="436" w:lineRule="exact"/>
      <w:ind w:left="357"/>
      <w:outlineLvl w:val="3"/>
    </w:pPr>
    <w:rPr>
      <w:rFonts w:ascii="Tahoma" w:hAnsi="Tahoma" w:eastAsia="宋体" w:cs="Tahoma"/>
      <w:b/>
      <w:bCs/>
      <w:sz w:val="24"/>
      <w:szCs w:val="24"/>
      <w:lang w:val="en-US" w:eastAsia="zh-CN" w:bidi="ar-SA"/>
    </w:rPr>
  </w:style>
  <w:style w:type="character" w:customStyle="1" w:styleId="14">
    <w:name w:val="文档结构图 Char"/>
    <w:link w:val="2"/>
    <w:qFormat/>
    <w:locked/>
    <w:uiPriority w:val="99"/>
    <w:rPr>
      <w:rFonts w:ascii="宋体" w:cs="宋体"/>
      <w:kern w:val="2"/>
      <w:sz w:val="18"/>
      <w:szCs w:val="18"/>
    </w:rPr>
  </w:style>
  <w:style w:type="paragraph" w:customStyle="1" w:styleId="15">
    <w:name w:val="Char Char Char1 Char"/>
    <w:basedOn w:val="2"/>
    <w:qFormat/>
    <w:uiPriority w:val="99"/>
    <w:pPr>
      <w:shd w:val="clear" w:color="auto" w:fill="000080"/>
      <w:adjustRightInd w:val="0"/>
      <w:spacing w:line="436" w:lineRule="exact"/>
      <w:ind w:left="357"/>
      <w:jc w:val="left"/>
      <w:outlineLvl w:val="3"/>
    </w:pPr>
    <w:rPr>
      <w:rFonts w:ascii="Tahoma" w:hAnsi="Tahoma" w:cs="Tahoma"/>
      <w:b/>
      <w:bCs/>
      <w:sz w:val="24"/>
      <w:szCs w:val="24"/>
    </w:rPr>
  </w:style>
  <w:style w:type="paragraph" w:customStyle="1" w:styleId="16">
    <w:name w:val="Char Char Char1 Char1"/>
    <w:basedOn w:val="2"/>
    <w:qFormat/>
    <w:uiPriority w:val="99"/>
    <w:pPr>
      <w:shd w:val="clear" w:color="auto" w:fill="000080"/>
      <w:adjustRightInd w:val="0"/>
      <w:spacing w:line="436" w:lineRule="exact"/>
      <w:ind w:left="357"/>
      <w:jc w:val="left"/>
      <w:outlineLvl w:val="3"/>
    </w:pPr>
    <w:rPr>
      <w:rFonts w:ascii="Tahoma" w:hAnsi="Tahoma" w:cs="Times New Roman"/>
      <w:b/>
      <w:sz w:val="24"/>
      <w:szCs w:val="24"/>
    </w:rPr>
  </w:style>
  <w:style w:type="paragraph" w:customStyle="1" w:styleId="17">
    <w:name w:val="Char Char Char1 Char2"/>
    <w:basedOn w:val="2"/>
    <w:qFormat/>
    <w:uiPriority w:val="99"/>
    <w:pPr>
      <w:shd w:val="clear" w:color="auto" w:fill="000080"/>
      <w:adjustRightInd w:val="0"/>
      <w:spacing w:line="436" w:lineRule="exact"/>
      <w:ind w:left="357"/>
      <w:jc w:val="left"/>
      <w:outlineLvl w:val="3"/>
    </w:pPr>
    <w:rPr>
      <w:rFonts w:ascii="Tahoma" w:hAnsi="Tahoma" w:cs="Times New Roman"/>
      <w:b/>
      <w:sz w:val="24"/>
      <w:szCs w:val="24"/>
    </w:rPr>
  </w:style>
  <w:style w:type="character" w:customStyle="1" w:styleId="18">
    <w:name w:val="日期 Char"/>
    <w:link w:val="3"/>
    <w:semiHidden/>
    <w:uiPriority w:val="99"/>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698</Words>
  <Characters>3985</Characters>
  <Lines>33</Lines>
  <Paragraphs>9</Paragraphs>
  <TotalTime>208</TotalTime>
  <ScaleCrop>false</ScaleCrop>
  <LinksUpToDate>false</LinksUpToDate>
  <CharactersWithSpaces>4674</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2016-02-22T01:39:00Z</dcterms:created>
  <dc:creator>任航</dc:creator>
  <cp:lastModifiedBy>圆儿</cp:lastModifiedBy>
  <cp:lastPrinted>2016-02-22T05:48:00Z</cp:lastPrinted>
  <dcterms:modified xsi:type="dcterms:W3CDTF">2020-11-13T06:30:37Z</dcterms:modified>
  <dc:title>北京市交通委员会2012年政府</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