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0E74B1">
      <w:pPr>
        <w:ind w:firstLine="1760" w:firstLineChars="400"/>
        <w:jc w:val="both"/>
        <w:rPr>
          <w:rFonts w:hint="eastAsia" w:ascii="方正小标宋简体" w:hAnsi="宋体" w:eastAsia="方正小标宋简体" w:cs="Times New Roman"/>
          <w:bCs/>
          <w:sz w:val="44"/>
          <w:szCs w:val="44"/>
        </w:rPr>
      </w:pPr>
      <w:bookmarkStart w:id="28" w:name="_GoBack"/>
      <w:bookmarkEnd w:id="28"/>
      <w:r>
        <w:rPr>
          <w:rFonts w:hint="eastAsia" w:ascii="方正小标宋简体" w:hAnsi="宋体" w:eastAsia="方正小标宋简体" w:cs="Times New Roman"/>
          <w:bCs/>
          <w:sz w:val="44"/>
          <w:szCs w:val="44"/>
        </w:rPr>
        <w:t>北京市社会科学界联合会</w:t>
      </w:r>
    </w:p>
    <w:p w14:paraId="754FB0EE">
      <w:pPr>
        <w:spacing w:line="560" w:lineRule="exact"/>
        <w:jc w:val="center"/>
        <w:outlineLvl w:val="0"/>
        <w:rPr>
          <w:rFonts w:hint="eastAsia" w:ascii="方正小标宋简体" w:hAnsi="黑体" w:eastAsia="方正小标宋简体" w:cs="Times New Roman"/>
          <w:sz w:val="44"/>
          <w:szCs w:val="44"/>
        </w:rPr>
      </w:pPr>
      <w:r>
        <w:rPr>
          <w:rFonts w:hint="eastAsia" w:ascii="方正小标宋简体" w:hAnsi="黑体" w:eastAsia="方正小标宋简体" w:cs="Times New Roman"/>
          <w:sz w:val="44"/>
          <w:szCs w:val="44"/>
        </w:rPr>
        <w:t>《中国特色社会主义研究》杂志编辑发行</w:t>
      </w:r>
    </w:p>
    <w:p w14:paraId="6AFD6B17">
      <w:pPr>
        <w:spacing w:line="560" w:lineRule="exact"/>
        <w:jc w:val="center"/>
        <w:outlineLvl w:val="0"/>
        <w:rPr>
          <w:rFonts w:hint="eastAsia" w:ascii="方正小标宋简体" w:hAnsi="黑体" w:eastAsia="方正小标宋简体" w:cs="Times New Roman"/>
          <w:sz w:val="44"/>
          <w:szCs w:val="44"/>
        </w:rPr>
      </w:pPr>
      <w:r>
        <w:rPr>
          <w:rFonts w:hint="eastAsia" w:ascii="方正小标宋简体" w:hAnsi="黑体" w:eastAsia="方正小标宋简体" w:cs="Times New Roman"/>
          <w:sz w:val="44"/>
          <w:szCs w:val="44"/>
        </w:rPr>
        <w:t>项目支出绩效评价报告</w:t>
      </w:r>
    </w:p>
    <w:p w14:paraId="0A271E85">
      <w:pPr>
        <w:spacing w:line="560" w:lineRule="exact"/>
        <w:ind w:firstLine="640" w:firstLineChars="200"/>
        <w:rPr>
          <w:rFonts w:hint="eastAsia" w:ascii="仿宋_GB2312" w:hAnsi="Times New Roman" w:eastAsia="仿宋_GB2312" w:cs="Times New Roman"/>
          <w:bCs/>
          <w:kern w:val="44"/>
          <w:sz w:val="32"/>
          <w:szCs w:val="32"/>
        </w:rPr>
      </w:pPr>
      <w:bookmarkStart w:id="0" w:name="_Toc17786"/>
    </w:p>
    <w:p w14:paraId="7A83D487">
      <w:pPr>
        <w:spacing w:line="560" w:lineRule="exact"/>
        <w:ind w:firstLine="640" w:firstLineChars="200"/>
        <w:rPr>
          <w:rFonts w:hint="eastAsia" w:ascii="黑体" w:hAnsi="黑体" w:eastAsia="黑体" w:cs="黑体"/>
          <w:bCs/>
          <w:kern w:val="44"/>
          <w:sz w:val="32"/>
          <w:szCs w:val="32"/>
        </w:rPr>
      </w:pPr>
      <w:r>
        <w:rPr>
          <w:rFonts w:hint="eastAsia" w:ascii="黑体" w:hAnsi="黑体" w:eastAsia="黑体" w:cs="黑体"/>
          <w:bCs/>
          <w:kern w:val="44"/>
          <w:sz w:val="32"/>
          <w:szCs w:val="32"/>
        </w:rPr>
        <w:t>一、基本情况</w:t>
      </w:r>
      <w:bookmarkEnd w:id="0"/>
    </w:p>
    <w:p w14:paraId="61D92F4D">
      <w:pPr>
        <w:pStyle w:val="3"/>
        <w:spacing w:before="0" w:after="0" w:line="560" w:lineRule="exact"/>
        <w:ind w:firstLine="640" w:firstLineChars="200"/>
        <w:rPr>
          <w:rFonts w:hint="eastAsia" w:ascii="方正楷体_GBK" w:hAnsi="方正楷体_GBK" w:eastAsia="方正楷体_GBK" w:cs="方正楷体_GBK"/>
          <w:b w:val="0"/>
          <w:bCs w:val="0"/>
          <w:kern w:val="44"/>
          <w:sz w:val="32"/>
          <w:szCs w:val="32"/>
        </w:rPr>
      </w:pPr>
      <w:bookmarkStart w:id="1" w:name="_Toc8473"/>
      <w:r>
        <w:rPr>
          <w:rFonts w:hint="eastAsia" w:ascii="方正楷体_GBK" w:hAnsi="方正楷体_GBK" w:eastAsia="方正楷体_GBK" w:cs="方正楷体_GBK"/>
          <w:b w:val="0"/>
          <w:bCs w:val="0"/>
          <w:kern w:val="44"/>
          <w:sz w:val="32"/>
          <w:szCs w:val="32"/>
        </w:rPr>
        <w:t>（一）项目概况</w:t>
      </w:r>
      <w:bookmarkEnd w:id="1"/>
    </w:p>
    <w:p w14:paraId="7A2136F1">
      <w:pPr>
        <w:spacing w:line="560" w:lineRule="exact"/>
        <w:ind w:firstLine="643" w:firstLineChars="200"/>
        <w:rPr>
          <w:rFonts w:hint="eastAsia" w:ascii="仿宋_GB2312" w:hAnsi="Times New Roman" w:eastAsia="仿宋_GB2312" w:cs="Times New Roman"/>
          <w:b/>
          <w:bCs w:val="0"/>
          <w:kern w:val="44"/>
          <w:sz w:val="32"/>
          <w:szCs w:val="32"/>
        </w:rPr>
      </w:pPr>
      <w:r>
        <w:rPr>
          <w:rFonts w:hint="eastAsia" w:ascii="仿宋_GB2312" w:hAnsi="Times New Roman" w:eastAsia="仿宋_GB2312" w:cs="Times New Roman"/>
          <w:b/>
          <w:bCs w:val="0"/>
          <w:kern w:val="44"/>
          <w:sz w:val="32"/>
          <w:szCs w:val="32"/>
        </w:rPr>
        <w:t>1.项目背景</w:t>
      </w:r>
    </w:p>
    <w:p w14:paraId="4CC1FF5C">
      <w:pPr>
        <w:spacing w:line="560" w:lineRule="exact"/>
        <w:ind w:firstLine="640" w:firstLineChars="200"/>
        <w:rPr>
          <w:rFonts w:hint="eastAsia" w:ascii="仿宋_GB2312" w:hAnsi="Times New Roman" w:eastAsia="仿宋_GB2312" w:cs="Times New Roman"/>
          <w:bCs/>
          <w:kern w:val="44"/>
          <w:sz w:val="32"/>
          <w:szCs w:val="32"/>
        </w:rPr>
      </w:pPr>
      <w:r>
        <w:rPr>
          <w:rFonts w:hint="eastAsia" w:ascii="仿宋_GB2312" w:hAnsi="Times New Roman" w:eastAsia="仿宋_GB2312" w:cs="Times New Roman"/>
          <w:bCs/>
          <w:kern w:val="44"/>
          <w:sz w:val="32"/>
          <w:szCs w:val="32"/>
        </w:rPr>
        <w:t>《中国特色社会主义研究》杂志编辑发行业务经费</w:t>
      </w:r>
      <w:r>
        <w:rPr>
          <w:rFonts w:hint="eastAsia" w:ascii="仿宋_GB2312" w:hAnsi="Times New Roman" w:eastAsia="仿宋_GB2312" w:cs="Times New Roman"/>
          <w:bCs/>
          <w:kern w:val="44"/>
          <w:sz w:val="32"/>
          <w:szCs w:val="32"/>
          <w:lang w:val="en-US" w:eastAsia="zh-CN"/>
        </w:rPr>
        <w:t>项目</w:t>
      </w:r>
      <w:r>
        <w:rPr>
          <w:rFonts w:hint="eastAsia" w:ascii="仿宋_GB2312" w:hAnsi="Times New Roman" w:eastAsia="仿宋_GB2312" w:cs="Times New Roman"/>
          <w:bCs/>
          <w:kern w:val="44"/>
          <w:sz w:val="32"/>
          <w:szCs w:val="32"/>
          <w:lang w:eastAsia="zh-CN"/>
        </w:rPr>
        <w:t>（</w:t>
      </w:r>
      <w:r>
        <w:rPr>
          <w:rFonts w:hint="eastAsia" w:ascii="仿宋_GB2312" w:hAnsi="Times New Roman" w:eastAsia="仿宋_GB2312" w:cs="Times New Roman"/>
          <w:bCs/>
          <w:kern w:val="44"/>
          <w:sz w:val="32"/>
          <w:szCs w:val="32"/>
          <w:lang w:val="en-US" w:eastAsia="zh-CN"/>
        </w:rPr>
        <w:t>以下简称“该项目”</w:t>
      </w:r>
      <w:r>
        <w:rPr>
          <w:rFonts w:hint="eastAsia" w:ascii="仿宋_GB2312" w:hAnsi="Times New Roman" w:eastAsia="仿宋_GB2312" w:cs="Times New Roman"/>
          <w:bCs/>
          <w:kern w:val="44"/>
          <w:sz w:val="32"/>
          <w:szCs w:val="32"/>
          <w:lang w:eastAsia="zh-CN"/>
        </w:rPr>
        <w:t>）</w:t>
      </w:r>
      <w:r>
        <w:rPr>
          <w:rFonts w:hint="eastAsia" w:ascii="仿宋_GB2312" w:hAnsi="Times New Roman" w:eastAsia="仿宋_GB2312" w:cs="Times New Roman"/>
          <w:bCs/>
          <w:kern w:val="44"/>
          <w:sz w:val="32"/>
          <w:szCs w:val="32"/>
          <w:lang w:val="en-US" w:eastAsia="zh-CN"/>
        </w:rPr>
        <w:t>由</w:t>
      </w:r>
      <w:r>
        <w:rPr>
          <w:rFonts w:hint="eastAsia" w:ascii="仿宋_GB2312" w:hAnsi="Times New Roman" w:eastAsia="仿宋_GB2312" w:cs="Times New Roman"/>
          <w:bCs/>
          <w:kern w:val="44"/>
          <w:sz w:val="32"/>
          <w:szCs w:val="32"/>
        </w:rPr>
        <w:t>北京市社会科学界联合会社科发展研究中心（以下简称“北京市社科联社科发展研究中心”）</w:t>
      </w:r>
      <w:r>
        <w:rPr>
          <w:rFonts w:hint="eastAsia" w:ascii="仿宋_GB2312" w:hAnsi="Times New Roman" w:eastAsia="仿宋_GB2312" w:cs="Times New Roman"/>
          <w:bCs/>
          <w:kern w:val="44"/>
          <w:sz w:val="32"/>
          <w:szCs w:val="32"/>
          <w:lang w:eastAsia="zh-CN"/>
        </w:rPr>
        <w:t>组织实施。</w:t>
      </w:r>
      <w:r>
        <w:rPr>
          <w:rFonts w:hint="eastAsia" w:ascii="仿宋_GB2312" w:hAnsi="Times New Roman" w:eastAsia="仿宋_GB2312" w:cs="Times New Roman"/>
          <w:bCs/>
          <w:kern w:val="44"/>
          <w:sz w:val="32"/>
          <w:szCs w:val="32"/>
        </w:rPr>
        <w:t>《中国特色社会主义研究》杂志</w:t>
      </w:r>
      <w:r>
        <w:rPr>
          <w:rFonts w:hint="eastAsia" w:ascii="仿宋_GB2312" w:hAnsi="Times New Roman" w:eastAsia="仿宋_GB2312" w:cs="Times New Roman"/>
          <w:bCs/>
          <w:kern w:val="44"/>
          <w:sz w:val="32"/>
          <w:szCs w:val="32"/>
          <w:lang w:val="en-US" w:eastAsia="zh-CN"/>
        </w:rPr>
        <w:t>是由北京市社会科学界联合会、北京市哲学社会科学规划办公室（以下简称“市社科联、市社科规划办”）主管</w:t>
      </w:r>
      <w:r>
        <w:rPr>
          <w:rFonts w:hint="eastAsia" w:ascii="仿宋_GB2312" w:hAnsi="Times New Roman" w:eastAsia="仿宋_GB2312" w:cs="Times New Roman"/>
          <w:bCs/>
          <w:kern w:val="44"/>
          <w:sz w:val="32"/>
          <w:szCs w:val="32"/>
          <w:lang w:eastAsia="zh-CN"/>
        </w:rPr>
        <w:t>，</w:t>
      </w:r>
      <w:r>
        <w:rPr>
          <w:rFonts w:hint="eastAsia" w:ascii="仿宋_GB2312" w:hAnsi="Times New Roman" w:eastAsia="仿宋_GB2312" w:cs="Times New Roman"/>
          <w:bCs/>
          <w:kern w:val="44"/>
          <w:sz w:val="32"/>
          <w:szCs w:val="32"/>
        </w:rPr>
        <w:t>北京市中国特色社会主义理论体系研究中心、北京市科学社会主义学会联合主办的马克思主义理论学科期刊</w:t>
      </w:r>
      <w:r>
        <w:rPr>
          <w:rFonts w:hint="eastAsia" w:ascii="仿宋_GB2312" w:hAnsi="Times New Roman" w:eastAsia="仿宋_GB2312" w:cs="Times New Roman"/>
          <w:bCs/>
          <w:kern w:val="44"/>
          <w:sz w:val="32"/>
          <w:szCs w:val="32"/>
          <w:lang w:eastAsia="zh-CN"/>
        </w:rPr>
        <w:t>、</w:t>
      </w:r>
      <w:r>
        <w:rPr>
          <w:rFonts w:hint="eastAsia" w:ascii="仿宋_GB2312" w:hAnsi="Times New Roman" w:eastAsia="仿宋_GB2312" w:cs="Times New Roman"/>
          <w:bCs/>
          <w:kern w:val="44"/>
          <w:sz w:val="32"/>
          <w:szCs w:val="32"/>
        </w:rPr>
        <w:t>国家社科基金资助期刊。</w:t>
      </w:r>
    </w:p>
    <w:p w14:paraId="0B65CBFA">
      <w:pPr>
        <w:spacing w:line="560" w:lineRule="exact"/>
        <w:ind w:firstLine="640" w:firstLineChars="200"/>
        <w:rPr>
          <w:rFonts w:hint="eastAsia" w:ascii="仿宋_GB2312" w:hAnsi="Times New Roman" w:eastAsia="仿宋_GB2312" w:cs="Times New Roman"/>
          <w:bCs/>
          <w:kern w:val="44"/>
          <w:sz w:val="32"/>
          <w:szCs w:val="32"/>
        </w:rPr>
      </w:pPr>
      <w:r>
        <w:rPr>
          <w:rFonts w:hint="eastAsia" w:ascii="仿宋_GB2312" w:hAnsi="Times New Roman" w:eastAsia="仿宋_GB2312" w:cs="Times New Roman"/>
          <w:bCs/>
          <w:kern w:val="44"/>
          <w:sz w:val="32"/>
          <w:szCs w:val="32"/>
        </w:rPr>
        <w:t xml:space="preserve">作为学术理论阵地，《中国特色社会主义研究》杂志始终秉持科学性、理论性、思想性、学术性和创新性，立足中国实际，聚焦中国问题，彰显中国特色。在探索中国道路、总结中国经验、完善中国制度的过程中，致力于构建中国理论话语体系，坚持和发展马克思主义，深入研究阐释中国特色社会主义理论体系，着力打造中国特色社会主义理论研究与传播的思想高地。 </w:t>
      </w:r>
    </w:p>
    <w:p w14:paraId="118FA850">
      <w:pPr>
        <w:spacing w:line="560" w:lineRule="exact"/>
        <w:ind w:firstLine="640" w:firstLineChars="200"/>
        <w:rPr>
          <w:rFonts w:hint="eastAsia" w:ascii="仿宋_GB2312" w:hAnsi="Times New Roman" w:eastAsia="仿宋_GB2312" w:cs="Times New Roman"/>
          <w:bCs/>
          <w:kern w:val="44"/>
          <w:sz w:val="32"/>
          <w:szCs w:val="32"/>
          <w:lang w:eastAsia="zh-CN"/>
        </w:rPr>
      </w:pPr>
      <w:r>
        <w:rPr>
          <w:rFonts w:hint="eastAsia" w:ascii="仿宋_GB2312" w:hAnsi="Times New Roman" w:eastAsia="仿宋_GB2312" w:cs="Times New Roman"/>
          <w:bCs/>
          <w:kern w:val="44"/>
          <w:sz w:val="32"/>
          <w:szCs w:val="32"/>
        </w:rPr>
        <w:t>《中国特色社会主义研究》杂志自2012年入选国家社科基金资助期刊以来‌，始终坚持以习近平新时代中国特色社会主义思想为指导‌，严格落实意识形态工作责任制‌。通过强化选题策划、设立重点专栏、刊发专家理论文章及组织学术研讨‌，深入推动习近平新时代中国特色社会主义思想研究阐释‌，持续巩固马克思主义在意识形态领域指导地位‌。《中国特色社会主义研究》杂志注重发表兼具学术价值、历史纵深、文化内涵与社会意义的成果‌，积极助力构建中国自主知识体系‌。2024年《中国特色社会主义研究》杂志全年出版</w:t>
      </w:r>
      <w:r>
        <w:rPr>
          <w:rFonts w:hint="eastAsia" w:ascii="仿宋_GB2312" w:hAnsi="Times New Roman" w:eastAsia="仿宋_GB2312" w:cs="Times New Roman"/>
          <w:bCs/>
          <w:kern w:val="44"/>
          <w:sz w:val="32"/>
          <w:szCs w:val="32"/>
          <w:lang w:val="en-US" w:eastAsia="zh-CN"/>
        </w:rPr>
        <w:t>中文刊</w:t>
      </w:r>
      <w:r>
        <w:rPr>
          <w:rFonts w:hint="eastAsia" w:ascii="仿宋_GB2312" w:hAnsi="Times New Roman" w:eastAsia="仿宋_GB2312" w:cs="Times New Roman"/>
          <w:bCs/>
          <w:kern w:val="44"/>
          <w:sz w:val="32"/>
          <w:szCs w:val="32"/>
        </w:rPr>
        <w:t>6期</w:t>
      </w:r>
      <w:r>
        <w:rPr>
          <w:rFonts w:hint="eastAsia" w:ascii="仿宋_GB2312" w:hAnsi="Times New Roman" w:eastAsia="仿宋_GB2312" w:cs="Times New Roman"/>
          <w:bCs/>
          <w:kern w:val="44"/>
          <w:sz w:val="32"/>
          <w:szCs w:val="32"/>
          <w:lang w:val="en-US" w:eastAsia="zh-CN"/>
        </w:rPr>
        <w:t>及</w:t>
      </w:r>
      <w:r>
        <w:rPr>
          <w:rFonts w:hint="eastAsia" w:ascii="仿宋_GB2312" w:hAnsi="Times New Roman" w:eastAsia="仿宋_GB2312" w:cs="Times New Roman"/>
          <w:bCs/>
          <w:kern w:val="44"/>
          <w:sz w:val="32"/>
          <w:szCs w:val="32"/>
        </w:rPr>
        <w:t>增刊1期</w:t>
      </w:r>
      <w:r>
        <w:rPr>
          <w:rFonts w:hint="eastAsia" w:ascii="仿宋_GB2312" w:hAnsi="Times New Roman" w:eastAsia="仿宋_GB2312" w:cs="Times New Roman"/>
          <w:bCs/>
          <w:kern w:val="44"/>
          <w:sz w:val="32"/>
          <w:szCs w:val="32"/>
          <w:lang w:eastAsia="zh-CN"/>
        </w:rPr>
        <w:t>。</w:t>
      </w:r>
    </w:p>
    <w:p w14:paraId="7E82E179">
      <w:pPr>
        <w:spacing w:line="560" w:lineRule="exact"/>
        <w:ind w:firstLine="643" w:firstLineChars="200"/>
        <w:rPr>
          <w:rFonts w:hint="eastAsia" w:ascii="仿宋_GB2312" w:hAnsi="Times New Roman" w:eastAsia="仿宋_GB2312" w:cs="Times New Roman"/>
          <w:b/>
          <w:bCs w:val="0"/>
          <w:kern w:val="44"/>
          <w:sz w:val="32"/>
          <w:szCs w:val="32"/>
        </w:rPr>
      </w:pPr>
      <w:r>
        <w:rPr>
          <w:rFonts w:hint="eastAsia" w:ascii="仿宋_GB2312" w:hAnsi="Times New Roman" w:eastAsia="仿宋_GB2312" w:cs="Times New Roman"/>
          <w:b/>
          <w:bCs w:val="0"/>
          <w:kern w:val="44"/>
          <w:sz w:val="32"/>
          <w:szCs w:val="32"/>
        </w:rPr>
        <w:t>2.</w:t>
      </w:r>
      <w:r>
        <w:rPr>
          <w:rFonts w:hint="eastAsia" w:ascii="仿宋_GB2312" w:hAnsi="Times New Roman" w:eastAsia="仿宋_GB2312" w:cs="Times New Roman"/>
          <w:b/>
          <w:bCs w:val="0"/>
          <w:kern w:val="44"/>
          <w:sz w:val="32"/>
          <w:szCs w:val="32"/>
          <w:lang w:val="en-US" w:eastAsia="zh-CN"/>
        </w:rPr>
        <w:t>项目</w:t>
      </w:r>
      <w:r>
        <w:rPr>
          <w:rFonts w:hint="eastAsia" w:ascii="仿宋_GB2312" w:hAnsi="Times New Roman" w:eastAsia="仿宋_GB2312" w:cs="Times New Roman"/>
          <w:b/>
          <w:bCs w:val="0"/>
          <w:kern w:val="44"/>
          <w:sz w:val="32"/>
          <w:szCs w:val="32"/>
        </w:rPr>
        <w:t>内容</w:t>
      </w:r>
    </w:p>
    <w:p w14:paraId="4C03E09B">
      <w:pPr>
        <w:spacing w:line="560" w:lineRule="exact"/>
        <w:ind w:firstLine="640" w:firstLineChars="200"/>
        <w:rPr>
          <w:rFonts w:hint="eastAsia" w:ascii="仿宋_GB2312" w:hAnsi="Times New Roman" w:eastAsia="仿宋_GB2312" w:cs="Times New Roman"/>
          <w:bCs/>
          <w:kern w:val="44"/>
          <w:sz w:val="32"/>
          <w:szCs w:val="32"/>
          <w:lang w:val="en-US" w:eastAsia="zh-CN"/>
        </w:rPr>
      </w:pPr>
      <w:r>
        <w:rPr>
          <w:rFonts w:hint="eastAsia" w:ascii="仿宋_GB2312" w:hAnsi="Times New Roman" w:eastAsia="仿宋_GB2312" w:cs="Times New Roman"/>
          <w:bCs/>
          <w:kern w:val="44"/>
          <w:sz w:val="32"/>
          <w:szCs w:val="32"/>
          <w:lang w:val="en-US" w:eastAsia="zh-CN"/>
        </w:rPr>
        <w:t>该项目坚持以习近平新时代中国特色社会主义思想为根本，深入贯彻落实习近平文化思想和全国宣传思想文化工作会议精神。在全面落实意识形态工作责任制的基础上，始终坚持正确的政治方向、学术导向和价值取向。通过系统加强选题策划、创新设置重点栏目、重点编发名家名作等方式，集中刊发关于习近平新时代中国特色社会主义思想的深度研究成果，着重对这一重要思想开展整体性、系统性、学理性的研究阐释。同时，紧密围绕党和国家中心任务与战略部署，积极推进学术创新与知识传播，不断增强期刊吸引力、持续提升管理效能、切实提高社会影响力，致力于打造具有权威性的马克思主义理论期刊。</w:t>
      </w:r>
    </w:p>
    <w:p w14:paraId="4B5DF55D">
      <w:pPr>
        <w:spacing w:line="560" w:lineRule="exact"/>
        <w:ind w:firstLine="640" w:firstLineChars="200"/>
        <w:rPr>
          <w:rFonts w:hint="eastAsia" w:ascii="仿宋_GB2312" w:hAnsi="Times New Roman" w:eastAsia="仿宋_GB2312" w:cs="Times New Roman"/>
          <w:bCs/>
          <w:kern w:val="44"/>
          <w:sz w:val="32"/>
          <w:szCs w:val="32"/>
          <w:lang w:val="en-US" w:eastAsia="zh-CN"/>
        </w:rPr>
      </w:pPr>
      <w:r>
        <w:rPr>
          <w:rFonts w:hint="eastAsia" w:ascii="仿宋_GB2312" w:hAnsi="Times New Roman" w:eastAsia="仿宋_GB2312" w:cs="Times New Roman"/>
          <w:bCs/>
          <w:kern w:val="44"/>
          <w:sz w:val="32"/>
          <w:szCs w:val="32"/>
          <w:lang w:val="en-US" w:eastAsia="zh-CN"/>
        </w:rPr>
        <w:t>2024年，该项目坚持以党的创新理论为引领，在重大主题研究阐释方面充分发挥权威期刊的示范引领作用；通过高质量建设国家重点专栏，实现学术价值与社会价值的双提升；秉持质量立刊、制度办刊原则，坚守以质选文、以刊育人的办刊理念。该项目全年共出版中文刊</w:t>
      </w:r>
      <w:r>
        <w:rPr>
          <w:rFonts w:hint="eastAsia" w:ascii="仿宋_GB2312" w:hAnsi="Times New Roman" w:eastAsia="仿宋_GB2312" w:cs="Times New Roman"/>
          <w:bCs/>
          <w:kern w:val="44"/>
          <w:sz w:val="32"/>
          <w:szCs w:val="32"/>
        </w:rPr>
        <w:t>6期</w:t>
      </w:r>
      <w:r>
        <w:rPr>
          <w:rFonts w:hint="eastAsia" w:ascii="仿宋_GB2312" w:hAnsi="Times New Roman" w:eastAsia="仿宋_GB2312" w:cs="Times New Roman"/>
          <w:bCs/>
          <w:kern w:val="44"/>
          <w:sz w:val="32"/>
          <w:szCs w:val="32"/>
          <w:lang w:val="en-US" w:eastAsia="zh-CN"/>
        </w:rPr>
        <w:t>及</w:t>
      </w:r>
      <w:r>
        <w:rPr>
          <w:rFonts w:hint="eastAsia" w:ascii="仿宋_GB2312" w:hAnsi="Times New Roman" w:eastAsia="仿宋_GB2312" w:cs="Times New Roman"/>
          <w:bCs/>
          <w:kern w:val="44"/>
          <w:sz w:val="32"/>
          <w:szCs w:val="32"/>
        </w:rPr>
        <w:t>增刊1期</w:t>
      </w:r>
      <w:r>
        <w:rPr>
          <w:rFonts w:hint="eastAsia" w:ascii="仿宋_GB2312" w:hAnsi="Times New Roman" w:eastAsia="仿宋_GB2312" w:cs="Times New Roman"/>
          <w:bCs/>
          <w:kern w:val="44"/>
          <w:sz w:val="32"/>
          <w:szCs w:val="32"/>
          <w:lang w:val="en-US" w:eastAsia="zh-CN"/>
        </w:rPr>
        <w:t>。</w:t>
      </w:r>
    </w:p>
    <w:p w14:paraId="01D2BD14">
      <w:pPr>
        <w:spacing w:line="560" w:lineRule="exact"/>
        <w:ind w:firstLine="643" w:firstLineChars="200"/>
        <w:rPr>
          <w:rFonts w:hint="eastAsia" w:ascii="仿宋_GB2312" w:hAnsi="Times New Roman" w:eastAsia="仿宋_GB2312" w:cs="Times New Roman"/>
          <w:b/>
          <w:bCs w:val="0"/>
          <w:kern w:val="44"/>
          <w:sz w:val="32"/>
          <w:szCs w:val="32"/>
        </w:rPr>
      </w:pPr>
      <w:r>
        <w:rPr>
          <w:rFonts w:hint="eastAsia" w:ascii="仿宋_GB2312" w:hAnsi="Times New Roman" w:eastAsia="仿宋_GB2312" w:cs="Times New Roman"/>
          <w:b/>
          <w:bCs w:val="0"/>
          <w:kern w:val="44"/>
          <w:sz w:val="32"/>
          <w:szCs w:val="32"/>
        </w:rPr>
        <w:t>3.资金投入和使用情况</w:t>
      </w:r>
    </w:p>
    <w:p w14:paraId="1C144004">
      <w:pPr>
        <w:spacing w:line="560" w:lineRule="exact"/>
        <w:ind w:firstLine="640" w:firstLineChars="200"/>
        <w:rPr>
          <w:rFonts w:hint="eastAsia" w:ascii="仿宋_GB2312" w:hAnsi="Times New Roman" w:eastAsia="仿宋_GB2312" w:cs="Times New Roman"/>
          <w:bCs/>
          <w:kern w:val="44"/>
          <w:sz w:val="32"/>
          <w:szCs w:val="32"/>
        </w:rPr>
      </w:pPr>
      <w:r>
        <w:rPr>
          <w:rFonts w:hint="eastAsia" w:ascii="仿宋_GB2312" w:hAnsi="Times New Roman" w:eastAsia="仿宋_GB2312" w:cs="Times New Roman"/>
          <w:bCs/>
          <w:kern w:val="44"/>
          <w:sz w:val="32"/>
          <w:szCs w:val="32"/>
        </w:rPr>
        <w:t>（1）资金投入情况</w:t>
      </w:r>
    </w:p>
    <w:p w14:paraId="6219F7A9">
      <w:pPr>
        <w:spacing w:line="560" w:lineRule="exact"/>
        <w:ind w:firstLine="640" w:firstLineChars="200"/>
        <w:rPr>
          <w:rFonts w:hint="eastAsia" w:ascii="仿宋_GB2312" w:hAnsi="Times New Roman" w:eastAsia="仿宋_GB2312" w:cs="Times New Roman"/>
          <w:bCs/>
          <w:kern w:val="44"/>
          <w:sz w:val="32"/>
          <w:szCs w:val="32"/>
        </w:rPr>
      </w:pPr>
      <w:r>
        <w:rPr>
          <w:rFonts w:hint="eastAsia" w:ascii="仿宋_GB2312" w:hAnsi="Times New Roman" w:eastAsia="仿宋_GB2312" w:cs="Times New Roman"/>
          <w:bCs/>
          <w:kern w:val="44"/>
          <w:sz w:val="32"/>
          <w:szCs w:val="32"/>
        </w:rPr>
        <w:t>该项目按照部门预算编制要求，结合以往工作情况，申报预算128.894400万元。2024年2月，预算批复该项目年度预算125.999800万元。</w:t>
      </w:r>
    </w:p>
    <w:tbl>
      <w:tblPr>
        <w:tblStyle w:val="13"/>
        <w:tblW w:w="482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4819"/>
        <w:gridCol w:w="2394"/>
      </w:tblGrid>
      <w:tr w14:paraId="4AC1D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blHeader/>
          <w:jc w:val="center"/>
        </w:trPr>
        <w:tc>
          <w:tcPr>
            <w:tcW w:w="612" w:type="pct"/>
            <w:vAlign w:val="center"/>
          </w:tcPr>
          <w:p w14:paraId="3392234C">
            <w:pPr>
              <w:adjustRightInd w:val="0"/>
              <w:snapToGrid w:val="0"/>
              <w:jc w:val="center"/>
              <w:rPr>
                <w:rFonts w:ascii="Times New Roman" w:hAnsi="Times New Roman" w:eastAsia="仿宋"/>
                <w:b/>
                <w:bCs/>
                <w:color w:val="auto"/>
                <w:sz w:val="24"/>
              </w:rPr>
            </w:pPr>
            <w:r>
              <w:rPr>
                <w:rFonts w:hint="eastAsia" w:ascii="Times New Roman" w:hAnsi="Times New Roman" w:eastAsia="仿宋"/>
                <w:b/>
                <w:bCs/>
                <w:color w:val="auto"/>
                <w:sz w:val="24"/>
              </w:rPr>
              <w:t>序号</w:t>
            </w:r>
          </w:p>
        </w:tc>
        <w:tc>
          <w:tcPr>
            <w:tcW w:w="2931" w:type="pct"/>
            <w:vAlign w:val="center"/>
          </w:tcPr>
          <w:p w14:paraId="010D8468">
            <w:pPr>
              <w:adjustRightInd w:val="0"/>
              <w:snapToGrid w:val="0"/>
              <w:jc w:val="center"/>
              <w:rPr>
                <w:rFonts w:ascii="Times New Roman" w:hAnsi="Times New Roman" w:eastAsia="仿宋"/>
                <w:b/>
                <w:bCs/>
                <w:color w:val="auto"/>
                <w:sz w:val="24"/>
              </w:rPr>
            </w:pPr>
            <w:r>
              <w:rPr>
                <w:rFonts w:hint="eastAsia" w:ascii="Times New Roman" w:hAnsi="Times New Roman" w:eastAsia="仿宋"/>
                <w:b/>
                <w:bCs/>
                <w:color w:val="auto"/>
                <w:sz w:val="24"/>
              </w:rPr>
              <w:t>明细</w:t>
            </w:r>
          </w:p>
        </w:tc>
        <w:tc>
          <w:tcPr>
            <w:tcW w:w="1456" w:type="pct"/>
            <w:vAlign w:val="center"/>
          </w:tcPr>
          <w:p w14:paraId="366EE0FE">
            <w:pPr>
              <w:adjustRightInd w:val="0"/>
              <w:snapToGrid w:val="0"/>
              <w:jc w:val="center"/>
              <w:rPr>
                <w:rFonts w:ascii="Times New Roman" w:hAnsi="Times New Roman" w:eastAsia="仿宋"/>
                <w:b/>
                <w:bCs/>
                <w:color w:val="auto"/>
                <w:sz w:val="24"/>
              </w:rPr>
            </w:pPr>
            <w:r>
              <w:rPr>
                <w:rFonts w:hint="eastAsia" w:ascii="Times New Roman" w:hAnsi="Times New Roman" w:eastAsia="仿宋"/>
                <w:b/>
                <w:bCs/>
                <w:color w:val="auto"/>
                <w:sz w:val="24"/>
              </w:rPr>
              <w:t>预算金额（万元）</w:t>
            </w:r>
          </w:p>
        </w:tc>
      </w:tr>
      <w:tr w14:paraId="12953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612" w:type="pct"/>
            <w:vAlign w:val="center"/>
          </w:tcPr>
          <w:p w14:paraId="7673B201">
            <w:pPr>
              <w:adjustRightInd w:val="0"/>
              <w:snapToGrid w:val="0"/>
              <w:jc w:val="center"/>
              <w:rPr>
                <w:rFonts w:ascii="Times New Roman" w:hAnsi="Times New Roman" w:eastAsia="仿宋"/>
                <w:color w:val="auto"/>
                <w:sz w:val="24"/>
              </w:rPr>
            </w:pPr>
            <w:r>
              <w:rPr>
                <w:rFonts w:hint="eastAsia" w:ascii="Times New Roman" w:hAnsi="Times New Roman" w:eastAsia="仿宋"/>
                <w:color w:val="auto"/>
                <w:sz w:val="24"/>
              </w:rPr>
              <w:t>1</w:t>
            </w:r>
          </w:p>
        </w:tc>
        <w:tc>
          <w:tcPr>
            <w:tcW w:w="2931" w:type="pct"/>
            <w:vAlign w:val="center"/>
          </w:tcPr>
          <w:p w14:paraId="13578DB7">
            <w:pPr>
              <w:adjustRightInd w:val="0"/>
              <w:snapToGrid w:val="0"/>
              <w:jc w:val="center"/>
              <w:rPr>
                <w:rFonts w:hint="eastAsia" w:ascii="Times New Roman" w:hAnsi="Times New Roman" w:eastAsia="仿宋"/>
                <w:color w:val="auto"/>
                <w:sz w:val="24"/>
                <w:lang w:val="en-US" w:eastAsia="zh-CN"/>
              </w:rPr>
            </w:pPr>
            <w:r>
              <w:rPr>
                <w:rFonts w:hint="eastAsia" w:ascii="Times New Roman" w:hAnsi="Times New Roman" w:eastAsia="仿宋"/>
                <w:color w:val="auto"/>
                <w:sz w:val="24"/>
                <w:lang w:val="en-US" w:eastAsia="zh-CN"/>
              </w:rPr>
              <w:t>劳务费</w:t>
            </w:r>
          </w:p>
        </w:tc>
        <w:tc>
          <w:tcPr>
            <w:tcW w:w="1456" w:type="pct"/>
            <w:vAlign w:val="center"/>
          </w:tcPr>
          <w:p w14:paraId="43FC00C4">
            <w:pPr>
              <w:adjustRightInd w:val="0"/>
              <w:snapToGrid w:val="0"/>
              <w:jc w:val="center"/>
              <w:rPr>
                <w:rFonts w:hint="eastAsia" w:ascii="Times New Roman" w:hAnsi="Times New Roman" w:eastAsia="仿宋"/>
                <w:color w:val="auto"/>
                <w:sz w:val="24"/>
              </w:rPr>
            </w:pPr>
            <w:r>
              <w:rPr>
                <w:rFonts w:hint="eastAsia" w:ascii="Times New Roman" w:hAnsi="Times New Roman" w:eastAsia="仿宋"/>
                <w:color w:val="auto"/>
                <w:sz w:val="24"/>
              </w:rPr>
              <w:t xml:space="preserve">51.425000 </w:t>
            </w:r>
          </w:p>
        </w:tc>
      </w:tr>
      <w:tr w14:paraId="4277C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612" w:type="pct"/>
            <w:vAlign w:val="center"/>
          </w:tcPr>
          <w:p w14:paraId="587E6D53">
            <w:pPr>
              <w:adjustRightInd w:val="0"/>
              <w:snapToGrid w:val="0"/>
              <w:jc w:val="center"/>
              <w:rPr>
                <w:rFonts w:ascii="Times New Roman" w:hAnsi="Times New Roman" w:eastAsia="仿宋"/>
                <w:color w:val="auto"/>
                <w:sz w:val="24"/>
              </w:rPr>
            </w:pPr>
            <w:r>
              <w:rPr>
                <w:rFonts w:hint="eastAsia" w:ascii="Times New Roman" w:hAnsi="Times New Roman" w:eastAsia="仿宋"/>
                <w:color w:val="auto"/>
                <w:sz w:val="24"/>
              </w:rPr>
              <w:t>2</w:t>
            </w:r>
          </w:p>
        </w:tc>
        <w:tc>
          <w:tcPr>
            <w:tcW w:w="2931" w:type="pct"/>
            <w:vAlign w:val="center"/>
          </w:tcPr>
          <w:p w14:paraId="701733CB">
            <w:pPr>
              <w:adjustRightInd w:val="0"/>
              <w:snapToGrid w:val="0"/>
              <w:jc w:val="center"/>
              <w:rPr>
                <w:rFonts w:hint="eastAsia" w:ascii="Times New Roman" w:hAnsi="Times New Roman" w:eastAsia="仿宋"/>
                <w:color w:val="auto"/>
                <w:sz w:val="24"/>
                <w:lang w:val="en-US" w:eastAsia="zh-CN"/>
              </w:rPr>
            </w:pPr>
            <w:r>
              <w:rPr>
                <w:rFonts w:hint="eastAsia" w:ascii="Times New Roman" w:hAnsi="Times New Roman" w:eastAsia="仿宋"/>
                <w:color w:val="auto"/>
                <w:sz w:val="24"/>
                <w:lang w:val="en-US" w:eastAsia="zh-CN"/>
              </w:rPr>
              <w:t>委托业务费</w:t>
            </w:r>
          </w:p>
        </w:tc>
        <w:tc>
          <w:tcPr>
            <w:tcW w:w="1456" w:type="pct"/>
            <w:vAlign w:val="center"/>
          </w:tcPr>
          <w:p w14:paraId="22CF47F5">
            <w:pPr>
              <w:adjustRightInd w:val="0"/>
              <w:snapToGrid w:val="0"/>
              <w:jc w:val="center"/>
              <w:rPr>
                <w:rFonts w:hint="eastAsia" w:ascii="Times New Roman" w:hAnsi="Times New Roman" w:eastAsia="仿宋"/>
                <w:color w:val="auto"/>
                <w:sz w:val="24"/>
              </w:rPr>
            </w:pPr>
            <w:r>
              <w:rPr>
                <w:rFonts w:hint="eastAsia" w:ascii="Times New Roman" w:hAnsi="Times New Roman" w:eastAsia="仿宋"/>
                <w:color w:val="auto"/>
                <w:sz w:val="24"/>
              </w:rPr>
              <w:t xml:space="preserve">16.790400 </w:t>
            </w:r>
          </w:p>
        </w:tc>
      </w:tr>
      <w:tr w14:paraId="66F90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612" w:type="pct"/>
            <w:vAlign w:val="center"/>
          </w:tcPr>
          <w:p w14:paraId="5403FC70">
            <w:pPr>
              <w:adjustRightInd w:val="0"/>
              <w:snapToGrid w:val="0"/>
              <w:jc w:val="center"/>
              <w:rPr>
                <w:rFonts w:ascii="Times New Roman" w:hAnsi="Times New Roman" w:eastAsia="仿宋"/>
                <w:color w:val="auto"/>
                <w:sz w:val="24"/>
              </w:rPr>
            </w:pPr>
            <w:r>
              <w:rPr>
                <w:rFonts w:hint="eastAsia" w:ascii="Times New Roman" w:hAnsi="Times New Roman" w:eastAsia="仿宋"/>
                <w:color w:val="auto"/>
                <w:sz w:val="24"/>
              </w:rPr>
              <w:t>3</w:t>
            </w:r>
          </w:p>
        </w:tc>
        <w:tc>
          <w:tcPr>
            <w:tcW w:w="2931" w:type="pct"/>
            <w:vAlign w:val="center"/>
          </w:tcPr>
          <w:p w14:paraId="41B1E9F6">
            <w:pPr>
              <w:keepNext w:val="0"/>
              <w:keepLines w:val="0"/>
              <w:widowControl/>
              <w:suppressLineNumbers w:val="0"/>
              <w:jc w:val="center"/>
              <w:textAlignment w:val="center"/>
              <w:rPr>
                <w:rFonts w:hint="eastAsia" w:ascii="Times New Roman" w:hAnsi="Times New Roman" w:eastAsia="仿宋"/>
                <w:color w:val="auto"/>
                <w:sz w:val="24"/>
              </w:rPr>
            </w:pPr>
            <w:r>
              <w:rPr>
                <w:rFonts w:hint="eastAsia" w:ascii="Times New Roman" w:hAnsi="Times New Roman" w:eastAsia="仿宋" w:cs="仿宋"/>
                <w:i w:val="0"/>
                <w:iCs w:val="0"/>
                <w:color w:val="000000"/>
                <w:kern w:val="0"/>
                <w:sz w:val="24"/>
                <w:szCs w:val="24"/>
                <w:u w:val="none"/>
                <w:lang w:val="en-US" w:eastAsia="zh-CN" w:bidi="ar"/>
              </w:rPr>
              <w:t>科研类差旅费</w:t>
            </w:r>
          </w:p>
        </w:tc>
        <w:tc>
          <w:tcPr>
            <w:tcW w:w="1456" w:type="pct"/>
            <w:vAlign w:val="center"/>
          </w:tcPr>
          <w:p w14:paraId="1F03375C">
            <w:pPr>
              <w:keepNext w:val="0"/>
              <w:keepLines w:val="0"/>
              <w:widowControl/>
              <w:suppressLineNumbers w:val="0"/>
              <w:jc w:val="center"/>
              <w:textAlignment w:val="center"/>
              <w:rPr>
                <w:rFonts w:hint="eastAsia" w:ascii="Times New Roman" w:hAnsi="Times New Roman" w:eastAsia="仿宋"/>
                <w:color w:val="auto"/>
                <w:sz w:val="24"/>
              </w:rPr>
            </w:pPr>
            <w:r>
              <w:rPr>
                <w:rFonts w:hint="eastAsia" w:ascii="Times New Roman" w:hAnsi="Times New Roman" w:eastAsia="仿宋" w:cs="仿宋"/>
                <w:i w:val="0"/>
                <w:iCs w:val="0"/>
                <w:color w:val="000000"/>
                <w:kern w:val="0"/>
                <w:sz w:val="24"/>
                <w:szCs w:val="24"/>
                <w:u w:val="none"/>
                <w:lang w:val="en-US" w:eastAsia="zh-CN" w:bidi="ar"/>
              </w:rPr>
              <w:t xml:space="preserve">14.074400 </w:t>
            </w:r>
          </w:p>
        </w:tc>
      </w:tr>
      <w:tr w14:paraId="6229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612" w:type="pct"/>
            <w:vAlign w:val="center"/>
          </w:tcPr>
          <w:p w14:paraId="70462DFE">
            <w:pPr>
              <w:adjustRightInd w:val="0"/>
              <w:snapToGrid w:val="0"/>
              <w:jc w:val="center"/>
              <w:rPr>
                <w:rFonts w:hint="eastAsia" w:ascii="Times New Roman" w:hAnsi="Times New Roman" w:eastAsia="仿宋"/>
                <w:color w:val="auto"/>
                <w:sz w:val="24"/>
                <w:lang w:val="en-US" w:eastAsia="zh-CN"/>
              </w:rPr>
            </w:pPr>
            <w:r>
              <w:rPr>
                <w:rFonts w:hint="eastAsia" w:ascii="Times New Roman" w:hAnsi="Times New Roman" w:eastAsia="仿宋"/>
                <w:color w:val="auto"/>
                <w:sz w:val="24"/>
                <w:lang w:val="en-US" w:eastAsia="zh-CN"/>
              </w:rPr>
              <w:t>4</w:t>
            </w:r>
          </w:p>
        </w:tc>
        <w:tc>
          <w:tcPr>
            <w:tcW w:w="2931" w:type="pct"/>
            <w:vAlign w:val="center"/>
          </w:tcPr>
          <w:p w14:paraId="22BC88F9">
            <w:pPr>
              <w:keepNext w:val="0"/>
              <w:keepLines w:val="0"/>
              <w:widowControl/>
              <w:suppressLineNumbers w:val="0"/>
              <w:jc w:val="center"/>
              <w:textAlignment w:val="center"/>
              <w:rPr>
                <w:rFonts w:hint="default" w:ascii="Times New Roman" w:hAnsi="Times New Roman" w:eastAsia="仿宋"/>
                <w:color w:val="auto"/>
                <w:sz w:val="24"/>
              </w:rPr>
            </w:pPr>
            <w:r>
              <w:rPr>
                <w:rFonts w:hint="eastAsia" w:ascii="Times New Roman" w:hAnsi="Times New Roman" w:eastAsia="仿宋" w:cs="仿宋"/>
                <w:i w:val="0"/>
                <w:iCs w:val="0"/>
                <w:color w:val="000000"/>
                <w:kern w:val="0"/>
                <w:sz w:val="24"/>
                <w:szCs w:val="24"/>
                <w:u w:val="none"/>
                <w:lang w:val="en-US" w:eastAsia="zh-CN" w:bidi="ar"/>
              </w:rPr>
              <w:t>培训费</w:t>
            </w:r>
          </w:p>
        </w:tc>
        <w:tc>
          <w:tcPr>
            <w:tcW w:w="1456" w:type="pct"/>
            <w:vAlign w:val="center"/>
          </w:tcPr>
          <w:p w14:paraId="63AEFBE5">
            <w:pPr>
              <w:keepNext w:val="0"/>
              <w:keepLines w:val="0"/>
              <w:widowControl/>
              <w:suppressLineNumbers w:val="0"/>
              <w:jc w:val="center"/>
              <w:textAlignment w:val="center"/>
              <w:rPr>
                <w:rFonts w:hint="default" w:ascii="Times New Roman" w:hAnsi="Times New Roman" w:eastAsia="仿宋"/>
                <w:color w:val="auto"/>
                <w:sz w:val="24"/>
                <w:lang w:val="en-US" w:eastAsia="zh-CN"/>
              </w:rPr>
            </w:pPr>
            <w:r>
              <w:rPr>
                <w:rFonts w:hint="eastAsia" w:ascii="Times New Roman" w:hAnsi="Times New Roman" w:eastAsia="仿宋" w:cs="仿宋"/>
                <w:i w:val="0"/>
                <w:iCs w:val="0"/>
                <w:color w:val="000000"/>
                <w:kern w:val="0"/>
                <w:sz w:val="24"/>
                <w:szCs w:val="24"/>
                <w:u w:val="none"/>
                <w:lang w:val="en-US" w:eastAsia="zh-CN" w:bidi="ar"/>
              </w:rPr>
              <w:t xml:space="preserve">1.000000 </w:t>
            </w:r>
          </w:p>
        </w:tc>
      </w:tr>
      <w:tr w14:paraId="514D3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612" w:type="pct"/>
            <w:vAlign w:val="center"/>
          </w:tcPr>
          <w:p w14:paraId="69F2E9FB">
            <w:pPr>
              <w:adjustRightInd w:val="0"/>
              <w:snapToGrid w:val="0"/>
              <w:jc w:val="center"/>
              <w:rPr>
                <w:rFonts w:hint="eastAsia" w:ascii="Times New Roman" w:hAnsi="Times New Roman" w:eastAsia="仿宋"/>
                <w:color w:val="auto"/>
                <w:sz w:val="24"/>
                <w:lang w:val="en-US" w:eastAsia="zh-CN"/>
              </w:rPr>
            </w:pPr>
            <w:r>
              <w:rPr>
                <w:rFonts w:hint="eastAsia" w:ascii="Times New Roman" w:hAnsi="Times New Roman" w:eastAsia="仿宋"/>
                <w:color w:val="auto"/>
                <w:sz w:val="24"/>
                <w:lang w:val="en-US" w:eastAsia="zh-CN"/>
              </w:rPr>
              <w:t>5</w:t>
            </w:r>
          </w:p>
        </w:tc>
        <w:tc>
          <w:tcPr>
            <w:tcW w:w="2931" w:type="pct"/>
            <w:vAlign w:val="center"/>
          </w:tcPr>
          <w:p w14:paraId="55361D10">
            <w:pPr>
              <w:adjustRightInd w:val="0"/>
              <w:snapToGrid w:val="0"/>
              <w:jc w:val="center"/>
              <w:rPr>
                <w:rFonts w:hint="eastAsia" w:ascii="Times New Roman" w:hAnsi="Times New Roman" w:eastAsia="仿宋"/>
                <w:color w:val="auto"/>
                <w:sz w:val="24"/>
                <w:lang w:val="en-US" w:eastAsia="zh-CN"/>
              </w:rPr>
            </w:pPr>
            <w:r>
              <w:rPr>
                <w:rFonts w:hint="eastAsia" w:ascii="Times New Roman" w:hAnsi="Times New Roman" w:eastAsia="仿宋"/>
                <w:color w:val="auto"/>
                <w:sz w:val="24"/>
                <w:lang w:val="en-US" w:eastAsia="zh-CN"/>
              </w:rPr>
              <w:t>印刷费</w:t>
            </w:r>
          </w:p>
        </w:tc>
        <w:tc>
          <w:tcPr>
            <w:tcW w:w="1456" w:type="pct"/>
            <w:vAlign w:val="center"/>
          </w:tcPr>
          <w:p w14:paraId="1F9055A2">
            <w:pPr>
              <w:adjustRightInd w:val="0"/>
              <w:snapToGrid w:val="0"/>
              <w:jc w:val="center"/>
              <w:rPr>
                <w:rFonts w:hint="default" w:ascii="Times New Roman" w:hAnsi="Times New Roman" w:eastAsia="仿宋"/>
                <w:color w:val="auto"/>
                <w:sz w:val="24"/>
                <w:lang w:val="en-US" w:eastAsia="zh-CN"/>
              </w:rPr>
            </w:pPr>
            <w:r>
              <w:rPr>
                <w:rFonts w:hint="default" w:ascii="Times New Roman" w:hAnsi="Times New Roman" w:eastAsia="仿宋"/>
                <w:color w:val="auto"/>
                <w:sz w:val="24"/>
                <w:lang w:val="en-US" w:eastAsia="zh-CN"/>
              </w:rPr>
              <w:t xml:space="preserve">26.350000 </w:t>
            </w:r>
          </w:p>
        </w:tc>
      </w:tr>
      <w:tr w14:paraId="18F35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612" w:type="pct"/>
            <w:vAlign w:val="center"/>
          </w:tcPr>
          <w:p w14:paraId="187FFF28">
            <w:pPr>
              <w:adjustRightInd w:val="0"/>
              <w:snapToGrid w:val="0"/>
              <w:jc w:val="center"/>
              <w:rPr>
                <w:rFonts w:hint="eastAsia" w:ascii="Times New Roman" w:hAnsi="Times New Roman" w:eastAsia="仿宋"/>
                <w:color w:val="auto"/>
                <w:sz w:val="24"/>
                <w:lang w:val="en-US" w:eastAsia="zh-CN"/>
              </w:rPr>
            </w:pPr>
            <w:r>
              <w:rPr>
                <w:rFonts w:hint="eastAsia" w:ascii="Times New Roman" w:hAnsi="Times New Roman" w:eastAsia="仿宋"/>
                <w:color w:val="auto"/>
                <w:sz w:val="24"/>
                <w:lang w:val="en-US" w:eastAsia="zh-CN"/>
              </w:rPr>
              <w:t>6</w:t>
            </w:r>
          </w:p>
        </w:tc>
        <w:tc>
          <w:tcPr>
            <w:tcW w:w="2931" w:type="pct"/>
            <w:vAlign w:val="center"/>
          </w:tcPr>
          <w:p w14:paraId="2975A50A">
            <w:pPr>
              <w:keepNext w:val="0"/>
              <w:keepLines w:val="0"/>
              <w:widowControl/>
              <w:suppressLineNumbers w:val="0"/>
              <w:jc w:val="center"/>
              <w:textAlignment w:val="center"/>
              <w:rPr>
                <w:rFonts w:hint="default" w:ascii="Times New Roman" w:hAnsi="Times New Roman" w:eastAsia="仿宋"/>
                <w:color w:val="auto"/>
                <w:sz w:val="24"/>
              </w:rPr>
            </w:pPr>
            <w:r>
              <w:rPr>
                <w:rFonts w:hint="eastAsia" w:ascii="Times New Roman" w:hAnsi="Times New Roman" w:eastAsia="仿宋" w:cs="仿宋"/>
                <w:i w:val="0"/>
                <w:iCs w:val="0"/>
                <w:color w:val="000000"/>
                <w:kern w:val="0"/>
                <w:sz w:val="24"/>
                <w:szCs w:val="24"/>
                <w:u w:val="none"/>
                <w:lang w:val="en-US" w:eastAsia="zh-CN" w:bidi="ar"/>
              </w:rPr>
              <w:t>邮电费</w:t>
            </w:r>
          </w:p>
        </w:tc>
        <w:tc>
          <w:tcPr>
            <w:tcW w:w="1456" w:type="pct"/>
            <w:vAlign w:val="center"/>
          </w:tcPr>
          <w:p w14:paraId="1BCF9F2C">
            <w:pPr>
              <w:keepNext w:val="0"/>
              <w:keepLines w:val="0"/>
              <w:widowControl/>
              <w:suppressLineNumbers w:val="0"/>
              <w:jc w:val="center"/>
              <w:textAlignment w:val="center"/>
              <w:rPr>
                <w:rFonts w:hint="default" w:ascii="Times New Roman" w:hAnsi="Times New Roman" w:eastAsia="仿宋"/>
                <w:color w:val="auto"/>
                <w:sz w:val="24"/>
                <w:lang w:val="en-US" w:eastAsia="zh-CN"/>
              </w:rPr>
            </w:pPr>
            <w:r>
              <w:rPr>
                <w:rFonts w:hint="eastAsia" w:ascii="Times New Roman" w:hAnsi="Times New Roman" w:eastAsia="仿宋" w:cs="仿宋"/>
                <w:i w:val="0"/>
                <w:iCs w:val="0"/>
                <w:color w:val="000000"/>
                <w:kern w:val="0"/>
                <w:sz w:val="24"/>
                <w:szCs w:val="24"/>
                <w:u w:val="none"/>
                <w:lang w:val="en-US" w:eastAsia="zh-CN" w:bidi="ar"/>
              </w:rPr>
              <w:t xml:space="preserve">4.360000 </w:t>
            </w:r>
          </w:p>
        </w:tc>
      </w:tr>
      <w:tr w14:paraId="4275D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612" w:type="pct"/>
            <w:vAlign w:val="center"/>
          </w:tcPr>
          <w:p w14:paraId="179079DF">
            <w:pPr>
              <w:adjustRightInd w:val="0"/>
              <w:snapToGrid w:val="0"/>
              <w:jc w:val="center"/>
              <w:rPr>
                <w:rFonts w:hint="eastAsia" w:ascii="Times New Roman" w:hAnsi="Times New Roman" w:eastAsia="仿宋"/>
                <w:color w:val="auto"/>
                <w:sz w:val="24"/>
                <w:lang w:val="en-US" w:eastAsia="zh-CN"/>
              </w:rPr>
            </w:pPr>
            <w:r>
              <w:rPr>
                <w:rFonts w:hint="eastAsia" w:ascii="Times New Roman" w:hAnsi="Times New Roman" w:eastAsia="仿宋"/>
                <w:color w:val="auto"/>
                <w:sz w:val="24"/>
                <w:lang w:val="en-US" w:eastAsia="zh-CN"/>
              </w:rPr>
              <w:t>7</w:t>
            </w:r>
          </w:p>
        </w:tc>
        <w:tc>
          <w:tcPr>
            <w:tcW w:w="2931" w:type="pct"/>
            <w:vAlign w:val="center"/>
          </w:tcPr>
          <w:p w14:paraId="4F265817">
            <w:pPr>
              <w:keepNext w:val="0"/>
              <w:keepLines w:val="0"/>
              <w:widowControl/>
              <w:suppressLineNumbers w:val="0"/>
              <w:jc w:val="center"/>
              <w:textAlignment w:val="center"/>
              <w:rPr>
                <w:rFonts w:hint="default" w:ascii="Times New Roman" w:hAnsi="Times New Roman" w:eastAsia="仿宋"/>
                <w:color w:val="auto"/>
                <w:sz w:val="24"/>
              </w:rPr>
            </w:pPr>
            <w:r>
              <w:rPr>
                <w:rFonts w:hint="eastAsia" w:ascii="Times New Roman" w:hAnsi="Times New Roman" w:eastAsia="仿宋" w:cs="仿宋"/>
                <w:i w:val="0"/>
                <w:iCs w:val="0"/>
                <w:color w:val="000000"/>
                <w:kern w:val="0"/>
                <w:sz w:val="24"/>
                <w:szCs w:val="24"/>
                <w:u w:val="none"/>
                <w:lang w:val="en-US" w:eastAsia="zh-CN" w:bidi="ar"/>
              </w:rPr>
              <w:t>绩效奖金</w:t>
            </w:r>
          </w:p>
        </w:tc>
        <w:tc>
          <w:tcPr>
            <w:tcW w:w="1456" w:type="pct"/>
            <w:vAlign w:val="center"/>
          </w:tcPr>
          <w:p w14:paraId="683BF50F">
            <w:pPr>
              <w:keepNext w:val="0"/>
              <w:keepLines w:val="0"/>
              <w:widowControl/>
              <w:suppressLineNumbers w:val="0"/>
              <w:jc w:val="center"/>
              <w:textAlignment w:val="center"/>
              <w:rPr>
                <w:rFonts w:hint="default" w:ascii="Times New Roman" w:hAnsi="Times New Roman" w:eastAsia="仿宋"/>
                <w:color w:val="auto"/>
                <w:sz w:val="24"/>
                <w:lang w:val="en-US" w:eastAsia="zh-CN"/>
              </w:rPr>
            </w:pPr>
            <w:r>
              <w:rPr>
                <w:rFonts w:hint="eastAsia" w:ascii="Times New Roman" w:hAnsi="Times New Roman" w:eastAsia="仿宋" w:cs="仿宋"/>
                <w:i w:val="0"/>
                <w:iCs w:val="0"/>
                <w:color w:val="000000"/>
                <w:kern w:val="0"/>
                <w:sz w:val="24"/>
                <w:szCs w:val="24"/>
                <w:u w:val="none"/>
                <w:lang w:val="en-US" w:eastAsia="zh-CN" w:bidi="ar"/>
              </w:rPr>
              <w:t xml:space="preserve">12.000000 </w:t>
            </w:r>
          </w:p>
        </w:tc>
      </w:tr>
      <w:tr w14:paraId="77935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612" w:type="pct"/>
            <w:vAlign w:val="center"/>
          </w:tcPr>
          <w:p w14:paraId="6EB634C7">
            <w:pPr>
              <w:adjustRightInd w:val="0"/>
              <w:snapToGrid w:val="0"/>
              <w:jc w:val="center"/>
              <w:rPr>
                <w:rFonts w:hint="eastAsia" w:ascii="Times New Roman" w:hAnsi="Times New Roman" w:eastAsia="仿宋"/>
                <w:color w:val="auto"/>
                <w:sz w:val="24"/>
                <w:lang w:eastAsia="zh-CN"/>
              </w:rPr>
            </w:pPr>
            <w:r>
              <w:rPr>
                <w:rFonts w:hint="eastAsia" w:ascii="Times New Roman" w:hAnsi="Times New Roman" w:eastAsia="仿宋"/>
                <w:color w:val="auto"/>
                <w:sz w:val="24"/>
                <w:lang w:val="en-US" w:eastAsia="zh-CN"/>
              </w:rPr>
              <w:t>8</w:t>
            </w:r>
          </w:p>
        </w:tc>
        <w:tc>
          <w:tcPr>
            <w:tcW w:w="2931" w:type="pct"/>
            <w:vAlign w:val="center"/>
          </w:tcPr>
          <w:p w14:paraId="2EC16093">
            <w:pPr>
              <w:keepNext w:val="0"/>
              <w:keepLines w:val="0"/>
              <w:widowControl/>
              <w:suppressLineNumbers w:val="0"/>
              <w:jc w:val="center"/>
              <w:textAlignment w:val="center"/>
              <w:rPr>
                <w:rFonts w:hint="eastAsia" w:ascii="Times New Roman" w:hAnsi="Times New Roman" w:eastAsia="仿宋"/>
                <w:color w:val="auto"/>
                <w:sz w:val="24"/>
              </w:rPr>
            </w:pPr>
            <w:r>
              <w:rPr>
                <w:rFonts w:hint="eastAsia" w:ascii="Times New Roman" w:hAnsi="Times New Roman" w:eastAsia="仿宋" w:cs="仿宋"/>
                <w:i w:val="0"/>
                <w:iCs w:val="0"/>
                <w:color w:val="000000"/>
                <w:kern w:val="0"/>
                <w:sz w:val="24"/>
                <w:szCs w:val="24"/>
                <w:u w:val="none"/>
                <w:lang w:val="en-US" w:eastAsia="zh-CN" w:bidi="ar"/>
              </w:rPr>
              <w:t>其他商品和服务支出</w:t>
            </w:r>
          </w:p>
        </w:tc>
        <w:tc>
          <w:tcPr>
            <w:tcW w:w="1456" w:type="pct"/>
            <w:vAlign w:val="center"/>
          </w:tcPr>
          <w:p w14:paraId="6F9ABDE2">
            <w:pPr>
              <w:keepNext w:val="0"/>
              <w:keepLines w:val="0"/>
              <w:widowControl/>
              <w:suppressLineNumbers w:val="0"/>
              <w:jc w:val="center"/>
              <w:textAlignment w:val="center"/>
              <w:rPr>
                <w:rFonts w:hint="eastAsia" w:ascii="Times New Roman" w:hAnsi="Times New Roman" w:eastAsia="仿宋"/>
                <w:color w:val="auto"/>
                <w:sz w:val="24"/>
              </w:rPr>
            </w:pPr>
            <w:r>
              <w:rPr>
                <w:rFonts w:hint="eastAsia" w:ascii="Times New Roman" w:hAnsi="Times New Roman" w:eastAsia="仿宋" w:cs="仿宋"/>
                <w:i w:val="0"/>
                <w:iCs w:val="0"/>
                <w:color w:val="000000"/>
                <w:kern w:val="0"/>
                <w:sz w:val="24"/>
                <w:szCs w:val="24"/>
                <w:u w:val="none"/>
                <w:lang w:val="en-US" w:eastAsia="zh-CN" w:bidi="ar"/>
              </w:rPr>
              <w:t xml:space="preserve">0.000000 </w:t>
            </w:r>
          </w:p>
        </w:tc>
      </w:tr>
      <w:tr w14:paraId="0DEF3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3543" w:type="pct"/>
            <w:gridSpan w:val="2"/>
            <w:vAlign w:val="center"/>
          </w:tcPr>
          <w:p w14:paraId="0A249952">
            <w:pPr>
              <w:adjustRightInd w:val="0"/>
              <w:snapToGrid w:val="0"/>
              <w:jc w:val="center"/>
              <w:rPr>
                <w:rFonts w:ascii="Times New Roman" w:hAnsi="Times New Roman" w:eastAsia="仿宋"/>
                <w:b/>
                <w:bCs/>
                <w:color w:val="auto"/>
                <w:sz w:val="24"/>
              </w:rPr>
            </w:pPr>
            <w:r>
              <w:rPr>
                <w:rFonts w:hint="eastAsia" w:ascii="Times New Roman" w:hAnsi="Times New Roman" w:eastAsia="仿宋"/>
                <w:b/>
                <w:bCs/>
                <w:color w:val="auto"/>
                <w:sz w:val="24"/>
              </w:rPr>
              <w:t>总计</w:t>
            </w:r>
          </w:p>
        </w:tc>
        <w:tc>
          <w:tcPr>
            <w:tcW w:w="1456" w:type="pct"/>
            <w:vAlign w:val="center"/>
          </w:tcPr>
          <w:p w14:paraId="57272ABB">
            <w:pPr>
              <w:adjustRightInd w:val="0"/>
              <w:snapToGrid w:val="0"/>
              <w:jc w:val="center"/>
              <w:rPr>
                <w:rFonts w:hint="default" w:ascii="Times New Roman" w:hAnsi="Times New Roman" w:eastAsia="仿宋"/>
                <w:b/>
                <w:bCs/>
                <w:color w:val="auto"/>
                <w:sz w:val="24"/>
                <w:lang w:val="en-US" w:eastAsia="zh-CN"/>
              </w:rPr>
            </w:pPr>
            <w:r>
              <w:rPr>
                <w:rFonts w:hint="default" w:ascii="Times New Roman" w:hAnsi="Times New Roman" w:eastAsia="仿宋"/>
                <w:b/>
                <w:bCs/>
                <w:color w:val="auto"/>
                <w:sz w:val="24"/>
                <w:lang w:val="en-US" w:eastAsia="zh-CN"/>
              </w:rPr>
              <w:t xml:space="preserve">125.999800 </w:t>
            </w:r>
          </w:p>
        </w:tc>
      </w:tr>
    </w:tbl>
    <w:p w14:paraId="7D39A50A">
      <w:pPr>
        <w:spacing w:line="560" w:lineRule="exact"/>
        <w:ind w:firstLine="640" w:firstLineChars="200"/>
        <w:rPr>
          <w:rFonts w:hint="eastAsia" w:ascii="仿宋_GB2312" w:hAnsi="Times New Roman" w:eastAsia="仿宋_GB2312" w:cs="Times New Roman"/>
          <w:bCs/>
          <w:kern w:val="44"/>
          <w:sz w:val="32"/>
          <w:szCs w:val="32"/>
          <w:lang w:val="en-US" w:eastAsia="zh-CN"/>
        </w:rPr>
      </w:pPr>
      <w:r>
        <w:rPr>
          <w:rFonts w:hint="eastAsia" w:ascii="仿宋_GB2312" w:eastAsia="仿宋_GB2312" w:cs="Times New Roman"/>
          <w:bCs/>
          <w:kern w:val="44"/>
          <w:sz w:val="32"/>
          <w:szCs w:val="32"/>
          <w:lang w:val="en-US" w:eastAsia="zh-CN"/>
        </w:rPr>
        <w:t>（2）</w:t>
      </w:r>
      <w:r>
        <w:rPr>
          <w:rFonts w:hint="eastAsia" w:ascii="仿宋_GB2312" w:hAnsi="Times New Roman" w:eastAsia="仿宋_GB2312" w:cs="Times New Roman"/>
          <w:bCs/>
          <w:kern w:val="44"/>
          <w:sz w:val="32"/>
          <w:szCs w:val="32"/>
          <w:lang w:val="en-US" w:eastAsia="zh-CN"/>
        </w:rPr>
        <w:t>资金使用情况</w:t>
      </w:r>
    </w:p>
    <w:p w14:paraId="6A757A45">
      <w:pPr>
        <w:spacing w:line="560" w:lineRule="exact"/>
        <w:ind w:firstLine="640" w:firstLineChars="200"/>
        <w:rPr>
          <w:rFonts w:hint="eastAsia" w:ascii="仿宋_GB2312" w:hAnsi="Times New Roman" w:eastAsia="仿宋_GB2312" w:cs="Times New Roman"/>
          <w:bCs/>
          <w:kern w:val="44"/>
          <w:sz w:val="32"/>
          <w:szCs w:val="32"/>
          <w:lang w:val="en-US" w:eastAsia="zh-CN"/>
        </w:rPr>
      </w:pPr>
      <w:r>
        <w:rPr>
          <w:rFonts w:hint="eastAsia" w:ascii="仿宋_GB2312" w:hAnsi="Times New Roman" w:eastAsia="仿宋_GB2312" w:cs="Times New Roman"/>
          <w:bCs/>
          <w:kern w:val="44"/>
          <w:sz w:val="32"/>
          <w:szCs w:val="32"/>
          <w:lang w:val="en-US" w:eastAsia="zh-CN"/>
        </w:rPr>
        <w:t>截至2024年12月31日，该项目2024年实际支出74.100488万元，结余51.899312 万元，资金支出率58.81%。其中，财政资金支出率74.39%，国家社会科学基金学术期刊资助经费支出率44.40%。资金支出范围包括稿费、印刷、编辑培训、杂志邮寄费等。</w:t>
      </w:r>
      <w:bookmarkStart w:id="2" w:name="_Toc9064"/>
    </w:p>
    <w:p w14:paraId="3026CF74">
      <w:pPr>
        <w:pStyle w:val="3"/>
        <w:spacing w:before="0" w:after="0" w:line="560" w:lineRule="exact"/>
        <w:ind w:firstLine="640" w:firstLineChars="200"/>
        <w:rPr>
          <w:rFonts w:hint="eastAsia" w:ascii="方正楷体_GBK" w:hAnsi="方正楷体_GBK" w:eastAsia="方正楷体_GBK" w:cs="方正楷体_GBK"/>
          <w:b w:val="0"/>
          <w:bCs w:val="0"/>
          <w:kern w:val="44"/>
          <w:sz w:val="32"/>
          <w:szCs w:val="32"/>
        </w:rPr>
      </w:pPr>
      <w:r>
        <w:rPr>
          <w:rFonts w:hint="eastAsia" w:ascii="方正楷体_GBK" w:hAnsi="方正楷体_GBK" w:eastAsia="方正楷体_GBK" w:cs="方正楷体_GBK"/>
          <w:b w:val="0"/>
          <w:bCs w:val="0"/>
          <w:kern w:val="44"/>
          <w:sz w:val="32"/>
          <w:szCs w:val="32"/>
        </w:rPr>
        <w:t>（二）项目绩效目标</w:t>
      </w:r>
      <w:bookmarkEnd w:id="2"/>
    </w:p>
    <w:p w14:paraId="1E44AB1E">
      <w:pPr>
        <w:spacing w:line="560" w:lineRule="exact"/>
        <w:ind w:firstLine="640" w:firstLineChars="200"/>
        <w:rPr>
          <w:rFonts w:hint="eastAsia" w:ascii="Times New Roman" w:hAnsi="Times New Roman" w:eastAsia="黑体" w:cs="黑体"/>
          <w:sz w:val="32"/>
          <w:szCs w:val="32"/>
        </w:rPr>
      </w:pPr>
      <w:r>
        <w:rPr>
          <w:rFonts w:hint="eastAsia" w:ascii="仿宋_GB2312" w:hAnsi="Times New Roman" w:eastAsia="仿宋_GB2312" w:cs="Times New Roman"/>
          <w:bCs/>
          <w:kern w:val="44"/>
          <w:sz w:val="32"/>
          <w:szCs w:val="32"/>
          <w:lang w:val="en-US" w:eastAsia="zh-CN"/>
        </w:rPr>
        <w:t>编辑出版发行2024年《中国特色社会主义研究》杂志中文刊6期，增刊1期。提升刊物质量，扩大刊物的影响力，提高刊物转载引用率，保持在马克思主义类学术期刊的排名前列。对繁荣发展首都哲学社会科学起到了重要推进作用，协助促进社科基金成果转化，不断发掘优质社科理论研究成果，扶持青年专家学者学术成长。</w:t>
      </w:r>
      <w:bookmarkStart w:id="3" w:name="_Toc22055"/>
      <w:bookmarkStart w:id="4" w:name="_Toc21791"/>
      <w:bookmarkStart w:id="5" w:name="_Hlk66890838"/>
    </w:p>
    <w:p w14:paraId="4F1050FB">
      <w:pPr>
        <w:spacing w:line="560" w:lineRule="exact"/>
        <w:ind w:firstLine="640" w:firstLineChars="200"/>
        <w:rPr>
          <w:rFonts w:hint="eastAsia" w:ascii="黑体" w:hAnsi="黑体" w:eastAsia="黑体" w:cs="黑体"/>
          <w:bCs/>
          <w:kern w:val="44"/>
          <w:sz w:val="32"/>
          <w:szCs w:val="32"/>
        </w:rPr>
      </w:pPr>
      <w:r>
        <w:rPr>
          <w:rFonts w:hint="eastAsia" w:ascii="黑体" w:hAnsi="黑体" w:eastAsia="黑体" w:cs="黑体"/>
          <w:bCs/>
          <w:kern w:val="44"/>
          <w:sz w:val="32"/>
          <w:szCs w:val="32"/>
        </w:rPr>
        <w:t>二、绩效评价工作开展情况</w:t>
      </w:r>
      <w:bookmarkEnd w:id="3"/>
      <w:bookmarkEnd w:id="4"/>
    </w:p>
    <w:p w14:paraId="04FC52A4">
      <w:pPr>
        <w:spacing w:line="560" w:lineRule="exact"/>
        <w:ind w:firstLine="640" w:firstLineChars="200"/>
        <w:rPr>
          <w:rFonts w:hint="eastAsia" w:ascii="方正楷体_GBK" w:hAnsi="方正楷体_GBK" w:eastAsia="方正楷体_GBK" w:cs="方正楷体_GBK"/>
          <w:bCs/>
          <w:kern w:val="44"/>
          <w:sz w:val="32"/>
          <w:szCs w:val="32"/>
        </w:rPr>
      </w:pPr>
      <w:bookmarkStart w:id="6" w:name="_Toc25946"/>
      <w:bookmarkStart w:id="7" w:name="_Toc9195"/>
      <w:r>
        <w:rPr>
          <w:rFonts w:hint="eastAsia" w:ascii="方正楷体_GBK" w:hAnsi="方正楷体_GBK" w:eastAsia="方正楷体_GBK" w:cs="方正楷体_GBK"/>
          <w:bCs/>
          <w:kern w:val="44"/>
          <w:sz w:val="32"/>
          <w:szCs w:val="32"/>
        </w:rPr>
        <w:t>（一）绩效</w:t>
      </w:r>
      <w:bookmarkStart w:id="8" w:name="一"/>
      <w:bookmarkEnd w:id="8"/>
      <w:r>
        <w:rPr>
          <w:rFonts w:hint="eastAsia" w:ascii="方正楷体_GBK" w:hAnsi="方正楷体_GBK" w:eastAsia="方正楷体_GBK" w:cs="方正楷体_GBK"/>
          <w:bCs/>
          <w:kern w:val="44"/>
          <w:sz w:val="32"/>
          <w:szCs w:val="32"/>
        </w:rPr>
        <w:t>工作情况</w:t>
      </w:r>
      <w:bookmarkEnd w:id="6"/>
      <w:bookmarkEnd w:id="7"/>
    </w:p>
    <w:p w14:paraId="1CF34A43">
      <w:pPr>
        <w:spacing w:line="560" w:lineRule="exact"/>
        <w:ind w:firstLine="643" w:firstLineChars="200"/>
        <w:rPr>
          <w:rFonts w:hint="eastAsia" w:ascii="仿宋_GB2312" w:hAnsi="Times New Roman" w:eastAsia="仿宋_GB2312" w:cs="Times New Roman"/>
          <w:b/>
          <w:bCs w:val="0"/>
          <w:kern w:val="44"/>
          <w:sz w:val="32"/>
          <w:szCs w:val="32"/>
          <w:lang w:val="en-US" w:eastAsia="zh-CN"/>
        </w:rPr>
      </w:pPr>
      <w:r>
        <w:rPr>
          <w:rFonts w:hint="eastAsia" w:ascii="仿宋_GB2312" w:hAnsi="Times New Roman" w:eastAsia="仿宋_GB2312" w:cs="Times New Roman"/>
          <w:b/>
          <w:bCs w:val="0"/>
          <w:kern w:val="44"/>
          <w:sz w:val="32"/>
          <w:szCs w:val="32"/>
          <w:lang w:val="en-US" w:eastAsia="zh-CN"/>
        </w:rPr>
        <w:t>1.</w:t>
      </w:r>
      <w:r>
        <w:rPr>
          <w:rFonts w:hint="eastAsia" w:ascii="仿宋_GB2312" w:eastAsia="仿宋_GB2312" w:cs="Times New Roman"/>
          <w:b/>
          <w:bCs w:val="0"/>
          <w:kern w:val="44"/>
          <w:sz w:val="32"/>
          <w:szCs w:val="32"/>
          <w:lang w:val="en-US" w:eastAsia="zh-CN"/>
        </w:rPr>
        <w:t>绩效</w:t>
      </w:r>
      <w:r>
        <w:rPr>
          <w:rFonts w:hint="eastAsia" w:ascii="仿宋_GB2312" w:hAnsi="Times New Roman" w:eastAsia="仿宋_GB2312" w:cs="Times New Roman"/>
          <w:b/>
          <w:bCs w:val="0"/>
          <w:kern w:val="44"/>
          <w:sz w:val="32"/>
          <w:szCs w:val="32"/>
          <w:lang w:val="en-US" w:eastAsia="zh-CN"/>
        </w:rPr>
        <w:t>评价目的</w:t>
      </w:r>
    </w:p>
    <w:p w14:paraId="0538F82D">
      <w:pPr>
        <w:spacing w:line="560" w:lineRule="exact"/>
        <w:ind w:firstLine="640" w:firstLineChars="200"/>
        <w:rPr>
          <w:rFonts w:hint="eastAsia" w:ascii="仿宋_GB2312" w:eastAsia="仿宋_GB2312" w:cs="Times New Roman"/>
          <w:bCs/>
          <w:kern w:val="44"/>
          <w:sz w:val="32"/>
          <w:szCs w:val="32"/>
          <w:lang w:val="en-US" w:eastAsia="zh-CN"/>
        </w:rPr>
      </w:pPr>
      <w:r>
        <w:rPr>
          <w:rFonts w:hint="eastAsia" w:ascii="仿宋_GB2312" w:eastAsia="仿宋_GB2312"/>
          <w:bCs/>
          <w:kern w:val="44"/>
          <w:sz w:val="32"/>
          <w:szCs w:val="32"/>
        </w:rPr>
        <w:t>一是加强预算绩效管理，强化支出责任，提高财政资金使用效益；二是进一步总结和分析项目资金的实施效果，检验</w:t>
      </w:r>
      <w:r>
        <w:rPr>
          <w:rFonts w:hint="eastAsia" w:ascii="仿宋_GB2312" w:eastAsia="仿宋_GB2312"/>
          <w:bCs/>
          <w:kern w:val="44"/>
          <w:sz w:val="32"/>
          <w:szCs w:val="32"/>
          <w:lang w:eastAsia="zh-CN"/>
        </w:rPr>
        <w:t>项目</w:t>
      </w:r>
      <w:r>
        <w:rPr>
          <w:rFonts w:hint="eastAsia" w:ascii="仿宋_GB2312" w:eastAsia="仿宋_GB2312"/>
          <w:bCs/>
          <w:kern w:val="44"/>
          <w:sz w:val="32"/>
          <w:szCs w:val="32"/>
        </w:rPr>
        <w:t>支出预期目标实现程度，考核</w:t>
      </w:r>
      <w:r>
        <w:rPr>
          <w:rFonts w:hint="eastAsia" w:ascii="仿宋_GB2312" w:eastAsia="仿宋_GB2312"/>
          <w:bCs/>
          <w:kern w:val="44"/>
          <w:sz w:val="32"/>
          <w:szCs w:val="32"/>
          <w:lang w:eastAsia="zh-CN"/>
        </w:rPr>
        <w:t>项目</w:t>
      </w:r>
      <w:r>
        <w:rPr>
          <w:rFonts w:hint="eastAsia" w:ascii="仿宋_GB2312" w:eastAsia="仿宋_GB2312"/>
          <w:bCs/>
          <w:kern w:val="44"/>
          <w:sz w:val="32"/>
          <w:szCs w:val="32"/>
        </w:rPr>
        <w:t>支出效率和综合效果；三是为以后年度加强相关项目管理提供参考依据。</w:t>
      </w:r>
    </w:p>
    <w:p w14:paraId="753468E0">
      <w:pPr>
        <w:spacing w:line="560" w:lineRule="exact"/>
        <w:ind w:firstLine="643" w:firstLineChars="200"/>
        <w:rPr>
          <w:rFonts w:hint="eastAsia" w:ascii="仿宋_GB2312" w:hAnsi="Times New Roman" w:eastAsia="仿宋_GB2312" w:cs="Times New Roman"/>
          <w:b/>
          <w:bCs w:val="0"/>
          <w:kern w:val="44"/>
          <w:sz w:val="32"/>
          <w:szCs w:val="32"/>
          <w:lang w:val="en-US" w:eastAsia="zh-CN"/>
        </w:rPr>
      </w:pPr>
      <w:r>
        <w:rPr>
          <w:rFonts w:hint="eastAsia" w:ascii="仿宋_GB2312" w:hAnsi="Times New Roman" w:eastAsia="仿宋_GB2312" w:cs="Times New Roman"/>
          <w:b/>
          <w:bCs w:val="0"/>
          <w:kern w:val="44"/>
          <w:sz w:val="32"/>
          <w:szCs w:val="32"/>
          <w:lang w:val="en-US" w:eastAsia="zh-CN"/>
        </w:rPr>
        <w:t>2.绩效评价对象和范围</w:t>
      </w:r>
    </w:p>
    <w:p w14:paraId="1B3631C1">
      <w:pPr>
        <w:spacing w:line="560" w:lineRule="exact"/>
        <w:ind w:firstLine="640" w:firstLineChars="200"/>
        <w:rPr>
          <w:rFonts w:hint="eastAsia" w:ascii="仿宋_GB2312" w:hAnsi="Times New Roman" w:eastAsia="仿宋_GB2312" w:cs="Times New Roman"/>
          <w:bCs/>
          <w:kern w:val="44"/>
          <w:sz w:val="32"/>
          <w:szCs w:val="32"/>
          <w:lang w:val="en-US" w:eastAsia="zh-CN"/>
        </w:rPr>
      </w:pPr>
      <w:r>
        <w:rPr>
          <w:rFonts w:hint="eastAsia" w:ascii="仿宋_GB2312" w:hAnsi="Times New Roman" w:eastAsia="仿宋_GB2312" w:cs="Times New Roman"/>
          <w:bCs/>
          <w:kern w:val="44"/>
          <w:sz w:val="32"/>
          <w:szCs w:val="32"/>
          <w:lang w:val="en-US" w:eastAsia="zh-CN"/>
        </w:rPr>
        <w:t>《中国特色社会主义研究》杂志编辑发行业务经费项目，项目资金125.999800万元，其中财政拨款60.548900万元，国家社会科学基金学术期刊资助经费65.450900万元。</w:t>
      </w:r>
    </w:p>
    <w:p w14:paraId="2AF1A8C6">
      <w:pPr>
        <w:spacing w:line="560" w:lineRule="exact"/>
        <w:ind w:firstLine="643" w:firstLineChars="200"/>
        <w:rPr>
          <w:rFonts w:hint="eastAsia" w:ascii="仿宋_GB2312" w:hAnsi="Times New Roman" w:eastAsia="仿宋_GB2312" w:cs="Times New Roman"/>
          <w:b/>
          <w:bCs w:val="0"/>
          <w:kern w:val="44"/>
          <w:sz w:val="32"/>
          <w:szCs w:val="32"/>
          <w:lang w:val="en-US" w:eastAsia="zh-CN"/>
        </w:rPr>
      </w:pPr>
      <w:r>
        <w:rPr>
          <w:rFonts w:hint="eastAsia" w:ascii="仿宋_GB2312" w:hAnsi="Times New Roman" w:eastAsia="仿宋_GB2312" w:cs="Times New Roman"/>
          <w:b/>
          <w:bCs w:val="0"/>
          <w:kern w:val="44"/>
          <w:sz w:val="32"/>
          <w:szCs w:val="32"/>
          <w:lang w:val="en-US" w:eastAsia="zh-CN"/>
        </w:rPr>
        <w:t>3.绩效评价原则</w:t>
      </w:r>
      <w:r>
        <w:rPr>
          <w:rFonts w:hint="eastAsia" w:ascii="仿宋_GB2312" w:eastAsia="仿宋_GB2312" w:cs="Times New Roman"/>
          <w:b/>
          <w:bCs w:val="0"/>
          <w:kern w:val="44"/>
          <w:sz w:val="32"/>
          <w:szCs w:val="32"/>
          <w:lang w:val="en-US" w:eastAsia="zh-CN"/>
        </w:rPr>
        <w:t>和方法</w:t>
      </w:r>
    </w:p>
    <w:p w14:paraId="570E6311">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评价工作组遵循“科学公正、统筹兼顾、激励约束、公开透明”的原则，运用公众评判法、比较法和因素分析法相结合的绩效评价方法，对该项目预先制定的目标进行绩效评价。</w:t>
      </w:r>
    </w:p>
    <w:p w14:paraId="5FF0B732">
      <w:pPr>
        <w:spacing w:line="560" w:lineRule="exact"/>
        <w:ind w:firstLine="643" w:firstLineChars="200"/>
        <w:rPr>
          <w:rFonts w:hint="eastAsia" w:ascii="仿宋_GB2312" w:hAnsi="Times New Roman" w:eastAsia="仿宋_GB2312" w:cs="Times New Roman"/>
          <w:b/>
          <w:bCs w:val="0"/>
          <w:kern w:val="44"/>
          <w:sz w:val="32"/>
          <w:szCs w:val="32"/>
          <w:lang w:val="en-US" w:eastAsia="zh-CN"/>
        </w:rPr>
      </w:pPr>
      <w:r>
        <w:rPr>
          <w:rFonts w:hint="eastAsia" w:ascii="仿宋_GB2312" w:hAnsi="Times New Roman" w:eastAsia="仿宋_GB2312" w:cs="Times New Roman"/>
          <w:b/>
          <w:bCs w:val="0"/>
          <w:kern w:val="44"/>
          <w:sz w:val="32"/>
          <w:szCs w:val="32"/>
          <w:lang w:val="en-US" w:eastAsia="zh-CN"/>
        </w:rPr>
        <w:t>4.评价指标体系</w:t>
      </w:r>
      <w:r>
        <w:rPr>
          <w:rFonts w:hint="eastAsia" w:ascii="仿宋_GB2312" w:eastAsia="仿宋_GB2312" w:cs="Times New Roman"/>
          <w:b/>
          <w:bCs w:val="0"/>
          <w:kern w:val="44"/>
          <w:sz w:val="32"/>
          <w:szCs w:val="32"/>
          <w:lang w:val="en-US" w:eastAsia="zh-CN"/>
        </w:rPr>
        <w:t>、评价标准</w:t>
      </w:r>
    </w:p>
    <w:p w14:paraId="766B1A66">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评价工作组按照“相关性、重要性、可比性、系统性”原则，结合项目特点，统一确定了绩效评价项目的绩效评价指标体系。</w:t>
      </w:r>
    </w:p>
    <w:p w14:paraId="6C53A4B0">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rPr>
        <w:t>主要包括决策、过程、产出、效益四个方面，满分100分。一是决策指标（10分），主要评价绩效目标、决策依据和决策程序及资金投入情况；二是过程指标（20分），主要评价预算管理、资金到位、财务管理、组织机构、制度建设和过程控制；三是产出指标（40分），主要评价产出数量、质量、时效及成本等指标的实现情况；四是效益指标（30分），主要评价项目实现效果、可持续影响等内容。</w:t>
      </w:r>
    </w:p>
    <w:p w14:paraId="56BD4F9B">
      <w:pPr>
        <w:pStyle w:val="3"/>
        <w:spacing w:before="0" w:after="0" w:line="560" w:lineRule="exact"/>
        <w:ind w:firstLine="643" w:firstLineChars="200"/>
        <w:rPr>
          <w:rFonts w:hint="eastAsia" w:ascii="楷体_GB2312" w:hAnsi="楷体_GB2312" w:eastAsia="楷体_GB2312" w:cs="楷体_GB2312"/>
          <w:b/>
          <w:bCs/>
          <w:kern w:val="44"/>
          <w:szCs w:val="32"/>
        </w:rPr>
      </w:pPr>
      <w:bookmarkStart w:id="9" w:name="_Toc21549"/>
      <w:bookmarkStart w:id="10" w:name="_Toc1055"/>
      <w:r>
        <w:rPr>
          <w:rFonts w:hint="eastAsia" w:ascii="楷体_GB2312" w:hAnsi="楷体_GB2312" w:eastAsia="楷体_GB2312" w:cs="楷体_GB2312"/>
          <w:b/>
          <w:bCs/>
          <w:kern w:val="44"/>
          <w:szCs w:val="32"/>
        </w:rPr>
        <w:t>（二）绩效</w:t>
      </w:r>
      <w:bookmarkStart w:id="11" w:name="二"/>
      <w:bookmarkEnd w:id="11"/>
      <w:r>
        <w:rPr>
          <w:rFonts w:hint="eastAsia" w:ascii="楷体_GB2312" w:hAnsi="楷体_GB2312" w:eastAsia="楷体_GB2312" w:cs="楷体_GB2312"/>
          <w:b/>
          <w:bCs/>
          <w:kern w:val="44"/>
          <w:szCs w:val="32"/>
        </w:rPr>
        <w:t>评价工作过程</w:t>
      </w:r>
      <w:bookmarkEnd w:id="9"/>
      <w:bookmarkEnd w:id="10"/>
    </w:p>
    <w:bookmarkEnd w:id="5"/>
    <w:p w14:paraId="1619E562">
      <w:pPr>
        <w:spacing w:line="560" w:lineRule="exact"/>
        <w:ind w:firstLine="640" w:firstLineChars="200"/>
        <w:rPr>
          <w:rFonts w:hint="eastAsia" w:ascii="仿宋" w:hAnsi="仿宋" w:eastAsia="仿宋" w:cs="仿宋"/>
          <w:bCs/>
          <w:kern w:val="44"/>
          <w:sz w:val="32"/>
          <w:szCs w:val="32"/>
        </w:rPr>
      </w:pPr>
      <w:bookmarkStart w:id="12" w:name="_Toc15015"/>
      <w:r>
        <w:rPr>
          <w:rFonts w:hint="eastAsia" w:ascii="仿宋_GB2312" w:eastAsia="仿宋_GB2312"/>
          <w:bCs/>
          <w:kern w:val="44"/>
          <w:sz w:val="32"/>
          <w:szCs w:val="32"/>
        </w:rPr>
        <w:t>为确保绩效评价工作的客观公正，评价工作组严格按照绩效评价工作程序组织实施绩效评价工作，主要程序如下：</w:t>
      </w:r>
    </w:p>
    <w:p w14:paraId="25B816F4">
      <w:pPr>
        <w:spacing w:line="560" w:lineRule="exact"/>
        <w:ind w:firstLine="643" w:firstLineChars="200"/>
        <w:rPr>
          <w:rFonts w:hint="eastAsia" w:ascii="仿宋" w:hAnsi="仿宋" w:eastAsia="仿宋" w:cs="仿宋"/>
          <w:bCs/>
          <w:kern w:val="44"/>
          <w:sz w:val="32"/>
          <w:szCs w:val="32"/>
        </w:rPr>
      </w:pPr>
      <w:r>
        <w:rPr>
          <w:rFonts w:hint="eastAsia" w:ascii="仿宋_GB2312" w:hAnsi="仿宋_GB2312" w:eastAsia="仿宋_GB2312" w:cs="仿宋_GB2312"/>
          <w:b/>
          <w:bCs/>
          <w:kern w:val="44"/>
          <w:sz w:val="32"/>
          <w:szCs w:val="32"/>
        </w:rPr>
        <w:t>1.组建评价工作组</w:t>
      </w:r>
    </w:p>
    <w:p w14:paraId="13B06CCF">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按照工作要求和该项目特点，组建评价工作组，根据项目实际情况遴选相关业务专家、绩效管理专家和财务专家共5名组成专家组。评价工作组对每名成员的职责及分工进行了明确，并对工作组全体人员和专家进行了培训。</w:t>
      </w:r>
    </w:p>
    <w:p w14:paraId="2465A255">
      <w:pPr>
        <w:spacing w:line="560" w:lineRule="exact"/>
        <w:ind w:firstLine="643" w:firstLineChars="200"/>
        <w:rPr>
          <w:rFonts w:hint="eastAsia" w:ascii="仿宋" w:hAnsi="仿宋" w:eastAsia="仿宋" w:cs="仿宋"/>
          <w:b/>
          <w:bCs/>
          <w:kern w:val="44"/>
          <w:sz w:val="32"/>
          <w:szCs w:val="32"/>
        </w:rPr>
      </w:pPr>
      <w:r>
        <w:rPr>
          <w:rFonts w:hint="eastAsia" w:ascii="仿宋_GB2312" w:hAnsi="仿宋_GB2312" w:eastAsia="仿宋_GB2312" w:cs="仿宋_GB2312"/>
          <w:b/>
          <w:bCs/>
          <w:kern w:val="44"/>
          <w:sz w:val="32"/>
          <w:szCs w:val="32"/>
        </w:rPr>
        <w:t>2.调研</w:t>
      </w:r>
      <w:r>
        <w:rPr>
          <w:rFonts w:hint="eastAsia" w:ascii="仿宋_GB2312" w:hAnsi="仿宋_GB2312" w:eastAsia="仿宋_GB2312" w:cs="仿宋_GB2312"/>
          <w:b/>
          <w:bCs/>
          <w:kern w:val="44"/>
          <w:sz w:val="32"/>
          <w:szCs w:val="32"/>
          <w:lang w:eastAsia="zh-CN"/>
        </w:rPr>
        <w:t>、</w:t>
      </w:r>
      <w:r>
        <w:rPr>
          <w:rFonts w:hint="eastAsia" w:ascii="仿宋_GB2312" w:hAnsi="仿宋_GB2312" w:eastAsia="仿宋_GB2312" w:cs="仿宋_GB2312"/>
          <w:b/>
          <w:bCs/>
          <w:kern w:val="44"/>
          <w:sz w:val="32"/>
          <w:szCs w:val="32"/>
        </w:rPr>
        <w:t>收集资料</w:t>
      </w:r>
    </w:p>
    <w:p w14:paraId="0DF98114">
      <w:pPr>
        <w:spacing w:line="560" w:lineRule="exact"/>
        <w:ind w:firstLine="640" w:firstLineChars="200"/>
        <w:rPr>
          <w:rFonts w:hint="eastAsia" w:ascii="仿宋" w:hAnsi="仿宋" w:eastAsia="仿宋" w:cs="仿宋"/>
          <w:bCs/>
          <w:kern w:val="44"/>
          <w:sz w:val="32"/>
          <w:szCs w:val="32"/>
        </w:rPr>
      </w:pPr>
      <w:r>
        <w:rPr>
          <w:rFonts w:hint="eastAsia" w:ascii="仿宋_GB2312" w:eastAsia="仿宋_GB2312"/>
          <w:bCs/>
          <w:kern w:val="44"/>
          <w:sz w:val="32"/>
          <w:szCs w:val="32"/>
        </w:rPr>
        <w:t>评价工作组按照相关要求进行了现场调研，收集相关资料并听取项目单位的工作汇报，对所收集的资料进行核实和全面分析，对缺失的资料要求项目单位及时补充；对重要的和存在疑问的基础数据资料进行核实确认。并组织业务专家对现场进行了踏勘。</w:t>
      </w:r>
    </w:p>
    <w:p w14:paraId="4949F907">
      <w:pPr>
        <w:spacing w:line="560" w:lineRule="exact"/>
        <w:ind w:firstLine="643" w:firstLineChars="200"/>
        <w:rPr>
          <w:rFonts w:hint="eastAsia" w:ascii="仿宋" w:hAnsi="仿宋" w:eastAsia="仿宋" w:cs="仿宋"/>
          <w:b/>
          <w:bCs/>
          <w:kern w:val="44"/>
          <w:sz w:val="32"/>
          <w:szCs w:val="32"/>
        </w:rPr>
      </w:pPr>
      <w:r>
        <w:rPr>
          <w:rFonts w:hint="eastAsia" w:ascii="仿宋_GB2312" w:hAnsi="仿宋_GB2312" w:eastAsia="仿宋_GB2312" w:cs="仿宋_GB2312"/>
          <w:b/>
          <w:bCs/>
          <w:kern w:val="44"/>
          <w:sz w:val="32"/>
          <w:szCs w:val="32"/>
        </w:rPr>
        <w:t>3.研究制定指标体系</w:t>
      </w:r>
    </w:p>
    <w:p w14:paraId="6C47A58F">
      <w:pPr>
        <w:spacing w:line="560" w:lineRule="exact"/>
        <w:ind w:firstLine="640" w:firstLineChars="200"/>
        <w:rPr>
          <w:rFonts w:hint="eastAsia" w:ascii="仿宋" w:hAnsi="仿宋" w:eastAsia="仿宋" w:cs="仿宋"/>
          <w:bCs/>
          <w:kern w:val="44"/>
          <w:sz w:val="32"/>
          <w:szCs w:val="32"/>
        </w:rPr>
      </w:pPr>
      <w:r>
        <w:rPr>
          <w:rFonts w:hint="eastAsia" w:ascii="仿宋_GB2312" w:eastAsia="仿宋_GB2312"/>
          <w:bCs/>
          <w:kern w:val="44"/>
          <w:sz w:val="32"/>
          <w:szCs w:val="32"/>
        </w:rPr>
        <w:t>评价工作组根据项目实际情况，细化评价指标，明确评价标准，最终确定项目评价指标体系。</w:t>
      </w:r>
    </w:p>
    <w:p w14:paraId="5378BA83">
      <w:pPr>
        <w:numPr>
          <w:ilvl w:val="0"/>
          <w:numId w:val="1"/>
        </w:numPr>
        <w:spacing w:line="560" w:lineRule="exact"/>
        <w:ind w:firstLine="643" w:firstLineChars="200"/>
        <w:rPr>
          <w:rFonts w:hint="eastAsia" w:ascii="仿宋_GB2312" w:hAnsi="仿宋_GB2312" w:eastAsia="仿宋_GB2312" w:cs="仿宋_GB2312"/>
          <w:b/>
          <w:bCs/>
          <w:kern w:val="44"/>
          <w:sz w:val="32"/>
          <w:szCs w:val="32"/>
        </w:rPr>
      </w:pPr>
      <w:r>
        <w:rPr>
          <w:rFonts w:hint="eastAsia" w:ascii="仿宋_GB2312" w:hAnsi="仿宋_GB2312" w:eastAsia="仿宋_GB2312" w:cs="仿宋_GB2312"/>
          <w:b/>
          <w:bCs/>
          <w:kern w:val="44"/>
          <w:sz w:val="32"/>
          <w:szCs w:val="32"/>
        </w:rPr>
        <w:t>召开专家评价会</w:t>
      </w:r>
    </w:p>
    <w:p w14:paraId="697B3536">
      <w:pPr>
        <w:spacing w:line="560" w:lineRule="exact"/>
        <w:ind w:firstLine="482" w:firstLineChars="150"/>
        <w:rPr>
          <w:rFonts w:hint="default" w:ascii="仿宋_GB2312" w:hAnsi="仿宋_GB2312" w:eastAsia="仿宋_GB2312" w:cs="仿宋_GB2312"/>
          <w:b/>
          <w:bCs/>
          <w:kern w:val="44"/>
          <w:sz w:val="32"/>
          <w:szCs w:val="32"/>
          <w:lang w:val="en"/>
        </w:rPr>
      </w:pPr>
      <w:r>
        <w:rPr>
          <w:rFonts w:hint="default" w:ascii="仿宋_GB2312" w:hAnsi="仿宋_GB2312" w:eastAsia="仿宋_GB2312" w:cs="仿宋_GB2312"/>
          <w:b/>
          <w:bCs/>
          <w:kern w:val="44"/>
          <w:sz w:val="32"/>
          <w:szCs w:val="32"/>
          <w:lang w:val="en"/>
        </w:rPr>
        <w:t xml:space="preserve"> </w:t>
      </w:r>
      <w:r>
        <w:rPr>
          <w:rFonts w:hint="eastAsia" w:ascii="仿宋_GB2312" w:hAnsi="Times New Roman" w:eastAsia="仿宋_GB2312" w:cs="Times New Roman"/>
          <w:bCs/>
          <w:kern w:val="44"/>
          <w:sz w:val="32"/>
          <w:szCs w:val="32"/>
        </w:rPr>
        <w:t>评价工作组会同项目单位完成评价会资料的准备工作，于2024年</w:t>
      </w:r>
      <w:r>
        <w:rPr>
          <w:rFonts w:hint="default" w:ascii="仿宋_GB2312" w:eastAsia="仿宋_GB2312" w:cs="Times New Roman"/>
          <w:bCs/>
          <w:kern w:val="44"/>
          <w:sz w:val="32"/>
          <w:szCs w:val="32"/>
          <w:lang w:val="en"/>
        </w:rPr>
        <w:t>4</w:t>
      </w:r>
      <w:r>
        <w:rPr>
          <w:rFonts w:hint="eastAsia" w:ascii="仿宋_GB2312" w:hAnsi="Times New Roman" w:eastAsia="仿宋_GB2312" w:cs="Times New Roman"/>
          <w:bCs/>
          <w:kern w:val="44"/>
          <w:sz w:val="32"/>
          <w:szCs w:val="32"/>
        </w:rPr>
        <w:t>月</w:t>
      </w:r>
      <w:r>
        <w:rPr>
          <w:rFonts w:hint="default" w:ascii="仿宋_GB2312" w:eastAsia="仿宋_GB2312" w:cs="Times New Roman"/>
          <w:bCs/>
          <w:kern w:val="44"/>
          <w:sz w:val="32"/>
          <w:szCs w:val="32"/>
          <w:lang w:val="en"/>
        </w:rPr>
        <w:t>24</w:t>
      </w:r>
      <w:r>
        <w:rPr>
          <w:rFonts w:hint="eastAsia" w:ascii="仿宋_GB2312" w:hAnsi="Times New Roman" w:eastAsia="仿宋_GB2312" w:cs="Times New Roman"/>
          <w:bCs/>
          <w:kern w:val="44"/>
          <w:sz w:val="32"/>
          <w:szCs w:val="32"/>
        </w:rPr>
        <w:t>日召开专家评价会。评价会上，专家与项目单位</w:t>
      </w:r>
      <w:r>
        <w:rPr>
          <w:rFonts w:hint="eastAsia" w:ascii="仿宋_GB2312" w:hAnsi="Times New Roman" w:eastAsia="仿宋_GB2312" w:cs="Times New Roman"/>
          <w:bCs/>
          <w:kern w:val="44"/>
          <w:sz w:val="32"/>
          <w:szCs w:val="32"/>
          <w:lang w:val="en-US" w:eastAsia="zh-CN"/>
        </w:rPr>
        <w:t>按要求</w:t>
      </w:r>
      <w:r>
        <w:rPr>
          <w:rFonts w:hint="eastAsia" w:ascii="仿宋_GB2312" w:hAnsi="Times New Roman" w:eastAsia="仿宋_GB2312" w:cs="Times New Roman"/>
          <w:bCs/>
          <w:kern w:val="44"/>
          <w:sz w:val="32"/>
          <w:szCs w:val="32"/>
        </w:rPr>
        <w:t>进行了充分讨论和沟通，对该项目的绩效情况进行评价和打分，并出具评价意见。</w:t>
      </w:r>
    </w:p>
    <w:p w14:paraId="54BB45F9">
      <w:pPr>
        <w:spacing w:line="560" w:lineRule="exact"/>
        <w:ind w:firstLine="643" w:firstLineChars="200"/>
        <w:rPr>
          <w:rFonts w:hint="eastAsia" w:ascii="仿宋" w:hAnsi="仿宋" w:eastAsia="仿宋" w:cs="仿宋"/>
          <w:bCs/>
          <w:kern w:val="44"/>
          <w:sz w:val="32"/>
          <w:szCs w:val="32"/>
        </w:rPr>
      </w:pPr>
      <w:r>
        <w:rPr>
          <w:rFonts w:hint="eastAsia" w:ascii="仿宋_GB2312" w:hAnsi="仿宋_GB2312" w:eastAsia="仿宋_GB2312" w:cs="仿宋_GB2312"/>
          <w:b/>
          <w:bCs/>
          <w:kern w:val="44"/>
          <w:sz w:val="32"/>
          <w:szCs w:val="32"/>
        </w:rPr>
        <w:t>5.撰写绩效评价报告</w:t>
      </w:r>
    </w:p>
    <w:p w14:paraId="3111452F">
      <w:pPr>
        <w:spacing w:line="560" w:lineRule="exact"/>
        <w:ind w:firstLine="640" w:firstLineChars="200"/>
        <w:rPr>
          <w:rFonts w:hint="eastAsia" w:ascii="仿宋_GB2312" w:hAnsi="仿宋_GB2312" w:eastAsia="仿宋_GB2312" w:cs="仿宋_GB2312"/>
          <w:b/>
          <w:bCs/>
          <w:kern w:val="44"/>
          <w:sz w:val="32"/>
          <w:szCs w:val="32"/>
        </w:rPr>
      </w:pPr>
      <w:r>
        <w:rPr>
          <w:rFonts w:hint="eastAsia" w:ascii="仿宋_GB2312" w:eastAsia="仿宋_GB2312"/>
          <w:bCs/>
          <w:kern w:val="44"/>
          <w:sz w:val="32"/>
          <w:szCs w:val="32"/>
        </w:rPr>
        <w:t>评价工作组在专家评价会结束后，汇总专家打分和评价意见，完成绩效评价报告初稿的撰写工作。经与</w:t>
      </w:r>
      <w:r>
        <w:rPr>
          <w:rFonts w:hint="eastAsia" w:ascii="仿宋_GB2312" w:eastAsia="仿宋_GB2312"/>
          <w:bCs/>
          <w:kern w:val="44"/>
          <w:sz w:val="32"/>
          <w:szCs w:val="32"/>
          <w:lang w:eastAsia="zh-CN"/>
        </w:rPr>
        <w:t>项目单位</w:t>
      </w:r>
      <w:r>
        <w:rPr>
          <w:rFonts w:hint="eastAsia" w:ascii="仿宋_GB2312" w:eastAsia="仿宋_GB2312"/>
          <w:bCs/>
          <w:kern w:val="44"/>
          <w:sz w:val="32"/>
          <w:szCs w:val="32"/>
        </w:rPr>
        <w:t>沟通反馈后，形成评价报告终稿。</w:t>
      </w:r>
    </w:p>
    <w:p w14:paraId="13D16A0F">
      <w:pPr>
        <w:spacing w:line="560" w:lineRule="exact"/>
        <w:ind w:firstLine="640" w:firstLineChars="200"/>
        <w:rPr>
          <w:rFonts w:hint="eastAsia" w:ascii="黑体" w:hAnsi="黑体" w:eastAsia="黑体" w:cs="黑体"/>
          <w:bCs/>
          <w:kern w:val="44"/>
          <w:sz w:val="32"/>
          <w:szCs w:val="32"/>
        </w:rPr>
      </w:pPr>
      <w:r>
        <w:rPr>
          <w:rFonts w:hint="eastAsia" w:ascii="黑体" w:hAnsi="黑体" w:eastAsia="黑体" w:cs="黑体"/>
          <w:bCs/>
          <w:kern w:val="44"/>
          <w:sz w:val="32"/>
          <w:szCs w:val="32"/>
          <w:lang w:eastAsia="zh-CN"/>
        </w:rPr>
        <w:t>三、</w:t>
      </w:r>
      <w:r>
        <w:rPr>
          <w:rFonts w:hint="eastAsia" w:ascii="黑体" w:hAnsi="黑体" w:eastAsia="黑体" w:cs="黑体"/>
          <w:bCs/>
          <w:kern w:val="44"/>
          <w:sz w:val="32"/>
          <w:szCs w:val="32"/>
        </w:rPr>
        <w:t>综合评价情况及评价结论</w:t>
      </w:r>
      <w:bookmarkEnd w:id="12"/>
    </w:p>
    <w:p w14:paraId="30C20607">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该项目支出绩效评价得分</w:t>
      </w:r>
      <w:r>
        <w:rPr>
          <w:rFonts w:hint="eastAsia" w:ascii="仿宋_GB2312" w:eastAsia="仿宋_GB2312"/>
          <w:bCs/>
          <w:kern w:val="44"/>
          <w:sz w:val="32"/>
          <w:szCs w:val="32"/>
          <w:lang w:val="en-US" w:eastAsia="zh-CN"/>
        </w:rPr>
        <w:t>83.92</w:t>
      </w:r>
      <w:r>
        <w:rPr>
          <w:rFonts w:hint="eastAsia" w:ascii="仿宋_GB2312" w:eastAsia="仿宋_GB2312"/>
          <w:bCs/>
          <w:kern w:val="44"/>
          <w:sz w:val="32"/>
          <w:szCs w:val="32"/>
        </w:rPr>
        <w:t>分，其中项目决策</w:t>
      </w:r>
      <w:r>
        <w:rPr>
          <w:rFonts w:hint="eastAsia" w:ascii="仿宋_GB2312" w:eastAsia="仿宋_GB2312"/>
          <w:bCs/>
          <w:kern w:val="44"/>
          <w:sz w:val="32"/>
          <w:szCs w:val="32"/>
          <w:lang w:val="en-US" w:eastAsia="zh-CN"/>
        </w:rPr>
        <w:t>12.96</w:t>
      </w:r>
      <w:r>
        <w:rPr>
          <w:rFonts w:hint="eastAsia" w:ascii="仿宋_GB2312" w:eastAsia="仿宋_GB2312"/>
          <w:bCs/>
          <w:kern w:val="44"/>
          <w:sz w:val="32"/>
          <w:szCs w:val="32"/>
        </w:rPr>
        <w:t>分，项目过程</w:t>
      </w:r>
      <w:r>
        <w:rPr>
          <w:rFonts w:hint="eastAsia" w:ascii="仿宋_GB2312" w:eastAsia="仿宋_GB2312"/>
          <w:bCs/>
          <w:kern w:val="44"/>
          <w:sz w:val="32"/>
          <w:szCs w:val="32"/>
          <w:lang w:val="en-US" w:eastAsia="zh-CN"/>
        </w:rPr>
        <w:t>24.86</w:t>
      </w:r>
      <w:r>
        <w:rPr>
          <w:rFonts w:hint="eastAsia" w:ascii="仿宋_GB2312" w:eastAsia="仿宋_GB2312"/>
          <w:bCs/>
          <w:kern w:val="44"/>
          <w:sz w:val="32"/>
          <w:szCs w:val="32"/>
        </w:rPr>
        <w:t>分，项目产出</w:t>
      </w:r>
      <w:r>
        <w:rPr>
          <w:rFonts w:hint="eastAsia" w:ascii="仿宋_GB2312" w:eastAsia="仿宋_GB2312"/>
          <w:bCs/>
          <w:kern w:val="44"/>
          <w:sz w:val="32"/>
          <w:szCs w:val="32"/>
          <w:lang w:val="en-US" w:eastAsia="zh-CN"/>
        </w:rPr>
        <w:t>26.10</w:t>
      </w:r>
      <w:r>
        <w:rPr>
          <w:rFonts w:hint="eastAsia" w:ascii="仿宋_GB2312" w:eastAsia="仿宋_GB2312"/>
          <w:bCs/>
          <w:kern w:val="44"/>
          <w:sz w:val="32"/>
          <w:szCs w:val="32"/>
        </w:rPr>
        <w:t>分，项目效益</w:t>
      </w:r>
      <w:r>
        <w:rPr>
          <w:rFonts w:hint="eastAsia" w:ascii="仿宋_GB2312" w:eastAsia="仿宋_GB2312"/>
          <w:bCs/>
          <w:kern w:val="44"/>
          <w:sz w:val="32"/>
          <w:szCs w:val="32"/>
          <w:lang w:val="en-US" w:eastAsia="zh-CN"/>
        </w:rPr>
        <w:t>20.00</w:t>
      </w:r>
      <w:r>
        <w:rPr>
          <w:rFonts w:hint="eastAsia" w:ascii="仿宋_GB2312" w:eastAsia="仿宋_GB2312"/>
          <w:bCs/>
          <w:kern w:val="44"/>
          <w:sz w:val="32"/>
          <w:szCs w:val="32"/>
        </w:rPr>
        <w:t>分，绩效评定结论为“良”，具体情况见下表：</w:t>
      </w:r>
    </w:p>
    <w:p w14:paraId="35FB0F24">
      <w:pPr>
        <w:keepNext w:val="0"/>
        <w:keepLines w:val="0"/>
        <w:pageBreakBefore w:val="0"/>
        <w:widowControl w:val="0"/>
        <w:kinsoku/>
        <w:wordWrap/>
        <w:overflowPunct/>
        <w:topLinePunct w:val="0"/>
        <w:autoSpaceDE/>
        <w:autoSpaceDN/>
        <w:bidi w:val="0"/>
        <w:adjustRightInd w:val="0"/>
        <w:snapToGrid w:val="0"/>
        <w:spacing w:before="156" w:beforeLines="50" w:line="240" w:lineRule="auto"/>
        <w:ind w:firstLine="562" w:firstLineChars="200"/>
        <w:jc w:val="center"/>
        <w:textAlignment w:val="auto"/>
        <w:rPr>
          <w:rFonts w:hint="eastAsia" w:ascii="Times New Roman" w:hAnsi="Times New Roman" w:eastAsia="仿宋"/>
          <w:b/>
          <w:color w:val="auto"/>
          <w:kern w:val="0"/>
          <w:sz w:val="28"/>
          <w:szCs w:val="28"/>
          <w:lang w:eastAsia="zh-CN"/>
        </w:rPr>
      </w:pPr>
      <w:r>
        <w:rPr>
          <w:rFonts w:hint="eastAsia" w:ascii="Times New Roman" w:hAnsi="Times New Roman" w:eastAsia="仿宋"/>
          <w:b/>
          <w:color w:val="auto"/>
          <w:kern w:val="0"/>
          <w:sz w:val="28"/>
          <w:szCs w:val="28"/>
          <w:lang w:eastAsia="zh-CN"/>
        </w:rPr>
        <w:t>《中国特色社会主义研究》杂志编辑发行业务经费</w:t>
      </w:r>
    </w:p>
    <w:p w14:paraId="54246D9F">
      <w:pPr>
        <w:keepNext w:val="0"/>
        <w:keepLines w:val="0"/>
        <w:pageBreakBefore w:val="0"/>
        <w:widowControl w:val="0"/>
        <w:kinsoku/>
        <w:wordWrap/>
        <w:overflowPunct/>
        <w:topLinePunct w:val="0"/>
        <w:autoSpaceDE/>
        <w:autoSpaceDN/>
        <w:bidi w:val="0"/>
        <w:adjustRightInd w:val="0"/>
        <w:snapToGrid w:val="0"/>
        <w:spacing w:before="156" w:beforeLines="50" w:after="157" w:afterLines="50" w:line="360" w:lineRule="auto"/>
        <w:ind w:firstLine="562" w:firstLineChars="200"/>
        <w:jc w:val="center"/>
        <w:textAlignment w:val="auto"/>
        <w:rPr>
          <w:rFonts w:ascii="Times New Roman" w:hAnsi="Times New Roman" w:eastAsia="仿宋" w:cs="仿宋"/>
          <w:color w:val="auto"/>
          <w:sz w:val="32"/>
          <w:szCs w:val="32"/>
        </w:rPr>
      </w:pPr>
      <w:r>
        <w:rPr>
          <w:rFonts w:hint="eastAsia" w:ascii="Times New Roman" w:hAnsi="Times New Roman" w:eastAsia="仿宋"/>
          <w:b/>
          <w:color w:val="auto"/>
          <w:kern w:val="0"/>
          <w:sz w:val="28"/>
          <w:szCs w:val="28"/>
        </w:rPr>
        <w:t>项目支出绩效评价结论表</w:t>
      </w:r>
    </w:p>
    <w:tbl>
      <w:tblPr>
        <w:tblStyle w:val="13"/>
        <w:tblW w:w="8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8"/>
        <w:gridCol w:w="2652"/>
        <w:gridCol w:w="2792"/>
      </w:tblGrid>
      <w:tr w14:paraId="5E76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blHeader/>
        </w:trPr>
        <w:tc>
          <w:tcPr>
            <w:tcW w:w="2848" w:type="dxa"/>
            <w:vAlign w:val="center"/>
          </w:tcPr>
          <w:p w14:paraId="4D25163D">
            <w:pPr>
              <w:spacing w:line="360" w:lineRule="auto"/>
              <w:jc w:val="center"/>
              <w:rPr>
                <w:rFonts w:ascii="Times New Roman" w:hAnsi="Times New Roman" w:eastAsia="仿宋" w:cs="仿宋"/>
                <w:b/>
                <w:bCs/>
                <w:color w:val="auto"/>
                <w:sz w:val="24"/>
              </w:rPr>
            </w:pPr>
            <w:r>
              <w:rPr>
                <w:rFonts w:hint="eastAsia" w:ascii="Times New Roman" w:hAnsi="Times New Roman" w:eastAsia="仿宋" w:cs="仿宋"/>
                <w:b/>
                <w:bCs/>
                <w:color w:val="auto"/>
                <w:sz w:val="24"/>
              </w:rPr>
              <w:t>评价内容</w:t>
            </w:r>
          </w:p>
        </w:tc>
        <w:tc>
          <w:tcPr>
            <w:tcW w:w="2652" w:type="dxa"/>
            <w:vAlign w:val="center"/>
          </w:tcPr>
          <w:p w14:paraId="325D30BE">
            <w:pPr>
              <w:spacing w:line="360" w:lineRule="auto"/>
              <w:jc w:val="center"/>
              <w:rPr>
                <w:rFonts w:ascii="Times New Roman" w:hAnsi="Times New Roman" w:eastAsia="仿宋" w:cs="仿宋"/>
                <w:b/>
                <w:bCs/>
                <w:color w:val="auto"/>
                <w:sz w:val="24"/>
              </w:rPr>
            </w:pPr>
            <w:r>
              <w:rPr>
                <w:rFonts w:hint="eastAsia" w:ascii="Times New Roman" w:hAnsi="Times New Roman" w:eastAsia="仿宋" w:cs="仿宋"/>
                <w:b/>
                <w:bCs/>
                <w:color w:val="auto"/>
                <w:sz w:val="24"/>
              </w:rPr>
              <w:t>分值</w:t>
            </w:r>
          </w:p>
        </w:tc>
        <w:tc>
          <w:tcPr>
            <w:tcW w:w="2792" w:type="dxa"/>
            <w:vAlign w:val="center"/>
          </w:tcPr>
          <w:p w14:paraId="0274500E">
            <w:pPr>
              <w:spacing w:line="360" w:lineRule="auto"/>
              <w:jc w:val="center"/>
              <w:rPr>
                <w:rFonts w:ascii="Times New Roman" w:hAnsi="Times New Roman" w:eastAsia="仿宋" w:cs="仿宋"/>
                <w:b/>
                <w:bCs/>
                <w:color w:val="auto"/>
                <w:sz w:val="24"/>
              </w:rPr>
            </w:pPr>
            <w:r>
              <w:rPr>
                <w:rFonts w:hint="eastAsia" w:ascii="Times New Roman" w:hAnsi="Times New Roman" w:eastAsia="仿宋" w:cs="仿宋"/>
                <w:b/>
                <w:bCs/>
                <w:color w:val="auto"/>
                <w:sz w:val="24"/>
              </w:rPr>
              <w:t>评价得分</w:t>
            </w:r>
          </w:p>
        </w:tc>
      </w:tr>
      <w:tr w14:paraId="28785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848" w:type="dxa"/>
            <w:vAlign w:val="center"/>
          </w:tcPr>
          <w:p w14:paraId="562DF256">
            <w:pPr>
              <w:spacing w:line="360" w:lineRule="auto"/>
              <w:jc w:val="center"/>
              <w:rPr>
                <w:rFonts w:ascii="Times New Roman" w:hAnsi="Times New Roman" w:eastAsia="仿宋" w:cs="仿宋"/>
                <w:color w:val="auto"/>
                <w:sz w:val="24"/>
              </w:rPr>
            </w:pPr>
            <w:r>
              <w:rPr>
                <w:rFonts w:hint="eastAsia" w:ascii="Times New Roman" w:hAnsi="Times New Roman" w:eastAsia="仿宋" w:cs="仿宋"/>
                <w:color w:val="auto"/>
                <w:sz w:val="24"/>
              </w:rPr>
              <w:t>项目决策</w:t>
            </w:r>
          </w:p>
        </w:tc>
        <w:tc>
          <w:tcPr>
            <w:tcW w:w="2652" w:type="dxa"/>
            <w:vAlign w:val="center"/>
          </w:tcPr>
          <w:p w14:paraId="56847A3A">
            <w:pPr>
              <w:spacing w:line="360" w:lineRule="auto"/>
              <w:jc w:val="center"/>
              <w:rPr>
                <w:rFonts w:ascii="Times New Roman" w:hAnsi="Times New Roman" w:eastAsia="仿宋" w:cs="仿宋"/>
                <w:color w:val="auto"/>
                <w:sz w:val="24"/>
              </w:rPr>
            </w:pPr>
            <w:r>
              <w:rPr>
                <w:rFonts w:hint="eastAsia" w:ascii="Times New Roman" w:hAnsi="Times New Roman" w:eastAsia="仿宋" w:cs="仿宋"/>
                <w:color w:val="auto"/>
                <w:sz w:val="24"/>
              </w:rPr>
              <w:t>15</w:t>
            </w:r>
          </w:p>
        </w:tc>
        <w:tc>
          <w:tcPr>
            <w:tcW w:w="2792" w:type="dxa"/>
            <w:vAlign w:val="center"/>
          </w:tcPr>
          <w:p w14:paraId="7656252C">
            <w:pPr>
              <w:spacing w:line="360" w:lineRule="auto"/>
              <w:jc w:val="center"/>
              <w:rPr>
                <w:rFonts w:hint="default" w:ascii="Times New Roman" w:hAnsi="Times New Roman" w:eastAsia="仿宋" w:cs="仿宋"/>
                <w:color w:val="auto"/>
                <w:sz w:val="24"/>
                <w:lang w:val="en-US" w:eastAsia="zh-CN"/>
              </w:rPr>
            </w:pPr>
            <w:r>
              <w:rPr>
                <w:rFonts w:hint="eastAsia" w:ascii="Times New Roman" w:hAnsi="Times New Roman" w:eastAsia="仿宋" w:cs="仿宋"/>
                <w:color w:val="auto"/>
                <w:sz w:val="24"/>
                <w:lang w:val="en-US" w:eastAsia="zh-CN"/>
              </w:rPr>
              <w:t>12.96</w:t>
            </w:r>
          </w:p>
        </w:tc>
      </w:tr>
      <w:tr w14:paraId="0C262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848" w:type="dxa"/>
            <w:vAlign w:val="center"/>
          </w:tcPr>
          <w:p w14:paraId="7797FCD1">
            <w:pPr>
              <w:spacing w:line="360" w:lineRule="auto"/>
              <w:jc w:val="center"/>
              <w:rPr>
                <w:rFonts w:ascii="Times New Roman" w:hAnsi="Times New Roman" w:eastAsia="仿宋" w:cs="仿宋"/>
                <w:color w:val="auto"/>
                <w:sz w:val="24"/>
              </w:rPr>
            </w:pPr>
            <w:r>
              <w:rPr>
                <w:rFonts w:hint="eastAsia" w:ascii="Times New Roman" w:hAnsi="Times New Roman" w:eastAsia="仿宋" w:cs="仿宋"/>
                <w:color w:val="auto"/>
                <w:sz w:val="24"/>
              </w:rPr>
              <w:t>项目过程</w:t>
            </w:r>
          </w:p>
        </w:tc>
        <w:tc>
          <w:tcPr>
            <w:tcW w:w="2652" w:type="dxa"/>
            <w:vAlign w:val="center"/>
          </w:tcPr>
          <w:p w14:paraId="07873EF8">
            <w:pPr>
              <w:spacing w:line="360" w:lineRule="auto"/>
              <w:jc w:val="center"/>
              <w:rPr>
                <w:rFonts w:ascii="Times New Roman" w:hAnsi="Times New Roman" w:eastAsia="仿宋" w:cs="仿宋"/>
                <w:color w:val="auto"/>
                <w:sz w:val="24"/>
              </w:rPr>
            </w:pPr>
            <w:r>
              <w:rPr>
                <w:rFonts w:hint="eastAsia" w:ascii="Times New Roman" w:hAnsi="Times New Roman" w:eastAsia="仿宋" w:cs="仿宋"/>
                <w:color w:val="auto"/>
                <w:sz w:val="24"/>
              </w:rPr>
              <w:t>30</w:t>
            </w:r>
          </w:p>
        </w:tc>
        <w:tc>
          <w:tcPr>
            <w:tcW w:w="2792" w:type="dxa"/>
            <w:vAlign w:val="center"/>
          </w:tcPr>
          <w:p w14:paraId="301B98A7">
            <w:pPr>
              <w:spacing w:line="360" w:lineRule="auto"/>
              <w:jc w:val="center"/>
              <w:rPr>
                <w:rFonts w:hint="default" w:ascii="Times New Roman" w:hAnsi="Times New Roman" w:eastAsia="仿宋" w:cs="仿宋"/>
                <w:color w:val="auto"/>
                <w:sz w:val="24"/>
                <w:lang w:val="en-US" w:eastAsia="zh-CN"/>
              </w:rPr>
            </w:pPr>
            <w:r>
              <w:rPr>
                <w:rFonts w:hint="eastAsia" w:ascii="Times New Roman" w:hAnsi="Times New Roman" w:eastAsia="仿宋" w:cs="仿宋"/>
                <w:color w:val="auto"/>
                <w:sz w:val="24"/>
                <w:lang w:val="en-US" w:eastAsia="zh-CN"/>
              </w:rPr>
              <w:t>24.86</w:t>
            </w:r>
          </w:p>
        </w:tc>
      </w:tr>
      <w:tr w14:paraId="70381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848" w:type="dxa"/>
            <w:vAlign w:val="center"/>
          </w:tcPr>
          <w:p w14:paraId="28984EC8">
            <w:pPr>
              <w:spacing w:line="360" w:lineRule="auto"/>
              <w:jc w:val="center"/>
              <w:rPr>
                <w:rFonts w:ascii="Times New Roman" w:hAnsi="Times New Roman" w:eastAsia="仿宋" w:cs="仿宋"/>
                <w:color w:val="auto"/>
                <w:sz w:val="24"/>
              </w:rPr>
            </w:pPr>
            <w:r>
              <w:rPr>
                <w:rFonts w:hint="eastAsia" w:ascii="Times New Roman" w:hAnsi="Times New Roman" w:eastAsia="仿宋" w:cs="仿宋"/>
                <w:color w:val="auto"/>
                <w:sz w:val="24"/>
              </w:rPr>
              <w:t>项目产出</w:t>
            </w:r>
          </w:p>
        </w:tc>
        <w:tc>
          <w:tcPr>
            <w:tcW w:w="2652" w:type="dxa"/>
            <w:vAlign w:val="center"/>
          </w:tcPr>
          <w:p w14:paraId="4162DDDA">
            <w:pPr>
              <w:spacing w:line="360" w:lineRule="auto"/>
              <w:jc w:val="center"/>
              <w:rPr>
                <w:rFonts w:ascii="Times New Roman" w:hAnsi="Times New Roman" w:eastAsia="仿宋" w:cs="仿宋"/>
                <w:color w:val="auto"/>
                <w:sz w:val="24"/>
              </w:rPr>
            </w:pPr>
            <w:r>
              <w:rPr>
                <w:rFonts w:hint="eastAsia" w:ascii="Times New Roman" w:hAnsi="Times New Roman" w:eastAsia="仿宋" w:cs="仿宋"/>
                <w:color w:val="auto"/>
                <w:sz w:val="24"/>
              </w:rPr>
              <w:t>30</w:t>
            </w:r>
          </w:p>
        </w:tc>
        <w:tc>
          <w:tcPr>
            <w:tcW w:w="2792" w:type="dxa"/>
            <w:vAlign w:val="center"/>
          </w:tcPr>
          <w:p w14:paraId="1D15D8FE">
            <w:pPr>
              <w:spacing w:line="360" w:lineRule="auto"/>
              <w:jc w:val="center"/>
              <w:rPr>
                <w:rFonts w:hint="default" w:ascii="Times New Roman" w:hAnsi="Times New Roman" w:eastAsia="仿宋" w:cs="仿宋"/>
                <w:color w:val="auto"/>
                <w:sz w:val="24"/>
                <w:lang w:val="en-US" w:eastAsia="zh-CN"/>
              </w:rPr>
            </w:pPr>
            <w:r>
              <w:rPr>
                <w:rFonts w:hint="eastAsia" w:ascii="Times New Roman" w:hAnsi="Times New Roman" w:eastAsia="仿宋" w:cs="仿宋"/>
                <w:color w:val="auto"/>
                <w:sz w:val="24"/>
                <w:lang w:val="en-US" w:eastAsia="zh-CN"/>
              </w:rPr>
              <w:t>26.10</w:t>
            </w:r>
          </w:p>
        </w:tc>
      </w:tr>
      <w:tr w14:paraId="732AD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2848" w:type="dxa"/>
            <w:vAlign w:val="center"/>
          </w:tcPr>
          <w:p w14:paraId="65586AD4">
            <w:pPr>
              <w:spacing w:line="360" w:lineRule="auto"/>
              <w:jc w:val="center"/>
              <w:rPr>
                <w:rFonts w:ascii="Times New Roman" w:hAnsi="Times New Roman" w:eastAsia="仿宋" w:cs="仿宋"/>
                <w:color w:val="auto"/>
                <w:sz w:val="24"/>
              </w:rPr>
            </w:pPr>
            <w:r>
              <w:rPr>
                <w:rFonts w:hint="eastAsia" w:ascii="Times New Roman" w:hAnsi="Times New Roman" w:eastAsia="仿宋" w:cs="仿宋"/>
                <w:color w:val="auto"/>
                <w:sz w:val="24"/>
              </w:rPr>
              <w:t>项目效益</w:t>
            </w:r>
          </w:p>
        </w:tc>
        <w:tc>
          <w:tcPr>
            <w:tcW w:w="2652" w:type="dxa"/>
            <w:vAlign w:val="center"/>
          </w:tcPr>
          <w:p w14:paraId="733A3146">
            <w:pPr>
              <w:spacing w:line="360" w:lineRule="auto"/>
              <w:jc w:val="center"/>
              <w:rPr>
                <w:rFonts w:ascii="Times New Roman" w:hAnsi="Times New Roman" w:eastAsia="仿宋" w:cs="仿宋"/>
                <w:color w:val="auto"/>
                <w:sz w:val="24"/>
              </w:rPr>
            </w:pPr>
            <w:r>
              <w:rPr>
                <w:rFonts w:hint="eastAsia" w:ascii="Times New Roman" w:hAnsi="Times New Roman" w:eastAsia="仿宋" w:cs="仿宋"/>
                <w:color w:val="auto"/>
                <w:sz w:val="24"/>
              </w:rPr>
              <w:t>25</w:t>
            </w:r>
          </w:p>
        </w:tc>
        <w:tc>
          <w:tcPr>
            <w:tcW w:w="2792" w:type="dxa"/>
            <w:vAlign w:val="center"/>
          </w:tcPr>
          <w:p w14:paraId="0BF46240">
            <w:pPr>
              <w:spacing w:line="360" w:lineRule="auto"/>
              <w:jc w:val="center"/>
              <w:rPr>
                <w:rFonts w:hint="default" w:ascii="Times New Roman" w:hAnsi="Times New Roman" w:eastAsia="仿宋" w:cs="仿宋"/>
                <w:color w:val="auto"/>
                <w:sz w:val="24"/>
                <w:lang w:val="en-US" w:eastAsia="zh-CN"/>
              </w:rPr>
            </w:pPr>
            <w:r>
              <w:rPr>
                <w:rFonts w:hint="eastAsia" w:ascii="Times New Roman" w:hAnsi="Times New Roman" w:eastAsia="仿宋" w:cs="仿宋"/>
                <w:color w:val="auto"/>
                <w:sz w:val="24"/>
                <w:lang w:val="en-US" w:eastAsia="zh-CN"/>
              </w:rPr>
              <w:t>20.00</w:t>
            </w:r>
          </w:p>
        </w:tc>
      </w:tr>
      <w:tr w14:paraId="0C2E7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848" w:type="dxa"/>
            <w:vAlign w:val="center"/>
          </w:tcPr>
          <w:p w14:paraId="09634238">
            <w:pPr>
              <w:spacing w:line="360" w:lineRule="auto"/>
              <w:jc w:val="center"/>
              <w:rPr>
                <w:rFonts w:ascii="Times New Roman" w:hAnsi="Times New Roman" w:eastAsia="仿宋" w:cs="仿宋"/>
                <w:b/>
                <w:bCs/>
                <w:color w:val="auto"/>
                <w:sz w:val="24"/>
              </w:rPr>
            </w:pPr>
            <w:r>
              <w:rPr>
                <w:rFonts w:hint="eastAsia" w:ascii="Times New Roman" w:hAnsi="Times New Roman" w:eastAsia="仿宋" w:cs="仿宋"/>
                <w:b/>
                <w:bCs/>
                <w:color w:val="auto"/>
                <w:sz w:val="24"/>
              </w:rPr>
              <w:t>综合得分</w:t>
            </w:r>
          </w:p>
        </w:tc>
        <w:tc>
          <w:tcPr>
            <w:tcW w:w="2652" w:type="dxa"/>
            <w:vAlign w:val="center"/>
          </w:tcPr>
          <w:p w14:paraId="64866428">
            <w:pPr>
              <w:spacing w:line="360" w:lineRule="auto"/>
              <w:jc w:val="center"/>
              <w:rPr>
                <w:rFonts w:ascii="Times New Roman" w:hAnsi="Times New Roman" w:eastAsia="仿宋" w:cs="仿宋"/>
                <w:b/>
                <w:bCs/>
                <w:color w:val="auto"/>
                <w:sz w:val="24"/>
              </w:rPr>
            </w:pPr>
            <w:r>
              <w:rPr>
                <w:rFonts w:hint="eastAsia" w:ascii="Times New Roman" w:hAnsi="Times New Roman" w:eastAsia="仿宋" w:cs="仿宋"/>
                <w:b/>
                <w:bCs/>
                <w:color w:val="auto"/>
                <w:sz w:val="24"/>
              </w:rPr>
              <w:t>100</w:t>
            </w:r>
          </w:p>
        </w:tc>
        <w:tc>
          <w:tcPr>
            <w:tcW w:w="2792" w:type="dxa"/>
            <w:vAlign w:val="center"/>
          </w:tcPr>
          <w:p w14:paraId="0A0461B8">
            <w:pPr>
              <w:spacing w:line="360" w:lineRule="auto"/>
              <w:jc w:val="center"/>
              <w:rPr>
                <w:rFonts w:hint="default" w:ascii="Times New Roman" w:hAnsi="Times New Roman" w:eastAsia="仿宋" w:cs="仿宋"/>
                <w:b/>
                <w:bCs/>
                <w:color w:val="auto"/>
                <w:sz w:val="24"/>
                <w:lang w:val="en-US" w:eastAsia="zh-CN"/>
              </w:rPr>
            </w:pPr>
            <w:r>
              <w:rPr>
                <w:rFonts w:hint="eastAsia" w:ascii="Times New Roman" w:hAnsi="Times New Roman" w:eastAsia="仿宋" w:cs="仿宋"/>
                <w:b/>
                <w:bCs/>
                <w:color w:val="auto"/>
                <w:sz w:val="24"/>
                <w:lang w:val="en-US" w:eastAsia="zh-CN"/>
              </w:rPr>
              <w:t>83.92</w:t>
            </w:r>
          </w:p>
        </w:tc>
      </w:tr>
    </w:tbl>
    <w:p w14:paraId="183D097E">
      <w:pPr>
        <w:spacing w:line="560" w:lineRule="exact"/>
        <w:ind w:firstLine="640" w:firstLineChars="200"/>
        <w:rPr>
          <w:rFonts w:hint="eastAsia" w:ascii="黑体" w:hAnsi="黑体" w:eastAsia="黑体" w:cs="黑体"/>
          <w:bCs/>
          <w:kern w:val="44"/>
          <w:sz w:val="32"/>
          <w:szCs w:val="32"/>
          <w:lang w:eastAsia="zh-CN"/>
        </w:rPr>
      </w:pPr>
      <w:bookmarkStart w:id="13" w:name="_Toc14006"/>
      <w:r>
        <w:rPr>
          <w:rFonts w:hint="eastAsia" w:ascii="黑体" w:hAnsi="黑体" w:eastAsia="黑体" w:cs="黑体"/>
          <w:bCs/>
          <w:kern w:val="44"/>
          <w:sz w:val="32"/>
          <w:szCs w:val="32"/>
          <w:lang w:eastAsia="zh-CN"/>
        </w:rPr>
        <w:t>四、绩效评价指标分析</w:t>
      </w:r>
      <w:bookmarkEnd w:id="13"/>
    </w:p>
    <w:p w14:paraId="7BDCFE8E">
      <w:pPr>
        <w:spacing w:line="560" w:lineRule="exact"/>
        <w:ind w:firstLine="640" w:firstLineChars="200"/>
        <w:rPr>
          <w:rFonts w:hint="eastAsia" w:ascii="方正楷体_GBK" w:hAnsi="方正楷体_GBK" w:eastAsia="方正楷体_GBK" w:cs="方正楷体_GBK"/>
          <w:bCs/>
          <w:kern w:val="44"/>
          <w:sz w:val="32"/>
          <w:szCs w:val="32"/>
        </w:rPr>
      </w:pPr>
      <w:bookmarkStart w:id="14" w:name="_Toc6916"/>
      <w:r>
        <w:rPr>
          <w:rFonts w:hint="eastAsia" w:ascii="方正楷体_GBK" w:hAnsi="方正楷体_GBK" w:eastAsia="方正楷体_GBK" w:cs="方正楷体_GBK"/>
          <w:bCs/>
          <w:kern w:val="44"/>
          <w:sz w:val="32"/>
          <w:szCs w:val="32"/>
        </w:rPr>
        <w:t>（一）项目决策情况</w:t>
      </w:r>
      <w:bookmarkEnd w:id="14"/>
    </w:p>
    <w:p w14:paraId="1EB72525">
      <w:p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rPr>
        <w:t>1.项目立项情况</w:t>
      </w:r>
    </w:p>
    <w:p w14:paraId="112187F5">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《中国特色社会主义》杂志是北京市社科联社科发展研究中心职能</w:t>
      </w:r>
      <w:r>
        <w:rPr>
          <w:rFonts w:hint="eastAsia" w:ascii="仿宋_GB2312" w:eastAsia="仿宋_GB2312"/>
          <w:bCs/>
          <w:kern w:val="44"/>
          <w:sz w:val="32"/>
          <w:szCs w:val="32"/>
          <w:lang w:eastAsia="zh-CN"/>
        </w:rPr>
        <w:t>的</w:t>
      </w:r>
      <w:r>
        <w:rPr>
          <w:rFonts w:hint="eastAsia" w:ascii="仿宋_GB2312" w:eastAsia="仿宋_GB2312"/>
          <w:bCs/>
          <w:kern w:val="44"/>
          <w:sz w:val="32"/>
          <w:szCs w:val="32"/>
        </w:rPr>
        <w:t>重要组成部分。《中国特色社会主义》杂志多年来在宣传党和政府的指导思想、大政方针，</w:t>
      </w:r>
      <w:r>
        <w:rPr>
          <w:rFonts w:hint="eastAsia" w:ascii="仿宋_GB2312" w:eastAsia="仿宋_GB2312"/>
          <w:bCs/>
          <w:kern w:val="44"/>
          <w:sz w:val="32"/>
          <w:szCs w:val="32"/>
          <w:lang w:val="en-US" w:eastAsia="zh-CN"/>
        </w:rPr>
        <w:t>以及</w:t>
      </w:r>
      <w:r>
        <w:rPr>
          <w:rFonts w:hint="eastAsia" w:ascii="仿宋_GB2312" w:eastAsia="仿宋_GB2312"/>
          <w:bCs/>
          <w:kern w:val="44"/>
          <w:sz w:val="32"/>
          <w:szCs w:val="32"/>
        </w:rPr>
        <w:t>在机关干部的理论武装和学校师生的思想教育</w:t>
      </w:r>
      <w:r>
        <w:rPr>
          <w:rFonts w:hint="eastAsia" w:ascii="仿宋_GB2312" w:eastAsia="仿宋_GB2312"/>
          <w:bCs/>
          <w:kern w:val="44"/>
          <w:sz w:val="32"/>
          <w:szCs w:val="32"/>
          <w:lang w:val="en-US" w:eastAsia="zh-CN"/>
        </w:rPr>
        <w:t>方面</w:t>
      </w:r>
      <w:r>
        <w:rPr>
          <w:rFonts w:hint="eastAsia" w:ascii="仿宋_GB2312" w:eastAsia="仿宋_GB2312"/>
          <w:bCs/>
          <w:kern w:val="44"/>
          <w:sz w:val="32"/>
          <w:szCs w:val="32"/>
        </w:rPr>
        <w:t>发挥了积极作用，取得了良好的社会效果。《中国特色社会主义》杂志现为全国中文核心期刊、中文社会科学引文索引来源期刊、中国人文社会科学核心期刊，并曾多次获得北京市优秀期刊。2012年入选国家社科基金资助期刊</w:t>
      </w:r>
      <w:r>
        <w:rPr>
          <w:rFonts w:hint="eastAsia" w:ascii="仿宋_GB2312" w:eastAsia="仿宋_GB2312"/>
          <w:bCs/>
          <w:kern w:val="44"/>
          <w:sz w:val="32"/>
          <w:szCs w:val="32"/>
          <w:lang w:eastAsia="zh-CN"/>
        </w:rPr>
        <w:t>。</w:t>
      </w:r>
      <w:r>
        <w:rPr>
          <w:rFonts w:hint="eastAsia" w:ascii="仿宋_GB2312" w:eastAsia="仿宋_GB2312"/>
          <w:bCs/>
          <w:kern w:val="44"/>
          <w:sz w:val="32"/>
          <w:szCs w:val="32"/>
        </w:rPr>
        <w:t>市社科联、市社科规划办按照部门预算管理程序，将该项目继续纳入年度部门预算。</w:t>
      </w:r>
    </w:p>
    <w:p w14:paraId="02045599">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评价分析</w:t>
      </w:r>
      <w:r>
        <w:rPr>
          <w:rFonts w:hint="eastAsia" w:ascii="仿宋_GB2312" w:eastAsia="仿宋_GB2312"/>
          <w:bCs/>
          <w:kern w:val="44"/>
          <w:sz w:val="32"/>
          <w:szCs w:val="32"/>
          <w:lang w:eastAsia="zh-CN"/>
        </w:rPr>
        <w:t>：</w:t>
      </w:r>
      <w:r>
        <w:rPr>
          <w:rFonts w:hint="eastAsia" w:ascii="仿宋_GB2312" w:eastAsia="仿宋_GB2312"/>
          <w:bCs/>
          <w:kern w:val="44"/>
          <w:sz w:val="32"/>
          <w:szCs w:val="32"/>
        </w:rPr>
        <w:t>该项目立项依据较为充分，符合中央和北京市相关政策，能够深入研究、宣传和阐释习近平新时代中国特色社会主义思想。</w:t>
      </w:r>
      <w:r>
        <w:rPr>
          <w:rFonts w:hint="eastAsia" w:ascii="仿宋_GB2312" w:eastAsia="仿宋_GB2312"/>
          <w:bCs/>
          <w:kern w:val="44"/>
          <w:sz w:val="32"/>
          <w:szCs w:val="32"/>
          <w:lang w:val="en-US" w:eastAsia="zh-CN"/>
        </w:rPr>
        <w:t>同时，能够</w:t>
      </w:r>
      <w:r>
        <w:rPr>
          <w:rFonts w:hint="eastAsia" w:ascii="仿宋_GB2312" w:eastAsia="仿宋_GB2312"/>
          <w:bCs/>
          <w:kern w:val="44"/>
          <w:sz w:val="32"/>
          <w:szCs w:val="32"/>
        </w:rPr>
        <w:t>按照</w:t>
      </w:r>
      <w:r>
        <w:rPr>
          <w:rFonts w:hint="eastAsia" w:ascii="仿宋_GB2312" w:eastAsia="仿宋_GB2312"/>
          <w:bCs/>
          <w:kern w:val="44"/>
          <w:sz w:val="32"/>
          <w:szCs w:val="32"/>
          <w:lang w:val="en-US" w:eastAsia="zh-CN"/>
        </w:rPr>
        <w:t>北京</w:t>
      </w:r>
      <w:r>
        <w:rPr>
          <w:rFonts w:hint="eastAsia" w:ascii="仿宋_GB2312" w:eastAsia="仿宋_GB2312"/>
          <w:bCs/>
          <w:kern w:val="44"/>
          <w:sz w:val="32"/>
          <w:szCs w:val="32"/>
        </w:rPr>
        <w:t>市财政局项目管理办法、部门预算编制通知等相关要求，申报部门预算，基本符合全面预算绩效管理要求。</w:t>
      </w:r>
    </w:p>
    <w:p w14:paraId="7B97B393">
      <w:p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rPr>
        <w:t>2.绩效目标情况</w:t>
      </w:r>
    </w:p>
    <w:p w14:paraId="0CF44D41">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（1）目标合理性分析</w:t>
      </w:r>
    </w:p>
    <w:p w14:paraId="1D4BC769">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该项目年度目标为：</w:t>
      </w:r>
      <w:bookmarkStart w:id="15" w:name="_Hlk36027915"/>
      <w:r>
        <w:rPr>
          <w:rFonts w:hint="eastAsia" w:ascii="仿宋_GB2312" w:eastAsia="仿宋_GB2312"/>
          <w:bCs/>
          <w:kern w:val="44"/>
          <w:sz w:val="32"/>
          <w:szCs w:val="32"/>
        </w:rPr>
        <w:t>加强习近平新时代中国特色社会主义思想研究宣传阐释，围绕党的二十大精神、党的创新理论、重大实践问题、重要时间节点等设置一批研究课题。</w:t>
      </w:r>
    </w:p>
    <w:p w14:paraId="7C5C6F01">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评价分析</w:t>
      </w:r>
      <w:bookmarkEnd w:id="15"/>
      <w:r>
        <w:rPr>
          <w:rFonts w:hint="eastAsia" w:ascii="仿宋_GB2312" w:eastAsia="仿宋_GB2312"/>
          <w:bCs/>
          <w:kern w:val="44"/>
          <w:sz w:val="32"/>
          <w:szCs w:val="32"/>
          <w:lang w:eastAsia="zh-CN"/>
        </w:rPr>
        <w:t>：</w:t>
      </w:r>
      <w:r>
        <w:rPr>
          <w:rFonts w:hint="eastAsia" w:ascii="仿宋_GB2312" w:eastAsia="仿宋_GB2312"/>
          <w:bCs/>
          <w:kern w:val="44"/>
          <w:sz w:val="32"/>
          <w:szCs w:val="32"/>
        </w:rPr>
        <w:t>该项目设定的绩效目标依据较为充分，能够考虑项目的客观实际，</w:t>
      </w:r>
      <w:r>
        <w:rPr>
          <w:rFonts w:hint="eastAsia" w:ascii="仿宋_GB2312" w:eastAsia="仿宋_GB2312"/>
          <w:bCs/>
          <w:kern w:val="44"/>
          <w:sz w:val="32"/>
          <w:szCs w:val="32"/>
          <w:lang w:eastAsia="zh-CN"/>
        </w:rPr>
        <w:t>该</w:t>
      </w:r>
      <w:r>
        <w:rPr>
          <w:rFonts w:hint="eastAsia" w:ascii="仿宋_GB2312" w:eastAsia="仿宋_GB2312"/>
          <w:bCs/>
          <w:kern w:val="44"/>
          <w:sz w:val="32"/>
          <w:szCs w:val="32"/>
        </w:rPr>
        <w:t>项目预期</w:t>
      </w:r>
      <w:r>
        <w:rPr>
          <w:rFonts w:hint="eastAsia" w:ascii="仿宋_GB2312" w:eastAsia="仿宋_GB2312"/>
          <w:bCs/>
          <w:kern w:val="44"/>
          <w:sz w:val="32"/>
          <w:szCs w:val="32"/>
          <w:lang w:eastAsia="zh-CN"/>
        </w:rPr>
        <w:t>的</w:t>
      </w:r>
      <w:r>
        <w:rPr>
          <w:rFonts w:hint="eastAsia" w:ascii="仿宋_GB2312" w:eastAsia="仿宋_GB2312"/>
          <w:bCs/>
          <w:kern w:val="44"/>
          <w:sz w:val="32"/>
          <w:szCs w:val="32"/>
        </w:rPr>
        <w:t>产出效益和效果基本符合项目实际情况。</w:t>
      </w:r>
    </w:p>
    <w:p w14:paraId="10E9834A">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（2）指标明确性分析</w:t>
      </w:r>
    </w:p>
    <w:p w14:paraId="605B3FA4">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lang w:val="en-US" w:eastAsia="zh-CN"/>
        </w:rPr>
        <w:t>该项目</w:t>
      </w:r>
      <w:r>
        <w:rPr>
          <w:rFonts w:hint="eastAsia" w:ascii="仿宋_GB2312" w:eastAsia="仿宋_GB2312"/>
          <w:bCs/>
          <w:kern w:val="44"/>
          <w:sz w:val="32"/>
          <w:szCs w:val="32"/>
        </w:rPr>
        <w:t>通过</w:t>
      </w:r>
      <w:r>
        <w:rPr>
          <w:rFonts w:hint="eastAsia" w:ascii="仿宋_GB2312" w:eastAsia="仿宋_GB2312"/>
          <w:bCs/>
          <w:kern w:val="44"/>
          <w:sz w:val="32"/>
          <w:szCs w:val="32"/>
          <w:lang w:val="en-US" w:eastAsia="zh-CN"/>
        </w:rPr>
        <w:t>设置</w:t>
      </w:r>
      <w:r>
        <w:rPr>
          <w:rFonts w:hint="eastAsia" w:ascii="仿宋_GB2312" w:eastAsia="仿宋_GB2312"/>
          <w:bCs/>
          <w:kern w:val="44"/>
          <w:sz w:val="32"/>
          <w:szCs w:val="32"/>
        </w:rPr>
        <w:t>清晰、可衡量的指标值</w:t>
      </w: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增强了指标的明确性，</w:t>
      </w:r>
      <w:r>
        <w:rPr>
          <w:rFonts w:hint="eastAsia" w:ascii="仿宋_GB2312" w:eastAsia="仿宋_GB2312"/>
          <w:bCs/>
          <w:kern w:val="44"/>
          <w:sz w:val="32"/>
          <w:szCs w:val="32"/>
        </w:rPr>
        <w:t>如数量指标设置了“编辑、出版、发行《中国特色社会主义研究》增刊1期≥每期800册”</w:t>
      </w:r>
      <w:r>
        <w:rPr>
          <w:rFonts w:hint="eastAsia" w:ascii="仿宋_GB2312" w:eastAsia="仿宋_GB2312"/>
          <w:bCs/>
          <w:kern w:val="44"/>
          <w:sz w:val="32"/>
          <w:szCs w:val="32"/>
          <w:lang w:eastAsia="zh-CN"/>
        </w:rPr>
        <w:t>“编辑、出版、发行《中国特色社会主义研究》中文刊6期，每期3500册</w:t>
      </w:r>
      <w:r>
        <w:rPr>
          <w:rFonts w:hint="eastAsia" w:ascii="仿宋_GB2312" w:eastAsia="仿宋_GB2312"/>
          <w:bCs/>
          <w:kern w:val="44"/>
          <w:sz w:val="32"/>
          <w:szCs w:val="32"/>
        </w:rPr>
        <w:t>≥</w:t>
      </w:r>
      <w:r>
        <w:rPr>
          <w:rFonts w:hint="eastAsia" w:ascii="仿宋_GB2312" w:eastAsia="仿宋_GB2312"/>
          <w:bCs/>
          <w:kern w:val="44"/>
          <w:sz w:val="32"/>
          <w:szCs w:val="32"/>
          <w:lang w:val="en-US" w:eastAsia="zh-CN"/>
        </w:rPr>
        <w:t>21000册</w:t>
      </w:r>
      <w:r>
        <w:rPr>
          <w:rFonts w:hint="eastAsia" w:ascii="仿宋_GB2312" w:eastAsia="仿宋_GB2312"/>
          <w:bCs/>
          <w:kern w:val="44"/>
          <w:sz w:val="32"/>
          <w:szCs w:val="32"/>
          <w:lang w:eastAsia="zh-CN"/>
        </w:rPr>
        <w:t>”</w:t>
      </w:r>
      <w:r>
        <w:rPr>
          <w:rFonts w:hint="eastAsia" w:ascii="仿宋_GB2312" w:eastAsia="仿宋_GB2312"/>
          <w:bCs/>
          <w:kern w:val="44"/>
          <w:sz w:val="32"/>
          <w:szCs w:val="32"/>
        </w:rPr>
        <w:t>；</w:t>
      </w:r>
      <w:r>
        <w:rPr>
          <w:rFonts w:hint="eastAsia" w:ascii="仿宋_GB2312" w:eastAsia="仿宋_GB2312"/>
          <w:bCs/>
          <w:kern w:val="44"/>
          <w:sz w:val="32"/>
          <w:szCs w:val="32"/>
          <w:lang w:val="en-US" w:eastAsia="zh-CN"/>
        </w:rPr>
        <w:t>质量指标设置了“出版刊物符合出版标准”；时效指标设置了“项目完成时限≤2024年12月”</w:t>
      </w:r>
      <w:r>
        <w:rPr>
          <w:rFonts w:hint="eastAsia" w:ascii="仿宋_GB2312" w:eastAsia="仿宋_GB2312"/>
          <w:bCs/>
          <w:kern w:val="44"/>
          <w:sz w:val="32"/>
          <w:szCs w:val="32"/>
        </w:rPr>
        <w:t>等</w:t>
      </w: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同时，</w:t>
      </w:r>
      <w:r>
        <w:rPr>
          <w:rFonts w:hint="eastAsia" w:ascii="仿宋_GB2312" w:eastAsia="仿宋_GB2312"/>
          <w:bCs/>
          <w:kern w:val="44"/>
          <w:sz w:val="32"/>
          <w:szCs w:val="32"/>
        </w:rPr>
        <w:t>项目目标任务数与年度计划数相对应。</w:t>
      </w:r>
    </w:p>
    <w:p w14:paraId="34939ABA">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评价分析</w:t>
      </w:r>
      <w:r>
        <w:rPr>
          <w:rFonts w:hint="eastAsia" w:ascii="仿宋_GB2312" w:eastAsia="仿宋_GB2312"/>
          <w:bCs/>
          <w:kern w:val="44"/>
          <w:sz w:val="32"/>
          <w:szCs w:val="32"/>
          <w:lang w:eastAsia="zh-CN"/>
        </w:rPr>
        <w:t>：</w:t>
      </w:r>
      <w:r>
        <w:rPr>
          <w:rFonts w:hint="eastAsia" w:ascii="仿宋_GB2312" w:eastAsia="仿宋_GB2312"/>
          <w:bCs/>
          <w:kern w:val="44"/>
          <w:sz w:val="32"/>
          <w:szCs w:val="32"/>
        </w:rPr>
        <w:t>该项目设定的绩效目标依据较为充分，能够结合项目客观实际，与实际工作具有相关性；项目预期产出效益和效果基本符合项目实际情况。该项目对绩效指标进行了细化和量化，但实际完成情况与预期目标存在一定差距，如增刊数量，实际完成1600册，预期指标为800册；中文刊6期，每期实际完成2800册，预期指标为每期3500册</w:t>
      </w:r>
      <w:r>
        <w:rPr>
          <w:rFonts w:hint="eastAsia" w:ascii="仿宋_GB2312" w:eastAsia="仿宋_GB2312"/>
          <w:bCs/>
          <w:kern w:val="44"/>
          <w:sz w:val="32"/>
          <w:szCs w:val="32"/>
          <w:lang w:eastAsia="zh-CN"/>
        </w:rPr>
        <w:t>，</w:t>
      </w:r>
      <w:r>
        <w:rPr>
          <w:rFonts w:hint="eastAsia" w:ascii="仿宋_GB2312" w:eastAsia="仿宋_GB2312"/>
          <w:bCs/>
          <w:kern w:val="44"/>
          <w:sz w:val="32"/>
          <w:szCs w:val="32"/>
        </w:rPr>
        <w:t>应提高指标设置的精准度。</w:t>
      </w:r>
    </w:p>
    <w:p w14:paraId="7DD9950B">
      <w:pPr>
        <w:spacing w:line="560" w:lineRule="exact"/>
        <w:ind w:firstLine="640" w:firstLineChars="200"/>
        <w:rPr>
          <w:rFonts w:hint="eastAsia" w:ascii="方正楷体_GBK" w:hAnsi="方正楷体_GBK" w:eastAsia="方正楷体_GBK" w:cs="方正楷体_GBK"/>
          <w:bCs/>
          <w:kern w:val="44"/>
          <w:sz w:val="32"/>
          <w:szCs w:val="32"/>
        </w:rPr>
      </w:pPr>
      <w:bookmarkStart w:id="16" w:name="_Toc32344"/>
      <w:r>
        <w:rPr>
          <w:rFonts w:hint="eastAsia" w:ascii="方正楷体_GBK" w:hAnsi="方正楷体_GBK" w:eastAsia="方正楷体_GBK" w:cs="方正楷体_GBK"/>
          <w:bCs/>
          <w:kern w:val="44"/>
          <w:sz w:val="32"/>
          <w:szCs w:val="32"/>
        </w:rPr>
        <w:t>（二）项目过程情况</w:t>
      </w:r>
      <w:bookmarkEnd w:id="16"/>
    </w:p>
    <w:p w14:paraId="127CF5A1">
      <w:p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rPr>
        <w:t>1.项目资金管理情况</w:t>
      </w:r>
    </w:p>
    <w:p w14:paraId="53B00E07">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为进一步规范项目经费的管理，保障资金安全、高效运行，提高资金使用效益，该项目资金按照《北京市社科联、北京市社科规划办预算管理办法》的要求，合理编制</w:t>
      </w:r>
      <w:r>
        <w:rPr>
          <w:rFonts w:hint="eastAsia" w:ascii="仿宋_GB2312" w:eastAsia="仿宋_GB2312"/>
          <w:bCs/>
          <w:kern w:val="44"/>
          <w:sz w:val="32"/>
          <w:szCs w:val="32"/>
          <w:lang w:val="en-US" w:eastAsia="zh-CN"/>
        </w:rPr>
        <w:t>项目</w:t>
      </w:r>
      <w:r>
        <w:rPr>
          <w:rFonts w:hint="eastAsia" w:ascii="仿宋_GB2312" w:eastAsia="仿宋_GB2312"/>
          <w:bCs/>
          <w:kern w:val="44"/>
          <w:sz w:val="32"/>
          <w:szCs w:val="32"/>
        </w:rPr>
        <w:t>预算，依据《北京市社科联、北京市社科规划办经费支出管理办法》的要求进行项目经费支出管理，遵照资金支出审批程序和审批责任，提高资金使用效率，控制资金风险。</w:t>
      </w:r>
    </w:p>
    <w:p w14:paraId="56BD56E3">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lang w:val="en-US" w:eastAsia="zh-CN"/>
        </w:rPr>
        <w:t>同时，该项目按照《北京市社科联关于审稿费标准的规定》进一步规范审稿费发放，保证出版等各项工作的正常运行。一是稿酬执行国家有关办法规定，原则上按照不超过300元/千字标准执行；二是一般审稿费按照不超过 200 元/篇标准执行；三是专家审稿费一般按照不超过12元/千字标准执行（初审费按照不超过审稿费的三分之一标准执行）。</w:t>
      </w:r>
    </w:p>
    <w:p w14:paraId="67618286">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lang w:val="en-US" w:eastAsia="zh-CN"/>
        </w:rPr>
        <w:t>此外，由于该项目资金涉及国家社会科学基金学术期刊资助经费，该项目资金支出执行全国哲学社会科学工作办公室印发的《国家社会科学基金学术期刊资助管理办法》相关规定。资金独立核算、专款专用的管理制度。</w:t>
      </w:r>
    </w:p>
    <w:p w14:paraId="37736443">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rPr>
        <w:t>评价分析</w:t>
      </w:r>
      <w:r>
        <w:rPr>
          <w:rFonts w:hint="eastAsia" w:ascii="仿宋_GB2312" w:eastAsia="仿宋_GB2312"/>
          <w:bCs/>
          <w:kern w:val="44"/>
          <w:sz w:val="32"/>
          <w:szCs w:val="32"/>
          <w:lang w:eastAsia="zh-CN"/>
        </w:rPr>
        <w:t>：</w:t>
      </w:r>
      <w:r>
        <w:rPr>
          <w:rFonts w:hint="eastAsia" w:ascii="仿宋_GB2312" w:eastAsia="仿宋_GB2312"/>
          <w:bCs/>
          <w:kern w:val="44"/>
          <w:sz w:val="32"/>
          <w:szCs w:val="32"/>
        </w:rPr>
        <w:t>该项目预算资金管理符合相关规定，专项经费经过预算评审。同时，市社科联资金支出能够按照规定程序执行，资金使用合理，支出凭单、发票等附件较为齐全，未发现资金挪用、截留等严重违规情况。</w:t>
      </w:r>
      <w:r>
        <w:rPr>
          <w:rFonts w:hint="eastAsia" w:ascii="仿宋_GB2312" w:eastAsia="仿宋_GB2312"/>
          <w:bCs/>
          <w:kern w:val="44"/>
          <w:sz w:val="32"/>
          <w:szCs w:val="32"/>
          <w:lang w:val="en-US" w:eastAsia="zh-CN"/>
        </w:rPr>
        <w:t>但是，该项目实际支出与预算存在较大差异，建议统筹考虑资金，提升预算精准度。</w:t>
      </w:r>
    </w:p>
    <w:p w14:paraId="135DCDB5">
      <w:pPr>
        <w:numPr>
          <w:ilvl w:val="0"/>
          <w:numId w:val="0"/>
        </w:num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lang w:val="en-US" w:eastAsia="zh-CN"/>
        </w:rPr>
        <w:t>2.</w:t>
      </w:r>
      <w:r>
        <w:rPr>
          <w:rFonts w:hint="eastAsia" w:ascii="仿宋_GB2312" w:eastAsia="仿宋_GB2312"/>
          <w:b/>
          <w:bCs w:val="0"/>
          <w:kern w:val="44"/>
          <w:sz w:val="32"/>
          <w:szCs w:val="32"/>
        </w:rPr>
        <w:t>项目组织实施情况</w:t>
      </w:r>
    </w:p>
    <w:p w14:paraId="04C8255F">
      <w:pPr>
        <w:numPr>
          <w:ilvl w:val="0"/>
          <w:numId w:val="0"/>
        </w:num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该项目由北京市社科联社科发展研究中心《中国特色社会主义研究》编辑部负责组织实施工作，并按照年度工作计划执行。具体情况如下：</w:t>
      </w:r>
    </w:p>
    <w:p w14:paraId="79832F17">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1</w:t>
      </w:r>
      <w:r>
        <w:rPr>
          <w:rFonts w:hint="eastAsia" w:ascii="仿宋_GB2312" w:eastAsia="仿宋_GB2312"/>
          <w:bCs/>
          <w:kern w:val="44"/>
          <w:sz w:val="32"/>
          <w:szCs w:val="32"/>
          <w:lang w:eastAsia="zh-CN"/>
        </w:rPr>
        <w:t>）</w:t>
      </w:r>
      <w:r>
        <w:rPr>
          <w:rFonts w:hint="eastAsia" w:ascii="仿宋_GB2312" w:eastAsia="仿宋_GB2312"/>
          <w:bCs/>
          <w:kern w:val="44"/>
          <w:sz w:val="32"/>
          <w:szCs w:val="32"/>
        </w:rPr>
        <w:t>项目准备阶段</w:t>
      </w:r>
      <w:r>
        <w:rPr>
          <w:rFonts w:hint="eastAsia" w:ascii="仿宋_GB2312" w:eastAsia="仿宋_GB2312"/>
          <w:bCs/>
          <w:kern w:val="44"/>
          <w:sz w:val="32"/>
          <w:szCs w:val="32"/>
          <w:lang w:eastAsia="zh-CN"/>
        </w:rPr>
        <w:t>（</w:t>
      </w:r>
      <w:r>
        <w:rPr>
          <w:rFonts w:hint="eastAsia" w:ascii="仿宋_GB2312" w:eastAsia="仿宋_GB2312"/>
          <w:bCs/>
          <w:kern w:val="44"/>
          <w:sz w:val="32"/>
          <w:szCs w:val="32"/>
        </w:rPr>
        <w:t>2024年1</w:t>
      </w:r>
      <w:r>
        <w:rPr>
          <w:rFonts w:hint="eastAsia" w:ascii="仿宋_GB2312" w:eastAsia="仿宋_GB2312"/>
          <w:bCs/>
          <w:kern w:val="44"/>
          <w:sz w:val="32"/>
          <w:szCs w:val="32"/>
          <w:lang w:val="en-US" w:eastAsia="zh-CN"/>
        </w:rPr>
        <w:t>-</w:t>
      </w:r>
      <w:r>
        <w:rPr>
          <w:rFonts w:hint="eastAsia" w:ascii="仿宋_GB2312" w:eastAsia="仿宋_GB2312"/>
          <w:bCs/>
          <w:kern w:val="44"/>
          <w:sz w:val="32"/>
          <w:szCs w:val="32"/>
        </w:rPr>
        <w:t>2月</w:t>
      </w:r>
      <w:r>
        <w:rPr>
          <w:rFonts w:hint="eastAsia" w:ascii="仿宋_GB2312" w:eastAsia="仿宋_GB2312"/>
          <w:bCs/>
          <w:kern w:val="44"/>
          <w:sz w:val="32"/>
          <w:szCs w:val="32"/>
          <w:lang w:eastAsia="zh-CN"/>
        </w:rPr>
        <w:t>）</w:t>
      </w:r>
    </w:p>
    <w:p w14:paraId="48D9C8C9">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lang w:val="en-US" w:eastAsia="zh-CN"/>
        </w:rPr>
        <w:t>该项目坚持以党的创新理论为引领，深入贯彻落实党的二十大和二十届三中全会精神，学习贯彻习近平文化思想。年初，编辑部研究制定了选题指南，设置了近50个议题，涵盖马克思主义、哲学、经济学、政治学、社会学、法学、党史党建等学科。该项目聚焦于加强战略性、前瞻性、基础性理论问题研究，推动重大现实问题研究和实践经验总结，坚持正确的政治方向、学术导向和价值取向。选文用文力求具有原创性、开拓性和较高的学术思想价值，或具有现实性、针对性和较强的决策参考价值</w:t>
      </w:r>
      <w:r>
        <w:rPr>
          <w:rFonts w:hint="eastAsia" w:ascii="仿宋_GB2312" w:eastAsia="仿宋_GB2312"/>
          <w:bCs/>
          <w:kern w:val="44"/>
          <w:sz w:val="32"/>
          <w:szCs w:val="32"/>
        </w:rPr>
        <w:t>。选题指南和投稿须知通过杂志、网站、公众号等形式面向社会发布，诚邀专家学者撰稿，特别是高端研究人员撰写的学术水平较高的优质稿件，以始终保持杂志较高的学术水准和思想内涵。编辑部按照出版要求，申请当年6期期刊的出版条码和增刊核准通知单及出版条码。</w:t>
      </w:r>
    </w:p>
    <w:p w14:paraId="7983C967">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2</w:t>
      </w:r>
      <w:r>
        <w:rPr>
          <w:rFonts w:hint="eastAsia" w:ascii="仿宋_GB2312" w:eastAsia="仿宋_GB2312"/>
          <w:bCs/>
          <w:kern w:val="44"/>
          <w:sz w:val="32"/>
          <w:szCs w:val="32"/>
          <w:lang w:eastAsia="zh-CN"/>
        </w:rPr>
        <w:t>）</w:t>
      </w:r>
      <w:r>
        <w:rPr>
          <w:rFonts w:hint="eastAsia" w:ascii="仿宋_GB2312" w:eastAsia="仿宋_GB2312"/>
          <w:bCs/>
          <w:kern w:val="44"/>
          <w:sz w:val="32"/>
          <w:szCs w:val="32"/>
        </w:rPr>
        <w:t>项目实施阶段</w:t>
      </w:r>
      <w:r>
        <w:rPr>
          <w:rFonts w:hint="eastAsia" w:ascii="仿宋_GB2312" w:eastAsia="仿宋_GB2312"/>
          <w:bCs/>
          <w:kern w:val="44"/>
          <w:sz w:val="32"/>
          <w:szCs w:val="32"/>
          <w:lang w:eastAsia="zh-CN"/>
        </w:rPr>
        <w:t>（</w:t>
      </w:r>
      <w:r>
        <w:rPr>
          <w:rFonts w:hint="eastAsia" w:ascii="仿宋_GB2312" w:eastAsia="仿宋_GB2312"/>
          <w:bCs/>
          <w:kern w:val="44"/>
          <w:sz w:val="32"/>
          <w:szCs w:val="32"/>
        </w:rPr>
        <w:t>2024年1</w:t>
      </w:r>
      <w:r>
        <w:rPr>
          <w:rFonts w:hint="eastAsia" w:ascii="仿宋_GB2312" w:eastAsia="仿宋_GB2312"/>
          <w:bCs/>
          <w:kern w:val="44"/>
          <w:sz w:val="32"/>
          <w:szCs w:val="32"/>
          <w:lang w:val="en-US" w:eastAsia="zh-CN"/>
        </w:rPr>
        <w:t>-</w:t>
      </w:r>
      <w:r>
        <w:rPr>
          <w:rFonts w:hint="eastAsia" w:ascii="仿宋_GB2312" w:eastAsia="仿宋_GB2312"/>
          <w:bCs/>
          <w:kern w:val="44"/>
          <w:sz w:val="32"/>
          <w:szCs w:val="32"/>
        </w:rPr>
        <w:t>12月</w:t>
      </w:r>
      <w:r>
        <w:rPr>
          <w:rFonts w:hint="eastAsia" w:ascii="仿宋_GB2312" w:eastAsia="仿宋_GB2312"/>
          <w:bCs/>
          <w:kern w:val="44"/>
          <w:sz w:val="32"/>
          <w:szCs w:val="32"/>
          <w:lang w:eastAsia="zh-CN"/>
        </w:rPr>
        <w:t>）</w:t>
      </w:r>
    </w:p>
    <w:p w14:paraId="3380807A">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rPr>
        <w:t>①</w:t>
      </w:r>
      <w:r>
        <w:rPr>
          <w:rFonts w:hint="eastAsia" w:ascii="仿宋_GB2312" w:eastAsia="仿宋_GB2312"/>
          <w:bCs/>
          <w:kern w:val="44"/>
          <w:sz w:val="32"/>
          <w:szCs w:val="32"/>
          <w:lang w:val="en-US" w:eastAsia="zh-CN"/>
        </w:rPr>
        <w:t>该项目围绕党和国家的重大决策部署、热点问题和重大活动，积极策划、组织、实施和创新主题出版，显著提升了学术影响力。主要体现在以下两个方面：</w:t>
      </w:r>
    </w:p>
    <w:p w14:paraId="6D0AFDBA">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lang w:val="en-US" w:eastAsia="zh-CN"/>
        </w:rPr>
        <w:t>一是坚持运用习近平新时代中国特色社会主义思想的世界观和方法论，以及贯穿其中的马克思主义立场、观点和方法，拓展研究的深度和广度，推进该思想的体系化和学理化研究。通过不断深化理论研究和阐释，从学术基础、实践导向、国际视野和历史维度等方面入手，深刻把握重要思想观点的理论依据、现实基础和发展脉络，深入揭示其中蕴含的道理、学理和哲理。同时，组织学者对党和国家事业发展中的重大理论和实践问题开展深入研究，这些研究涉及长远、全局和根本性问题；</w:t>
      </w:r>
    </w:p>
    <w:p w14:paraId="38B8040D">
      <w:pPr>
        <w:spacing w:line="560" w:lineRule="exact"/>
        <w:ind w:firstLine="640" w:firstLineChars="200"/>
        <w:rPr>
          <w:rFonts w:hint="eastAsia" w:ascii="仿宋_GB2312" w:eastAsia="仿宋_GB2312"/>
          <w:bCs/>
          <w:kern w:val="44"/>
          <w:sz w:val="32"/>
          <w:szCs w:val="32"/>
          <w:lang w:eastAsia="zh-CN"/>
        </w:rPr>
      </w:pPr>
      <w:r>
        <w:rPr>
          <w:rFonts w:hint="eastAsia" w:ascii="仿宋_GB2312" w:eastAsia="仿宋_GB2312"/>
          <w:bCs/>
          <w:kern w:val="44"/>
          <w:sz w:val="32"/>
          <w:szCs w:val="32"/>
          <w:lang w:val="en-US" w:eastAsia="zh-CN"/>
        </w:rPr>
        <w:t>二是坚持运用多学科的知识、方法和手段，对马克思主义中国化时代化的最新理论成果进行学理阐释和学术建构，努力推出具有思想厚度、学理深度和视野宽度的研究成果。从经济、政治、文化、社会、生态等角度，以及哲学、党的建设、历史、意识形态和国际等视角，深入阐发习近平新时代中国特色社会主义思想作为科学严谨、内涵丰富、博大精深的理论体系。特别是从新时代治国理政的实践层面，揭示这一思想的实践伟力</w:t>
      </w:r>
      <w:r>
        <w:rPr>
          <w:rFonts w:hint="eastAsia" w:ascii="仿宋_GB2312" w:eastAsia="仿宋_GB2312"/>
          <w:bCs/>
          <w:kern w:val="44"/>
          <w:sz w:val="32"/>
          <w:szCs w:val="32"/>
          <w:lang w:eastAsia="zh-CN"/>
        </w:rPr>
        <w:t>；</w:t>
      </w:r>
    </w:p>
    <w:p w14:paraId="6126C9F8">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②开设“学习贯彻党的二十大精神”专题栏目，确定一批重点研究选题，组织专家学者深入研究并撰写一批有分量的理论文章，交流研究成果，深化思想认识，拓展对党的二十大和二十届三中全会精神阐释的深度和广度。2024年6期专题栏目，共计刊发了《社会主义现代性的历史逻辑与价值规定》等12篇具有学术、历史、文化和社会意义的作品，有力推进了中国自主的知识体系和理论范式的构建。</w:t>
      </w:r>
    </w:p>
    <w:p w14:paraId="3D74E9CD">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③推进“政策话语”与“学术话语”的对话和交流，引导学术界探究经济社会改革发展中的问题、现象和规律，从不同角度、不同层次发挥知识服务和引导经济社会正向发展的作用。该项目坚持问题意识和问题导向，拓展重大理论和现实问题的讨论空间。通过选题方向的设置，引导学者深入挖掘和思考，述学立论。文章的实践意义和社会价值不断凸显，受到有关决策部门的高度重视，起到了引领学术服务决策的积极作用。</w:t>
      </w:r>
    </w:p>
    <w:p w14:paraId="75484D1F">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④杂志编辑参加了北京市社科联学术前沿论坛，其中包括“中国式现代化的哲学探讨”“中国式现代化与超大城市治理论坛”“人口规模巨大的中国式现代化”“中国式现代化与社会学创新发展”“大历史观视域下中国式现代化进程与中华民族现代文明”“中国式现代化与人的现代化”等学术研讨会。此外，杂志编辑还受邀参加了中国社会学会2024年学术年会和中国人口学会2024年学术年会。通过这些活动，编辑们及时了解学术动态，介绍杂志的专栏选题，并积极邀约名家名作。</w:t>
      </w:r>
    </w:p>
    <w:p w14:paraId="0BD3D416">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根据项目的年度进展、出版规定以及编辑出版流程，编辑部每两月出版1期杂志。2024年，该项目按计划出版了6期杂志和1期增刊。</w:t>
      </w:r>
    </w:p>
    <w:p w14:paraId="1CEB2CFC">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3</w:t>
      </w:r>
      <w:r>
        <w:rPr>
          <w:rFonts w:hint="eastAsia" w:ascii="仿宋_GB2312" w:eastAsia="仿宋_GB2312"/>
          <w:bCs/>
          <w:kern w:val="44"/>
          <w:sz w:val="32"/>
          <w:szCs w:val="32"/>
          <w:lang w:eastAsia="zh-CN"/>
        </w:rPr>
        <w:t>）</w:t>
      </w:r>
      <w:r>
        <w:rPr>
          <w:rFonts w:hint="eastAsia" w:ascii="仿宋_GB2312" w:eastAsia="仿宋_GB2312"/>
          <w:bCs/>
          <w:kern w:val="44"/>
          <w:sz w:val="32"/>
          <w:szCs w:val="32"/>
        </w:rPr>
        <w:t>项目验收阶段</w:t>
      </w:r>
      <w:r>
        <w:rPr>
          <w:rFonts w:hint="eastAsia" w:ascii="仿宋_GB2312" w:eastAsia="仿宋_GB2312"/>
          <w:bCs/>
          <w:kern w:val="44"/>
          <w:sz w:val="32"/>
          <w:szCs w:val="32"/>
          <w:lang w:eastAsia="zh-CN"/>
        </w:rPr>
        <w:t>（</w:t>
      </w:r>
      <w:r>
        <w:rPr>
          <w:rFonts w:hint="eastAsia" w:ascii="仿宋_GB2312" w:eastAsia="仿宋_GB2312"/>
          <w:bCs/>
          <w:kern w:val="44"/>
          <w:sz w:val="32"/>
          <w:szCs w:val="32"/>
        </w:rPr>
        <w:t>2024年10月</w:t>
      </w:r>
      <w:r>
        <w:rPr>
          <w:rFonts w:hint="eastAsia" w:ascii="仿宋_GB2312" w:eastAsia="仿宋_GB2312"/>
          <w:bCs/>
          <w:kern w:val="44"/>
          <w:sz w:val="32"/>
          <w:szCs w:val="32"/>
          <w:lang w:val="en-US" w:eastAsia="zh-CN"/>
        </w:rPr>
        <w:t>-</w:t>
      </w:r>
      <w:r>
        <w:rPr>
          <w:rFonts w:hint="eastAsia" w:ascii="仿宋_GB2312" w:eastAsia="仿宋_GB2312"/>
          <w:bCs/>
          <w:kern w:val="44"/>
          <w:sz w:val="32"/>
          <w:szCs w:val="32"/>
        </w:rPr>
        <w:t>2025年1月</w:t>
      </w:r>
      <w:r>
        <w:rPr>
          <w:rFonts w:hint="eastAsia" w:ascii="仿宋_GB2312" w:eastAsia="仿宋_GB2312"/>
          <w:bCs/>
          <w:kern w:val="44"/>
          <w:sz w:val="32"/>
          <w:szCs w:val="32"/>
          <w:lang w:eastAsia="zh-CN"/>
        </w:rPr>
        <w:t>）</w:t>
      </w:r>
    </w:p>
    <w:p w14:paraId="41F498F8">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根据《国家社会科学基金学术期刊资助管理办法》，全国哲学社会科学工作办公室对资助学术期刊开展年度考核。编辑部依据《国家社科基金资助学术期刊年度考核评价指标体系（试行）》，从引领力、创新力、影响力、管理力四个方面如实填写考核信息采集表。其中，重点撰写资助学术期刊在聚焦党和国家中心任务和战略部署、开展学术创新创造、探索特色化建设、促进知识交流传播、遵守资助学术期刊管理制度等方面取得的成绩和成效。</w:t>
      </w:r>
    </w:p>
    <w:p w14:paraId="213A6227">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全国哲学社会科学工作办公室组织学科领域专家、办刊专家和学术评价研究专家，对资助学术期刊填报的信息进行审核评价。2024年《中国特色社会主义研究》杂志年度考核获得优秀等级。</w:t>
      </w:r>
    </w:p>
    <w:p w14:paraId="6953676B">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rPr>
        <w:t>评价分析</w:t>
      </w:r>
      <w:r>
        <w:rPr>
          <w:rFonts w:hint="eastAsia" w:ascii="仿宋_GB2312" w:eastAsia="仿宋_GB2312"/>
          <w:bCs/>
          <w:kern w:val="44"/>
          <w:sz w:val="32"/>
          <w:szCs w:val="32"/>
          <w:lang w:eastAsia="zh-CN"/>
        </w:rPr>
        <w:t>：</w:t>
      </w:r>
      <w:r>
        <w:rPr>
          <w:rFonts w:hint="eastAsia" w:ascii="仿宋_GB2312" w:eastAsia="仿宋_GB2312"/>
          <w:bCs/>
          <w:kern w:val="44"/>
          <w:sz w:val="32"/>
          <w:szCs w:val="32"/>
        </w:rPr>
        <w:t>2024年《中国特色社会主义研究》编辑部以习近平新时代中国特色社会主义思想为指导，围绕党和国家重大决策部署，高质量完成6期正刊和1期增刊出版工作。通过设置专题栏目、组织学术研讨、推动学科交叉研究，刊发了一批具有理论深度和实践价值的优秀成果，在年度考核中获评优秀等次，为构建中国特色哲学社会科学体系作出积极贡献。</w:t>
      </w:r>
      <w:r>
        <w:rPr>
          <w:rFonts w:hint="eastAsia" w:ascii="仿宋_GB2312" w:eastAsia="仿宋_GB2312"/>
          <w:bCs/>
          <w:kern w:val="44"/>
          <w:sz w:val="32"/>
          <w:szCs w:val="32"/>
          <w:lang w:val="en-US" w:eastAsia="zh-CN"/>
        </w:rPr>
        <w:t>但是，该项目实施方案中，对项目实施单位、主管单位、主办单位以及外审专家资源的相关职责划分不够清晰。</w:t>
      </w:r>
    </w:p>
    <w:p w14:paraId="25E4E1BF">
      <w:p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rPr>
        <w:t>3.项目管理情况</w:t>
      </w:r>
    </w:p>
    <w:p w14:paraId="76CC6ECB">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（1）项目管理制度建设情况</w:t>
      </w:r>
    </w:p>
    <w:p w14:paraId="532A85F8">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lang w:val="en-US" w:eastAsia="zh-CN"/>
        </w:rPr>
        <w:t>结合实际工作需要，该项目遵守相关学术规范和编辑出版规范，不断提高组稿、审稿、编辑、校对、设计等工作水平，推动编辑工作制度化、精细化。该项目坚持选题论证制度、匿名审稿制度、“三审三校”制度和专家审读制度，实施责任编辑负责制与栏目负责制相结合的制度，严格执行采编流程。同时，该项目严把论文质量关，对拟选用稿件进行学术不端检测，坚决制止和杜绝抄袭等学术腐败行为以及急功近利的浮躁学风。进一步强化匿名审稿制，实行双向匿名评审，从源头上严把质量关，确保优质稿件的选用。</w:t>
      </w:r>
    </w:p>
    <w:p w14:paraId="2A6E96D1">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lang w:val="en-US" w:eastAsia="zh-CN"/>
        </w:rPr>
        <w:t>此外，编辑团队严格遵守编、排、校制度与标准，本着对读者、作者高度负责的态度，严细认真、反复推敲，力求做到正确恰当、不出纰漏，优化与提升期刊质量，努力奉献一本高质量、高品位、高水准的品牌学术期刊。</w:t>
      </w:r>
    </w:p>
    <w:p w14:paraId="639978B8">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（2）项目</w:t>
      </w:r>
      <w:r>
        <w:rPr>
          <w:rFonts w:hint="eastAsia" w:ascii="仿宋_GB2312" w:eastAsia="仿宋_GB2312"/>
          <w:bCs/>
          <w:kern w:val="44"/>
          <w:sz w:val="32"/>
          <w:szCs w:val="32"/>
          <w:lang w:val="en-US" w:eastAsia="zh-CN"/>
        </w:rPr>
        <w:t>日常</w:t>
      </w:r>
      <w:r>
        <w:rPr>
          <w:rFonts w:hint="eastAsia" w:ascii="仿宋_GB2312" w:eastAsia="仿宋_GB2312"/>
          <w:bCs/>
          <w:kern w:val="44"/>
          <w:sz w:val="32"/>
          <w:szCs w:val="32"/>
        </w:rPr>
        <w:t>管理情况</w:t>
      </w:r>
    </w:p>
    <w:p w14:paraId="3BF9B10D">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①该项目认真贯彻落实中央、市委及市社科联、市社科规划办关于全面从严治党和意识形态工作的决策部署，在市社科联、市社科规划办党组的领导下，始终坚持党管媒体原则，牢牢把握</w:t>
      </w:r>
      <w:r>
        <w:rPr>
          <w:rFonts w:hint="eastAsia" w:ascii="仿宋_GB2312" w:eastAsia="仿宋_GB2312"/>
          <w:bCs/>
          <w:kern w:val="44"/>
          <w:sz w:val="32"/>
          <w:szCs w:val="32"/>
          <w:lang w:eastAsia="zh-CN"/>
        </w:rPr>
        <w:t>“</w:t>
      </w:r>
      <w:r>
        <w:rPr>
          <w:rFonts w:hint="eastAsia" w:ascii="仿宋_GB2312" w:eastAsia="仿宋_GB2312"/>
          <w:bCs/>
          <w:kern w:val="44"/>
          <w:sz w:val="32"/>
          <w:szCs w:val="32"/>
        </w:rPr>
        <w:t>两个巩固</w:t>
      </w:r>
      <w:r>
        <w:rPr>
          <w:rFonts w:hint="eastAsia" w:ascii="仿宋_GB2312" w:eastAsia="仿宋_GB2312"/>
          <w:bCs/>
          <w:kern w:val="44"/>
          <w:sz w:val="32"/>
          <w:szCs w:val="32"/>
          <w:lang w:eastAsia="zh-CN"/>
        </w:rPr>
        <w:t>”</w:t>
      </w:r>
      <w:r>
        <w:rPr>
          <w:rFonts w:hint="eastAsia" w:ascii="仿宋_GB2312" w:eastAsia="仿宋_GB2312"/>
          <w:bCs/>
          <w:kern w:val="44"/>
          <w:sz w:val="32"/>
          <w:szCs w:val="32"/>
        </w:rPr>
        <w:t>根本任务，增强</w:t>
      </w:r>
      <w:r>
        <w:rPr>
          <w:rFonts w:hint="eastAsia" w:ascii="仿宋_GB2312" w:eastAsia="仿宋_GB2312"/>
          <w:bCs/>
          <w:kern w:val="44"/>
          <w:sz w:val="32"/>
          <w:szCs w:val="32"/>
          <w:lang w:eastAsia="zh-CN"/>
        </w:rPr>
        <w:t>“</w:t>
      </w:r>
      <w:r>
        <w:rPr>
          <w:rFonts w:hint="eastAsia" w:ascii="仿宋_GB2312" w:eastAsia="仿宋_GB2312"/>
          <w:bCs/>
          <w:kern w:val="44"/>
          <w:sz w:val="32"/>
          <w:szCs w:val="32"/>
        </w:rPr>
        <w:t>四个意识</w:t>
      </w:r>
      <w:r>
        <w:rPr>
          <w:rFonts w:hint="eastAsia" w:ascii="仿宋_GB2312" w:eastAsia="仿宋_GB2312"/>
          <w:bCs/>
          <w:kern w:val="44"/>
          <w:sz w:val="32"/>
          <w:szCs w:val="32"/>
          <w:lang w:eastAsia="zh-CN"/>
        </w:rPr>
        <w:t>”</w:t>
      </w:r>
      <w:r>
        <w:rPr>
          <w:rFonts w:hint="eastAsia" w:ascii="仿宋_GB2312" w:eastAsia="仿宋_GB2312"/>
          <w:bCs/>
          <w:kern w:val="44"/>
          <w:sz w:val="32"/>
          <w:szCs w:val="32"/>
        </w:rPr>
        <w:t>，确保正确办刊方向。</w:t>
      </w:r>
    </w:p>
    <w:p w14:paraId="3751B0D5">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编辑部紧密结合杂志廉政风险防控点，细化责任分工，层层压实责任，扎实推进党风廉政建设。及时传达学习中央、市委和上级党组织关于全面从严治党的工作要求，全体编辑恪守职业操守，严以律己，致力于打造严肃、规范、干净的学术期刊。</w:t>
      </w:r>
    </w:p>
    <w:p w14:paraId="2F82A30F">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在编辑出版过程中，始终坚持质量第一原则，严格执行学术规范和出版流程，实行责任到人、相互监督的工作机制，以制度保障办刊质量。</w:t>
      </w:r>
    </w:p>
    <w:p w14:paraId="24113A36">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②</w:t>
      </w:r>
      <w:r>
        <w:rPr>
          <w:rFonts w:hint="eastAsia" w:ascii="仿宋_GB2312" w:eastAsia="仿宋_GB2312"/>
          <w:bCs/>
          <w:kern w:val="44"/>
          <w:sz w:val="32"/>
          <w:szCs w:val="32"/>
          <w:lang w:val="en-US" w:eastAsia="zh-CN"/>
        </w:rPr>
        <w:t>该项目能够遵守《出版管理条例》《期刊出版管理规定》《中华人民共和国广告法》等法律法规，坚持规范出版。特别声明不以任何名义收取版面费，并在杂志扉页公开举报电话，主动接受社会监督，切实维护期刊公信力和品牌形象。经年度检查，期刊年检合格且社会效益评价良好</w:t>
      </w:r>
      <w:r>
        <w:rPr>
          <w:rFonts w:hint="eastAsia" w:ascii="仿宋_GB2312" w:eastAsia="仿宋_GB2312"/>
          <w:bCs/>
          <w:kern w:val="44"/>
          <w:sz w:val="32"/>
          <w:szCs w:val="32"/>
        </w:rPr>
        <w:t>。</w:t>
      </w:r>
    </w:p>
    <w:p w14:paraId="29C2D053">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rPr>
        <w:t>评价分析</w:t>
      </w:r>
      <w:r>
        <w:rPr>
          <w:rFonts w:hint="eastAsia" w:ascii="仿宋_GB2312" w:eastAsia="仿宋_GB2312"/>
          <w:bCs/>
          <w:kern w:val="44"/>
          <w:sz w:val="32"/>
          <w:szCs w:val="32"/>
          <w:lang w:eastAsia="zh-CN"/>
        </w:rPr>
        <w:t>：</w:t>
      </w:r>
      <w:r>
        <w:rPr>
          <w:rFonts w:hint="eastAsia" w:ascii="仿宋_GB2312" w:eastAsia="仿宋_GB2312"/>
          <w:bCs/>
          <w:kern w:val="44"/>
          <w:sz w:val="32"/>
          <w:szCs w:val="32"/>
        </w:rPr>
        <w:t>市社科联、市社科规划办制定了较为完善的财务和业务管理制度。在项目实施过程中，该项目</w:t>
      </w:r>
      <w:r>
        <w:rPr>
          <w:rFonts w:hint="eastAsia" w:ascii="仿宋_GB2312" w:eastAsia="仿宋_GB2312"/>
          <w:bCs/>
          <w:kern w:val="44"/>
          <w:sz w:val="32"/>
          <w:szCs w:val="32"/>
          <w:lang w:val="en-US" w:eastAsia="zh-CN"/>
        </w:rPr>
        <w:t>能够</w:t>
      </w:r>
      <w:r>
        <w:rPr>
          <w:rFonts w:hint="eastAsia" w:ascii="仿宋_GB2312" w:eastAsia="仿宋_GB2312"/>
          <w:bCs/>
          <w:kern w:val="44"/>
          <w:sz w:val="32"/>
          <w:szCs w:val="32"/>
        </w:rPr>
        <w:t>执行学术规范和出版流程，落实选题论证、匿名审稿、</w:t>
      </w:r>
      <w:r>
        <w:rPr>
          <w:rFonts w:hint="eastAsia" w:ascii="仿宋_GB2312" w:eastAsia="仿宋_GB2312"/>
          <w:bCs/>
          <w:kern w:val="44"/>
          <w:sz w:val="32"/>
          <w:szCs w:val="32"/>
          <w:lang w:eastAsia="zh-CN"/>
        </w:rPr>
        <w:t>“</w:t>
      </w:r>
      <w:r>
        <w:rPr>
          <w:rFonts w:hint="eastAsia" w:ascii="仿宋_GB2312" w:eastAsia="仿宋_GB2312"/>
          <w:bCs/>
          <w:kern w:val="44"/>
          <w:sz w:val="32"/>
          <w:szCs w:val="32"/>
        </w:rPr>
        <w:t>三审三校</w:t>
      </w:r>
      <w:r>
        <w:rPr>
          <w:rFonts w:hint="eastAsia" w:ascii="仿宋_GB2312" w:eastAsia="仿宋_GB2312"/>
          <w:bCs/>
          <w:kern w:val="44"/>
          <w:sz w:val="32"/>
          <w:szCs w:val="32"/>
          <w:lang w:eastAsia="zh-CN"/>
        </w:rPr>
        <w:t>”</w:t>
      </w:r>
      <w:r>
        <w:rPr>
          <w:rFonts w:hint="eastAsia" w:ascii="仿宋_GB2312" w:eastAsia="仿宋_GB2312"/>
          <w:bCs/>
          <w:kern w:val="44"/>
          <w:sz w:val="32"/>
          <w:szCs w:val="32"/>
        </w:rPr>
        <w:t>等制度，严把质量关，杜绝学术腐败，提升期刊品质。在日常管理中，落实全面从严治党要求，坚持党管媒体，推进党风廉政建设，规范出版，接受监督，确保年检合格。</w:t>
      </w:r>
      <w:r>
        <w:rPr>
          <w:rFonts w:hint="eastAsia" w:ascii="仿宋_GB2312" w:eastAsia="仿宋_GB2312"/>
          <w:bCs/>
          <w:kern w:val="44"/>
          <w:sz w:val="32"/>
          <w:szCs w:val="32"/>
          <w:lang w:val="en-US" w:eastAsia="zh-CN"/>
        </w:rPr>
        <w:t>但是，</w:t>
      </w:r>
      <w:r>
        <w:rPr>
          <w:rFonts w:hint="eastAsia" w:ascii="仿宋_GB2312" w:eastAsia="仿宋_GB2312"/>
          <w:bCs/>
          <w:kern w:val="44"/>
          <w:sz w:val="32"/>
          <w:szCs w:val="32"/>
        </w:rPr>
        <w:t>该项目</w:t>
      </w:r>
      <w:r>
        <w:rPr>
          <w:rFonts w:hint="eastAsia" w:ascii="仿宋_GB2312" w:eastAsia="仿宋_GB2312"/>
          <w:bCs/>
          <w:kern w:val="44"/>
          <w:sz w:val="32"/>
          <w:szCs w:val="32"/>
          <w:lang w:val="en-US" w:eastAsia="zh-CN"/>
        </w:rPr>
        <w:t>合同</w:t>
      </w:r>
      <w:r>
        <w:rPr>
          <w:rFonts w:hint="eastAsia" w:ascii="仿宋_GB2312" w:eastAsia="仿宋_GB2312"/>
          <w:bCs/>
          <w:kern w:val="44"/>
          <w:sz w:val="32"/>
          <w:szCs w:val="32"/>
        </w:rPr>
        <w:t>管理不够严谨</w:t>
      </w:r>
      <w:r>
        <w:rPr>
          <w:rFonts w:hint="eastAsia" w:ascii="仿宋_GB2312" w:eastAsia="仿宋_GB2312"/>
          <w:bCs/>
          <w:kern w:val="44"/>
          <w:sz w:val="32"/>
          <w:szCs w:val="32"/>
          <w:lang w:eastAsia="zh-CN"/>
        </w:rPr>
        <w:t>，</w:t>
      </w:r>
      <w:r>
        <w:rPr>
          <w:rFonts w:hint="eastAsia" w:ascii="仿宋_GB2312" w:eastAsia="仿宋_GB2312"/>
          <w:bCs/>
          <w:kern w:val="44"/>
          <w:sz w:val="32"/>
          <w:szCs w:val="32"/>
        </w:rPr>
        <w:t>存在合同倒签问题。</w:t>
      </w:r>
      <w:r>
        <w:rPr>
          <w:rFonts w:hint="eastAsia" w:ascii="仿宋_GB2312" w:eastAsia="仿宋_GB2312"/>
          <w:bCs/>
          <w:kern w:val="44"/>
          <w:sz w:val="32"/>
          <w:szCs w:val="32"/>
          <w:lang w:val="en-US" w:eastAsia="zh-CN"/>
        </w:rPr>
        <w:t>同时，该项目相关重要业务管理办法未正式印发，需要加强内部管理制度的有效性。</w:t>
      </w:r>
    </w:p>
    <w:p w14:paraId="135A3D58">
      <w:pPr>
        <w:spacing w:line="560" w:lineRule="exact"/>
        <w:ind w:firstLine="640" w:firstLineChars="200"/>
        <w:rPr>
          <w:rFonts w:hint="eastAsia" w:ascii="方正楷体_GBK" w:hAnsi="方正楷体_GBK" w:eastAsia="方正楷体_GBK" w:cs="方正楷体_GBK"/>
          <w:bCs/>
          <w:kern w:val="44"/>
          <w:sz w:val="32"/>
          <w:szCs w:val="32"/>
        </w:rPr>
      </w:pPr>
      <w:bookmarkStart w:id="17" w:name="_Toc5773"/>
      <w:r>
        <w:rPr>
          <w:rFonts w:hint="eastAsia" w:ascii="方正楷体_GBK" w:hAnsi="方正楷体_GBK" w:eastAsia="方正楷体_GBK" w:cs="方正楷体_GBK"/>
          <w:bCs/>
          <w:kern w:val="44"/>
          <w:sz w:val="32"/>
          <w:szCs w:val="32"/>
        </w:rPr>
        <w:t>（三）项目产出情况</w:t>
      </w:r>
      <w:bookmarkEnd w:id="17"/>
    </w:p>
    <w:p w14:paraId="697AFA11">
      <w:p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rPr>
        <w:t>1.项目预期目标完成情况</w:t>
      </w:r>
    </w:p>
    <w:p w14:paraId="02B45106">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由于2024年《中国特色社会主义》杂志订阅数量减少，本着厉行节约、避免浪费的原则，该项目减少了印刷数量。2024年共出版《中国特色社会主义》杂志中文刊6期，每期印刷2800册；另出版增刊1期，印刷1600册。</w:t>
      </w:r>
    </w:p>
    <w:p w14:paraId="3607E0A4">
      <w:pPr>
        <w:spacing w:line="560" w:lineRule="exact"/>
        <w:ind w:firstLine="640" w:firstLineChars="200"/>
        <w:rPr>
          <w:rFonts w:hint="eastAsia" w:ascii="仿宋_GB2312" w:eastAsia="仿宋_GB2312"/>
          <w:bCs/>
          <w:kern w:val="44"/>
          <w:sz w:val="32"/>
          <w:szCs w:val="32"/>
        </w:rPr>
      </w:pPr>
      <w:bookmarkStart w:id="18" w:name="_Hlk102660567"/>
      <w:r>
        <w:rPr>
          <w:rFonts w:hint="eastAsia" w:ascii="仿宋_GB2312" w:eastAsia="仿宋_GB2312"/>
          <w:bCs/>
          <w:kern w:val="44"/>
          <w:sz w:val="32"/>
          <w:szCs w:val="32"/>
        </w:rPr>
        <w:t>评价分析认为，该项目实际完成情况与预期目标存在一定差距。</w:t>
      </w:r>
      <w:r>
        <w:rPr>
          <w:rFonts w:hint="eastAsia" w:ascii="仿宋_GB2312" w:eastAsia="仿宋_GB2312"/>
          <w:bCs/>
          <w:kern w:val="44"/>
          <w:sz w:val="32"/>
          <w:szCs w:val="32"/>
          <w:lang w:eastAsia="zh-CN"/>
        </w:rPr>
        <w:t>该</w:t>
      </w:r>
      <w:r>
        <w:rPr>
          <w:rFonts w:hint="eastAsia" w:ascii="仿宋_GB2312" w:eastAsia="仿宋_GB2312"/>
          <w:bCs/>
          <w:kern w:val="44"/>
          <w:sz w:val="32"/>
          <w:szCs w:val="32"/>
        </w:rPr>
        <w:t>项目预期数量指标</w:t>
      </w:r>
      <w:r>
        <w:rPr>
          <w:rFonts w:hint="eastAsia" w:ascii="仿宋_GB2312" w:eastAsia="仿宋_GB2312"/>
          <w:bCs/>
          <w:kern w:val="44"/>
          <w:sz w:val="32"/>
          <w:szCs w:val="32"/>
          <w:lang w:eastAsia="zh-CN"/>
        </w:rPr>
        <w:t>“</w:t>
      </w:r>
      <w:r>
        <w:rPr>
          <w:rFonts w:hint="eastAsia" w:ascii="仿宋_GB2312" w:eastAsia="仿宋_GB2312"/>
          <w:bCs/>
          <w:kern w:val="44"/>
          <w:sz w:val="32"/>
          <w:szCs w:val="32"/>
        </w:rPr>
        <w:t>编辑、出版、发行《中国特色社会主义研究》增刊1期，每期800册</w:t>
      </w:r>
      <w:r>
        <w:rPr>
          <w:rFonts w:hint="eastAsia" w:ascii="仿宋_GB2312" w:eastAsia="仿宋_GB2312"/>
          <w:bCs/>
          <w:kern w:val="44"/>
          <w:sz w:val="32"/>
          <w:szCs w:val="32"/>
          <w:lang w:eastAsia="zh-CN"/>
        </w:rPr>
        <w:t>”的</w:t>
      </w:r>
      <w:r>
        <w:rPr>
          <w:rFonts w:hint="eastAsia" w:ascii="仿宋_GB2312" w:eastAsia="仿宋_GB2312"/>
          <w:bCs/>
          <w:kern w:val="44"/>
          <w:sz w:val="32"/>
          <w:szCs w:val="32"/>
        </w:rPr>
        <w:t>实际完成率达200%，设定指标的偏离值较大</w:t>
      </w:r>
      <w:r>
        <w:rPr>
          <w:rFonts w:hint="eastAsia" w:ascii="仿宋_GB2312" w:eastAsia="仿宋_GB2312"/>
          <w:bCs/>
          <w:kern w:val="44"/>
          <w:sz w:val="32"/>
          <w:szCs w:val="32"/>
          <w:lang w:eastAsia="zh-CN"/>
        </w:rPr>
        <w:t>。</w:t>
      </w:r>
      <w:r>
        <w:rPr>
          <w:rFonts w:hint="eastAsia" w:ascii="仿宋_GB2312" w:eastAsia="仿宋_GB2312"/>
          <w:bCs/>
          <w:kern w:val="44"/>
          <w:sz w:val="32"/>
          <w:szCs w:val="32"/>
        </w:rPr>
        <w:t>同时，预期数量指标</w:t>
      </w:r>
      <w:r>
        <w:rPr>
          <w:rFonts w:hint="eastAsia" w:ascii="仿宋_GB2312" w:eastAsia="仿宋_GB2312"/>
          <w:bCs/>
          <w:kern w:val="44"/>
          <w:sz w:val="32"/>
          <w:szCs w:val="32"/>
          <w:lang w:eastAsia="zh-CN"/>
        </w:rPr>
        <w:t>“</w:t>
      </w:r>
      <w:r>
        <w:rPr>
          <w:rFonts w:hint="eastAsia" w:ascii="仿宋_GB2312" w:eastAsia="仿宋_GB2312"/>
          <w:bCs/>
          <w:kern w:val="44"/>
          <w:sz w:val="32"/>
          <w:szCs w:val="32"/>
        </w:rPr>
        <w:t>编辑、出版、发行《中国特色社会主义研究》中文刊6期，每期3500册</w:t>
      </w:r>
      <w:r>
        <w:rPr>
          <w:rFonts w:hint="eastAsia" w:ascii="仿宋_GB2312" w:eastAsia="仿宋_GB2312"/>
          <w:bCs/>
          <w:kern w:val="44"/>
          <w:sz w:val="32"/>
          <w:szCs w:val="32"/>
          <w:lang w:eastAsia="zh-CN"/>
        </w:rPr>
        <w:t>”的</w:t>
      </w:r>
      <w:r>
        <w:rPr>
          <w:rFonts w:hint="eastAsia" w:ascii="仿宋_GB2312" w:eastAsia="仿宋_GB2312"/>
          <w:bCs/>
          <w:kern w:val="44"/>
          <w:sz w:val="32"/>
          <w:szCs w:val="32"/>
        </w:rPr>
        <w:t>全年完成率为80%。</w:t>
      </w:r>
    </w:p>
    <w:bookmarkEnd w:id="18"/>
    <w:p w14:paraId="4B2B1E71">
      <w:p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rPr>
        <w:t>2.项目质量完成情况</w:t>
      </w:r>
    </w:p>
    <w:p w14:paraId="6D9695AE">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2024年</w:t>
      </w:r>
      <w:r>
        <w:rPr>
          <w:rFonts w:hint="eastAsia" w:ascii="仿宋_GB2312" w:eastAsia="仿宋_GB2312"/>
          <w:bCs/>
          <w:kern w:val="44"/>
          <w:sz w:val="32"/>
          <w:szCs w:val="32"/>
          <w:lang w:eastAsia="zh-CN"/>
        </w:rPr>
        <w:t>，</w:t>
      </w:r>
      <w:r>
        <w:rPr>
          <w:rFonts w:hint="eastAsia" w:ascii="仿宋_GB2312" w:eastAsia="仿宋_GB2312"/>
          <w:bCs/>
          <w:kern w:val="44"/>
          <w:sz w:val="32"/>
          <w:szCs w:val="32"/>
        </w:rPr>
        <w:t>该项目坚持服务“国之大者”，坚持学风严谨、学术质量、学术资政，聚焦学习宣传贯彻习近平新时代中国特色社会主义思想，着力深化体系化、学理化研究阐释。在研究选题方面，关注具有理论意义与实践意义的“真问题”，在推动学术创新与理论创新的同时，回应现实关切；在研究情境方面，坚持理论与实际紧密联系，从实践中发现新问题并提出新观点，提炼有学理性的新理论，概括有规律性的新实践，推介有原创性的中国实践智慧，推进自主知识体系构建。同时，以重点专栏建设带动杂志整体质量提升，不断提升文章研究的实践意义和社会价值。</w:t>
      </w:r>
      <w:r>
        <w:rPr>
          <w:rFonts w:hint="eastAsia" w:ascii="仿宋_GB2312" w:eastAsia="仿宋_GB2312"/>
          <w:bCs/>
          <w:kern w:val="44"/>
          <w:sz w:val="32"/>
          <w:szCs w:val="32"/>
          <w:lang w:val="en-US" w:eastAsia="zh-CN"/>
        </w:rPr>
        <w:t>2024年</w:t>
      </w:r>
      <w:r>
        <w:rPr>
          <w:rFonts w:hint="eastAsia" w:ascii="仿宋_GB2312" w:eastAsia="仿宋_GB2312"/>
          <w:bCs/>
          <w:kern w:val="44"/>
          <w:sz w:val="32"/>
          <w:szCs w:val="32"/>
        </w:rPr>
        <w:t>全年所刊发的文章未出现任何政治导向和意识形态问题，期刊年检合格，国家资助期刊考核优秀。</w:t>
      </w:r>
    </w:p>
    <w:p w14:paraId="3A29F852">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rPr>
        <w:t>评价分析</w:t>
      </w:r>
      <w:r>
        <w:rPr>
          <w:rFonts w:hint="eastAsia" w:ascii="仿宋_GB2312" w:eastAsia="仿宋_GB2312"/>
          <w:bCs/>
          <w:kern w:val="44"/>
          <w:sz w:val="32"/>
          <w:szCs w:val="32"/>
          <w:lang w:eastAsia="zh-CN"/>
        </w:rPr>
        <w:t>：</w:t>
      </w:r>
      <w:r>
        <w:rPr>
          <w:rFonts w:hint="eastAsia" w:ascii="仿宋_GB2312" w:eastAsia="仿宋_GB2312"/>
          <w:bCs/>
          <w:kern w:val="44"/>
          <w:sz w:val="32"/>
          <w:szCs w:val="32"/>
        </w:rPr>
        <w:t>2024年该项目服务“国之大者”，聚焦思想研究，推动学术创新，提升杂志质量，考核优秀</w:t>
      </w:r>
      <w:r>
        <w:rPr>
          <w:rFonts w:hint="eastAsia" w:ascii="仿宋_GB2312" w:eastAsia="仿宋_GB2312"/>
          <w:bCs/>
          <w:kern w:val="44"/>
          <w:sz w:val="32"/>
          <w:szCs w:val="32"/>
          <w:lang w:eastAsia="zh-CN"/>
        </w:rPr>
        <w:t>。</w:t>
      </w:r>
      <w:r>
        <w:rPr>
          <w:rFonts w:hint="eastAsia" w:ascii="仿宋_GB2312" w:eastAsia="仿宋_GB2312"/>
          <w:bCs/>
          <w:kern w:val="44"/>
          <w:sz w:val="32"/>
          <w:szCs w:val="32"/>
        </w:rPr>
        <w:t>该项目完成质量较好，能够</w:t>
      </w:r>
      <w:r>
        <w:rPr>
          <w:rFonts w:hint="eastAsia" w:ascii="仿宋_GB2312" w:eastAsia="仿宋_GB2312"/>
          <w:bCs/>
          <w:kern w:val="44"/>
          <w:sz w:val="32"/>
          <w:szCs w:val="32"/>
          <w:lang w:val="en-US" w:eastAsia="zh-CN"/>
        </w:rPr>
        <w:t>保障</w:t>
      </w:r>
      <w:r>
        <w:rPr>
          <w:rFonts w:hint="eastAsia" w:ascii="仿宋_GB2312" w:eastAsia="仿宋_GB2312"/>
          <w:bCs/>
          <w:kern w:val="44"/>
          <w:sz w:val="32"/>
          <w:szCs w:val="32"/>
        </w:rPr>
        <w:t>政治方向、学术导向</w:t>
      </w:r>
      <w:r>
        <w:rPr>
          <w:rFonts w:hint="eastAsia" w:ascii="仿宋_GB2312" w:eastAsia="仿宋_GB2312"/>
          <w:bCs/>
          <w:kern w:val="44"/>
          <w:sz w:val="32"/>
          <w:szCs w:val="32"/>
          <w:lang w:val="en-US" w:eastAsia="zh-CN"/>
        </w:rPr>
        <w:t>及</w:t>
      </w:r>
      <w:r>
        <w:rPr>
          <w:rFonts w:hint="eastAsia" w:ascii="仿宋_GB2312" w:eastAsia="仿宋_GB2312"/>
          <w:bCs/>
          <w:kern w:val="44"/>
          <w:sz w:val="32"/>
          <w:szCs w:val="32"/>
        </w:rPr>
        <w:t>价值取向正确。</w:t>
      </w:r>
      <w:r>
        <w:rPr>
          <w:rFonts w:hint="eastAsia" w:ascii="仿宋_GB2312" w:eastAsia="仿宋_GB2312"/>
          <w:bCs/>
          <w:kern w:val="44"/>
          <w:sz w:val="32"/>
          <w:szCs w:val="32"/>
          <w:lang w:val="en-US" w:eastAsia="zh-CN"/>
        </w:rPr>
        <w:t xml:space="preserve">     </w:t>
      </w:r>
    </w:p>
    <w:p w14:paraId="59717DAE">
      <w:p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rPr>
        <w:t>3.项目实施进度情况</w:t>
      </w:r>
    </w:p>
    <w:p w14:paraId="08F8AD28">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rPr>
        <w:t>根据年度工作安排，该项目</w:t>
      </w:r>
      <w:r>
        <w:rPr>
          <w:rFonts w:hint="eastAsia" w:ascii="仿宋_GB2312" w:eastAsia="仿宋_GB2312"/>
          <w:bCs/>
          <w:kern w:val="44"/>
          <w:sz w:val="32"/>
          <w:szCs w:val="32"/>
          <w:lang w:val="en-US" w:eastAsia="zh-CN"/>
        </w:rPr>
        <w:t>各项工作能够按时完成</w:t>
      </w:r>
      <w:r>
        <w:rPr>
          <w:rFonts w:hint="eastAsia" w:ascii="仿宋_GB2312" w:eastAsia="仿宋_GB2312"/>
          <w:bCs/>
          <w:kern w:val="44"/>
          <w:sz w:val="32"/>
          <w:szCs w:val="32"/>
          <w:lang w:eastAsia="zh-CN"/>
        </w:rPr>
        <w:t>。 2024年</w:t>
      </w:r>
      <w:r>
        <w:rPr>
          <w:rFonts w:hint="eastAsia" w:ascii="仿宋_GB2312" w:eastAsia="仿宋_GB2312"/>
          <w:bCs/>
          <w:kern w:val="44"/>
          <w:sz w:val="32"/>
          <w:szCs w:val="32"/>
        </w:rPr>
        <w:t>《中国特色社会主义》杂志</w:t>
      </w:r>
      <w:r>
        <w:rPr>
          <w:rFonts w:hint="eastAsia" w:ascii="仿宋_GB2312" w:eastAsia="仿宋_GB2312"/>
          <w:bCs/>
          <w:kern w:val="44"/>
          <w:sz w:val="32"/>
          <w:szCs w:val="32"/>
          <w:lang w:eastAsia="zh-CN"/>
        </w:rPr>
        <w:t>按期出版6期中</w:t>
      </w:r>
      <w:r>
        <w:rPr>
          <w:rFonts w:hint="eastAsia" w:ascii="仿宋_GB2312" w:eastAsia="仿宋_GB2312"/>
          <w:bCs/>
          <w:kern w:val="44"/>
          <w:sz w:val="32"/>
          <w:szCs w:val="32"/>
          <w:lang w:val="en-US" w:eastAsia="zh-CN"/>
        </w:rPr>
        <w:t>文</w:t>
      </w:r>
      <w:r>
        <w:rPr>
          <w:rFonts w:hint="eastAsia" w:ascii="仿宋_GB2312" w:eastAsia="仿宋_GB2312"/>
          <w:bCs/>
          <w:kern w:val="44"/>
          <w:sz w:val="32"/>
          <w:szCs w:val="32"/>
          <w:lang w:eastAsia="zh-CN"/>
        </w:rPr>
        <w:t>刊，全年出版增刊1期。</w:t>
      </w:r>
    </w:p>
    <w:p w14:paraId="64A3F4ED">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评价分析</w:t>
      </w:r>
      <w:r>
        <w:rPr>
          <w:rFonts w:hint="eastAsia" w:ascii="仿宋_GB2312" w:eastAsia="仿宋_GB2312"/>
          <w:bCs/>
          <w:kern w:val="44"/>
          <w:sz w:val="32"/>
          <w:szCs w:val="32"/>
          <w:lang w:eastAsia="zh-CN"/>
        </w:rPr>
        <w:t>：</w:t>
      </w:r>
      <w:r>
        <w:rPr>
          <w:rFonts w:hint="eastAsia" w:ascii="仿宋_GB2312" w:eastAsia="仿宋_GB2312"/>
          <w:bCs/>
          <w:kern w:val="44"/>
          <w:sz w:val="32"/>
          <w:szCs w:val="32"/>
        </w:rPr>
        <w:t>2024年《中国特色社会主义研究》编辑部按照项目实施方案和工作计划推进各项工作，确保各阶段任务有序开展。在项目准备阶段，编辑部于</w:t>
      </w:r>
      <w:r>
        <w:rPr>
          <w:rFonts w:hint="eastAsia" w:ascii="仿宋_GB2312" w:eastAsia="仿宋_GB2312"/>
          <w:bCs/>
          <w:kern w:val="44"/>
          <w:sz w:val="32"/>
          <w:szCs w:val="32"/>
          <w:lang w:val="en-US" w:eastAsia="zh-CN"/>
        </w:rPr>
        <w:t>2024年</w:t>
      </w:r>
      <w:r>
        <w:rPr>
          <w:rFonts w:hint="eastAsia" w:ascii="仿宋_GB2312" w:eastAsia="仿宋_GB2312"/>
          <w:bCs/>
          <w:kern w:val="44"/>
          <w:sz w:val="32"/>
          <w:szCs w:val="32"/>
        </w:rPr>
        <w:t>1-2月完成了选题指南制定、投稿渠道开通等基础性工作；在实施阶段，通过专题策划、学术研讨、组稿约稿等方式，高质量完成了6期正刊和1期增刊的编辑出版任务；在验收阶段，顺利通过全国哲学社会科学工作办公室组织的年度考核。截至2024年12月底，该项目已</w:t>
      </w:r>
      <w:r>
        <w:rPr>
          <w:rFonts w:hint="eastAsia" w:ascii="仿宋_GB2312" w:eastAsia="仿宋_GB2312"/>
          <w:bCs/>
          <w:kern w:val="44"/>
          <w:sz w:val="32"/>
          <w:szCs w:val="32"/>
          <w:lang w:val="en-US" w:eastAsia="zh-CN"/>
        </w:rPr>
        <w:t>基本</w:t>
      </w:r>
      <w:r>
        <w:rPr>
          <w:rFonts w:hint="eastAsia" w:ascii="仿宋_GB2312" w:eastAsia="仿宋_GB2312"/>
          <w:bCs/>
          <w:kern w:val="44"/>
          <w:sz w:val="32"/>
          <w:szCs w:val="32"/>
        </w:rPr>
        <w:t>完成年初制定的工作任务，实现了预期效果。</w:t>
      </w:r>
    </w:p>
    <w:p w14:paraId="3F5E6461">
      <w:p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rPr>
        <w:t>4.项目经济性情况</w:t>
      </w:r>
    </w:p>
    <w:p w14:paraId="10757BA6">
      <w:pPr>
        <w:spacing w:line="560" w:lineRule="exact"/>
        <w:ind w:firstLine="640" w:firstLineChars="200"/>
        <w:rPr>
          <w:rFonts w:hint="eastAsia" w:ascii="仿宋_GB2312" w:eastAsia="仿宋_GB2312"/>
          <w:bCs/>
          <w:kern w:val="44"/>
          <w:sz w:val="32"/>
          <w:szCs w:val="32"/>
          <w:lang w:val="en-US" w:eastAsia="zh-CN"/>
        </w:rPr>
      </w:pPr>
      <w:r>
        <w:rPr>
          <w:rFonts w:hint="eastAsia" w:ascii="仿宋_GB2312" w:eastAsia="仿宋_GB2312"/>
          <w:bCs/>
          <w:kern w:val="44"/>
          <w:sz w:val="32"/>
          <w:szCs w:val="32"/>
        </w:rPr>
        <w:t>该项目</w:t>
      </w:r>
      <w:r>
        <w:rPr>
          <w:rFonts w:hint="eastAsia" w:ascii="仿宋_GB2312" w:eastAsia="仿宋_GB2312"/>
          <w:bCs/>
          <w:kern w:val="44"/>
          <w:sz w:val="32"/>
          <w:szCs w:val="32"/>
          <w:lang w:val="en-US" w:eastAsia="zh-CN"/>
        </w:rPr>
        <w:t>能够</w:t>
      </w:r>
      <w:r>
        <w:rPr>
          <w:rFonts w:hint="eastAsia" w:ascii="仿宋_GB2312" w:eastAsia="仿宋_GB2312"/>
          <w:bCs/>
          <w:kern w:val="44"/>
          <w:sz w:val="32"/>
          <w:szCs w:val="32"/>
        </w:rPr>
        <w:t>按照《北京市社科联、北京市社科规划办经费支出管理办法》（京社科联、社科规划办内发〔2019〕5号）</w:t>
      </w:r>
      <w:r>
        <w:rPr>
          <w:rFonts w:hint="eastAsia" w:ascii="仿宋_GB2312" w:eastAsia="仿宋_GB2312"/>
          <w:bCs/>
          <w:kern w:val="44"/>
          <w:sz w:val="32"/>
          <w:szCs w:val="32"/>
          <w:lang w:eastAsia="zh-CN"/>
        </w:rPr>
        <w:t>、</w:t>
      </w:r>
      <w:r>
        <w:rPr>
          <w:rFonts w:hint="eastAsia" w:ascii="仿宋_GB2312" w:eastAsia="仿宋_GB2312"/>
          <w:bCs/>
          <w:kern w:val="44"/>
          <w:sz w:val="32"/>
          <w:szCs w:val="32"/>
        </w:rPr>
        <w:t>《北京市社科联关于审稿费标准的规定》（京社科联内发〔2018〕22号）</w:t>
      </w:r>
      <w:r>
        <w:rPr>
          <w:rFonts w:hint="eastAsia" w:ascii="仿宋_GB2312" w:eastAsia="仿宋_GB2312"/>
          <w:bCs/>
          <w:kern w:val="44"/>
          <w:sz w:val="32"/>
          <w:szCs w:val="32"/>
          <w:lang w:eastAsia="zh-CN"/>
        </w:rPr>
        <w:t>、</w:t>
      </w:r>
      <w:r>
        <w:rPr>
          <w:rFonts w:hint="eastAsia" w:ascii="仿宋_GB2312" w:eastAsia="仿宋_GB2312"/>
          <w:bCs/>
          <w:kern w:val="44"/>
          <w:sz w:val="32"/>
          <w:szCs w:val="32"/>
        </w:rPr>
        <w:t>《国家社会科学基金学术期刊资助管理办法》</w:t>
      </w:r>
      <w:r>
        <w:rPr>
          <w:rFonts w:hint="eastAsia" w:ascii="仿宋_GB2312" w:eastAsia="仿宋_GB2312"/>
          <w:bCs/>
          <w:kern w:val="44"/>
          <w:sz w:val="32"/>
          <w:szCs w:val="32"/>
          <w:lang w:val="en-US" w:eastAsia="zh-CN"/>
        </w:rPr>
        <w:t>等要求规范使用项目资金</w:t>
      </w:r>
      <w:r>
        <w:rPr>
          <w:rFonts w:hint="eastAsia" w:ascii="仿宋_GB2312" w:eastAsia="仿宋_GB2312"/>
          <w:bCs/>
          <w:kern w:val="44"/>
          <w:sz w:val="32"/>
          <w:szCs w:val="32"/>
        </w:rPr>
        <w:t>。</w:t>
      </w:r>
      <w:r>
        <w:rPr>
          <w:rFonts w:hint="eastAsia" w:ascii="仿宋_GB2312" w:eastAsia="仿宋_GB2312"/>
          <w:bCs/>
          <w:kern w:val="44"/>
          <w:sz w:val="32"/>
          <w:szCs w:val="32"/>
          <w:lang w:val="en-US" w:eastAsia="zh-CN"/>
        </w:rPr>
        <w:t>同时，由于2024年</w:t>
      </w:r>
      <w:r>
        <w:rPr>
          <w:rFonts w:hint="eastAsia" w:ascii="仿宋_GB2312" w:eastAsia="仿宋_GB2312"/>
          <w:bCs/>
          <w:kern w:val="44"/>
          <w:sz w:val="32"/>
          <w:szCs w:val="32"/>
        </w:rPr>
        <w:t>《中国特色社会主义》杂志</w:t>
      </w:r>
      <w:r>
        <w:rPr>
          <w:rFonts w:hint="eastAsia" w:ascii="仿宋_GB2312" w:eastAsia="仿宋_GB2312"/>
          <w:bCs/>
          <w:kern w:val="44"/>
          <w:sz w:val="32"/>
          <w:szCs w:val="32"/>
          <w:lang w:val="en-US" w:eastAsia="zh-CN"/>
        </w:rPr>
        <w:t>订阅数量减少，本着厉行节约、避免浪费原则，该项目减少了印刷数量，结余了部分印刷费用。</w:t>
      </w:r>
    </w:p>
    <w:p w14:paraId="3FE8B557">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评价分析</w:t>
      </w:r>
      <w:r>
        <w:rPr>
          <w:rFonts w:hint="eastAsia" w:ascii="仿宋_GB2312" w:eastAsia="仿宋_GB2312"/>
          <w:bCs/>
          <w:kern w:val="44"/>
          <w:sz w:val="32"/>
          <w:szCs w:val="32"/>
          <w:lang w:eastAsia="zh-CN"/>
        </w:rPr>
        <w:t>：</w:t>
      </w:r>
      <w:r>
        <w:rPr>
          <w:rFonts w:hint="eastAsia" w:ascii="仿宋_GB2312" w:eastAsia="仿宋_GB2312"/>
          <w:bCs/>
          <w:kern w:val="44"/>
          <w:sz w:val="32"/>
          <w:szCs w:val="32"/>
        </w:rPr>
        <w:t>该项目预算编制经过预算评审，预算内容与项目内容较为匹配，各项课题均有明确的支持标准，资金到位率100%。</w:t>
      </w:r>
      <w:bookmarkStart w:id="19" w:name="_Toc28303"/>
    </w:p>
    <w:p w14:paraId="6CC7D769">
      <w:pPr>
        <w:spacing w:line="560" w:lineRule="exact"/>
        <w:ind w:firstLine="640" w:firstLineChars="200"/>
        <w:rPr>
          <w:rFonts w:hint="eastAsia" w:ascii="方正楷体_GBK" w:hAnsi="方正楷体_GBK" w:eastAsia="方正楷体_GBK" w:cs="方正楷体_GBK"/>
          <w:bCs/>
          <w:kern w:val="44"/>
          <w:sz w:val="32"/>
          <w:szCs w:val="32"/>
        </w:rPr>
      </w:pPr>
      <w:r>
        <w:rPr>
          <w:rFonts w:hint="eastAsia" w:ascii="方正楷体_GBK" w:hAnsi="方正楷体_GBK" w:eastAsia="方正楷体_GBK" w:cs="方正楷体_GBK"/>
          <w:bCs/>
          <w:kern w:val="44"/>
          <w:sz w:val="32"/>
          <w:szCs w:val="32"/>
        </w:rPr>
        <w:t>（四）项目效益情况</w:t>
      </w:r>
      <w:bookmarkEnd w:id="19"/>
    </w:p>
    <w:p w14:paraId="410F4AF2">
      <w:pPr>
        <w:spacing w:line="560" w:lineRule="exact"/>
        <w:ind w:firstLine="643" w:firstLineChars="200"/>
        <w:rPr>
          <w:rFonts w:hint="eastAsia" w:ascii="仿宋_GB2312" w:eastAsia="仿宋_GB2312"/>
          <w:b/>
          <w:bCs w:val="0"/>
          <w:kern w:val="44"/>
          <w:sz w:val="32"/>
          <w:szCs w:val="32"/>
        </w:rPr>
      </w:pPr>
      <w:r>
        <w:rPr>
          <w:rFonts w:hint="eastAsia" w:ascii="仿宋_GB2312" w:eastAsia="仿宋_GB2312"/>
          <w:b/>
          <w:bCs w:val="0"/>
          <w:kern w:val="44"/>
          <w:sz w:val="32"/>
          <w:szCs w:val="32"/>
        </w:rPr>
        <w:t>1.项目社会效益</w:t>
      </w:r>
    </w:p>
    <w:p w14:paraId="46D1E832">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1</w:t>
      </w: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该项目坚持以党的创新理论为引领，深入贯彻落实党的二十大和二十届三中全会精神，学习贯彻习近平文化思想。通过制定发布年度选题指南，主动策划选题，加强战略性、前瞻性、基础性理论问题研究，推动重大现实问题研究和实践经验总结。项目始终坚持正确的政治方向、学术导向和价值取向，选文用文力求具有原创性、开拓性和较高的学术思想价值，提供具有现实性、针对性以及较强参考价值的决策建议</w:t>
      </w:r>
      <w:r>
        <w:rPr>
          <w:rFonts w:hint="eastAsia" w:ascii="仿宋_GB2312" w:eastAsia="仿宋_GB2312"/>
          <w:bCs/>
          <w:kern w:val="44"/>
          <w:sz w:val="32"/>
          <w:szCs w:val="32"/>
        </w:rPr>
        <w:t>。</w:t>
      </w:r>
    </w:p>
    <w:p w14:paraId="2DA1DDF5">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2</w:t>
      </w: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该项目精心打造国家首批哲学社会科学期刊重点专栏“中国式现代化理论与实践”。围绕“中国式现代化”主题，立足新时代新征程的历史方位，关注具有学理价值与实践意义的“真问题”，强化对中国式现代化进程的发展轨迹、基本规律与一般经验的系统研究，明确其目标定位、发展方略、操作指向与具体路径。项目不断推出具有学术意义、历史意义、文化意义和社会意义的作品，推进构建中国自主的知识体系和理论范式</w:t>
      </w:r>
      <w:r>
        <w:rPr>
          <w:rFonts w:hint="eastAsia" w:ascii="仿宋_GB2312" w:eastAsia="仿宋_GB2312"/>
          <w:bCs/>
          <w:kern w:val="44"/>
          <w:sz w:val="32"/>
          <w:szCs w:val="32"/>
        </w:rPr>
        <w:t>。</w:t>
      </w:r>
    </w:p>
    <w:p w14:paraId="014F55BF">
      <w:pPr>
        <w:spacing w:line="560" w:lineRule="exact"/>
        <w:ind w:firstLine="640" w:firstLineChars="200"/>
        <w:rPr>
          <w:rFonts w:hint="default" w:ascii="仿宋_GB2312" w:eastAsia="仿宋_GB2312"/>
          <w:bCs/>
          <w:kern w:val="44"/>
          <w:sz w:val="32"/>
          <w:szCs w:val="32"/>
          <w:lang w:val="en-US" w:eastAsia="zh-CN"/>
        </w:rPr>
      </w:pP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3</w:t>
      </w:r>
      <w:r>
        <w:rPr>
          <w:rFonts w:hint="eastAsia" w:ascii="仿宋_GB2312" w:eastAsia="仿宋_GB2312"/>
          <w:bCs/>
          <w:kern w:val="44"/>
          <w:sz w:val="32"/>
          <w:szCs w:val="32"/>
          <w:lang w:eastAsia="zh-CN"/>
        </w:rPr>
        <w:t>）</w:t>
      </w:r>
      <w:r>
        <w:rPr>
          <w:rFonts w:hint="eastAsia" w:ascii="仿宋_GB2312" w:eastAsia="仿宋_GB2312"/>
          <w:bCs/>
          <w:kern w:val="44"/>
          <w:sz w:val="32"/>
          <w:szCs w:val="32"/>
          <w:lang w:val="en-US" w:eastAsia="zh-CN"/>
        </w:rPr>
        <w:t>该项目坚持以人取文和以文取人相结合，不仅深入追踪理论学术界资深专家学者的新思想、新研究，而且自觉向思想敏锐、充满活力、功底扎实的中青年理论工作者全面开放，提供一个宽松、平等的学术交流平台。在推动青年人才培养方面，加大选取具备较高学术水平、选题新颖、观点创新、理论性强的学术新作，以实现以刊育人的目标</w:t>
      </w:r>
      <w:r>
        <w:rPr>
          <w:rFonts w:hint="eastAsia" w:ascii="仿宋_GB2312" w:eastAsia="仿宋_GB2312"/>
          <w:bCs/>
          <w:kern w:val="44"/>
          <w:sz w:val="32"/>
          <w:szCs w:val="32"/>
          <w:lang w:eastAsia="zh-CN"/>
        </w:rPr>
        <w:t>。</w:t>
      </w:r>
    </w:p>
    <w:p w14:paraId="6DB6542D">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2.项目可持续影响</w:t>
      </w:r>
    </w:p>
    <w:p w14:paraId="7AEA234D">
      <w:pPr>
        <w:spacing w:line="560" w:lineRule="exact"/>
        <w:ind w:firstLine="640" w:firstLineChars="200"/>
        <w:rPr>
          <w:rFonts w:hint="eastAsia" w:ascii="仿宋_GB2312" w:eastAsia="仿宋_GB2312"/>
          <w:bCs/>
          <w:kern w:val="44"/>
          <w:sz w:val="32"/>
          <w:szCs w:val="32"/>
        </w:rPr>
      </w:pPr>
      <w:r>
        <w:rPr>
          <w:rFonts w:hint="eastAsia" w:ascii="仿宋_GB2312" w:eastAsia="仿宋_GB2312"/>
          <w:bCs/>
          <w:kern w:val="44"/>
          <w:sz w:val="32"/>
          <w:szCs w:val="32"/>
        </w:rPr>
        <w:t xml:space="preserve">《中国特色社会主义研究》杂志自创刊以来，以清晰的定位、鲜明的特色、稳定的风格、平实的文风和深邃的内容蜚声学界，承担起研究阐释、资政育人的重要任务，在思想理论研究阵地发挥引领和导向作用。该项目能够持续将《中国特色社会主义研究》杂志打造成为马克思主义理论权威期刊、全国社科理论一流名刊，使其成为中国特色社会主义理论研究与传播的高地。 </w:t>
      </w:r>
    </w:p>
    <w:p w14:paraId="54658EEA">
      <w:pPr>
        <w:spacing w:line="560" w:lineRule="exact"/>
        <w:ind w:firstLine="640" w:firstLineChars="200"/>
        <w:rPr>
          <w:rFonts w:hint="default" w:ascii="仿宋_GB2312" w:eastAsia="仿宋_GB2312"/>
          <w:bCs/>
          <w:kern w:val="44"/>
          <w:sz w:val="32"/>
          <w:szCs w:val="32"/>
          <w:lang w:val="en-US" w:eastAsia="zh-CN"/>
        </w:rPr>
      </w:pPr>
      <w:r>
        <w:rPr>
          <w:rFonts w:hint="eastAsia" w:ascii="仿宋_GB2312" w:eastAsia="仿宋_GB2312"/>
          <w:bCs/>
          <w:kern w:val="44"/>
          <w:sz w:val="32"/>
          <w:szCs w:val="32"/>
        </w:rPr>
        <w:t>评价分析认为，</w:t>
      </w:r>
      <w:r>
        <w:rPr>
          <w:rFonts w:hint="eastAsia" w:ascii="仿宋_GB2312" w:eastAsia="仿宋_GB2312"/>
          <w:bCs/>
          <w:kern w:val="44"/>
          <w:sz w:val="32"/>
          <w:szCs w:val="32"/>
          <w:lang w:val="en-US" w:eastAsia="zh-CN"/>
        </w:rPr>
        <w:t>该项目能够坚持党的创新理论引领，围绕中国式现代化等重大主题，推出原创性、前瞻性研究成果，促进学术与政策对话，服务国家决策。通过打造重点专栏、培育青年学者，构建自主知识体系，提升期刊学术影响力。《中国特色社会主义研究》杂志能够持续发挥理论引领作用，巩固马克思主义研究阵地，推动中国特色社会主义理论创新与实践发展，社会效益较好，可持续影响深远。但该项目支撑社会效益的相关资料不够完整，需要进一步收集和整理，以便更准确地衡量项目的价值和成果。同时，该项目在读者满意度调查方面存在不足，对读者满意度调查和分析的资料不够充分。</w:t>
      </w:r>
    </w:p>
    <w:p w14:paraId="7A18330D">
      <w:pPr>
        <w:spacing w:line="560" w:lineRule="exact"/>
        <w:ind w:firstLine="640" w:firstLineChars="200"/>
        <w:rPr>
          <w:rFonts w:hint="eastAsia" w:ascii="黑体" w:hAnsi="黑体" w:eastAsia="黑体" w:cs="黑体"/>
          <w:bCs/>
          <w:kern w:val="44"/>
          <w:sz w:val="32"/>
          <w:szCs w:val="32"/>
        </w:rPr>
      </w:pPr>
      <w:bookmarkStart w:id="20" w:name="_Toc3865"/>
      <w:r>
        <w:rPr>
          <w:rFonts w:hint="eastAsia" w:ascii="黑体" w:hAnsi="黑体" w:eastAsia="黑体" w:cs="黑体"/>
          <w:bCs/>
          <w:kern w:val="44"/>
          <w:sz w:val="32"/>
          <w:szCs w:val="32"/>
        </w:rPr>
        <w:t>五、主要经验及做法、存在的问题及原因分析</w:t>
      </w:r>
      <w:bookmarkEnd w:id="20"/>
    </w:p>
    <w:p w14:paraId="4B8C6BD7">
      <w:pPr>
        <w:spacing w:line="560" w:lineRule="exact"/>
        <w:ind w:firstLine="640" w:firstLineChars="200"/>
        <w:rPr>
          <w:rFonts w:hint="eastAsia" w:ascii="方正楷体_GBK" w:hAnsi="方正楷体_GBK" w:eastAsia="方正楷体_GBK" w:cs="方正楷体_GBK"/>
          <w:bCs/>
          <w:kern w:val="44"/>
          <w:sz w:val="32"/>
          <w:szCs w:val="32"/>
        </w:rPr>
      </w:pPr>
      <w:r>
        <w:rPr>
          <w:rFonts w:hint="eastAsia" w:ascii="方正楷体_GBK" w:hAnsi="方正楷体_GBK" w:eastAsia="方正楷体_GBK" w:cs="方正楷体_GBK"/>
          <w:bCs/>
          <w:kern w:val="44"/>
          <w:sz w:val="32"/>
          <w:szCs w:val="32"/>
        </w:rPr>
        <w:t>（一）项目主要经验及做法</w:t>
      </w:r>
    </w:p>
    <w:p w14:paraId="4451A2EE">
      <w:pPr>
        <w:spacing w:line="560" w:lineRule="exact"/>
        <w:ind w:firstLine="640" w:firstLineChars="200"/>
        <w:rPr>
          <w:rFonts w:hint="default" w:ascii="仿宋_GB2312" w:eastAsia="仿宋_GB2312"/>
          <w:bCs/>
          <w:kern w:val="44"/>
          <w:sz w:val="32"/>
          <w:szCs w:val="32"/>
          <w:lang w:val="en-US" w:eastAsia="zh-CN"/>
        </w:rPr>
      </w:pPr>
      <w:r>
        <w:rPr>
          <w:rFonts w:hint="eastAsia" w:ascii="仿宋_GB2312" w:eastAsia="仿宋_GB2312"/>
          <w:bCs/>
          <w:kern w:val="44"/>
          <w:sz w:val="32"/>
          <w:szCs w:val="32"/>
        </w:rPr>
        <w:t>2018年，《中国特色社会主义》杂志开展全国读者、作者调研，调研对象一致认为“刊物的优势是现实感强、学理性强、整体水平高。最大特色是学术性与政治性的结合。这体现在刊物选用的文章都是立足中国国情、研究中国问题、总结中国经验的，原创性的理论思考与实践结合得很紧密，既坚持用马克思主义方法论来研究阐释现实问题，又始终保持对中国现实问题全方位的观照”。该项目主要举措包括：一是坚守出版导向，坚持学理性与实践性相结合，</w:t>
      </w:r>
      <w:r>
        <w:rPr>
          <w:rFonts w:hint="eastAsia" w:ascii="仿宋_GB2312" w:eastAsia="仿宋_GB2312"/>
          <w:bCs/>
          <w:kern w:val="44"/>
          <w:sz w:val="32"/>
          <w:szCs w:val="32"/>
          <w:lang w:val="en-US" w:eastAsia="zh-CN"/>
        </w:rPr>
        <w:t>以</w:t>
      </w:r>
      <w:r>
        <w:rPr>
          <w:rFonts w:hint="eastAsia" w:ascii="仿宋_GB2312" w:eastAsia="仿宋_GB2312"/>
          <w:bCs/>
          <w:kern w:val="44"/>
          <w:sz w:val="32"/>
          <w:szCs w:val="32"/>
        </w:rPr>
        <w:t>学理化、体系化研究阐释党的创新理论；二是加强选题策划，增强学术品质，提升内容质量；三是坚持质量立刊，完善制度体系，提升管理质量，维护公信力和品牌形象；四是增强编辑学术素养，追求“匠人精神”，打造“四力型”队伍；五是强化受众意识，推进媒介融合，提升传播力和影响力</w:t>
      </w:r>
      <w:r>
        <w:rPr>
          <w:rFonts w:hint="eastAsia" w:ascii="仿宋_GB2312" w:eastAsia="仿宋_GB2312"/>
          <w:bCs/>
          <w:kern w:val="44"/>
          <w:sz w:val="32"/>
          <w:szCs w:val="32"/>
          <w:lang w:val="en-US" w:eastAsia="zh-CN"/>
        </w:rPr>
        <w:t>。</w:t>
      </w:r>
    </w:p>
    <w:p w14:paraId="0BFAD993">
      <w:pPr>
        <w:spacing w:line="560" w:lineRule="exact"/>
        <w:ind w:firstLine="640" w:firstLineChars="200"/>
        <w:rPr>
          <w:rFonts w:hint="eastAsia" w:ascii="方正楷体_GBK" w:hAnsi="方正楷体_GBK" w:eastAsia="方正楷体_GBK" w:cs="方正楷体_GBK"/>
          <w:bCs/>
          <w:kern w:val="44"/>
          <w:sz w:val="32"/>
          <w:szCs w:val="32"/>
        </w:rPr>
      </w:pPr>
      <w:r>
        <w:rPr>
          <w:rFonts w:hint="eastAsia" w:ascii="方正楷体_GBK" w:hAnsi="方正楷体_GBK" w:eastAsia="方正楷体_GBK" w:cs="方正楷体_GBK"/>
          <w:bCs/>
          <w:kern w:val="44"/>
          <w:sz w:val="32"/>
          <w:szCs w:val="32"/>
        </w:rPr>
        <w:t>（二）存在的问题及原因分析</w:t>
      </w:r>
    </w:p>
    <w:p w14:paraId="441245B4">
      <w:pPr>
        <w:spacing w:line="560" w:lineRule="exact"/>
        <w:ind w:firstLine="643" w:firstLineChars="200"/>
        <w:rPr>
          <w:rFonts w:hint="eastAsia" w:ascii="仿宋_GB2312" w:eastAsia="仿宋_GB2312"/>
          <w:bCs/>
          <w:kern w:val="44"/>
          <w:sz w:val="32"/>
          <w:szCs w:val="32"/>
        </w:rPr>
      </w:pPr>
      <w:r>
        <w:rPr>
          <w:rFonts w:hint="eastAsia" w:ascii="仿宋_GB2312" w:eastAsia="仿宋_GB2312"/>
          <w:b/>
          <w:bCs w:val="0"/>
          <w:kern w:val="44"/>
          <w:sz w:val="32"/>
          <w:szCs w:val="32"/>
          <w:lang w:val="en-US" w:eastAsia="zh-CN"/>
        </w:rPr>
        <w:t>1.</w:t>
      </w:r>
      <w:r>
        <w:rPr>
          <w:rFonts w:hint="eastAsia" w:ascii="仿宋_GB2312" w:eastAsia="仿宋_GB2312"/>
          <w:b/>
          <w:bCs w:val="0"/>
          <w:kern w:val="44"/>
          <w:sz w:val="32"/>
          <w:szCs w:val="32"/>
          <w:lang w:eastAsia="zh-CN"/>
        </w:rPr>
        <w:t>绩效指标设置不够准确。</w:t>
      </w:r>
      <w:r>
        <w:rPr>
          <w:rFonts w:hint="eastAsia" w:ascii="仿宋_GB2312" w:eastAsia="仿宋_GB2312"/>
          <w:bCs/>
          <w:kern w:val="44"/>
          <w:sz w:val="32"/>
          <w:szCs w:val="32"/>
        </w:rPr>
        <w:t>实际完成情况与预期目标存在一定差距，</w:t>
      </w:r>
      <w:r>
        <w:rPr>
          <w:rFonts w:hint="eastAsia" w:ascii="仿宋_GB2312" w:eastAsia="仿宋_GB2312"/>
          <w:bCs/>
          <w:kern w:val="44"/>
          <w:sz w:val="32"/>
          <w:szCs w:val="32"/>
          <w:lang w:eastAsia="zh-CN"/>
        </w:rPr>
        <w:t>杂志发行数量与计划存在偏差</w:t>
      </w:r>
      <w:r>
        <w:rPr>
          <w:rFonts w:hint="eastAsia" w:ascii="仿宋_GB2312" w:eastAsia="仿宋_GB2312"/>
          <w:bCs/>
          <w:kern w:val="44"/>
          <w:sz w:val="32"/>
          <w:szCs w:val="32"/>
        </w:rPr>
        <w:t>，应提高指标设置的精准度。</w:t>
      </w:r>
    </w:p>
    <w:p w14:paraId="0ABDF0F5">
      <w:pPr>
        <w:spacing w:line="560" w:lineRule="exact"/>
        <w:ind w:firstLine="643" w:firstLineChars="200"/>
        <w:rPr>
          <w:rFonts w:hint="eastAsia" w:ascii="仿宋_GB2312" w:eastAsia="仿宋_GB2312"/>
          <w:bCs/>
          <w:kern w:val="44"/>
          <w:sz w:val="32"/>
          <w:szCs w:val="32"/>
          <w:lang w:eastAsia="zh-CN"/>
        </w:rPr>
      </w:pPr>
      <w:r>
        <w:rPr>
          <w:rFonts w:hint="eastAsia" w:ascii="仿宋_GB2312" w:eastAsia="仿宋_GB2312"/>
          <w:b/>
          <w:bCs w:val="0"/>
          <w:kern w:val="44"/>
          <w:sz w:val="32"/>
          <w:szCs w:val="32"/>
          <w:lang w:val="en-US" w:eastAsia="zh-CN"/>
        </w:rPr>
        <w:t>2.项目管理精细化有待进一步提升。</w:t>
      </w:r>
      <w:r>
        <w:rPr>
          <w:rFonts w:hint="eastAsia" w:ascii="仿宋_GB2312" w:eastAsia="仿宋_GB2312"/>
          <w:bCs/>
          <w:kern w:val="44"/>
          <w:sz w:val="32"/>
          <w:szCs w:val="32"/>
          <w:lang w:eastAsia="zh-CN"/>
        </w:rPr>
        <w:t>该项目涉及国社科期刊资助资金，应统筹好各来源项目资金，确保</w:t>
      </w:r>
      <w:r>
        <w:rPr>
          <w:rFonts w:hint="eastAsia" w:ascii="仿宋_GB2312" w:eastAsia="仿宋_GB2312"/>
          <w:bCs/>
          <w:kern w:val="44"/>
          <w:sz w:val="32"/>
          <w:szCs w:val="32"/>
        </w:rPr>
        <w:t>项目资金支出</w:t>
      </w:r>
      <w:r>
        <w:rPr>
          <w:rFonts w:hint="eastAsia" w:ascii="仿宋_GB2312" w:eastAsia="仿宋_GB2312"/>
          <w:bCs/>
          <w:kern w:val="44"/>
          <w:sz w:val="32"/>
          <w:szCs w:val="32"/>
          <w:lang w:eastAsia="zh-CN"/>
        </w:rPr>
        <w:t>率提升。进一步完善杂志发行发放台账管理机制，加强</w:t>
      </w:r>
      <w:r>
        <w:rPr>
          <w:rFonts w:hint="eastAsia" w:ascii="仿宋_GB2312" w:eastAsia="仿宋_GB2312"/>
          <w:bCs/>
          <w:kern w:val="44"/>
          <w:sz w:val="32"/>
          <w:szCs w:val="32"/>
        </w:rPr>
        <w:t>统计分析</w:t>
      </w:r>
      <w:r>
        <w:rPr>
          <w:rFonts w:hint="eastAsia" w:ascii="仿宋_GB2312" w:eastAsia="仿宋_GB2312"/>
          <w:bCs/>
          <w:kern w:val="44"/>
          <w:sz w:val="32"/>
          <w:szCs w:val="32"/>
          <w:lang w:eastAsia="zh-CN"/>
        </w:rPr>
        <w:t>。加强对</w:t>
      </w:r>
      <w:r>
        <w:rPr>
          <w:rFonts w:hint="eastAsia" w:ascii="仿宋_GB2312" w:eastAsia="仿宋_GB2312"/>
          <w:bCs/>
          <w:kern w:val="44"/>
          <w:sz w:val="32"/>
          <w:szCs w:val="32"/>
        </w:rPr>
        <w:t>读者满意度调查</w:t>
      </w:r>
      <w:r>
        <w:rPr>
          <w:rFonts w:hint="eastAsia" w:ascii="仿宋_GB2312" w:eastAsia="仿宋_GB2312"/>
          <w:bCs/>
          <w:kern w:val="44"/>
          <w:sz w:val="32"/>
          <w:szCs w:val="32"/>
          <w:lang w:eastAsia="zh-CN"/>
        </w:rPr>
        <w:t>和</w:t>
      </w:r>
      <w:r>
        <w:rPr>
          <w:rFonts w:hint="eastAsia" w:ascii="仿宋_GB2312" w:eastAsia="仿宋_GB2312"/>
          <w:bCs/>
          <w:kern w:val="44"/>
          <w:sz w:val="32"/>
          <w:szCs w:val="32"/>
        </w:rPr>
        <w:t>资料</w:t>
      </w:r>
      <w:r>
        <w:rPr>
          <w:rFonts w:hint="eastAsia" w:ascii="仿宋_GB2312" w:eastAsia="仿宋_GB2312"/>
          <w:bCs/>
          <w:kern w:val="44"/>
          <w:sz w:val="32"/>
          <w:szCs w:val="32"/>
          <w:lang w:eastAsia="zh-CN"/>
        </w:rPr>
        <w:t>的留存</w:t>
      </w:r>
      <w:r>
        <w:rPr>
          <w:rFonts w:hint="eastAsia" w:ascii="仿宋_GB2312" w:eastAsia="仿宋_GB2312"/>
          <w:bCs/>
          <w:kern w:val="44"/>
          <w:sz w:val="32"/>
          <w:szCs w:val="32"/>
        </w:rPr>
        <w:t>。</w:t>
      </w:r>
    </w:p>
    <w:p w14:paraId="67BD8C9C">
      <w:pPr>
        <w:spacing w:line="560" w:lineRule="exact"/>
        <w:ind w:firstLine="640" w:firstLineChars="200"/>
        <w:rPr>
          <w:rFonts w:hint="eastAsia" w:ascii="黑体" w:hAnsi="黑体" w:eastAsia="黑体" w:cs="黑体"/>
          <w:bCs/>
          <w:kern w:val="44"/>
          <w:sz w:val="32"/>
          <w:szCs w:val="32"/>
        </w:rPr>
      </w:pPr>
      <w:bookmarkStart w:id="21" w:name="_Toc21626"/>
      <w:r>
        <w:rPr>
          <w:rFonts w:hint="eastAsia" w:ascii="黑体" w:hAnsi="黑体" w:eastAsia="黑体" w:cs="黑体"/>
          <w:bCs/>
          <w:kern w:val="44"/>
          <w:sz w:val="32"/>
          <w:szCs w:val="32"/>
          <w:lang w:eastAsia="zh-CN"/>
        </w:rPr>
        <w:t>六、相</w:t>
      </w:r>
      <w:r>
        <w:rPr>
          <w:rFonts w:hint="eastAsia" w:ascii="黑体" w:hAnsi="黑体" w:eastAsia="黑体" w:cs="黑体"/>
          <w:bCs/>
          <w:kern w:val="44"/>
          <w:sz w:val="32"/>
          <w:szCs w:val="32"/>
        </w:rPr>
        <w:t>关建议</w:t>
      </w:r>
      <w:bookmarkEnd w:id="21"/>
    </w:p>
    <w:p w14:paraId="38735A51">
      <w:pPr>
        <w:pStyle w:val="3"/>
        <w:keepNext w:val="0"/>
        <w:keepLines w:val="0"/>
        <w:spacing w:before="0" w:after="0" w:line="560" w:lineRule="exact"/>
        <w:ind w:firstLine="640" w:firstLineChars="200"/>
        <w:rPr>
          <w:rFonts w:hint="eastAsia" w:ascii="楷体" w:hAnsi="楷体" w:eastAsia="楷体" w:cs="楷体"/>
          <w:b w:val="0"/>
          <w:bCs w:val="0"/>
          <w:kern w:val="44"/>
        </w:rPr>
      </w:pPr>
      <w:bookmarkStart w:id="22" w:name="_Toc313550488"/>
      <w:bookmarkStart w:id="23" w:name="_Toc27760"/>
      <w:bookmarkStart w:id="24" w:name="_Toc7313"/>
      <w:bookmarkStart w:id="25" w:name="_Toc12008"/>
      <w:bookmarkStart w:id="26" w:name="_Toc17153"/>
      <w:r>
        <w:rPr>
          <w:rFonts w:hint="eastAsia" w:ascii="楷体_GB2312" w:hAnsi="楷体_GB2312" w:eastAsia="楷体_GB2312" w:cs="楷体_GB2312"/>
          <w:b w:val="0"/>
          <w:bCs w:val="0"/>
          <w:kern w:val="44"/>
        </w:rPr>
        <w:t>（一）科学设置绩效目标</w:t>
      </w:r>
      <w:bookmarkEnd w:id="22"/>
      <w:bookmarkEnd w:id="23"/>
      <w:bookmarkEnd w:id="24"/>
      <w:bookmarkEnd w:id="25"/>
      <w:bookmarkEnd w:id="26"/>
    </w:p>
    <w:p w14:paraId="5A148D3D">
      <w:pPr>
        <w:spacing w:line="560" w:lineRule="exact"/>
        <w:ind w:firstLine="640" w:firstLineChars="200"/>
        <w:rPr>
          <w:rFonts w:hint="eastAsia"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rPr>
        <w:t>建议科学、合理设置总体绩效目标，细化、量化各分项绩效指标，提高绩效目标设定的科学性、合理性、可衡量性。时效指标明确各阶段性任务的时间节点，</w:t>
      </w:r>
      <w:r>
        <w:rPr>
          <w:rFonts w:hint="eastAsia" w:ascii="仿宋_GB2312" w:eastAsia="仿宋_GB2312"/>
          <w:bCs/>
          <w:kern w:val="44"/>
          <w:sz w:val="32"/>
          <w:szCs w:val="32"/>
          <w:lang w:val="en-US" w:eastAsia="zh-CN"/>
        </w:rPr>
        <w:t>建议对近几年年杂志的发行和征订使用等情况进行分析，优化指标设置，确保任务按计划完成，提高目标达成率。</w:t>
      </w:r>
    </w:p>
    <w:p w14:paraId="3A15B0B2">
      <w:pPr>
        <w:pStyle w:val="3"/>
        <w:keepNext w:val="0"/>
        <w:keepLines w:val="0"/>
        <w:spacing w:before="0" w:after="0" w:line="560" w:lineRule="exact"/>
        <w:ind w:firstLine="640" w:firstLineChars="200"/>
        <w:rPr>
          <w:rFonts w:hint="eastAsia" w:ascii="楷体_GB2312" w:hAnsi="楷体_GB2312" w:eastAsia="楷体_GB2312" w:cs="楷体_GB2312"/>
          <w:b w:val="0"/>
          <w:bCs w:val="0"/>
          <w:kern w:val="44"/>
          <w:lang w:val="en-US" w:eastAsia="zh-CN"/>
        </w:rPr>
      </w:pPr>
      <w:r>
        <w:rPr>
          <w:rFonts w:hint="eastAsia" w:ascii="楷体_GB2312" w:hAnsi="楷体_GB2312" w:eastAsia="楷体_GB2312" w:cs="楷体_GB2312"/>
          <w:b w:val="0"/>
          <w:bCs w:val="0"/>
          <w:kern w:val="44"/>
          <w:lang w:val="en-US" w:eastAsia="zh-CN"/>
        </w:rPr>
        <w:t>（二）进一步完善管理制度，提高精细化管理水平</w:t>
      </w:r>
    </w:p>
    <w:p w14:paraId="33F109EE">
      <w:pPr>
        <w:spacing w:line="560" w:lineRule="exact"/>
        <w:ind w:firstLine="640" w:firstLineChars="200"/>
        <w:rPr>
          <w:rFonts w:hint="eastAsia"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lang w:val="en-US" w:eastAsia="zh-CN"/>
        </w:rPr>
        <w:t>建议及时修订、完善相关业务制度，对“三审三校”各环节作出清晰、统一的界定。细化台账管理，加强中文刊和增刊发放征订的统计分析，确保数据完整准确。推进数字化建设。加强服务对象满意度调查相关工作，注重读者满意度资料的收集和分析，为提升项目质量提供依据。</w:t>
      </w:r>
    </w:p>
    <w:p w14:paraId="6D961FE6">
      <w:pPr>
        <w:spacing w:line="560" w:lineRule="exact"/>
        <w:ind w:firstLine="640" w:firstLineChars="200"/>
        <w:rPr>
          <w:rFonts w:hint="eastAsia" w:ascii="黑体" w:hAnsi="黑体" w:eastAsia="黑体" w:cs="黑体"/>
          <w:bCs/>
          <w:kern w:val="44"/>
          <w:sz w:val="32"/>
          <w:szCs w:val="32"/>
          <w:lang w:eastAsia="zh-CN"/>
        </w:rPr>
      </w:pPr>
      <w:bookmarkStart w:id="27" w:name="_Toc27978"/>
      <w:r>
        <w:rPr>
          <w:rFonts w:hint="eastAsia" w:ascii="黑体" w:hAnsi="黑体" w:eastAsia="黑体" w:cs="黑体"/>
          <w:bCs/>
          <w:kern w:val="44"/>
          <w:sz w:val="32"/>
          <w:szCs w:val="32"/>
          <w:lang w:eastAsia="zh-CN"/>
        </w:rPr>
        <w:t>七、其他需要说明的问题</w:t>
      </w:r>
      <w:bookmarkEnd w:id="27"/>
    </w:p>
    <w:p w14:paraId="256308C7">
      <w:pPr>
        <w:spacing w:line="560" w:lineRule="exact"/>
        <w:ind w:firstLine="640" w:firstLineChars="200"/>
        <w:rPr>
          <w:rFonts w:hint="eastAsia"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rPr>
        <w:t>无。</w:t>
      </w:r>
    </w:p>
    <w:p w14:paraId="61C535D2">
      <w:pPr>
        <w:spacing w:line="560" w:lineRule="exact"/>
        <w:ind w:firstLine="640" w:firstLineChars="200"/>
        <w:rPr>
          <w:rFonts w:hint="eastAsia" w:ascii="仿宋_GB2312" w:hAnsi="仿宋_GB2312" w:eastAsia="仿宋_GB2312" w:cs="仿宋_GB2312"/>
          <w:bCs/>
          <w:kern w:val="44"/>
          <w:sz w:val="32"/>
          <w:szCs w:val="32"/>
        </w:rPr>
      </w:pPr>
    </w:p>
    <w:p w14:paraId="0FA700FB">
      <w:pPr>
        <w:spacing w:line="560" w:lineRule="exact"/>
        <w:ind w:firstLine="640" w:firstLineChars="200"/>
        <w:rPr>
          <w:rFonts w:hint="eastAsia" w:ascii="仿宋_GB2312" w:hAnsi="仿宋_GB2312" w:eastAsia="仿宋_GB2312" w:cs="仿宋_GB2312"/>
          <w:bCs/>
          <w:kern w:val="44"/>
          <w:sz w:val="32"/>
          <w:szCs w:val="32"/>
        </w:rPr>
      </w:pPr>
    </w:p>
    <w:p w14:paraId="425548EA">
      <w:pPr>
        <w:spacing w:line="560" w:lineRule="exact"/>
        <w:ind w:firstLine="640" w:firstLineChars="200"/>
        <w:rPr>
          <w:rFonts w:hint="eastAsia" w:ascii="仿宋_GB2312" w:hAnsi="仿宋_GB2312" w:eastAsia="仿宋_GB2312" w:cs="仿宋_GB2312"/>
          <w:bCs/>
          <w:kern w:val="44"/>
          <w:sz w:val="32"/>
          <w:szCs w:val="32"/>
        </w:rPr>
      </w:pPr>
    </w:p>
    <w:p w14:paraId="5DE4FB14">
      <w:pPr>
        <w:spacing w:line="560" w:lineRule="exact"/>
        <w:ind w:firstLine="640" w:firstLineChars="200"/>
        <w:rPr>
          <w:rFonts w:hint="eastAsia" w:ascii="仿宋_GB2312" w:hAnsi="仿宋_GB2312" w:eastAsia="仿宋_GB2312" w:cs="仿宋_GB2312"/>
          <w:bCs/>
          <w:kern w:val="44"/>
          <w:sz w:val="32"/>
          <w:szCs w:val="32"/>
        </w:rPr>
      </w:pPr>
    </w:p>
    <w:tbl>
      <w:tblPr>
        <w:tblStyle w:val="13"/>
        <w:tblpPr w:leftFromText="180" w:rightFromText="180" w:vertAnchor="text" w:horzAnchor="page" w:tblpX="401" w:tblpY="554"/>
        <w:tblOverlap w:val="never"/>
        <w:tblW w:w="110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9"/>
        <w:gridCol w:w="1253"/>
        <w:gridCol w:w="1488"/>
        <w:gridCol w:w="3568"/>
        <w:gridCol w:w="1306"/>
        <w:gridCol w:w="964"/>
        <w:gridCol w:w="1472"/>
      </w:tblGrid>
      <w:tr w14:paraId="43FB0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9" w:hRule="atLeast"/>
        </w:trPr>
        <w:tc>
          <w:tcPr>
            <w:tcW w:w="11080" w:type="dxa"/>
            <w:gridSpan w:val="7"/>
            <w:vMerge w:val="restart"/>
            <w:tcBorders>
              <w:top w:val="nil"/>
              <w:left w:val="nil"/>
              <w:bottom w:val="nil"/>
              <w:right w:val="nil"/>
            </w:tcBorders>
            <w:shd w:val="clear" w:color="auto" w:fill="auto"/>
            <w:vAlign w:val="center"/>
          </w:tcPr>
          <w:p w14:paraId="73C96449">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项目指标体系及专家评价情况表</w:t>
            </w:r>
          </w:p>
        </w:tc>
      </w:tr>
      <w:tr w14:paraId="18F8C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 w:hRule="atLeast"/>
        </w:trPr>
        <w:tc>
          <w:tcPr>
            <w:tcW w:w="11080" w:type="dxa"/>
            <w:gridSpan w:val="7"/>
            <w:vMerge w:val="continue"/>
            <w:tcBorders>
              <w:top w:val="nil"/>
              <w:left w:val="nil"/>
              <w:bottom w:val="nil"/>
              <w:right w:val="nil"/>
            </w:tcBorders>
            <w:shd w:val="clear" w:color="auto" w:fill="auto"/>
            <w:vAlign w:val="center"/>
          </w:tcPr>
          <w:p w14:paraId="000755A2">
            <w:pPr>
              <w:jc w:val="center"/>
              <w:rPr>
                <w:rFonts w:hint="eastAsia" w:ascii="宋体" w:hAnsi="宋体" w:eastAsia="宋体" w:cs="宋体"/>
                <w:b/>
                <w:bCs/>
                <w:i w:val="0"/>
                <w:iCs w:val="0"/>
                <w:color w:val="000000"/>
                <w:sz w:val="28"/>
                <w:szCs w:val="28"/>
                <w:u w:val="none"/>
              </w:rPr>
            </w:pPr>
          </w:p>
        </w:tc>
      </w:tr>
      <w:tr w14:paraId="08132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1080" w:type="dxa"/>
            <w:gridSpan w:val="7"/>
            <w:tcBorders>
              <w:top w:val="nil"/>
              <w:left w:val="nil"/>
              <w:bottom w:val="nil"/>
              <w:right w:val="nil"/>
            </w:tcBorders>
            <w:shd w:val="clear" w:color="auto" w:fill="auto"/>
            <w:vAlign w:val="center"/>
          </w:tcPr>
          <w:p w14:paraId="74350DB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项目名称：《中国特色社会主义研究》杂志编辑发行业务经费</w:t>
            </w:r>
          </w:p>
        </w:tc>
      </w:tr>
      <w:tr w14:paraId="3C782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1" w:hRule="atLeast"/>
        </w:trPr>
        <w:tc>
          <w:tcPr>
            <w:tcW w:w="10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892A3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55AE9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指标</w:t>
            </w:r>
          </w:p>
        </w:tc>
        <w:tc>
          <w:tcPr>
            <w:tcW w:w="14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D75D2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CDB31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四级指标</w:t>
            </w:r>
          </w:p>
        </w:tc>
        <w:tc>
          <w:tcPr>
            <w:tcW w:w="130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38B69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分值</w:t>
            </w:r>
          </w:p>
        </w:tc>
        <w:tc>
          <w:tcPr>
            <w:tcW w:w="96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E06DD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评价得分</w:t>
            </w:r>
          </w:p>
        </w:tc>
        <w:tc>
          <w:tcPr>
            <w:tcW w:w="14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6E2D1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专家意见</w:t>
            </w:r>
          </w:p>
        </w:tc>
      </w:tr>
      <w:tr w14:paraId="648EC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9EB8EA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决策</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（15分）　</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8829E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（5分）　</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E6FF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立项依据充分性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0162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项目立项符合国家法律法规、国民经济发展规划和相关政策</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88E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56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7D497">
            <w:pPr>
              <w:jc w:val="center"/>
              <w:rPr>
                <w:rFonts w:hint="eastAsia" w:ascii="宋体" w:hAnsi="宋体" w:eastAsia="宋体" w:cs="宋体"/>
                <w:i w:val="0"/>
                <w:iCs w:val="0"/>
                <w:color w:val="000000"/>
                <w:sz w:val="20"/>
                <w:szCs w:val="20"/>
                <w:u w:val="none"/>
              </w:rPr>
            </w:pPr>
          </w:p>
        </w:tc>
      </w:tr>
      <w:tr w14:paraId="68B81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4B3E86">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936B75">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4F8E4DB">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67E82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项目立项符合行业发展规划和政策要求</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8C3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08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0.54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0F7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相关资料可进一步归集</w:t>
            </w:r>
          </w:p>
        </w:tc>
      </w:tr>
      <w:tr w14:paraId="2D9C0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5F524A">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0CDFF51">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573BFF">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3D4A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项目立项与部门职责范围相符，属于部门履职所需</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85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53D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E068A">
            <w:pPr>
              <w:jc w:val="center"/>
              <w:rPr>
                <w:rFonts w:hint="eastAsia" w:ascii="宋体" w:hAnsi="宋体" w:eastAsia="宋体" w:cs="宋体"/>
                <w:i w:val="0"/>
                <w:iCs w:val="0"/>
                <w:color w:val="000000"/>
                <w:sz w:val="20"/>
                <w:szCs w:val="20"/>
                <w:u w:val="none"/>
              </w:rPr>
            </w:pPr>
          </w:p>
        </w:tc>
      </w:tr>
      <w:tr w14:paraId="6660D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CAE89B">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CFCA69">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6966AE">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6FAF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项目属于公共财政支持范围，符合中央、地方事权支出责任划分原则</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95E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3CA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646BD">
            <w:pPr>
              <w:jc w:val="center"/>
              <w:rPr>
                <w:rFonts w:hint="eastAsia" w:ascii="宋体" w:hAnsi="宋体" w:eastAsia="宋体" w:cs="宋体"/>
                <w:i w:val="0"/>
                <w:iCs w:val="0"/>
                <w:color w:val="000000"/>
                <w:sz w:val="20"/>
                <w:szCs w:val="20"/>
                <w:u w:val="none"/>
              </w:rPr>
            </w:pPr>
          </w:p>
        </w:tc>
      </w:tr>
      <w:tr w14:paraId="4ED8F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81F1F9B">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40C663D">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5C03FB">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F2FFB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项目不与相关部门同类项目或部门内部相关项目重复</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7FE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C2A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D063">
            <w:pPr>
              <w:jc w:val="center"/>
              <w:rPr>
                <w:rFonts w:hint="eastAsia" w:ascii="宋体" w:hAnsi="宋体" w:eastAsia="宋体" w:cs="宋体"/>
                <w:i w:val="0"/>
                <w:iCs w:val="0"/>
                <w:color w:val="000000"/>
                <w:sz w:val="20"/>
                <w:szCs w:val="20"/>
                <w:u w:val="none"/>
              </w:rPr>
            </w:pPr>
          </w:p>
        </w:tc>
      </w:tr>
      <w:tr w14:paraId="7416D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8935CBA">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FDFE15">
            <w:pPr>
              <w:jc w:val="center"/>
              <w:rPr>
                <w:rFonts w:hint="eastAsia" w:ascii="宋体" w:hAnsi="宋体" w:eastAsia="宋体" w:cs="宋体"/>
                <w:i w:val="0"/>
                <w:iCs w:val="0"/>
                <w:color w:val="000000"/>
                <w:sz w:val="20"/>
                <w:szCs w:val="20"/>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2F57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立项程序规范性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1BDB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项目按照规定的程序申请设立</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F63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43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A3AE9">
            <w:pPr>
              <w:jc w:val="center"/>
              <w:rPr>
                <w:rFonts w:hint="eastAsia" w:ascii="宋体" w:hAnsi="宋体" w:eastAsia="宋体" w:cs="宋体"/>
                <w:i w:val="0"/>
                <w:iCs w:val="0"/>
                <w:color w:val="000000"/>
                <w:sz w:val="20"/>
                <w:szCs w:val="20"/>
                <w:u w:val="none"/>
              </w:rPr>
            </w:pPr>
          </w:p>
        </w:tc>
      </w:tr>
      <w:tr w14:paraId="5FB97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B7DE81B">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77A2D2">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4591EE">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421B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审批文件、材料符合相关要求</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504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3A9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F06F1">
            <w:pPr>
              <w:jc w:val="center"/>
              <w:rPr>
                <w:rFonts w:hint="eastAsia" w:ascii="宋体" w:hAnsi="宋体" w:eastAsia="宋体" w:cs="宋体"/>
                <w:i w:val="0"/>
                <w:iCs w:val="0"/>
                <w:color w:val="000000"/>
                <w:sz w:val="20"/>
                <w:szCs w:val="20"/>
                <w:u w:val="none"/>
              </w:rPr>
            </w:pPr>
          </w:p>
        </w:tc>
      </w:tr>
      <w:tr w14:paraId="02229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D1349FE">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AE3D65">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627BE8">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1381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事前已经过必要的可行性研究、专家论证、风险评估、绩效评估、集体决策</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A3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B09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0.90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51111">
            <w:pPr>
              <w:jc w:val="center"/>
              <w:rPr>
                <w:rFonts w:hint="eastAsia" w:ascii="宋体" w:hAnsi="宋体" w:eastAsia="宋体" w:cs="宋体"/>
                <w:i w:val="0"/>
                <w:iCs w:val="0"/>
                <w:color w:val="000000"/>
                <w:sz w:val="20"/>
                <w:szCs w:val="20"/>
                <w:u w:val="none"/>
              </w:rPr>
            </w:pPr>
          </w:p>
        </w:tc>
      </w:tr>
      <w:tr w14:paraId="5CCAE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A57A5F3">
            <w:pPr>
              <w:jc w:val="center"/>
              <w:rPr>
                <w:rFonts w:hint="eastAsia" w:ascii="宋体" w:hAnsi="宋体" w:eastAsia="宋体" w:cs="宋体"/>
                <w:b/>
                <w:bCs/>
                <w:i w:val="0"/>
                <w:iCs w:val="0"/>
                <w:color w:val="000000"/>
                <w:sz w:val="20"/>
                <w:szCs w:val="20"/>
                <w:u w:val="none"/>
              </w:rPr>
            </w:pP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4E59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（6分）　</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952F0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绩效目标合理性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FC928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项目有绩效目标</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217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470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0.96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A9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绩效目标设置不够细化</w:t>
            </w:r>
          </w:p>
        </w:tc>
      </w:tr>
      <w:tr w14:paraId="5A92D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6628E48">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70905E">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28FB0A">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0C44F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项目绩效目标与实际工作内容具有相关性</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798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D9B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0.82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1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匹配性需要加强</w:t>
            </w:r>
          </w:p>
        </w:tc>
      </w:tr>
      <w:tr w14:paraId="430DF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72633B6">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035888">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4FE2EF">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B44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项目预期产出效益和效果符合正常的业绩水平</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F6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A4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0.44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8306D">
            <w:pPr>
              <w:jc w:val="center"/>
              <w:rPr>
                <w:rFonts w:hint="eastAsia" w:ascii="宋体" w:hAnsi="宋体" w:eastAsia="宋体" w:cs="宋体"/>
                <w:i w:val="0"/>
                <w:iCs w:val="0"/>
                <w:color w:val="000000"/>
                <w:sz w:val="20"/>
                <w:szCs w:val="20"/>
                <w:u w:val="none"/>
              </w:rPr>
            </w:pPr>
          </w:p>
        </w:tc>
      </w:tr>
      <w:tr w14:paraId="58F57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1FA0E7">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AAC95EF">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E3B1557">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37AF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与预算确定的项目投资额或资金量相匹配</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850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FEC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0.36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937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准确性需要提升</w:t>
            </w:r>
          </w:p>
        </w:tc>
      </w:tr>
      <w:tr w14:paraId="0EE6F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9ACD8C">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0887302">
            <w:pPr>
              <w:jc w:val="center"/>
              <w:rPr>
                <w:rFonts w:hint="eastAsia" w:ascii="宋体" w:hAnsi="宋体" w:eastAsia="宋体" w:cs="宋体"/>
                <w:i w:val="0"/>
                <w:iCs w:val="0"/>
                <w:color w:val="000000"/>
                <w:sz w:val="20"/>
                <w:szCs w:val="20"/>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1683A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绩效指标明确性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02F7A5">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将项目绩效目标细化分解为具体的绩效指标</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8A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93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0.82 </w:t>
            </w:r>
          </w:p>
        </w:tc>
        <w:tc>
          <w:tcPr>
            <w:tcW w:w="14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7604F9">
            <w:pPr>
              <w:jc w:val="center"/>
              <w:rPr>
                <w:rFonts w:hint="eastAsia" w:ascii="宋体" w:hAnsi="宋体" w:eastAsia="宋体" w:cs="宋体"/>
                <w:i w:val="0"/>
                <w:iCs w:val="0"/>
                <w:color w:val="000000"/>
                <w:sz w:val="20"/>
                <w:szCs w:val="20"/>
                <w:u w:val="none"/>
              </w:rPr>
            </w:pPr>
          </w:p>
        </w:tc>
      </w:tr>
      <w:tr w14:paraId="2B23B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BE3F774">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8B8B94">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2E1BB5B">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B2AAA1">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通过清晰、可衡量的指标值予以体现</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CE1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A52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0.84 </w:t>
            </w:r>
          </w:p>
        </w:tc>
        <w:tc>
          <w:tcPr>
            <w:tcW w:w="14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80B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效益指标定性不够具体</w:t>
            </w:r>
          </w:p>
        </w:tc>
      </w:tr>
      <w:tr w14:paraId="7FE3A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4F28C3D">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DF6C7A">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568345F">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1A59C5">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与项目目标任务数或计划数相对应</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259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9A8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0.74 </w:t>
            </w:r>
          </w:p>
        </w:tc>
        <w:tc>
          <w:tcPr>
            <w:tcW w:w="147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FBD53E">
            <w:pPr>
              <w:jc w:val="center"/>
              <w:rPr>
                <w:rFonts w:hint="eastAsia" w:ascii="宋体" w:hAnsi="宋体" w:eastAsia="宋体" w:cs="宋体"/>
                <w:i w:val="0"/>
                <w:iCs w:val="0"/>
                <w:color w:val="000000"/>
                <w:sz w:val="20"/>
                <w:szCs w:val="20"/>
                <w:u w:val="none"/>
              </w:rPr>
            </w:pPr>
          </w:p>
        </w:tc>
      </w:tr>
      <w:tr w14:paraId="5DEC0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DF6393">
            <w:pPr>
              <w:jc w:val="center"/>
              <w:rPr>
                <w:rFonts w:hint="eastAsia" w:ascii="宋体" w:hAnsi="宋体" w:eastAsia="宋体" w:cs="宋体"/>
                <w:b/>
                <w:bCs/>
                <w:i w:val="0"/>
                <w:iCs w:val="0"/>
                <w:color w:val="000000"/>
                <w:sz w:val="20"/>
                <w:szCs w:val="20"/>
                <w:u w:val="none"/>
              </w:rPr>
            </w:pP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56140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资金投入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（4分）</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CAD5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预算编制科学性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0DF0D4">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预算编制经过科学论证</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06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E17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0.46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79D0A">
            <w:pPr>
              <w:jc w:val="center"/>
              <w:rPr>
                <w:rFonts w:hint="eastAsia" w:ascii="宋体" w:hAnsi="宋体" w:eastAsia="宋体" w:cs="宋体"/>
                <w:i w:val="0"/>
                <w:iCs w:val="0"/>
                <w:color w:val="000000"/>
                <w:sz w:val="20"/>
                <w:szCs w:val="20"/>
                <w:u w:val="none"/>
              </w:rPr>
            </w:pPr>
          </w:p>
        </w:tc>
      </w:tr>
      <w:tr w14:paraId="5D57B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523D84">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A37C80B">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109014F">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193769">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预算内容与项目内容匹配</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A4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F20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0.48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93C13">
            <w:pPr>
              <w:jc w:val="center"/>
              <w:rPr>
                <w:rFonts w:hint="eastAsia" w:ascii="宋体" w:hAnsi="宋体" w:eastAsia="宋体" w:cs="宋体"/>
                <w:i w:val="0"/>
                <w:iCs w:val="0"/>
                <w:color w:val="000000"/>
                <w:sz w:val="20"/>
                <w:szCs w:val="20"/>
                <w:u w:val="none"/>
              </w:rPr>
            </w:pPr>
          </w:p>
        </w:tc>
      </w:tr>
      <w:tr w14:paraId="623D9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835A31">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621F78">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2B4B06">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AD2CA3">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预算额度测算依据充分，按照标准编制</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B8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77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0.36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D414E">
            <w:pPr>
              <w:jc w:val="center"/>
              <w:rPr>
                <w:rFonts w:hint="eastAsia" w:ascii="宋体" w:hAnsi="宋体" w:eastAsia="宋体" w:cs="宋体"/>
                <w:i w:val="0"/>
                <w:iCs w:val="0"/>
                <w:color w:val="000000"/>
                <w:sz w:val="20"/>
                <w:szCs w:val="20"/>
                <w:u w:val="none"/>
              </w:rPr>
            </w:pPr>
          </w:p>
        </w:tc>
      </w:tr>
      <w:tr w14:paraId="295BE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04E400">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42C78E">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624F6C">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5C7F47">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预算确定的项目投资额或资金量与工作任务相匹配</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DDA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4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0.32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E7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预算编制准确性需要提升</w:t>
            </w:r>
          </w:p>
        </w:tc>
      </w:tr>
      <w:tr w14:paraId="7CC69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E99271">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B902EE">
            <w:pPr>
              <w:jc w:val="center"/>
              <w:rPr>
                <w:rFonts w:hint="eastAsia" w:ascii="宋体" w:hAnsi="宋体" w:eastAsia="宋体" w:cs="宋体"/>
                <w:i w:val="0"/>
                <w:iCs w:val="0"/>
                <w:color w:val="000000"/>
                <w:sz w:val="20"/>
                <w:szCs w:val="20"/>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EF76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资金分配合理性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3F526F">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预算资金分配依据充分</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1D7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A92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0.86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5177F">
            <w:pPr>
              <w:jc w:val="center"/>
              <w:rPr>
                <w:rFonts w:hint="eastAsia" w:ascii="宋体" w:hAnsi="宋体" w:eastAsia="宋体" w:cs="宋体"/>
                <w:i w:val="0"/>
                <w:iCs w:val="0"/>
                <w:color w:val="000000"/>
                <w:sz w:val="20"/>
                <w:szCs w:val="20"/>
                <w:u w:val="none"/>
              </w:rPr>
            </w:pPr>
          </w:p>
        </w:tc>
      </w:tr>
      <w:tr w14:paraId="50B164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26BC357">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1991F8B">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843DB04">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DC7FDE">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资金分配额度合理，与项目单位或地方实际相适应</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3E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99D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0.66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1E18B">
            <w:pPr>
              <w:jc w:val="center"/>
              <w:rPr>
                <w:rFonts w:hint="eastAsia" w:ascii="宋体" w:hAnsi="宋体" w:eastAsia="宋体" w:cs="宋体"/>
                <w:i w:val="0"/>
                <w:iCs w:val="0"/>
                <w:color w:val="000000"/>
                <w:sz w:val="20"/>
                <w:szCs w:val="20"/>
                <w:u w:val="none"/>
              </w:rPr>
            </w:pPr>
          </w:p>
        </w:tc>
      </w:tr>
      <w:tr w14:paraId="795AB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229A7D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过程</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（30分）</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18493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（15分）</w:t>
            </w:r>
          </w:p>
        </w:tc>
        <w:tc>
          <w:tcPr>
            <w:tcW w:w="14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B0C9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163301">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资金到位率=（实际到位资金/预算资金）×100%。财政资金到位的足额性</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C96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B87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4.60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85FB4">
            <w:pPr>
              <w:jc w:val="center"/>
              <w:rPr>
                <w:rFonts w:hint="eastAsia" w:ascii="宋体" w:hAnsi="宋体" w:eastAsia="宋体" w:cs="宋体"/>
                <w:i w:val="0"/>
                <w:iCs w:val="0"/>
                <w:color w:val="000000"/>
                <w:sz w:val="20"/>
                <w:szCs w:val="20"/>
                <w:u w:val="none"/>
              </w:rPr>
            </w:pPr>
          </w:p>
        </w:tc>
      </w:tr>
      <w:tr w14:paraId="44927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CEA9AB">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D92D74F">
            <w:pPr>
              <w:jc w:val="center"/>
              <w:rPr>
                <w:rFonts w:hint="eastAsia" w:ascii="宋体" w:hAnsi="宋体" w:eastAsia="宋体" w:cs="宋体"/>
                <w:i w:val="0"/>
                <w:iCs w:val="0"/>
                <w:color w:val="000000"/>
                <w:sz w:val="20"/>
                <w:szCs w:val="20"/>
                <w:u w:val="none"/>
              </w:rPr>
            </w:pPr>
          </w:p>
        </w:tc>
        <w:tc>
          <w:tcPr>
            <w:tcW w:w="14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D5B8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86B30">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预算执行率=（实际支出资金/实际到位资金）×100%。项目预算资金按照计划执行</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15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1B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2.60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156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预算执行率低</w:t>
            </w:r>
          </w:p>
        </w:tc>
      </w:tr>
      <w:tr w14:paraId="6D19E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B94192">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EB58B0">
            <w:pPr>
              <w:jc w:val="center"/>
              <w:rPr>
                <w:rFonts w:hint="eastAsia" w:ascii="宋体" w:hAnsi="宋体" w:eastAsia="宋体" w:cs="宋体"/>
                <w:i w:val="0"/>
                <w:iCs w:val="0"/>
                <w:color w:val="000000"/>
                <w:sz w:val="20"/>
                <w:szCs w:val="20"/>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E8CDD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EA3F58">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符合国家财经法规和财务管理制度以及有关专项资金管理办法的规定</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900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F3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A920F">
            <w:pPr>
              <w:jc w:val="center"/>
              <w:rPr>
                <w:rFonts w:hint="eastAsia" w:ascii="宋体" w:hAnsi="宋体" w:eastAsia="宋体" w:cs="宋体"/>
                <w:i w:val="0"/>
                <w:iCs w:val="0"/>
                <w:color w:val="000000"/>
                <w:sz w:val="20"/>
                <w:szCs w:val="20"/>
                <w:u w:val="none"/>
              </w:rPr>
            </w:pPr>
          </w:p>
        </w:tc>
      </w:tr>
      <w:tr w14:paraId="5C560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C96CB3">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733314">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CFED251">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30287F">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资金的拨付有完整的审批程序和手续</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A63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09F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0.90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42EA">
            <w:pPr>
              <w:jc w:val="center"/>
              <w:rPr>
                <w:rFonts w:hint="eastAsia" w:ascii="宋体" w:hAnsi="宋体" w:eastAsia="宋体" w:cs="宋体"/>
                <w:i w:val="0"/>
                <w:iCs w:val="0"/>
                <w:color w:val="000000"/>
                <w:sz w:val="20"/>
                <w:szCs w:val="20"/>
                <w:u w:val="none"/>
              </w:rPr>
            </w:pPr>
          </w:p>
        </w:tc>
      </w:tr>
      <w:tr w14:paraId="2208C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BFFA60">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B848BB">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D06F353">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731811">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符合项目预算批复或合同规定的用途</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2AE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D77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0.86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40F36">
            <w:pPr>
              <w:jc w:val="center"/>
              <w:rPr>
                <w:rFonts w:hint="eastAsia" w:ascii="宋体" w:hAnsi="宋体" w:eastAsia="宋体" w:cs="宋体"/>
                <w:i w:val="0"/>
                <w:iCs w:val="0"/>
                <w:color w:val="000000"/>
                <w:sz w:val="20"/>
                <w:szCs w:val="20"/>
                <w:u w:val="none"/>
              </w:rPr>
            </w:pPr>
          </w:p>
        </w:tc>
      </w:tr>
      <w:tr w14:paraId="53F0C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FDC481">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FA1188">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0AA3C76">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A3B41C">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不存在截留、挤占、挪用、虚列支出等情况</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074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243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6699">
            <w:pPr>
              <w:jc w:val="center"/>
              <w:rPr>
                <w:rFonts w:hint="eastAsia" w:ascii="宋体" w:hAnsi="宋体" w:eastAsia="宋体" w:cs="宋体"/>
                <w:i w:val="0"/>
                <w:iCs w:val="0"/>
                <w:color w:val="000000"/>
                <w:sz w:val="20"/>
                <w:szCs w:val="20"/>
                <w:u w:val="none"/>
              </w:rPr>
            </w:pPr>
          </w:p>
        </w:tc>
      </w:tr>
      <w:tr w14:paraId="3ED33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F208972">
            <w:pPr>
              <w:jc w:val="center"/>
              <w:rPr>
                <w:rFonts w:hint="eastAsia" w:ascii="宋体" w:hAnsi="宋体" w:eastAsia="宋体" w:cs="宋体"/>
                <w:b/>
                <w:bCs/>
                <w:i w:val="0"/>
                <w:iCs w:val="0"/>
                <w:color w:val="000000"/>
                <w:sz w:val="20"/>
                <w:szCs w:val="20"/>
                <w:u w:val="none"/>
              </w:rPr>
            </w:pP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49CB0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组织实施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（15分）</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23E5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D7C94">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已制定或具有相应的财务和业务管理制度</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9D8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1B5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5F7C9">
            <w:pPr>
              <w:jc w:val="center"/>
              <w:rPr>
                <w:rFonts w:hint="eastAsia" w:ascii="宋体" w:hAnsi="宋体" w:eastAsia="宋体" w:cs="宋体"/>
                <w:i w:val="0"/>
                <w:iCs w:val="0"/>
                <w:color w:val="000000"/>
                <w:sz w:val="20"/>
                <w:szCs w:val="20"/>
                <w:u w:val="none"/>
              </w:rPr>
            </w:pPr>
          </w:p>
        </w:tc>
      </w:tr>
      <w:tr w14:paraId="3B626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0100E74">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981CA59">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CFB69C">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F7394">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财务和业务管理制度合法、合规、完整</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86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EB6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2.50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07466">
            <w:pPr>
              <w:jc w:val="center"/>
              <w:rPr>
                <w:rFonts w:hint="eastAsia" w:ascii="宋体" w:hAnsi="宋体" w:eastAsia="宋体" w:cs="宋体"/>
                <w:i w:val="0"/>
                <w:iCs w:val="0"/>
                <w:color w:val="000000"/>
                <w:sz w:val="20"/>
                <w:szCs w:val="20"/>
                <w:u w:val="none"/>
              </w:rPr>
            </w:pPr>
          </w:p>
        </w:tc>
      </w:tr>
      <w:tr w14:paraId="7F3B6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0A9E2D5">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7664FAC">
            <w:pPr>
              <w:jc w:val="center"/>
              <w:rPr>
                <w:rFonts w:hint="eastAsia" w:ascii="宋体" w:hAnsi="宋体" w:eastAsia="宋体" w:cs="宋体"/>
                <w:i w:val="0"/>
                <w:iCs w:val="0"/>
                <w:color w:val="000000"/>
                <w:sz w:val="20"/>
                <w:szCs w:val="20"/>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F7F2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制度执行有效性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FD5048">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遵守相关法律法规和相关管理规定</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679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B6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BEC0E">
            <w:pPr>
              <w:jc w:val="center"/>
              <w:rPr>
                <w:rFonts w:hint="eastAsia" w:ascii="宋体" w:hAnsi="宋体" w:eastAsia="宋体" w:cs="宋体"/>
                <w:i w:val="0"/>
                <w:iCs w:val="0"/>
                <w:color w:val="000000"/>
                <w:sz w:val="20"/>
                <w:szCs w:val="20"/>
                <w:u w:val="none"/>
              </w:rPr>
            </w:pPr>
          </w:p>
        </w:tc>
      </w:tr>
      <w:tr w14:paraId="228E9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EDC9CF5">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C29C8A3">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9481E99">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410A6B">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项目调整及支出调整手续完备</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753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CD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3B0C3">
            <w:pPr>
              <w:jc w:val="center"/>
              <w:rPr>
                <w:rFonts w:hint="eastAsia" w:ascii="宋体" w:hAnsi="宋体" w:eastAsia="宋体" w:cs="宋体"/>
                <w:i w:val="0"/>
                <w:iCs w:val="0"/>
                <w:color w:val="000000"/>
                <w:sz w:val="20"/>
                <w:szCs w:val="20"/>
                <w:u w:val="none"/>
              </w:rPr>
            </w:pPr>
          </w:p>
        </w:tc>
      </w:tr>
      <w:tr w14:paraId="4DBFE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0FD213">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906C70C">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E673BC8">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7452D6">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项目合同书、验收报告、技术鉴定等资料齐全并及时归档</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820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904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1.70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73A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项目验收的材料需完善；重注绩效资料的收集和整理</w:t>
            </w:r>
          </w:p>
        </w:tc>
      </w:tr>
      <w:tr w14:paraId="11D5E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B465235">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502D2A">
            <w:pPr>
              <w:jc w:val="center"/>
              <w:rPr>
                <w:rFonts w:hint="eastAsia" w:ascii="宋体" w:hAnsi="宋体" w:eastAsia="宋体" w:cs="宋体"/>
                <w:i w:val="0"/>
                <w:iCs w:val="0"/>
                <w:color w:val="000000"/>
                <w:sz w:val="20"/>
                <w:szCs w:val="20"/>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CE55E18">
            <w:pPr>
              <w:jc w:val="center"/>
              <w:rPr>
                <w:rFonts w:hint="eastAsia" w:ascii="宋体" w:hAnsi="宋体" w:eastAsia="宋体" w:cs="宋体"/>
                <w:i w:val="0"/>
                <w:iCs w:val="0"/>
                <w:color w:val="000000"/>
                <w:sz w:val="20"/>
                <w:szCs w:val="20"/>
                <w:u w:val="none"/>
              </w:rPr>
            </w:pP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FF040A">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项目实施的人员条件、场地设备、信息支撑等落实到位</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211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4BC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1.90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4272">
            <w:pPr>
              <w:jc w:val="center"/>
              <w:rPr>
                <w:rFonts w:hint="eastAsia" w:ascii="宋体" w:hAnsi="宋体" w:eastAsia="宋体" w:cs="宋体"/>
                <w:i w:val="0"/>
                <w:iCs w:val="0"/>
                <w:color w:val="000000"/>
                <w:sz w:val="20"/>
                <w:szCs w:val="20"/>
                <w:u w:val="none"/>
              </w:rPr>
            </w:pPr>
          </w:p>
        </w:tc>
      </w:tr>
      <w:tr w14:paraId="2316C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E8A51F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产出</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（30分）</w:t>
            </w: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E31E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产出数量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（9分）</w:t>
            </w:r>
          </w:p>
        </w:tc>
        <w:tc>
          <w:tcPr>
            <w:tcW w:w="14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6E7A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9CD4E0">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实际完成率=（实际产出数/计划产出数）×100%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F7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6CB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6.50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4D0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实际与计划存在偏差</w:t>
            </w:r>
          </w:p>
        </w:tc>
      </w:tr>
      <w:tr w14:paraId="1DBB0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DDAE5F">
            <w:pPr>
              <w:jc w:val="center"/>
              <w:rPr>
                <w:rFonts w:hint="eastAsia" w:ascii="宋体" w:hAnsi="宋体" w:eastAsia="宋体" w:cs="宋体"/>
                <w:b/>
                <w:bCs/>
                <w:i w:val="0"/>
                <w:iCs w:val="0"/>
                <w:color w:val="000000"/>
                <w:sz w:val="20"/>
                <w:szCs w:val="20"/>
                <w:u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E9D6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产出质量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（7分）</w:t>
            </w:r>
          </w:p>
        </w:tc>
        <w:tc>
          <w:tcPr>
            <w:tcW w:w="14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C1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质量达标率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6A88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质量达标率=（质量达标产出数/实际产出数）×100%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3B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047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6.80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4A2AB">
            <w:pPr>
              <w:jc w:val="center"/>
              <w:rPr>
                <w:rFonts w:hint="eastAsia" w:ascii="宋体" w:hAnsi="宋体" w:eastAsia="宋体" w:cs="宋体"/>
                <w:i w:val="0"/>
                <w:iCs w:val="0"/>
                <w:color w:val="000000"/>
                <w:sz w:val="20"/>
                <w:szCs w:val="20"/>
                <w:u w:val="none"/>
              </w:rPr>
            </w:pPr>
          </w:p>
        </w:tc>
      </w:tr>
      <w:tr w14:paraId="7FC0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125A813">
            <w:pPr>
              <w:jc w:val="center"/>
              <w:rPr>
                <w:rFonts w:hint="eastAsia" w:ascii="宋体" w:hAnsi="宋体" w:eastAsia="宋体" w:cs="宋体"/>
                <w:b/>
                <w:bCs/>
                <w:i w:val="0"/>
                <w:iCs w:val="0"/>
                <w:color w:val="000000"/>
                <w:sz w:val="20"/>
                <w:szCs w:val="20"/>
                <w:u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29E9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产出时效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（7分）</w:t>
            </w:r>
          </w:p>
        </w:tc>
        <w:tc>
          <w:tcPr>
            <w:tcW w:w="14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6B21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完成及时性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3EFF0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项目产出按照实施方案及时完成</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7C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78B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6.80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6ACD0">
            <w:pPr>
              <w:jc w:val="center"/>
              <w:rPr>
                <w:rFonts w:hint="eastAsia" w:ascii="宋体" w:hAnsi="宋体" w:eastAsia="宋体" w:cs="宋体"/>
                <w:i w:val="0"/>
                <w:iCs w:val="0"/>
                <w:color w:val="000000"/>
                <w:sz w:val="20"/>
                <w:szCs w:val="20"/>
                <w:u w:val="none"/>
              </w:rPr>
            </w:pPr>
          </w:p>
        </w:tc>
      </w:tr>
      <w:tr w14:paraId="388E7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B9F10B">
            <w:pPr>
              <w:jc w:val="center"/>
              <w:rPr>
                <w:rFonts w:hint="eastAsia" w:ascii="宋体" w:hAnsi="宋体" w:eastAsia="宋体" w:cs="宋体"/>
                <w:b/>
                <w:bCs/>
                <w:i w:val="0"/>
                <w:iCs w:val="0"/>
                <w:color w:val="000000"/>
                <w:sz w:val="20"/>
                <w:szCs w:val="20"/>
                <w:u w:val="none"/>
              </w:rPr>
            </w:pPr>
          </w:p>
        </w:tc>
        <w:tc>
          <w:tcPr>
            <w:tcW w:w="125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EA09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产出成本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（7分）</w:t>
            </w:r>
          </w:p>
        </w:tc>
        <w:tc>
          <w:tcPr>
            <w:tcW w:w="14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5F1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成本节约率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（7分）</w:t>
            </w:r>
          </w:p>
        </w:tc>
        <w:tc>
          <w:tcPr>
            <w:tcW w:w="356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05AE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成本节约率=[（计划成本-实际成本）/计划成本]×100%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31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400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6.00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0175F">
            <w:pPr>
              <w:jc w:val="center"/>
              <w:rPr>
                <w:rFonts w:hint="eastAsia" w:ascii="宋体" w:hAnsi="宋体" w:eastAsia="宋体" w:cs="宋体"/>
                <w:i w:val="0"/>
                <w:iCs w:val="0"/>
                <w:color w:val="000000"/>
                <w:sz w:val="20"/>
                <w:szCs w:val="20"/>
                <w:u w:val="none"/>
              </w:rPr>
            </w:pPr>
          </w:p>
        </w:tc>
      </w:tr>
      <w:tr w14:paraId="0D7B3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5900C2">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效益</w:t>
            </w:r>
            <w:r>
              <w:rPr>
                <w:rFonts w:hint="eastAsia" w:ascii="宋体" w:hAnsi="宋体" w:eastAsia="宋体" w:cs="宋体"/>
                <w:b/>
                <w:bCs/>
                <w:i w:val="0"/>
                <w:iCs w:val="0"/>
                <w:color w:val="000000"/>
                <w:kern w:val="0"/>
                <w:sz w:val="20"/>
                <w:szCs w:val="20"/>
                <w:u w:val="none"/>
                <w:lang w:val="en-US" w:eastAsia="zh-CN" w:bidi="ar"/>
              </w:rPr>
              <w:br w:type="textWrapping"/>
            </w:r>
            <w:r>
              <w:rPr>
                <w:rFonts w:hint="eastAsia" w:ascii="宋体" w:hAnsi="宋体" w:eastAsia="宋体" w:cs="宋体"/>
                <w:b/>
                <w:bCs/>
                <w:i w:val="0"/>
                <w:iCs w:val="0"/>
                <w:color w:val="000000"/>
                <w:kern w:val="0"/>
                <w:sz w:val="20"/>
                <w:szCs w:val="20"/>
                <w:u w:val="none"/>
                <w:lang w:val="en-US" w:eastAsia="zh-CN" w:bidi="ar"/>
              </w:rPr>
              <w:t>（25分）　</w:t>
            </w:r>
          </w:p>
        </w:tc>
        <w:tc>
          <w:tcPr>
            <w:tcW w:w="12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10E2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（25分）　</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D9C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3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F82A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对繁荣发展首都哲学社会科学起到了重要推进作用，协助促进社科基金成果转化，不断发掘优质社科理论研究成果，扶持青年专家学者学术成长</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3B5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7D7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8.20 </w:t>
            </w:r>
          </w:p>
        </w:tc>
        <w:tc>
          <w:tcPr>
            <w:tcW w:w="14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0C0F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项目实施过程中应注重绩效资料的收集和整理；专业影响力和国际传播力情况有待提升</w:t>
            </w:r>
          </w:p>
        </w:tc>
      </w:tr>
      <w:tr w14:paraId="2EE9D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5B1DB6">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6D762">
            <w:pPr>
              <w:jc w:val="center"/>
              <w:rPr>
                <w:rFonts w:hint="eastAsia" w:ascii="宋体" w:hAnsi="宋体" w:eastAsia="宋体" w:cs="宋体"/>
                <w:i w:val="0"/>
                <w:iCs w:val="0"/>
                <w:color w:val="000000"/>
                <w:sz w:val="20"/>
                <w:szCs w:val="20"/>
                <w:u w:val="none"/>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0D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3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C6B4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可持续影响及其程度</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C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95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8.20 </w:t>
            </w:r>
          </w:p>
        </w:tc>
        <w:tc>
          <w:tcPr>
            <w:tcW w:w="14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09F3E">
            <w:pPr>
              <w:jc w:val="center"/>
              <w:rPr>
                <w:rFonts w:hint="eastAsia" w:ascii="宋体" w:hAnsi="宋体" w:eastAsia="宋体" w:cs="宋体"/>
                <w:i w:val="0"/>
                <w:iCs w:val="0"/>
                <w:color w:val="000000"/>
                <w:sz w:val="20"/>
                <w:szCs w:val="20"/>
                <w:u w:val="none"/>
              </w:rPr>
            </w:pPr>
          </w:p>
        </w:tc>
      </w:tr>
      <w:tr w14:paraId="2EDAB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D714C9">
            <w:pPr>
              <w:jc w:val="center"/>
              <w:rPr>
                <w:rFonts w:hint="eastAsia" w:ascii="宋体" w:hAnsi="宋体" w:eastAsia="宋体" w:cs="宋体"/>
                <w:b/>
                <w:bCs/>
                <w:i w:val="0"/>
                <w:iCs w:val="0"/>
                <w:color w:val="000000"/>
                <w:sz w:val="20"/>
                <w:szCs w:val="20"/>
                <w:u w:val="none"/>
              </w:rPr>
            </w:pPr>
          </w:p>
        </w:tc>
        <w:tc>
          <w:tcPr>
            <w:tcW w:w="12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43C74">
            <w:pPr>
              <w:jc w:val="center"/>
              <w:rPr>
                <w:rFonts w:hint="eastAsia" w:ascii="宋体" w:hAnsi="宋体" w:eastAsia="宋体" w:cs="宋体"/>
                <w:i w:val="0"/>
                <w:iCs w:val="0"/>
                <w:color w:val="000000"/>
                <w:sz w:val="20"/>
                <w:szCs w:val="20"/>
                <w:u w:val="none"/>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B86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（5分）</w:t>
            </w:r>
          </w:p>
        </w:tc>
        <w:tc>
          <w:tcPr>
            <w:tcW w:w="35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953DD">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预期服务对象对项目实施的满意度</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FC9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625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3.60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A68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满意度相关材料需要进一步收集</w:t>
            </w:r>
          </w:p>
        </w:tc>
      </w:tr>
      <w:tr w14:paraId="121DC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73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5EB23F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997F7">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100.0 </w:t>
            </w:r>
          </w:p>
        </w:tc>
        <w:tc>
          <w:tcPr>
            <w:tcW w:w="9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FB1D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 xml:space="preserve">83.92 </w:t>
            </w:r>
          </w:p>
        </w:tc>
        <w:tc>
          <w:tcPr>
            <w:tcW w:w="14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1CE93">
            <w:pPr>
              <w:jc w:val="center"/>
              <w:rPr>
                <w:rFonts w:hint="eastAsia" w:ascii="宋体" w:hAnsi="宋体" w:eastAsia="宋体" w:cs="宋体"/>
                <w:b/>
                <w:bCs/>
                <w:i w:val="0"/>
                <w:iCs w:val="0"/>
                <w:color w:val="000000"/>
                <w:sz w:val="20"/>
                <w:szCs w:val="20"/>
                <w:u w:val="none"/>
              </w:rPr>
            </w:pPr>
          </w:p>
        </w:tc>
      </w:tr>
    </w:tbl>
    <w:p w14:paraId="58838C55">
      <w:pPr>
        <w:spacing w:line="560" w:lineRule="exact"/>
        <w:ind w:firstLine="640" w:firstLineChars="200"/>
        <w:rPr>
          <w:rFonts w:hint="eastAsia" w:ascii="仿宋_GB2312" w:hAnsi="仿宋_GB2312" w:eastAsia="仿宋_GB2312" w:cs="仿宋_GB2312"/>
          <w:bCs/>
          <w:kern w:val="44"/>
          <w:sz w:val="32"/>
          <w:szCs w:val="32"/>
        </w:rPr>
      </w:pPr>
    </w:p>
    <w:p w14:paraId="0F8A26CC">
      <w:pPr>
        <w:spacing w:line="560" w:lineRule="exact"/>
        <w:ind w:firstLine="640" w:firstLineChars="200"/>
        <w:rPr>
          <w:rFonts w:hint="eastAsia" w:ascii="仿宋_GB2312" w:hAnsi="仿宋_GB2312" w:eastAsia="仿宋_GB2312" w:cs="仿宋_GB2312"/>
          <w:bCs/>
          <w:kern w:val="44"/>
          <w:sz w:val="32"/>
          <w:szCs w:val="32"/>
        </w:rPr>
      </w:pPr>
    </w:p>
    <w:p w14:paraId="26F27C93">
      <w:pPr>
        <w:spacing w:line="560" w:lineRule="exact"/>
        <w:ind w:firstLine="640" w:firstLineChars="200"/>
        <w:rPr>
          <w:rFonts w:hint="eastAsia" w:ascii="仿宋_GB2312" w:hAnsi="仿宋_GB2312" w:eastAsia="仿宋_GB2312" w:cs="仿宋_GB2312"/>
          <w:bCs/>
          <w:kern w:val="4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D33BBF-A0E2-444A-BE62-9B11CC4F9E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embedRegular r:id="rId2" w:fontKey="{CEA0DA02-3FA3-4809-ACBC-B9CAE35AD05D}"/>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embedRegular r:id="rId3" w:fontKey="{841EE398-2B6C-41C4-8F69-49AC6DBDDAE6}"/>
  </w:font>
  <w:font w:name="仿宋">
    <w:panose1 w:val="02010609060101010101"/>
    <w:charset w:val="86"/>
    <w:family w:val="modern"/>
    <w:pitch w:val="default"/>
    <w:sig w:usb0="800002BF" w:usb1="38CF7CFA" w:usb2="00000016" w:usb3="00000000" w:csb0="00040001" w:csb1="00000000"/>
    <w:embedRegular r:id="rId4" w:fontKey="{21D0BF01-6A30-40A6-BBA0-9FBABA437357}"/>
  </w:font>
  <w:font w:name="方正楷体_GBK">
    <w:altName w:val="微软雅黑"/>
    <w:panose1 w:val="02000000000000000000"/>
    <w:charset w:val="86"/>
    <w:family w:val="auto"/>
    <w:pitch w:val="default"/>
    <w:sig w:usb0="00000000" w:usb1="00000000" w:usb2="00000000" w:usb3="00000000" w:csb0="00040000" w:csb1="00000000"/>
    <w:embedRegular r:id="rId5" w:fontKey="{A608D304-A508-4C8D-902A-D01F602C27F3}"/>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embedRegular r:id="rId6" w:fontKey="{652ECD2F-2CEF-4307-B3DB-ED48ED022E6E}"/>
  </w:font>
  <w:font w:name="楷体">
    <w:panose1 w:val="02010609060101010101"/>
    <w:charset w:val="86"/>
    <w:family w:val="modern"/>
    <w:pitch w:val="default"/>
    <w:sig w:usb0="800002BF" w:usb1="38CF7CFA" w:usb2="00000016" w:usb3="00000000" w:csb0="00040001" w:csb1="00000000"/>
    <w:embedRegular r:id="rId7" w:fontKey="{4D17A629-2AB0-4D33-A15F-D9F1B949CFC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AE9C72">
    <w:pPr>
      <w:pStyle w:val="8"/>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posOffset>2590800</wp:posOffset>
              </wp:positionH>
              <wp:positionV relativeFrom="paragraph">
                <wp:posOffset>-635</wp:posOffset>
              </wp:positionV>
              <wp:extent cx="369570" cy="207010"/>
              <wp:effectExtent l="0" t="0" r="0" b="0"/>
              <wp:wrapNone/>
              <wp:docPr id="5" name="文本框 5"/>
              <wp:cNvGraphicFramePr/>
              <a:graphic xmlns:a="http://schemas.openxmlformats.org/drawingml/2006/main">
                <a:graphicData uri="http://schemas.microsoft.com/office/word/2010/wordprocessingShape">
                  <wps:wsp>
                    <wps:cNvSpPr txBox="1"/>
                    <wps:spPr>
                      <a:xfrm>
                        <a:off x="0" y="0"/>
                        <a:ext cx="369570" cy="20701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280A1">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19</w:t>
                          </w:r>
                          <w:r>
                            <w:rPr>
                              <w:rFonts w:ascii="宋体" w:hAnsi="宋体"/>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04pt;margin-top:-0.05pt;height:16.3pt;width:29.1pt;mso-position-horizontal-relative:margin;z-index:251659264;mso-width-relative:page;mso-height-relative:page;" filled="f" stroked="f" coordsize="21600,21600" o:gfxdata="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p3MCz2AAAAAgBAAAPAAAAAAAAAAEAIAAAACIAAABkcnMvZG93bnJldi54bWxQ&#10;SwECFAAUAAAACACHTuJAJqOHyDACAABVBAAADgAAAAAAAAABACAAAAAnAQAAZHJzL2Uyb0RvYy54&#10;bWxQSwUGAAAAAAYABgBZAQAAyQUAAAAA&#10;">
              <v:fill on="f" focussize="0,0"/>
              <v:stroke on="f" weight="0.5pt"/>
              <v:imagedata o:title=""/>
              <o:lock v:ext="edit" aspectratio="f"/>
              <v:textbox inset="0mm,0mm,0mm,0mm">
                <w:txbxContent>
                  <w:p w14:paraId="0E8280A1">
                    <w:pPr>
                      <w:pStyle w:val="8"/>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19</w:t>
                    </w:r>
                    <w:r>
                      <w:rPr>
                        <w:rFonts w:ascii="宋体" w:hAnsi="宋体"/>
                        <w:sz w:val="28"/>
                        <w:szCs w:val="28"/>
                      </w:rPr>
                      <w:fldChar w:fldCharType="end"/>
                    </w:r>
                  </w:p>
                </w:txbxContent>
              </v:textbox>
            </v:shape>
          </w:pict>
        </mc:Fallback>
      </mc:AlternateContent>
    </w:r>
  </w:p>
  <w:p w14:paraId="46F8527A">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E6F873"/>
    <w:multiLevelType w:val="singleLevel"/>
    <w:tmpl w:val="F7E6F873"/>
    <w:lvl w:ilvl="0" w:tentative="0">
      <w:start w:val="4"/>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JmZmJmMTlkMDM4MmE4ZjRmYTk0MjQ3ZGI4MzAwZTMifQ=="/>
  </w:docVars>
  <w:rsids>
    <w:rsidRoot w:val="F77F09F4"/>
    <w:rsid w:val="00025223"/>
    <w:rsid w:val="0007043F"/>
    <w:rsid w:val="0008693E"/>
    <w:rsid w:val="000A6D1D"/>
    <w:rsid w:val="000C6ED5"/>
    <w:rsid w:val="000E2081"/>
    <w:rsid w:val="000E4815"/>
    <w:rsid w:val="00155697"/>
    <w:rsid w:val="00171EC8"/>
    <w:rsid w:val="00176B00"/>
    <w:rsid w:val="001B1E4C"/>
    <w:rsid w:val="001C63E1"/>
    <w:rsid w:val="001F1425"/>
    <w:rsid w:val="001F183E"/>
    <w:rsid w:val="00217537"/>
    <w:rsid w:val="00224EED"/>
    <w:rsid w:val="0023251C"/>
    <w:rsid w:val="002B5766"/>
    <w:rsid w:val="002C308C"/>
    <w:rsid w:val="002C4839"/>
    <w:rsid w:val="002C5224"/>
    <w:rsid w:val="002D163C"/>
    <w:rsid w:val="002D3487"/>
    <w:rsid w:val="002E67F6"/>
    <w:rsid w:val="00312976"/>
    <w:rsid w:val="003146F2"/>
    <w:rsid w:val="0031743B"/>
    <w:rsid w:val="0032297C"/>
    <w:rsid w:val="00332888"/>
    <w:rsid w:val="00350DFC"/>
    <w:rsid w:val="00355E04"/>
    <w:rsid w:val="00363422"/>
    <w:rsid w:val="00397588"/>
    <w:rsid w:val="003A0835"/>
    <w:rsid w:val="003B3688"/>
    <w:rsid w:val="003B7799"/>
    <w:rsid w:val="00423702"/>
    <w:rsid w:val="00466299"/>
    <w:rsid w:val="004A7C16"/>
    <w:rsid w:val="004C4FD5"/>
    <w:rsid w:val="00501C50"/>
    <w:rsid w:val="00507497"/>
    <w:rsid w:val="00523E41"/>
    <w:rsid w:val="005341AC"/>
    <w:rsid w:val="00542E33"/>
    <w:rsid w:val="00544918"/>
    <w:rsid w:val="00550045"/>
    <w:rsid w:val="005626AC"/>
    <w:rsid w:val="00575489"/>
    <w:rsid w:val="00591762"/>
    <w:rsid w:val="005B130F"/>
    <w:rsid w:val="005C3497"/>
    <w:rsid w:val="005D556E"/>
    <w:rsid w:val="005E5625"/>
    <w:rsid w:val="005E78FF"/>
    <w:rsid w:val="00603FA2"/>
    <w:rsid w:val="00614110"/>
    <w:rsid w:val="00651082"/>
    <w:rsid w:val="0067077E"/>
    <w:rsid w:val="00687467"/>
    <w:rsid w:val="006903C8"/>
    <w:rsid w:val="006C1EF1"/>
    <w:rsid w:val="006F4130"/>
    <w:rsid w:val="006F6F5D"/>
    <w:rsid w:val="00712CB8"/>
    <w:rsid w:val="007213D2"/>
    <w:rsid w:val="007659DD"/>
    <w:rsid w:val="00767E12"/>
    <w:rsid w:val="00791852"/>
    <w:rsid w:val="007C3174"/>
    <w:rsid w:val="007C5F79"/>
    <w:rsid w:val="00814CCA"/>
    <w:rsid w:val="00835447"/>
    <w:rsid w:val="008362C8"/>
    <w:rsid w:val="00866D9D"/>
    <w:rsid w:val="008803EB"/>
    <w:rsid w:val="008A1803"/>
    <w:rsid w:val="008C4D9E"/>
    <w:rsid w:val="008D56F0"/>
    <w:rsid w:val="008D7E24"/>
    <w:rsid w:val="008E6125"/>
    <w:rsid w:val="00924539"/>
    <w:rsid w:val="009372DE"/>
    <w:rsid w:val="00966C0C"/>
    <w:rsid w:val="00971290"/>
    <w:rsid w:val="00976EF4"/>
    <w:rsid w:val="00982507"/>
    <w:rsid w:val="009A798D"/>
    <w:rsid w:val="009C3FB8"/>
    <w:rsid w:val="00A20FC7"/>
    <w:rsid w:val="00A22933"/>
    <w:rsid w:val="00A277E3"/>
    <w:rsid w:val="00A34C37"/>
    <w:rsid w:val="00A61489"/>
    <w:rsid w:val="00A776F6"/>
    <w:rsid w:val="00A97220"/>
    <w:rsid w:val="00A97F5A"/>
    <w:rsid w:val="00AA063D"/>
    <w:rsid w:val="00AA516B"/>
    <w:rsid w:val="00AA7F78"/>
    <w:rsid w:val="00AB4744"/>
    <w:rsid w:val="00AB5F8F"/>
    <w:rsid w:val="00AE154F"/>
    <w:rsid w:val="00B0558A"/>
    <w:rsid w:val="00B156A2"/>
    <w:rsid w:val="00B5129E"/>
    <w:rsid w:val="00B6476F"/>
    <w:rsid w:val="00B83A04"/>
    <w:rsid w:val="00B93AA6"/>
    <w:rsid w:val="00BA14C0"/>
    <w:rsid w:val="00C117D3"/>
    <w:rsid w:val="00C142DE"/>
    <w:rsid w:val="00C32FB3"/>
    <w:rsid w:val="00C35F85"/>
    <w:rsid w:val="00C71E6C"/>
    <w:rsid w:val="00C77845"/>
    <w:rsid w:val="00C83174"/>
    <w:rsid w:val="00CA68F6"/>
    <w:rsid w:val="00CC20A5"/>
    <w:rsid w:val="00D132AF"/>
    <w:rsid w:val="00DB628F"/>
    <w:rsid w:val="00DD6491"/>
    <w:rsid w:val="00DD6940"/>
    <w:rsid w:val="00DE3DDB"/>
    <w:rsid w:val="00E0509B"/>
    <w:rsid w:val="00E23A57"/>
    <w:rsid w:val="00E26D8E"/>
    <w:rsid w:val="00E3147F"/>
    <w:rsid w:val="00E43B05"/>
    <w:rsid w:val="00E60D8B"/>
    <w:rsid w:val="00E74E16"/>
    <w:rsid w:val="00E80B80"/>
    <w:rsid w:val="00EF1360"/>
    <w:rsid w:val="00F124C8"/>
    <w:rsid w:val="00F27377"/>
    <w:rsid w:val="00F95987"/>
    <w:rsid w:val="00FB2730"/>
    <w:rsid w:val="00FB6712"/>
    <w:rsid w:val="00FD445D"/>
    <w:rsid w:val="00FD5837"/>
    <w:rsid w:val="00FD63FD"/>
    <w:rsid w:val="00FD668B"/>
    <w:rsid w:val="00FE3F10"/>
    <w:rsid w:val="00FE4DAD"/>
    <w:rsid w:val="01AC3315"/>
    <w:rsid w:val="0215062B"/>
    <w:rsid w:val="021D229B"/>
    <w:rsid w:val="023D46EC"/>
    <w:rsid w:val="02956CA3"/>
    <w:rsid w:val="02C45648"/>
    <w:rsid w:val="02DF44EC"/>
    <w:rsid w:val="02F35968"/>
    <w:rsid w:val="03012C48"/>
    <w:rsid w:val="03390BB9"/>
    <w:rsid w:val="03724869"/>
    <w:rsid w:val="0379741F"/>
    <w:rsid w:val="03991DF6"/>
    <w:rsid w:val="03A265C6"/>
    <w:rsid w:val="03CB3C9F"/>
    <w:rsid w:val="03E448A0"/>
    <w:rsid w:val="040E2409"/>
    <w:rsid w:val="041268DF"/>
    <w:rsid w:val="04295EE4"/>
    <w:rsid w:val="042F6FE8"/>
    <w:rsid w:val="049D617C"/>
    <w:rsid w:val="04AB3B45"/>
    <w:rsid w:val="05045994"/>
    <w:rsid w:val="05185A9A"/>
    <w:rsid w:val="05376B98"/>
    <w:rsid w:val="054A0A37"/>
    <w:rsid w:val="05AB19D6"/>
    <w:rsid w:val="0600060C"/>
    <w:rsid w:val="065D35AE"/>
    <w:rsid w:val="069966BA"/>
    <w:rsid w:val="06D55E6E"/>
    <w:rsid w:val="06F229BF"/>
    <w:rsid w:val="07946E52"/>
    <w:rsid w:val="07C7001A"/>
    <w:rsid w:val="07D17DB0"/>
    <w:rsid w:val="07F42BF6"/>
    <w:rsid w:val="08253F19"/>
    <w:rsid w:val="083077B6"/>
    <w:rsid w:val="08474537"/>
    <w:rsid w:val="087E0D5F"/>
    <w:rsid w:val="08CE0793"/>
    <w:rsid w:val="08EF305B"/>
    <w:rsid w:val="08F3483D"/>
    <w:rsid w:val="091A0596"/>
    <w:rsid w:val="091A2489"/>
    <w:rsid w:val="091D16C3"/>
    <w:rsid w:val="09254BA5"/>
    <w:rsid w:val="09895238"/>
    <w:rsid w:val="09C15C02"/>
    <w:rsid w:val="09D50C8A"/>
    <w:rsid w:val="0A5368B6"/>
    <w:rsid w:val="0A9739FA"/>
    <w:rsid w:val="0AD61B81"/>
    <w:rsid w:val="0AD85AD3"/>
    <w:rsid w:val="0B09344B"/>
    <w:rsid w:val="0B106E41"/>
    <w:rsid w:val="0B1504A9"/>
    <w:rsid w:val="0BCF38A1"/>
    <w:rsid w:val="0C134711"/>
    <w:rsid w:val="0C207950"/>
    <w:rsid w:val="0C27489D"/>
    <w:rsid w:val="0C2777C0"/>
    <w:rsid w:val="0C2A7EDE"/>
    <w:rsid w:val="0C56100B"/>
    <w:rsid w:val="0CCC0250"/>
    <w:rsid w:val="0CD4659C"/>
    <w:rsid w:val="0CE565DA"/>
    <w:rsid w:val="0D5E59AF"/>
    <w:rsid w:val="0D6D09AF"/>
    <w:rsid w:val="0D6F318F"/>
    <w:rsid w:val="0D965E2C"/>
    <w:rsid w:val="0E0D0205"/>
    <w:rsid w:val="0E2B0851"/>
    <w:rsid w:val="0E762D7D"/>
    <w:rsid w:val="0EDB3B83"/>
    <w:rsid w:val="0EF4563A"/>
    <w:rsid w:val="10032404"/>
    <w:rsid w:val="1026054A"/>
    <w:rsid w:val="10722CE5"/>
    <w:rsid w:val="107B2FAF"/>
    <w:rsid w:val="10840209"/>
    <w:rsid w:val="10925D43"/>
    <w:rsid w:val="10B57E5D"/>
    <w:rsid w:val="115E50F6"/>
    <w:rsid w:val="116E48C1"/>
    <w:rsid w:val="119104CD"/>
    <w:rsid w:val="12150977"/>
    <w:rsid w:val="1229071B"/>
    <w:rsid w:val="126A214F"/>
    <w:rsid w:val="129A70E4"/>
    <w:rsid w:val="12A70EFF"/>
    <w:rsid w:val="13183E8C"/>
    <w:rsid w:val="131B144A"/>
    <w:rsid w:val="13753589"/>
    <w:rsid w:val="13C54F03"/>
    <w:rsid w:val="14617B76"/>
    <w:rsid w:val="148A6F5D"/>
    <w:rsid w:val="14C30A80"/>
    <w:rsid w:val="156C763E"/>
    <w:rsid w:val="15961DF1"/>
    <w:rsid w:val="15A36452"/>
    <w:rsid w:val="15FC70EC"/>
    <w:rsid w:val="16210154"/>
    <w:rsid w:val="168801D3"/>
    <w:rsid w:val="1693258B"/>
    <w:rsid w:val="16B7018A"/>
    <w:rsid w:val="170117AC"/>
    <w:rsid w:val="17522C76"/>
    <w:rsid w:val="17711333"/>
    <w:rsid w:val="177C08E9"/>
    <w:rsid w:val="17911B8C"/>
    <w:rsid w:val="17B52074"/>
    <w:rsid w:val="17C66C13"/>
    <w:rsid w:val="17DA09CF"/>
    <w:rsid w:val="17E21B65"/>
    <w:rsid w:val="17EE7E0D"/>
    <w:rsid w:val="183A54FD"/>
    <w:rsid w:val="185C1C5E"/>
    <w:rsid w:val="187E2251"/>
    <w:rsid w:val="18851DD9"/>
    <w:rsid w:val="188C32E3"/>
    <w:rsid w:val="18941C6B"/>
    <w:rsid w:val="18C73370"/>
    <w:rsid w:val="18C937C6"/>
    <w:rsid w:val="19F4326E"/>
    <w:rsid w:val="1A2804B3"/>
    <w:rsid w:val="1A2B6247"/>
    <w:rsid w:val="1A5003B0"/>
    <w:rsid w:val="1A545A6F"/>
    <w:rsid w:val="1A7B54B0"/>
    <w:rsid w:val="1A876C85"/>
    <w:rsid w:val="1AA93828"/>
    <w:rsid w:val="1AE557A9"/>
    <w:rsid w:val="1BB11F7A"/>
    <w:rsid w:val="1BC268E4"/>
    <w:rsid w:val="1BD62163"/>
    <w:rsid w:val="1C0465C1"/>
    <w:rsid w:val="1C5B74E3"/>
    <w:rsid w:val="1C7C4584"/>
    <w:rsid w:val="1CBE6A93"/>
    <w:rsid w:val="1CD20B0C"/>
    <w:rsid w:val="1D2A07F7"/>
    <w:rsid w:val="1D352737"/>
    <w:rsid w:val="1D7373F8"/>
    <w:rsid w:val="1DE25994"/>
    <w:rsid w:val="1E253DBB"/>
    <w:rsid w:val="1E2E5180"/>
    <w:rsid w:val="1E444E91"/>
    <w:rsid w:val="1EA72DD4"/>
    <w:rsid w:val="1F5C03C0"/>
    <w:rsid w:val="1FAF6C66"/>
    <w:rsid w:val="1FCE481E"/>
    <w:rsid w:val="1FD46037"/>
    <w:rsid w:val="1FE65F6B"/>
    <w:rsid w:val="20203BA9"/>
    <w:rsid w:val="20277BF5"/>
    <w:rsid w:val="20687482"/>
    <w:rsid w:val="20734732"/>
    <w:rsid w:val="20781C29"/>
    <w:rsid w:val="20836312"/>
    <w:rsid w:val="208F4DF4"/>
    <w:rsid w:val="20D451E9"/>
    <w:rsid w:val="21BE37E6"/>
    <w:rsid w:val="21D30750"/>
    <w:rsid w:val="21E5472C"/>
    <w:rsid w:val="22112669"/>
    <w:rsid w:val="22486D96"/>
    <w:rsid w:val="224960E3"/>
    <w:rsid w:val="22E50733"/>
    <w:rsid w:val="22E91FFA"/>
    <w:rsid w:val="23796C31"/>
    <w:rsid w:val="238D5B79"/>
    <w:rsid w:val="239B4E25"/>
    <w:rsid w:val="23C15AEE"/>
    <w:rsid w:val="23EF5C64"/>
    <w:rsid w:val="2430677C"/>
    <w:rsid w:val="245539FC"/>
    <w:rsid w:val="245C2C91"/>
    <w:rsid w:val="24672DB7"/>
    <w:rsid w:val="24977834"/>
    <w:rsid w:val="24A33A88"/>
    <w:rsid w:val="24AE34FB"/>
    <w:rsid w:val="24B93C4E"/>
    <w:rsid w:val="253010BA"/>
    <w:rsid w:val="25AA585C"/>
    <w:rsid w:val="25AC730F"/>
    <w:rsid w:val="25F27417"/>
    <w:rsid w:val="262D26F0"/>
    <w:rsid w:val="26DD7057"/>
    <w:rsid w:val="2742617D"/>
    <w:rsid w:val="27730811"/>
    <w:rsid w:val="27A14D63"/>
    <w:rsid w:val="27CC6F1B"/>
    <w:rsid w:val="28DF0232"/>
    <w:rsid w:val="292204EF"/>
    <w:rsid w:val="29360BC0"/>
    <w:rsid w:val="29934597"/>
    <w:rsid w:val="29CF765E"/>
    <w:rsid w:val="2A134397"/>
    <w:rsid w:val="2A444FBE"/>
    <w:rsid w:val="2A5B07F0"/>
    <w:rsid w:val="2A6B1546"/>
    <w:rsid w:val="2AB23619"/>
    <w:rsid w:val="2AE4434A"/>
    <w:rsid w:val="2B103A6F"/>
    <w:rsid w:val="2B207E60"/>
    <w:rsid w:val="2B5C6340"/>
    <w:rsid w:val="2B6C5F9F"/>
    <w:rsid w:val="2B995306"/>
    <w:rsid w:val="2B9A7A73"/>
    <w:rsid w:val="2BB7066F"/>
    <w:rsid w:val="2BC959C0"/>
    <w:rsid w:val="2BD8105E"/>
    <w:rsid w:val="2C354464"/>
    <w:rsid w:val="2C3E03C9"/>
    <w:rsid w:val="2C5A2DB9"/>
    <w:rsid w:val="2CCC6E8D"/>
    <w:rsid w:val="2D264039"/>
    <w:rsid w:val="2DFB59A3"/>
    <w:rsid w:val="2E286CF5"/>
    <w:rsid w:val="2E92330D"/>
    <w:rsid w:val="2EC600FF"/>
    <w:rsid w:val="2F560FEF"/>
    <w:rsid w:val="2FA167AB"/>
    <w:rsid w:val="2FA819BF"/>
    <w:rsid w:val="2FB56275"/>
    <w:rsid w:val="2FB80074"/>
    <w:rsid w:val="2FBD6E93"/>
    <w:rsid w:val="30041EB6"/>
    <w:rsid w:val="308B6977"/>
    <w:rsid w:val="30E331E4"/>
    <w:rsid w:val="3129158A"/>
    <w:rsid w:val="31554B39"/>
    <w:rsid w:val="31AF2261"/>
    <w:rsid w:val="32484E40"/>
    <w:rsid w:val="328D087A"/>
    <w:rsid w:val="329057C7"/>
    <w:rsid w:val="32C26F97"/>
    <w:rsid w:val="332130EA"/>
    <w:rsid w:val="33553DA1"/>
    <w:rsid w:val="336E7708"/>
    <w:rsid w:val="33CB5EC6"/>
    <w:rsid w:val="3429020B"/>
    <w:rsid w:val="345C07BA"/>
    <w:rsid w:val="348E47AF"/>
    <w:rsid w:val="349F334D"/>
    <w:rsid w:val="34B71196"/>
    <w:rsid w:val="34C20126"/>
    <w:rsid w:val="3514456B"/>
    <w:rsid w:val="35455E32"/>
    <w:rsid w:val="354A014A"/>
    <w:rsid w:val="355E6877"/>
    <w:rsid w:val="35601249"/>
    <w:rsid w:val="35884329"/>
    <w:rsid w:val="35F57907"/>
    <w:rsid w:val="3608233F"/>
    <w:rsid w:val="36105698"/>
    <w:rsid w:val="363A284E"/>
    <w:rsid w:val="364E1CA3"/>
    <w:rsid w:val="365E5DA9"/>
    <w:rsid w:val="366B04D8"/>
    <w:rsid w:val="368A183B"/>
    <w:rsid w:val="36922E0B"/>
    <w:rsid w:val="369D7C73"/>
    <w:rsid w:val="36FC6F8E"/>
    <w:rsid w:val="37173543"/>
    <w:rsid w:val="372A66C4"/>
    <w:rsid w:val="37362EDC"/>
    <w:rsid w:val="37D022AC"/>
    <w:rsid w:val="37DFF7EE"/>
    <w:rsid w:val="37FFCF42"/>
    <w:rsid w:val="38016CD4"/>
    <w:rsid w:val="381F7931"/>
    <w:rsid w:val="38B46719"/>
    <w:rsid w:val="38DA2FAE"/>
    <w:rsid w:val="394144E6"/>
    <w:rsid w:val="394D772C"/>
    <w:rsid w:val="39784C65"/>
    <w:rsid w:val="39822409"/>
    <w:rsid w:val="3A1D3658"/>
    <w:rsid w:val="3A212C7F"/>
    <w:rsid w:val="3A631204"/>
    <w:rsid w:val="3AA1724F"/>
    <w:rsid w:val="3AD54849"/>
    <w:rsid w:val="3AE30103"/>
    <w:rsid w:val="3B876E80"/>
    <w:rsid w:val="3BA450AA"/>
    <w:rsid w:val="3BB0325D"/>
    <w:rsid w:val="3BBB5C2A"/>
    <w:rsid w:val="3BF744AF"/>
    <w:rsid w:val="3BF84CC8"/>
    <w:rsid w:val="3BFB51B0"/>
    <w:rsid w:val="3BFEE414"/>
    <w:rsid w:val="3C29300F"/>
    <w:rsid w:val="3C6329C5"/>
    <w:rsid w:val="3C6F43F5"/>
    <w:rsid w:val="3C7D54A2"/>
    <w:rsid w:val="3CA77D58"/>
    <w:rsid w:val="3CCE00C3"/>
    <w:rsid w:val="3D623D4E"/>
    <w:rsid w:val="3D954B0C"/>
    <w:rsid w:val="3DC33A34"/>
    <w:rsid w:val="3E141070"/>
    <w:rsid w:val="3E223D60"/>
    <w:rsid w:val="3E7B5510"/>
    <w:rsid w:val="3EA24236"/>
    <w:rsid w:val="3ECB5E50"/>
    <w:rsid w:val="3F1935C2"/>
    <w:rsid w:val="3F217868"/>
    <w:rsid w:val="3F671B29"/>
    <w:rsid w:val="3F7C2777"/>
    <w:rsid w:val="3F920AC2"/>
    <w:rsid w:val="3F945DF4"/>
    <w:rsid w:val="3FF76880"/>
    <w:rsid w:val="403C6078"/>
    <w:rsid w:val="409F1509"/>
    <w:rsid w:val="40DC69EC"/>
    <w:rsid w:val="41083B3B"/>
    <w:rsid w:val="41170425"/>
    <w:rsid w:val="4168282C"/>
    <w:rsid w:val="4189269D"/>
    <w:rsid w:val="423F533B"/>
    <w:rsid w:val="42416C5C"/>
    <w:rsid w:val="42486B56"/>
    <w:rsid w:val="426E3E72"/>
    <w:rsid w:val="42727E31"/>
    <w:rsid w:val="42CD344B"/>
    <w:rsid w:val="42D55C9F"/>
    <w:rsid w:val="431A1904"/>
    <w:rsid w:val="4329388F"/>
    <w:rsid w:val="434C11A9"/>
    <w:rsid w:val="4357361E"/>
    <w:rsid w:val="436A4639"/>
    <w:rsid w:val="43A907B7"/>
    <w:rsid w:val="43B2663C"/>
    <w:rsid w:val="43B5482F"/>
    <w:rsid w:val="43CE725C"/>
    <w:rsid w:val="446F7A4C"/>
    <w:rsid w:val="44C22C52"/>
    <w:rsid w:val="45975B03"/>
    <w:rsid w:val="45C05006"/>
    <w:rsid w:val="45F42CA6"/>
    <w:rsid w:val="46024FFD"/>
    <w:rsid w:val="460A3EB2"/>
    <w:rsid w:val="4613776D"/>
    <w:rsid w:val="46477102"/>
    <w:rsid w:val="4675712E"/>
    <w:rsid w:val="46C969CD"/>
    <w:rsid w:val="46DA616D"/>
    <w:rsid w:val="46EC4B66"/>
    <w:rsid w:val="46EE06DB"/>
    <w:rsid w:val="46FF778E"/>
    <w:rsid w:val="47865B1E"/>
    <w:rsid w:val="479A0597"/>
    <w:rsid w:val="47E6777F"/>
    <w:rsid w:val="47EA15A8"/>
    <w:rsid w:val="482C3501"/>
    <w:rsid w:val="488416EA"/>
    <w:rsid w:val="48E029DE"/>
    <w:rsid w:val="48F20F88"/>
    <w:rsid w:val="48F64A48"/>
    <w:rsid w:val="49050320"/>
    <w:rsid w:val="4908232A"/>
    <w:rsid w:val="49184B37"/>
    <w:rsid w:val="49384D99"/>
    <w:rsid w:val="494B380A"/>
    <w:rsid w:val="49563D39"/>
    <w:rsid w:val="49566508"/>
    <w:rsid w:val="49974028"/>
    <w:rsid w:val="49BB5BEF"/>
    <w:rsid w:val="49C33021"/>
    <w:rsid w:val="4A003601"/>
    <w:rsid w:val="4A170992"/>
    <w:rsid w:val="4A58546C"/>
    <w:rsid w:val="4A6643F5"/>
    <w:rsid w:val="4A6D3122"/>
    <w:rsid w:val="4ACF4184"/>
    <w:rsid w:val="4B055D02"/>
    <w:rsid w:val="4B06733D"/>
    <w:rsid w:val="4B18689A"/>
    <w:rsid w:val="4B510DF2"/>
    <w:rsid w:val="4BEE5BC9"/>
    <w:rsid w:val="4C7B7616"/>
    <w:rsid w:val="4CAD0DFF"/>
    <w:rsid w:val="4CD241FD"/>
    <w:rsid w:val="4D000D0E"/>
    <w:rsid w:val="4D2607AE"/>
    <w:rsid w:val="4D322BAA"/>
    <w:rsid w:val="4D327804"/>
    <w:rsid w:val="4D422183"/>
    <w:rsid w:val="4D6B1FF6"/>
    <w:rsid w:val="4DABD1FE"/>
    <w:rsid w:val="4DD0248F"/>
    <w:rsid w:val="4E0308FE"/>
    <w:rsid w:val="4E3367FF"/>
    <w:rsid w:val="4E796F06"/>
    <w:rsid w:val="4E9B700B"/>
    <w:rsid w:val="4ECC53AE"/>
    <w:rsid w:val="4EF833C6"/>
    <w:rsid w:val="4F061144"/>
    <w:rsid w:val="4F6D13C2"/>
    <w:rsid w:val="4F7FB6B0"/>
    <w:rsid w:val="4F805834"/>
    <w:rsid w:val="4FA42C81"/>
    <w:rsid w:val="4FF14106"/>
    <w:rsid w:val="502E69EF"/>
    <w:rsid w:val="50680F48"/>
    <w:rsid w:val="50E124C9"/>
    <w:rsid w:val="510C32BB"/>
    <w:rsid w:val="51426F77"/>
    <w:rsid w:val="5151351A"/>
    <w:rsid w:val="51A46F68"/>
    <w:rsid w:val="51B84336"/>
    <w:rsid w:val="521B350A"/>
    <w:rsid w:val="527C7D68"/>
    <w:rsid w:val="52836082"/>
    <w:rsid w:val="52B753C1"/>
    <w:rsid w:val="537B28CF"/>
    <w:rsid w:val="53C7314D"/>
    <w:rsid w:val="53DE0AC3"/>
    <w:rsid w:val="542C395B"/>
    <w:rsid w:val="54367102"/>
    <w:rsid w:val="5456150D"/>
    <w:rsid w:val="546637B1"/>
    <w:rsid w:val="54906EC3"/>
    <w:rsid w:val="549274FC"/>
    <w:rsid w:val="54F46459"/>
    <w:rsid w:val="551F46E2"/>
    <w:rsid w:val="55563C95"/>
    <w:rsid w:val="558F324B"/>
    <w:rsid w:val="55D3606E"/>
    <w:rsid w:val="56EA62BF"/>
    <w:rsid w:val="56FF0F51"/>
    <w:rsid w:val="57312B2E"/>
    <w:rsid w:val="573B0800"/>
    <w:rsid w:val="57413847"/>
    <w:rsid w:val="575778CE"/>
    <w:rsid w:val="57997473"/>
    <w:rsid w:val="57B8376D"/>
    <w:rsid w:val="57E539E8"/>
    <w:rsid w:val="58694BAA"/>
    <w:rsid w:val="586C269D"/>
    <w:rsid w:val="587738CD"/>
    <w:rsid w:val="59224C88"/>
    <w:rsid w:val="59442A10"/>
    <w:rsid w:val="59582FEE"/>
    <w:rsid w:val="596E6567"/>
    <w:rsid w:val="5993089A"/>
    <w:rsid w:val="599C7C5B"/>
    <w:rsid w:val="59AC7302"/>
    <w:rsid w:val="59BC7E98"/>
    <w:rsid w:val="59F37FFC"/>
    <w:rsid w:val="5A0B2B29"/>
    <w:rsid w:val="5A1217E0"/>
    <w:rsid w:val="5A9340F5"/>
    <w:rsid w:val="5AB05DBB"/>
    <w:rsid w:val="5B051866"/>
    <w:rsid w:val="5B461215"/>
    <w:rsid w:val="5B4A6DD2"/>
    <w:rsid w:val="5B9035F3"/>
    <w:rsid w:val="5BE632DF"/>
    <w:rsid w:val="5BFC0FF0"/>
    <w:rsid w:val="5C180181"/>
    <w:rsid w:val="5C3D3162"/>
    <w:rsid w:val="5C65CF1D"/>
    <w:rsid w:val="5C9A2DE9"/>
    <w:rsid w:val="5C9C17E0"/>
    <w:rsid w:val="5D164480"/>
    <w:rsid w:val="5D1A3D05"/>
    <w:rsid w:val="5D2C323C"/>
    <w:rsid w:val="5DA05AE1"/>
    <w:rsid w:val="5DA26465"/>
    <w:rsid w:val="5DAE1464"/>
    <w:rsid w:val="5DB603C1"/>
    <w:rsid w:val="5DBB4CBE"/>
    <w:rsid w:val="5DD37888"/>
    <w:rsid w:val="5DF572A1"/>
    <w:rsid w:val="5DF72526"/>
    <w:rsid w:val="5E042EB3"/>
    <w:rsid w:val="5E5F664B"/>
    <w:rsid w:val="5E991D6C"/>
    <w:rsid w:val="5EC32B0D"/>
    <w:rsid w:val="5F291C93"/>
    <w:rsid w:val="5F5B4760"/>
    <w:rsid w:val="5F5D3118"/>
    <w:rsid w:val="5FC84D86"/>
    <w:rsid w:val="5FCB5008"/>
    <w:rsid w:val="5FE07D05"/>
    <w:rsid w:val="5FE34D39"/>
    <w:rsid w:val="5FE3AD95"/>
    <w:rsid w:val="5FFFA8CC"/>
    <w:rsid w:val="607743FF"/>
    <w:rsid w:val="60EF6334"/>
    <w:rsid w:val="612C0FEE"/>
    <w:rsid w:val="612E55A2"/>
    <w:rsid w:val="619C1A0A"/>
    <w:rsid w:val="61CE1DDF"/>
    <w:rsid w:val="61F65C1C"/>
    <w:rsid w:val="626B7E31"/>
    <w:rsid w:val="62FD1E29"/>
    <w:rsid w:val="63554566"/>
    <w:rsid w:val="63A1699D"/>
    <w:rsid w:val="63AB23D8"/>
    <w:rsid w:val="63B374DF"/>
    <w:rsid w:val="63D73766"/>
    <w:rsid w:val="63F07225"/>
    <w:rsid w:val="63F84A67"/>
    <w:rsid w:val="6401024A"/>
    <w:rsid w:val="64061D04"/>
    <w:rsid w:val="642A61ED"/>
    <w:rsid w:val="648B5040"/>
    <w:rsid w:val="64E00C0F"/>
    <w:rsid w:val="6534525A"/>
    <w:rsid w:val="655556B4"/>
    <w:rsid w:val="658228A5"/>
    <w:rsid w:val="65A94A3A"/>
    <w:rsid w:val="65FBCF65"/>
    <w:rsid w:val="66170CA6"/>
    <w:rsid w:val="668A09CB"/>
    <w:rsid w:val="66976D92"/>
    <w:rsid w:val="66B95626"/>
    <w:rsid w:val="66C23730"/>
    <w:rsid w:val="67131D79"/>
    <w:rsid w:val="675BBDAC"/>
    <w:rsid w:val="6775562B"/>
    <w:rsid w:val="67A64365"/>
    <w:rsid w:val="67A96C2F"/>
    <w:rsid w:val="67BA7D62"/>
    <w:rsid w:val="67C611EF"/>
    <w:rsid w:val="67C8781F"/>
    <w:rsid w:val="67F0485E"/>
    <w:rsid w:val="68290613"/>
    <w:rsid w:val="68594AF9"/>
    <w:rsid w:val="685F1E48"/>
    <w:rsid w:val="687D017D"/>
    <w:rsid w:val="68A40266"/>
    <w:rsid w:val="692A36E1"/>
    <w:rsid w:val="692D13D1"/>
    <w:rsid w:val="69E0752D"/>
    <w:rsid w:val="6A3C1E47"/>
    <w:rsid w:val="6A6D03E7"/>
    <w:rsid w:val="6ADE12E5"/>
    <w:rsid w:val="6ADF5DC1"/>
    <w:rsid w:val="6AFB3C45"/>
    <w:rsid w:val="6B855C05"/>
    <w:rsid w:val="6B881251"/>
    <w:rsid w:val="6B9219DB"/>
    <w:rsid w:val="6BCD173B"/>
    <w:rsid w:val="6BCE135A"/>
    <w:rsid w:val="6C1E6AEC"/>
    <w:rsid w:val="6C851BD7"/>
    <w:rsid w:val="6CCA508A"/>
    <w:rsid w:val="6CDD17EC"/>
    <w:rsid w:val="6D2B6338"/>
    <w:rsid w:val="6D4A44DB"/>
    <w:rsid w:val="6D8D777B"/>
    <w:rsid w:val="6D9BA28A"/>
    <w:rsid w:val="6D9F7155"/>
    <w:rsid w:val="6DAB3302"/>
    <w:rsid w:val="6DB254C8"/>
    <w:rsid w:val="6DD67DB9"/>
    <w:rsid w:val="6DEC1F6B"/>
    <w:rsid w:val="6DFDAB5F"/>
    <w:rsid w:val="6E935DC7"/>
    <w:rsid w:val="6ECA667C"/>
    <w:rsid w:val="6EEB5D7F"/>
    <w:rsid w:val="6EEF69B9"/>
    <w:rsid w:val="6F3D606C"/>
    <w:rsid w:val="6F843BE1"/>
    <w:rsid w:val="6F8798AB"/>
    <w:rsid w:val="6FCC3E6E"/>
    <w:rsid w:val="6FCD2B56"/>
    <w:rsid w:val="6FCD667E"/>
    <w:rsid w:val="6FD74077"/>
    <w:rsid w:val="700C41FF"/>
    <w:rsid w:val="70270FE6"/>
    <w:rsid w:val="702E68B6"/>
    <w:rsid w:val="7059626F"/>
    <w:rsid w:val="707C04AA"/>
    <w:rsid w:val="70827B1F"/>
    <w:rsid w:val="70E60B1F"/>
    <w:rsid w:val="71303705"/>
    <w:rsid w:val="71313017"/>
    <w:rsid w:val="71744DC4"/>
    <w:rsid w:val="7191390D"/>
    <w:rsid w:val="71AC2126"/>
    <w:rsid w:val="71FD2F3A"/>
    <w:rsid w:val="720C66CB"/>
    <w:rsid w:val="729D3834"/>
    <w:rsid w:val="72FA163D"/>
    <w:rsid w:val="733C6AD6"/>
    <w:rsid w:val="73592794"/>
    <w:rsid w:val="73A00CA7"/>
    <w:rsid w:val="73B333CF"/>
    <w:rsid w:val="73C51E3B"/>
    <w:rsid w:val="73DB1AFA"/>
    <w:rsid w:val="73F0064F"/>
    <w:rsid w:val="749871D9"/>
    <w:rsid w:val="74E76FE8"/>
    <w:rsid w:val="75314FC6"/>
    <w:rsid w:val="754F78C4"/>
    <w:rsid w:val="760342F6"/>
    <w:rsid w:val="760951B9"/>
    <w:rsid w:val="764567DD"/>
    <w:rsid w:val="76687A9C"/>
    <w:rsid w:val="767A1054"/>
    <w:rsid w:val="76F6C7AE"/>
    <w:rsid w:val="77174DFB"/>
    <w:rsid w:val="7726029C"/>
    <w:rsid w:val="775755C3"/>
    <w:rsid w:val="77613313"/>
    <w:rsid w:val="77F41BD4"/>
    <w:rsid w:val="782E2D8C"/>
    <w:rsid w:val="783A3BAA"/>
    <w:rsid w:val="785458F6"/>
    <w:rsid w:val="7859279F"/>
    <w:rsid w:val="78973F5E"/>
    <w:rsid w:val="79061A0E"/>
    <w:rsid w:val="796B643A"/>
    <w:rsid w:val="79817A0B"/>
    <w:rsid w:val="79F15060"/>
    <w:rsid w:val="79F524B4"/>
    <w:rsid w:val="79F74481"/>
    <w:rsid w:val="79FE5549"/>
    <w:rsid w:val="7A08012D"/>
    <w:rsid w:val="7A0C3372"/>
    <w:rsid w:val="7A226B76"/>
    <w:rsid w:val="7AB7FF50"/>
    <w:rsid w:val="7ACA60B5"/>
    <w:rsid w:val="7BE97AEA"/>
    <w:rsid w:val="7BF15676"/>
    <w:rsid w:val="7BF32548"/>
    <w:rsid w:val="7BFEB0DB"/>
    <w:rsid w:val="7C2F0F2A"/>
    <w:rsid w:val="7C366120"/>
    <w:rsid w:val="7C5A7418"/>
    <w:rsid w:val="7C8F3025"/>
    <w:rsid w:val="7CA05A8B"/>
    <w:rsid w:val="7CD633F5"/>
    <w:rsid w:val="7DAD23D6"/>
    <w:rsid w:val="7E1A6AD0"/>
    <w:rsid w:val="7E678094"/>
    <w:rsid w:val="7E75603A"/>
    <w:rsid w:val="7E7A49CB"/>
    <w:rsid w:val="7E7F2ED5"/>
    <w:rsid w:val="7E8E326E"/>
    <w:rsid w:val="7E9F601E"/>
    <w:rsid w:val="7EEC391E"/>
    <w:rsid w:val="7F56836C"/>
    <w:rsid w:val="7F725B79"/>
    <w:rsid w:val="7F7F3754"/>
    <w:rsid w:val="7FA55604"/>
    <w:rsid w:val="7FADF92F"/>
    <w:rsid w:val="7FDF36DE"/>
    <w:rsid w:val="7FEFBC3B"/>
    <w:rsid w:val="7FFC6553"/>
    <w:rsid w:val="7FFD234D"/>
    <w:rsid w:val="8B5F376B"/>
    <w:rsid w:val="9B4333EA"/>
    <w:rsid w:val="9DAE7D49"/>
    <w:rsid w:val="B27F85DE"/>
    <w:rsid w:val="B7FE2604"/>
    <w:rsid w:val="BD3F320F"/>
    <w:rsid w:val="BE7D1E3F"/>
    <w:rsid w:val="BFFFCED3"/>
    <w:rsid w:val="C2FFE0F6"/>
    <w:rsid w:val="C766B24C"/>
    <w:rsid w:val="CEFD3F3D"/>
    <w:rsid w:val="D64DB7EA"/>
    <w:rsid w:val="D7FF0DB1"/>
    <w:rsid w:val="DCFEFB40"/>
    <w:rsid w:val="DDFA86DE"/>
    <w:rsid w:val="EA3F77F2"/>
    <w:rsid w:val="EDAB23D7"/>
    <w:rsid w:val="EEFE5989"/>
    <w:rsid w:val="EFCF3EAE"/>
    <w:rsid w:val="F2981939"/>
    <w:rsid w:val="F5B764A2"/>
    <w:rsid w:val="F5DF475E"/>
    <w:rsid w:val="F77F09F4"/>
    <w:rsid w:val="F79B56E1"/>
    <w:rsid w:val="F7F9C988"/>
    <w:rsid w:val="F9BE98FB"/>
    <w:rsid w:val="FDC57766"/>
    <w:rsid w:val="FDEB1F5F"/>
    <w:rsid w:val="FF5EC498"/>
    <w:rsid w:val="FF6B78BE"/>
    <w:rsid w:val="FF7F38CE"/>
    <w:rsid w:val="FFAECA89"/>
    <w:rsid w:val="FFBEACF1"/>
    <w:rsid w:val="FFD7B1B1"/>
    <w:rsid w:val="FFD7BFFC"/>
    <w:rsid w:val="FFDE1000"/>
    <w:rsid w:val="FFF0E71F"/>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Body Text"/>
    <w:basedOn w:val="1"/>
    <w:unhideWhenUsed/>
    <w:qFormat/>
    <w:uiPriority w:val="99"/>
    <w:pPr>
      <w:spacing w:after="120"/>
    </w:pPr>
  </w:style>
  <w:style w:type="paragraph" w:styleId="6">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7">
    <w:name w:val="Balloon Text"/>
    <w:basedOn w:val="1"/>
    <w:link w:val="25"/>
    <w:qFormat/>
    <w:uiPriority w:val="0"/>
    <w:rPr>
      <w:sz w:val="18"/>
      <w:szCs w:val="18"/>
    </w:rPr>
  </w:style>
  <w:style w:type="paragraph" w:styleId="8">
    <w:name w:val="footer"/>
    <w:basedOn w:val="1"/>
    <w:qFormat/>
    <w:uiPriority w:val="99"/>
    <w:pPr>
      <w:tabs>
        <w:tab w:val="center" w:pos="4153"/>
        <w:tab w:val="right" w:pos="8306"/>
      </w:tabs>
      <w:snapToGrid w:val="0"/>
      <w:jc w:val="left"/>
    </w:pPr>
    <w:rPr>
      <w:sz w:val="18"/>
      <w:szCs w:val="20"/>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annotation subject"/>
    <w:basedOn w:val="4"/>
    <w:next w:val="4"/>
    <w:link w:val="24"/>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99"/>
  </w:style>
  <w:style w:type="character" w:styleId="17">
    <w:name w:val="Hyperlink"/>
    <w:basedOn w:val="15"/>
    <w:unhideWhenUsed/>
    <w:qFormat/>
    <w:uiPriority w:val="99"/>
    <w:rPr>
      <w:color w:val="0563C1" w:themeColor="hyperlink"/>
      <w:u w:val="single"/>
      <w14:textFill>
        <w14:solidFill>
          <w14:schemeClr w14:val="hlink"/>
        </w14:solidFill>
      </w14:textFill>
    </w:rPr>
  </w:style>
  <w:style w:type="character" w:styleId="18">
    <w:name w:val="annotation reference"/>
    <w:basedOn w:val="15"/>
    <w:qFormat/>
    <w:uiPriority w:val="0"/>
    <w:rPr>
      <w:sz w:val="21"/>
      <w:szCs w:val="21"/>
    </w:rPr>
  </w:style>
  <w:style w:type="paragraph" w:customStyle="1" w:styleId="19">
    <w:name w:val="列出段落1"/>
    <w:basedOn w:val="1"/>
    <w:qFormat/>
    <w:uiPriority w:val="34"/>
    <w:pPr>
      <w:ind w:firstLine="420" w:firstLineChars="200"/>
    </w:pPr>
    <w:rPr>
      <w:rFonts w:ascii="Calibri" w:hAnsi="Calibri" w:cs="黑体"/>
      <w:szCs w:val="22"/>
    </w:rPr>
  </w:style>
  <w:style w:type="paragraph" w:customStyle="1" w:styleId="20">
    <w:name w:val="WPSOffice手动目录 1"/>
    <w:qFormat/>
    <w:uiPriority w:val="0"/>
    <w:rPr>
      <w:rFonts w:asciiTheme="minorHAnsi" w:hAnsiTheme="minorHAnsi" w:eastAsiaTheme="minorEastAsia" w:cstheme="minorBidi"/>
      <w:lang w:val="en-US" w:eastAsia="zh-CN" w:bidi="ar-SA"/>
    </w:rPr>
  </w:style>
  <w:style w:type="paragraph" w:customStyle="1" w:styleId="21">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22">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3">
    <w:name w:val="批注文字 字符"/>
    <w:basedOn w:val="15"/>
    <w:link w:val="4"/>
    <w:qFormat/>
    <w:uiPriority w:val="0"/>
    <w:rPr>
      <w:kern w:val="2"/>
      <w:sz w:val="21"/>
      <w:szCs w:val="24"/>
    </w:rPr>
  </w:style>
  <w:style w:type="character" w:customStyle="1" w:styleId="24">
    <w:name w:val="批注主题 字符"/>
    <w:basedOn w:val="23"/>
    <w:link w:val="12"/>
    <w:qFormat/>
    <w:uiPriority w:val="0"/>
    <w:rPr>
      <w:b/>
      <w:bCs/>
      <w:kern w:val="2"/>
      <w:sz w:val="21"/>
      <w:szCs w:val="24"/>
    </w:rPr>
  </w:style>
  <w:style w:type="character" w:customStyle="1" w:styleId="25">
    <w:name w:val="批注框文本 字符"/>
    <w:basedOn w:val="15"/>
    <w:link w:val="7"/>
    <w:qFormat/>
    <w:uiPriority w:val="0"/>
    <w:rPr>
      <w:kern w:val="2"/>
      <w:sz w:val="18"/>
      <w:szCs w:val="18"/>
    </w:rPr>
  </w:style>
  <w:style w:type="paragraph" w:customStyle="1" w:styleId="26">
    <w:name w:val="修订2"/>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10353</Words>
  <Characters>10744</Characters>
  <Lines>125</Lines>
  <Paragraphs>35</Paragraphs>
  <TotalTime>1</TotalTime>
  <ScaleCrop>false</ScaleCrop>
  <LinksUpToDate>false</LinksUpToDate>
  <CharactersWithSpaces>11002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2022-03-13T11:16:00Z</dcterms:created>
  <dc:creator>user</dc:creator>
  <cp:lastModifiedBy>成</cp:lastModifiedBy>
  <cp:lastPrinted>2022-03-27T18:01:00Z</cp:lastPrinted>
  <dcterms:modified xsi:type="dcterms:W3CDTF">2025-08-23T08:34:29Z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commondata">
    <vt:lpwstr>eyJoZGlkIjoiODhmNGU3YTgyZDFiNWYzNGY0Mzc2ODdhYWM2OGQ3MGYifQ==</vt:lpwstr>
  </property>
  <property fmtid="{D5CDD505-2E9C-101B-9397-08002B2CF9AE}" pid="4" name="ICV">
    <vt:lpwstr>F23D95502C9748658010E2C3E27BE7E5_13</vt:lpwstr>
  </property>
  <property fmtid="{D5CDD505-2E9C-101B-9397-08002B2CF9AE}" pid="5" name="KSOTemplateDocerSaveRecord">
    <vt:lpwstr>eyJoZGlkIjoiOWMzY2NjNTRmNjUzZDYwMzc2NjBlZGNmZTRmMjljODUiLCJ1c2VySWQiOiIxMDc2OTgwNjE5In0=</vt:lpwstr>
  </property>
</Properties>
</file>