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52"/>
          <w:szCs w:val="52"/>
        </w:rPr>
      </w:pPr>
    </w:p>
    <w:p>
      <w:pPr>
        <w:rPr>
          <w:b/>
          <w:bCs/>
          <w:sz w:val="52"/>
          <w:szCs w:val="52"/>
        </w:rPr>
      </w:pPr>
    </w:p>
    <w:p>
      <w:pPr>
        <w:rPr>
          <w:b/>
          <w:bCs/>
          <w:sz w:val="52"/>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lang w:eastAsia="zh-CN"/>
        </w:rPr>
        <w:t>中共北京市委金融委员会办公室</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sz w:val="44"/>
          <w:szCs w:val="44"/>
          <w:highlight w:val="none"/>
        </w:rPr>
        <w:t>部门整体绩效评价报告</w:t>
      </w:r>
    </w:p>
    <w:p>
      <w:pPr>
        <w:jc w:val="center"/>
        <w:rPr>
          <w:rFonts w:eastAsia="黑体"/>
          <w:sz w:val="30"/>
          <w:highlight w:val="none"/>
        </w:rPr>
      </w:pPr>
    </w:p>
    <w:p>
      <w:pPr>
        <w:rPr>
          <w:rFonts w:eastAsia="黑体"/>
          <w:sz w:val="30"/>
          <w:highlight w:val="none"/>
        </w:rPr>
      </w:pPr>
    </w:p>
    <w:p>
      <w:pPr>
        <w:jc w:val="center"/>
        <w:rPr>
          <w:rFonts w:eastAsia="黑体"/>
          <w:sz w:val="30"/>
          <w:highlight w:val="none"/>
        </w:rPr>
      </w:pPr>
    </w:p>
    <w:p>
      <w:pPr>
        <w:jc w:val="center"/>
        <w:rPr>
          <w:rFonts w:eastAsia="黑体"/>
          <w:sz w:val="30"/>
          <w:highlight w:val="none"/>
        </w:rPr>
      </w:pPr>
    </w:p>
    <w:p>
      <w:pPr>
        <w:rPr>
          <w:rFonts w:eastAsia="黑体"/>
          <w:sz w:val="30"/>
          <w:highlight w:val="none"/>
        </w:rPr>
      </w:pPr>
    </w:p>
    <w:p>
      <w:pPr>
        <w:jc w:val="center"/>
        <w:rPr>
          <w:rFonts w:eastAsia="黑体"/>
          <w:sz w:val="30"/>
          <w:highlight w:val="none"/>
        </w:rPr>
      </w:pPr>
    </w:p>
    <w:p>
      <w:pPr>
        <w:jc w:val="center"/>
        <w:rPr>
          <w:rFonts w:eastAsia="黑体"/>
          <w:sz w:val="30"/>
          <w:highlight w:val="none"/>
        </w:rPr>
      </w:pPr>
    </w:p>
    <w:p>
      <w:pPr>
        <w:ind w:left="210" w:leftChars="100"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主管部门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eastAsia="zh-CN"/>
        </w:rPr>
        <w:t>中共北京市委金融委员会办公室</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p>
    <w:p>
      <w:pPr>
        <w:ind w:left="210" w:leftChars="100"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项目单位</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u w:val="single"/>
          <w:lang w:eastAsia="zh-CN"/>
        </w:rPr>
        <w:t>中共北京市委金融委员会办公室</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p>
    <w:p>
      <w:pPr>
        <w:rPr>
          <w:rFonts w:eastAsia="黑体"/>
          <w:sz w:val="36"/>
          <w:szCs w:val="36"/>
          <w:highlight w:val="none"/>
        </w:rPr>
      </w:pPr>
    </w:p>
    <w:p>
      <w:pPr>
        <w:rPr>
          <w:rFonts w:eastAsia="黑体"/>
          <w:sz w:val="36"/>
          <w:szCs w:val="36"/>
          <w:highlight w:val="none"/>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eastAsia="黑体"/>
          <w:sz w:val="32"/>
          <w:szCs w:val="32"/>
          <w:highlight w:val="none"/>
          <w:lang w:eastAsia="zh-CN"/>
        </w:rPr>
      </w:pPr>
      <w:r>
        <w:rPr>
          <w:rFonts w:hint="eastAsia" w:ascii="黑体" w:eastAsia="黑体"/>
          <w:sz w:val="32"/>
          <w:szCs w:val="32"/>
          <w:highlight w:val="none"/>
          <w:lang w:eastAsia="zh-CN"/>
        </w:rPr>
        <w:t>中共北京市委金融委员会办公室</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黑体" w:eastAsia="黑体"/>
          <w:sz w:val="32"/>
          <w:szCs w:val="32"/>
          <w:highlight w:val="none"/>
        </w:rPr>
      </w:pPr>
      <w:r>
        <w:rPr>
          <w:rFonts w:hint="eastAsia" w:ascii="黑体" w:eastAsia="黑体"/>
          <w:sz w:val="32"/>
          <w:szCs w:val="32"/>
          <w:highlight w:val="none"/>
        </w:rPr>
        <w:t>二〇二</w:t>
      </w:r>
      <w:r>
        <w:rPr>
          <w:rFonts w:hint="eastAsia" w:ascii="黑体" w:eastAsia="黑体"/>
          <w:sz w:val="32"/>
          <w:szCs w:val="32"/>
          <w:highlight w:val="none"/>
          <w:lang w:val="en-US" w:eastAsia="zh-CN"/>
        </w:rPr>
        <w:t>四</w:t>
      </w:r>
      <w:r>
        <w:rPr>
          <w:rFonts w:hint="eastAsia" w:ascii="黑体" w:eastAsia="黑体"/>
          <w:sz w:val="32"/>
          <w:szCs w:val="32"/>
          <w:highlight w:val="none"/>
        </w:rPr>
        <w:t>年五月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黑体" w:eastAsia="黑体"/>
          <w:sz w:val="32"/>
          <w:szCs w:val="32"/>
          <w:highlight w:val="none"/>
        </w:rPr>
        <w:sectPr>
          <w:pgSz w:w="11906" w:h="16838"/>
          <w:pgMar w:top="1440" w:right="1800" w:bottom="1440" w:left="1800" w:header="851" w:footer="992" w:gutter="0"/>
          <w:pgNumType w:start="1"/>
          <w:cols w:space="425" w:num="1"/>
          <w:docGrid w:type="lines" w:linePitch="312" w:charSpace="0"/>
        </w:sectPr>
      </w:pPr>
    </w:p>
    <w:sdt>
      <w:sdtPr>
        <w:rPr>
          <w:rFonts w:ascii="宋体" w:hAnsi="宋体"/>
          <w:highlight w:val="none"/>
        </w:rPr>
        <w:id w:val="147453448"/>
        <w:docPartObj>
          <w:docPartGallery w:val="Table of Contents"/>
          <w:docPartUnique/>
        </w:docPartObj>
      </w:sdtPr>
      <w:sdtEndPr>
        <w:rPr>
          <w:rFonts w:ascii="宋体" w:hAnsi="宋体"/>
          <w:highlight w:val="none"/>
        </w:rPr>
      </w:sdtEndPr>
      <w:sdtContent>
        <w:p>
          <w:pPr>
            <w:jc w:val="center"/>
            <w:rPr>
              <w:rFonts w:hint="eastAsia" w:ascii="黑体" w:hAnsi="黑体" w:eastAsia="黑体" w:cs="黑体"/>
              <w:sz w:val="32"/>
              <w:szCs w:val="32"/>
              <w:highlight w:val="none"/>
            </w:rPr>
          </w:pPr>
          <w:r>
            <w:rPr>
              <w:rFonts w:hint="eastAsia" w:ascii="黑体" w:hAnsi="黑体" w:eastAsia="黑体" w:cs="黑体"/>
              <w:sz w:val="32"/>
              <w:szCs w:val="32"/>
              <w:highlight w:val="none"/>
            </w:rPr>
            <w:t>目录</w:t>
          </w:r>
        </w:p>
        <w:p>
          <w:pPr>
            <w:pStyle w:val="8"/>
            <w:tabs>
              <w:tab w:val="right" w:leader="dot" w:pos="8306"/>
            </w:tabs>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\h \u </w:instrText>
          </w:r>
          <w:r>
            <w:rPr>
              <w:rFonts w:hint="eastAsia" w:ascii="仿宋_GB2312" w:hAnsi="仿宋_GB2312" w:eastAsia="仿宋_GB2312" w:cs="仿宋_GB2312"/>
              <w:sz w:val="32"/>
              <w:szCs w:val="32"/>
              <w:highlight w:val="none"/>
            </w:rPr>
            <w:fldChar w:fldCharType="separate"/>
          </w:r>
          <w:r>
            <w:rPr>
              <w:rFonts w:hint="eastAsia"/>
              <w:highlight w:val="none"/>
            </w:rPr>
            <w:fldChar w:fldCharType="begin"/>
          </w:r>
          <w:r>
            <w:rPr>
              <w:highlight w:val="none"/>
            </w:rPr>
            <w:instrText xml:space="preserve"> HYPERLINK \l "_Toc26693" </w:instrText>
          </w:r>
          <w:r>
            <w:rPr>
              <w:rFonts w:hint="eastAsia"/>
              <w:highlight w:val="none"/>
            </w:rPr>
            <w:fldChar w:fldCharType="separate"/>
          </w:r>
          <w:r>
            <w:rPr>
              <w:rFonts w:hint="eastAsia" w:ascii="仿宋_GB2312" w:hAnsi="仿宋_GB2312" w:eastAsia="仿宋_GB2312" w:cs="仿宋_GB2312"/>
              <w:kern w:val="0"/>
              <w:sz w:val="32"/>
              <w:szCs w:val="32"/>
              <w:highlight w:val="none"/>
            </w:rPr>
            <w:t>一、部门概况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_Toc26693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9"/>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"_Toc24074" </w:instrText>
          </w:r>
          <w:r>
            <w:rPr>
              <w:rFonts w:hint="eastAsia"/>
              <w:highlight w:val="none"/>
            </w:rPr>
            <w:fldChar w:fldCharType="separate"/>
          </w:r>
          <w:r>
            <w:rPr>
              <w:rFonts w:hint="eastAsia" w:ascii="仿宋_GB2312" w:hAnsi="仿宋_GB2312" w:eastAsia="仿宋_GB2312" w:cs="仿宋_GB2312"/>
              <w:sz w:val="32"/>
              <w:szCs w:val="32"/>
              <w:highlight w:val="none"/>
            </w:rPr>
            <w:t>（一）机构设置及职责工作任务情况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_Toc24074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9"/>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"_Toc10248" </w:instrText>
          </w:r>
          <w:r>
            <w:rPr>
              <w:rFonts w:hint="eastAsia"/>
              <w:highlight w:val="none"/>
            </w:rPr>
            <w:fldChar w:fldCharType="separate"/>
          </w:r>
          <w:r>
            <w:rPr>
              <w:rFonts w:hint="eastAsia" w:ascii="仿宋_GB2312" w:hAnsi="仿宋_GB2312" w:eastAsia="仿宋_GB2312" w:cs="仿宋_GB2312"/>
              <w:sz w:val="32"/>
              <w:szCs w:val="32"/>
              <w:highlight w:val="none"/>
            </w:rPr>
            <w:t>（二）部门整体绩效目标设立情况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fldChar w:fldCharType="end"/>
          </w:r>
        </w:p>
        <w:p>
          <w:pPr>
            <w:pStyle w:val="8"/>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"_Toc21403" </w:instrText>
          </w:r>
          <w:r>
            <w:rPr>
              <w:rFonts w:hint="eastAsia"/>
              <w:highlight w:val="none"/>
            </w:rPr>
            <w:fldChar w:fldCharType="separate"/>
          </w:r>
          <w:r>
            <w:rPr>
              <w:rFonts w:hint="eastAsia" w:ascii="仿宋_GB2312" w:hAnsi="仿宋_GB2312" w:eastAsia="仿宋_GB2312" w:cs="仿宋_GB2312"/>
              <w:kern w:val="0"/>
              <w:sz w:val="32"/>
              <w:szCs w:val="32"/>
              <w:highlight w:val="none"/>
            </w:rPr>
            <w:t>二、当年预算执行情况</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t xml:space="preserve"> 5</w:t>
          </w:r>
          <w:r>
            <w:rPr>
              <w:rFonts w:hint="eastAsia" w:ascii="仿宋_GB2312" w:hAnsi="仿宋_GB2312" w:eastAsia="仿宋_GB2312" w:cs="仿宋_GB2312"/>
              <w:sz w:val="32"/>
              <w:szCs w:val="32"/>
              <w:highlight w:val="none"/>
            </w:rPr>
            <w:fldChar w:fldCharType="end"/>
          </w:r>
        </w:p>
        <w:p>
          <w:pPr>
            <w:pStyle w:val="8"/>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"_Toc20976" </w:instrText>
          </w:r>
          <w:r>
            <w:rPr>
              <w:rFonts w:hint="eastAsia"/>
              <w:highlight w:val="none"/>
            </w:rPr>
            <w:fldChar w:fldCharType="separate"/>
          </w:r>
          <w:r>
            <w:rPr>
              <w:rFonts w:hint="eastAsia" w:ascii="仿宋_GB2312" w:hAnsi="仿宋_GB2312" w:eastAsia="仿宋_GB2312" w:cs="仿宋_GB2312"/>
              <w:kern w:val="0"/>
              <w:sz w:val="32"/>
              <w:szCs w:val="32"/>
              <w:highlight w:val="none"/>
            </w:rPr>
            <w:t>三、整体绩效目标实现情况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fldChar w:fldCharType="end"/>
          </w:r>
        </w:p>
        <w:p>
          <w:pPr>
            <w:pStyle w:val="9"/>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"_Toc15033" </w:instrText>
          </w:r>
          <w:r>
            <w:rPr>
              <w:rFonts w:hint="eastAsia"/>
              <w:highlight w:val="none"/>
            </w:rPr>
            <w:fldChar w:fldCharType="separate"/>
          </w:r>
          <w:r>
            <w:rPr>
              <w:rFonts w:hint="eastAsia" w:ascii="仿宋_GB2312" w:hAnsi="仿宋_GB2312" w:eastAsia="仿宋_GB2312" w:cs="仿宋_GB2312"/>
              <w:sz w:val="32"/>
              <w:szCs w:val="32"/>
              <w:highlight w:val="none"/>
            </w:rPr>
            <w:t>（一）产出完成情况分析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fldChar w:fldCharType="end"/>
          </w:r>
        </w:p>
        <w:p>
          <w:pPr>
            <w:pStyle w:val="9"/>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"_Toc24627" </w:instrText>
          </w:r>
          <w:r>
            <w:rPr>
              <w:rFonts w:hint="eastAsia"/>
              <w:highlight w:val="none"/>
            </w:rPr>
            <w:fldChar w:fldCharType="separate"/>
          </w:r>
          <w:r>
            <w:rPr>
              <w:rFonts w:hint="eastAsia" w:ascii="仿宋_GB2312" w:hAnsi="仿宋_GB2312" w:eastAsia="仿宋_GB2312" w:cs="仿宋_GB2312"/>
              <w:sz w:val="32"/>
              <w:szCs w:val="32"/>
              <w:highlight w:val="none"/>
            </w:rPr>
            <w:t>（二）效果实现情况分析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fldChar w:fldCharType="end"/>
          </w:r>
        </w:p>
        <w:p>
          <w:pPr>
            <w:pStyle w:val="8"/>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"_Toc28342" </w:instrText>
          </w:r>
          <w:r>
            <w:rPr>
              <w:rFonts w:hint="eastAsia"/>
              <w:highlight w:val="none"/>
            </w:rPr>
            <w:fldChar w:fldCharType="separate"/>
          </w:r>
          <w:r>
            <w:rPr>
              <w:rFonts w:hint="eastAsia" w:ascii="仿宋_GB2312" w:hAnsi="仿宋_GB2312" w:eastAsia="仿宋_GB2312" w:cs="仿宋_GB2312"/>
              <w:kern w:val="0"/>
              <w:sz w:val="32"/>
              <w:szCs w:val="32"/>
              <w:highlight w:val="none"/>
            </w:rPr>
            <w:t>四、预算管理情况分析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_Toc28342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12</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9"/>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"_Toc11018" </w:instrText>
          </w:r>
          <w:r>
            <w:rPr>
              <w:rFonts w:hint="eastAsia"/>
              <w:highlight w:val="none"/>
            </w:rPr>
            <w:fldChar w:fldCharType="separate"/>
          </w:r>
          <w:r>
            <w:rPr>
              <w:rFonts w:hint="eastAsia" w:ascii="仿宋_GB2312" w:hAnsi="仿宋_GB2312" w:eastAsia="仿宋_GB2312" w:cs="仿宋_GB2312"/>
              <w:sz w:val="32"/>
              <w:szCs w:val="32"/>
              <w:highlight w:val="none"/>
            </w:rPr>
            <w:t>（一）财务管理</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_Toc11018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12</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9"/>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"_Toc20585" </w:instrText>
          </w:r>
          <w:r>
            <w:rPr>
              <w:rFonts w:hint="eastAsia"/>
              <w:highlight w:val="none"/>
            </w:rPr>
            <w:fldChar w:fldCharType="separate"/>
          </w:r>
          <w:r>
            <w:rPr>
              <w:rFonts w:hint="eastAsia" w:ascii="仿宋_GB2312" w:hAnsi="仿宋_GB2312" w:eastAsia="仿宋_GB2312" w:cs="仿宋_GB2312"/>
              <w:sz w:val="32"/>
              <w:szCs w:val="32"/>
              <w:highlight w:val="none"/>
            </w:rPr>
            <w:t>（二）资产管理</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_Toc20585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9"/>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"_Toc23397" </w:instrText>
          </w:r>
          <w:r>
            <w:rPr>
              <w:rFonts w:hint="eastAsia"/>
              <w:highlight w:val="none"/>
            </w:rPr>
            <w:fldChar w:fldCharType="separate"/>
          </w:r>
          <w:r>
            <w:rPr>
              <w:rFonts w:hint="eastAsia" w:ascii="仿宋_GB2312" w:hAnsi="仿宋_GB2312" w:eastAsia="仿宋_GB2312" w:cs="仿宋_GB2312"/>
              <w:sz w:val="32"/>
              <w:szCs w:val="32"/>
              <w:highlight w:val="none"/>
            </w:rPr>
            <w:t>（三）绩效管理</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_Toc23397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9"/>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"_Toc27286" </w:instrText>
          </w:r>
          <w:r>
            <w:rPr>
              <w:rFonts w:hint="eastAsia"/>
              <w:highlight w:val="none"/>
            </w:rPr>
            <w:fldChar w:fldCharType="separate"/>
          </w:r>
          <w:r>
            <w:rPr>
              <w:rFonts w:hint="eastAsia" w:ascii="仿宋_GB2312" w:hAnsi="仿宋_GB2312" w:eastAsia="仿宋_GB2312" w:cs="仿宋_GB2312"/>
              <w:sz w:val="32"/>
              <w:szCs w:val="32"/>
              <w:highlight w:val="none"/>
            </w:rPr>
            <w:t>（四）结转结余率</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fldChar w:fldCharType="end"/>
          </w:r>
        </w:p>
        <w:p>
          <w:pPr>
            <w:pStyle w:val="9"/>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"_Toc2122" </w:instrText>
          </w:r>
          <w:r>
            <w:rPr>
              <w:rFonts w:hint="eastAsia"/>
              <w:highlight w:val="none"/>
            </w:rPr>
            <w:fldChar w:fldCharType="separate"/>
          </w:r>
          <w:r>
            <w:rPr>
              <w:rFonts w:hint="eastAsia" w:ascii="仿宋_GB2312" w:hAnsi="仿宋_GB2312" w:eastAsia="仿宋_GB2312" w:cs="仿宋_GB2312"/>
              <w:sz w:val="32"/>
              <w:szCs w:val="32"/>
              <w:highlight w:val="none"/>
            </w:rPr>
            <w:t>（五）部门预决算差异率</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fldChar w:fldCharType="end"/>
          </w:r>
        </w:p>
        <w:p>
          <w:pPr>
            <w:pStyle w:val="8"/>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"_Toc31306" </w:instrText>
          </w:r>
          <w:r>
            <w:rPr>
              <w:rFonts w:hint="eastAsia"/>
              <w:highlight w:val="none"/>
            </w:rPr>
            <w:fldChar w:fldCharType="separate"/>
          </w:r>
          <w:r>
            <w:rPr>
              <w:rFonts w:hint="eastAsia" w:ascii="仿宋_GB2312" w:hAnsi="仿宋_GB2312" w:eastAsia="仿宋_GB2312" w:cs="仿宋_GB2312"/>
              <w:sz w:val="32"/>
              <w:szCs w:val="32"/>
              <w:highlight w:val="none"/>
            </w:rPr>
            <w:t>五、总体评价结论</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_Toc31306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9"/>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"_Toc31780" </w:instrText>
          </w:r>
          <w:r>
            <w:rPr>
              <w:rFonts w:hint="eastAsia"/>
              <w:highlight w:val="none"/>
            </w:rPr>
            <w:fldChar w:fldCharType="separate"/>
          </w:r>
          <w:r>
            <w:rPr>
              <w:rFonts w:hint="eastAsia" w:ascii="仿宋_GB2312" w:hAnsi="仿宋_GB2312" w:eastAsia="仿宋_GB2312" w:cs="仿宋_GB2312"/>
              <w:sz w:val="32"/>
              <w:szCs w:val="32"/>
              <w:highlight w:val="none"/>
            </w:rPr>
            <w:t>（一）评价得分情况</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_Toc31780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9"/>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"_Toc887" </w:instrText>
          </w:r>
          <w:r>
            <w:rPr>
              <w:rFonts w:hint="eastAsia"/>
              <w:highlight w:val="none"/>
            </w:rPr>
            <w:fldChar w:fldCharType="separate"/>
          </w:r>
          <w:r>
            <w:rPr>
              <w:rFonts w:hint="eastAsia" w:ascii="仿宋_GB2312" w:hAnsi="仿宋_GB2312" w:eastAsia="仿宋_GB2312" w:cs="仿宋_GB2312"/>
              <w:sz w:val="32"/>
              <w:szCs w:val="32"/>
              <w:highlight w:val="none"/>
            </w:rPr>
            <w:t>（二）存在的问题及原因分析</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PAGEREF _Toc887 \h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fldChar w:fldCharType="end"/>
          </w:r>
        </w:p>
        <w:p>
          <w:pPr>
            <w:pStyle w:val="8"/>
            <w:tabs>
              <w:tab w:val="right" w:leader="dot" w:pos="8306"/>
            </w:tabs>
            <w:rPr>
              <w:rFonts w:ascii="仿宋_GB2312" w:hAnsi="仿宋_GB2312" w:eastAsia="仿宋_GB2312" w:cs="仿宋_GB2312"/>
              <w:sz w:val="32"/>
              <w:szCs w:val="32"/>
              <w:highlight w:val="none"/>
            </w:rPr>
          </w:pPr>
          <w:r>
            <w:rPr>
              <w:rFonts w:hint="eastAsia"/>
              <w:highlight w:val="none"/>
            </w:rPr>
            <w:fldChar w:fldCharType="begin"/>
          </w:r>
          <w:r>
            <w:rPr>
              <w:highlight w:val="none"/>
            </w:rPr>
            <w:instrText xml:space="preserve"> HYPERLINK \l "_Toc18828" </w:instrText>
          </w:r>
          <w:r>
            <w:rPr>
              <w:rFonts w:hint="eastAsia"/>
              <w:highlight w:val="none"/>
            </w:rPr>
            <w:fldChar w:fldCharType="separate"/>
          </w:r>
          <w:r>
            <w:rPr>
              <w:rFonts w:hint="eastAsia" w:ascii="仿宋_GB2312" w:hAnsi="仿宋_GB2312" w:eastAsia="仿宋_GB2312" w:cs="仿宋_GB2312"/>
              <w:kern w:val="0"/>
              <w:sz w:val="32"/>
              <w:szCs w:val="32"/>
              <w:highlight w:val="none"/>
            </w:rPr>
            <w:t>六、措施建议</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fldChar w:fldCharType="end"/>
          </w:r>
        </w:p>
        <w:p>
          <w:pPr>
            <w:rPr>
              <w:highlight w:val="none"/>
            </w:rPr>
          </w:pPr>
          <w:r>
            <w:rPr>
              <w:rFonts w:hint="eastAsia" w:ascii="仿宋_GB2312" w:hAnsi="仿宋_GB2312" w:eastAsia="仿宋_GB2312" w:cs="仿宋_GB2312"/>
              <w:sz w:val="32"/>
              <w:szCs w:val="32"/>
              <w:highlight w:val="none"/>
            </w:rPr>
            <w:fldChar w:fldCharType="end"/>
          </w:r>
        </w:p>
      </w:sdtContent>
    </w:sdt>
    <w:p>
      <w:pPr>
        <w:spacing w:line="560" w:lineRule="exact"/>
        <w:jc w:val="center"/>
        <w:rPr>
          <w:rFonts w:ascii="方正小标宋简体" w:eastAsia="方正小标宋简体"/>
          <w:sz w:val="36"/>
          <w:szCs w:val="36"/>
          <w:highlight w:val="none"/>
        </w:rPr>
        <w:sectPr>
          <w:footerReference r:id="rId3" w:type="default"/>
          <w:pgSz w:w="11906" w:h="16838"/>
          <w:pgMar w:top="1440" w:right="1800" w:bottom="1440" w:left="1800" w:header="851" w:footer="992" w:gutter="0"/>
          <w:pgNumType w:start="1"/>
          <w:cols w:space="425" w:num="1"/>
          <w:docGrid w:type="lines" w:linePitch="312" w:charSpace="0"/>
        </w:sectPr>
      </w:pPr>
    </w:p>
    <w:p>
      <w:pPr>
        <w:spacing w:line="560" w:lineRule="exact"/>
        <w:jc w:val="center"/>
        <w:rPr>
          <w:rFonts w:hint="eastAsia" w:ascii="方正小标宋简体" w:eastAsia="方正小标宋简体"/>
          <w:sz w:val="36"/>
          <w:szCs w:val="36"/>
          <w:highlight w:val="none"/>
          <w:lang w:eastAsia="zh-CN"/>
        </w:rPr>
      </w:pPr>
      <w:r>
        <w:rPr>
          <w:rFonts w:hint="eastAsia" w:ascii="方正小标宋简体" w:eastAsia="方正小标宋简体"/>
          <w:sz w:val="36"/>
          <w:szCs w:val="36"/>
          <w:highlight w:val="none"/>
          <w:lang w:eastAsia="zh-CN"/>
        </w:rPr>
        <w:t>中共北京市委金融委员会办公室</w:t>
      </w:r>
    </w:p>
    <w:p>
      <w:pPr>
        <w:spacing w:line="560" w:lineRule="exact"/>
        <w:jc w:val="center"/>
        <w:rPr>
          <w:rFonts w:ascii="方正小标宋简体" w:eastAsia="方正小标宋简体"/>
          <w:sz w:val="36"/>
          <w:szCs w:val="36"/>
          <w:highlight w:val="none"/>
        </w:rPr>
      </w:pPr>
      <w:bookmarkStart w:id="0" w:name="_Toc4021"/>
      <w:bookmarkStart w:id="1" w:name="_Toc22521"/>
      <w:r>
        <w:rPr>
          <w:rFonts w:hint="eastAsia" w:ascii="方正小标宋简体" w:eastAsia="方正小标宋简体"/>
          <w:sz w:val="36"/>
          <w:szCs w:val="36"/>
          <w:highlight w:val="none"/>
        </w:rPr>
        <w:t>部门整体绩效评价报告</w:t>
      </w:r>
      <w:bookmarkEnd w:id="0"/>
      <w:bookmarkEnd w:id="1"/>
    </w:p>
    <w:p>
      <w:pPr>
        <w:spacing w:line="560" w:lineRule="exact"/>
        <w:jc w:val="center"/>
        <w:rPr>
          <w:rFonts w:ascii="方正小标宋简体" w:eastAsia="方正小标宋简体"/>
          <w:sz w:val="36"/>
          <w:szCs w:val="36"/>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ascii="黑体" w:hAnsi="黑体" w:eastAsia="黑体" w:cs="宋体"/>
          <w:color w:val="000000"/>
          <w:kern w:val="0"/>
          <w:sz w:val="32"/>
          <w:szCs w:val="32"/>
          <w:highlight w:val="none"/>
        </w:rPr>
      </w:pPr>
      <w:bookmarkStart w:id="2" w:name="_Toc26693"/>
      <w:r>
        <w:rPr>
          <w:rFonts w:hint="eastAsia" w:ascii="黑体" w:hAnsi="黑体" w:eastAsia="黑体" w:cs="宋体"/>
          <w:color w:val="000000"/>
          <w:kern w:val="0"/>
          <w:sz w:val="32"/>
          <w:szCs w:val="32"/>
          <w:highlight w:val="none"/>
        </w:rPr>
        <w:t>一、部门概况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楷体_GB2312" w:eastAsia="楷体_GB2312"/>
          <w:sz w:val="32"/>
          <w:szCs w:val="32"/>
          <w:highlight w:val="none"/>
        </w:rPr>
      </w:pPr>
      <w:bookmarkStart w:id="3" w:name="_Toc24074"/>
      <w:r>
        <w:rPr>
          <w:rFonts w:hint="eastAsia" w:ascii="楷体_GB2312" w:eastAsia="楷体_GB2312"/>
          <w:sz w:val="32"/>
          <w:szCs w:val="32"/>
          <w:highlight w:val="none"/>
        </w:rPr>
        <w:t>（一）机构设置及职责工作任务情况</w:t>
      </w:r>
      <w:bookmarkEnd w:id="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2024年，原北京市地方金融监督管理局部门机构改革，更名为中共北京市委金融委员会办公室，是市委工作机关，负责统筹推动和协调本市地方金融相关工作，完成市委和市委金融委交办的任务。下属一个公益一类事业单位，为北京市金融发展促进中心。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2023年仍按照原北京市地方金融监督管理局部门职责履职：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1.起草本市相关地方性法规草案、政府规章草案。配合国家金融管理部门驻京机构做好货币政策落实与金融监管相关工作。研究拟订本市金融业发展规划和政策措施，并组织实施。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2.指导、推动本市金融市场、要素市场体系建设和发展，组织推进多层次资本市场建设发展。指导、规范各类交易场所的设立和发展。指导推动地方股权交易中心规范发展。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3.统筹推进本市企业融资工作。协调推进企业上市和并购重组。协调推动企业发行公司债券、短期融资券和中期票据等债务融资工具。指导、推动天使投资、创业投资、股权（产业）投资规范发展。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4.统筹发展本市普惠金融、绿色金融、小微金融。推动农村金融体系建设和产品服务创新。协调、推进农村金融改革、创新与发展。指导农村金融综合改革试验区建设与发展。会同有关部门开展金融精准帮扶和扶贫。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5.统筹推进本市金融发展环境建设。协调推动金融机构和中介服务机构增强金融服务实体经济、科技创新和社会管理能力。建立健全金融发展服务体系，为国家金融管理部门、在京金融机构提供服务。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6.协调在京金融机构为首都经济社会发展服务。参与本市投融资体制改革工作。研究制定引导社会融资发展的政策措施。参与研究拟订政府重大项目融资方案。协调金融机构综合运用各种金融工具和平台，为重点工程、主导产业、重要区域发展和中小企业发展提供融资支持服务。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7.协调、指导金融服务本市社会民生工作。引导、协调金融机构创新服务产品，扩大服务范围，延伸服务领域，提升服务效率。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8.推进本市金融信用体系建设。配合有关部门推进企业和个人征信系统建设。参与建立信用信息共享交换机制和信用奖惩机制。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9.研究制定本市金融业发展总体布局规划，促进金融机构合理布局。会同有关部门推动现代金融体系建设，指导金融功能区的建设发展，引导金融管理部门和金融机构进驻。监测分析各金融功能区发展情况。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10.负责本市小额贷款公司、融资担保公司、区域性股权市场、典当行、融资租赁公司、商业保理公司、地方资产管理公司行政审批工作，并依法依规监管。配合推进市属金融机构改革重组。承担集体改制企业上市的产权确认职责。指导、规范金融中介机构发展。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11.对本市投资公司、开展信用互助的农民专业合作社、社会众筹机构、地方各类交易场所等加强监管。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12.牵头负责防范和打击金融欺诈、非法集资、非法证券期货活动等各类违法违规行为。会同有关部门查处非法金融机构和非法金融活动。负责金融突发事件应急处置工作。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13.指导、协调本市金融人才资源开发管理和金融人才队伍建设工作。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14.完成市委、市政府交办的其他任务。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ascii="楷体_GB2312" w:eastAsia="楷体_GB2312"/>
          <w:sz w:val="32"/>
          <w:szCs w:val="32"/>
          <w:highlight w:val="none"/>
        </w:rPr>
      </w:pPr>
      <w:bookmarkStart w:id="4" w:name="_Toc10248"/>
      <w:r>
        <w:rPr>
          <w:rFonts w:hint="eastAsia" w:ascii="楷体_GB2312" w:eastAsia="楷体_GB2312"/>
          <w:sz w:val="32"/>
          <w:szCs w:val="32"/>
          <w:highlight w:val="none"/>
        </w:rPr>
        <w:t>（二）部门整体绩效目标设立情况</w:t>
      </w:r>
      <w:bookmarkEnd w:id="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根据2023年工作安排及绩效任务和任务目标，</w:t>
      </w:r>
      <w:r>
        <w:rPr>
          <w:rFonts w:hint="eastAsia" w:ascii="仿宋_GB2312" w:hAnsi="仿宋_GB2312" w:eastAsia="仿宋_GB2312" w:cs="仿宋_GB2312"/>
          <w:sz w:val="32"/>
          <w:szCs w:val="32"/>
          <w:highlight w:val="none"/>
          <w:lang w:val="en-US" w:eastAsia="zh-CN"/>
        </w:rPr>
        <w:t>部门</w:t>
      </w:r>
      <w:r>
        <w:rPr>
          <w:rFonts w:hint="eastAsia" w:ascii="仿宋_GB2312" w:hAnsi="仿宋_GB2312" w:eastAsia="仿宋_GB2312" w:cs="仿宋_GB2312"/>
          <w:sz w:val="32"/>
          <w:szCs w:val="32"/>
          <w:highlight w:val="none"/>
          <w:lang w:eastAsia="zh-CN"/>
        </w:rPr>
        <w:t>将以创新提升金融支持实体经济的发展格局为目标，以巩固国家金融管理中心功能为核心，以优化首都金融生态环境为依托，提升首都金融的创新力、辐射力和影响力。进一步优化提升金融营商环境，加快推进金融业率先开放，加大金融机构聚集力度，每年多次举办国际性金融活动；提升金融对首都科学发展的服务能力，推动资本市场发展，搭建金融服务实体经济平台，进一步增强金融的资源配置、融资支持和保险保障功能；优化金融生态环境，积极培育副中心高端金融业态；加强高端金融人才的引进、培养、使用、服务和评价，努力构建全国金融人才中心；加强地方金融监管制度体系建设，完成防范化解金融风险攻坚战重大任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部门</w:t>
      </w:r>
      <w:r>
        <w:rPr>
          <w:rFonts w:hint="eastAsia" w:ascii="仿宋_GB2312" w:hAnsi="仿宋_GB2312" w:eastAsia="仿宋_GB2312" w:cs="仿宋_GB2312"/>
          <w:sz w:val="32"/>
          <w:szCs w:val="32"/>
          <w:highlight w:val="none"/>
        </w:rPr>
        <w:t>整体绩效目标设定与部门工作重点相关，</w:t>
      </w:r>
      <w:r>
        <w:rPr>
          <w:rFonts w:hint="eastAsia" w:ascii="仿宋_GB2312" w:hAnsi="仿宋_GB2312" w:eastAsia="仿宋_GB2312" w:cs="仿宋_GB2312"/>
          <w:sz w:val="32"/>
          <w:szCs w:val="32"/>
          <w:highlight w:val="none"/>
          <w:lang w:val="en-US" w:eastAsia="zh-CN"/>
        </w:rPr>
        <w:t>设定依据明确，</w:t>
      </w:r>
      <w:r>
        <w:rPr>
          <w:rFonts w:hint="eastAsia" w:ascii="仿宋_GB2312" w:hAnsi="仿宋_GB2312" w:eastAsia="仿宋_GB2312" w:cs="仿宋_GB2312"/>
          <w:sz w:val="32"/>
          <w:szCs w:val="32"/>
          <w:highlight w:val="none"/>
        </w:rPr>
        <w:t>工作部门与部门工作任务相匹配，绩效目标设定比较合理。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ascii="黑体" w:hAnsi="黑体" w:eastAsia="黑体" w:cs="宋体"/>
          <w:color w:val="000000"/>
          <w:kern w:val="0"/>
          <w:sz w:val="32"/>
          <w:szCs w:val="32"/>
          <w:highlight w:val="none"/>
        </w:rPr>
      </w:pPr>
      <w:bookmarkStart w:id="5" w:name="_Toc21403"/>
      <w:r>
        <w:rPr>
          <w:rFonts w:hint="eastAsia" w:ascii="黑体" w:hAnsi="黑体" w:eastAsia="黑体" w:cs="宋体"/>
          <w:color w:val="000000"/>
          <w:kern w:val="0"/>
          <w:sz w:val="32"/>
          <w:szCs w:val="32"/>
          <w:highlight w:val="none"/>
        </w:rPr>
        <w:t>二</w:t>
      </w:r>
      <w:r>
        <w:rPr>
          <w:rFonts w:ascii="黑体" w:hAnsi="黑体" w:eastAsia="黑体" w:cs="宋体"/>
          <w:color w:val="000000"/>
          <w:kern w:val="0"/>
          <w:sz w:val="32"/>
          <w:szCs w:val="32"/>
          <w:highlight w:val="none"/>
        </w:rPr>
        <w:t>、</w:t>
      </w:r>
      <w:r>
        <w:rPr>
          <w:rFonts w:hint="eastAsia" w:ascii="黑体" w:hAnsi="黑体" w:eastAsia="黑体" w:cs="宋体"/>
          <w:color w:val="000000"/>
          <w:kern w:val="0"/>
          <w:sz w:val="32"/>
          <w:szCs w:val="32"/>
          <w:highlight w:val="none"/>
        </w:rPr>
        <w:t>当年</w:t>
      </w:r>
      <w:r>
        <w:rPr>
          <w:rFonts w:ascii="黑体" w:hAnsi="黑体" w:eastAsia="黑体" w:cs="宋体"/>
          <w:color w:val="000000"/>
          <w:kern w:val="0"/>
          <w:sz w:val="32"/>
          <w:szCs w:val="32"/>
          <w:highlight w:val="none"/>
        </w:rPr>
        <w:t>预算执行情况</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202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w:t>
      </w:r>
      <w:r>
        <w:rPr>
          <w:rFonts w:ascii="仿宋_GB2312" w:hAnsi="宋体" w:eastAsia="仿宋_GB2312" w:cs="宋体"/>
          <w:color w:val="000000"/>
          <w:kern w:val="0"/>
          <w:sz w:val="32"/>
          <w:szCs w:val="32"/>
          <w:highlight w:val="none"/>
        </w:rPr>
        <w:t>全年</w:t>
      </w:r>
      <w:r>
        <w:rPr>
          <w:rFonts w:hint="eastAsia" w:ascii="仿宋_GB2312" w:hAnsi="宋体" w:eastAsia="仿宋_GB2312" w:cs="宋体"/>
          <w:color w:val="000000"/>
          <w:kern w:val="0"/>
          <w:sz w:val="32"/>
          <w:szCs w:val="32"/>
          <w:highlight w:val="none"/>
        </w:rPr>
        <w:t>预算数8325.02万元</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其中</w:t>
      </w:r>
      <w:r>
        <w:rPr>
          <w:rFonts w:ascii="仿宋_GB2312" w:hAnsi="宋体" w:eastAsia="仿宋_GB2312" w:cs="宋体"/>
          <w:color w:val="000000"/>
          <w:kern w:val="0"/>
          <w:sz w:val="32"/>
          <w:szCs w:val="32"/>
          <w:highlight w:val="none"/>
        </w:rPr>
        <w:t>，基本</w:t>
      </w:r>
      <w:r>
        <w:rPr>
          <w:rFonts w:hint="eastAsia" w:ascii="仿宋_GB2312" w:hAnsi="宋体" w:eastAsia="仿宋_GB2312" w:cs="宋体"/>
          <w:color w:val="000000"/>
          <w:kern w:val="0"/>
          <w:sz w:val="32"/>
          <w:szCs w:val="32"/>
          <w:highlight w:val="none"/>
        </w:rPr>
        <w:t>支出</w:t>
      </w:r>
      <w:r>
        <w:rPr>
          <w:rFonts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rPr>
        <w:t>5069.75</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项目支出预算数3255.27</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支出7805.77</w:t>
      </w:r>
      <w:r>
        <w:rPr>
          <w:rFonts w:ascii="仿宋_GB2312" w:hAnsi="宋体" w:eastAsia="仿宋_GB2312" w:cs="宋体"/>
          <w:color w:val="000000"/>
          <w:kern w:val="0"/>
          <w:sz w:val="32"/>
          <w:szCs w:val="32"/>
          <w:highlight w:val="none"/>
        </w:rPr>
        <w:t>万元，其中，基本支出</w:t>
      </w:r>
      <w:r>
        <w:rPr>
          <w:rFonts w:hint="eastAsia" w:ascii="仿宋_GB2312" w:hAnsi="宋体" w:eastAsia="仿宋_GB2312" w:cs="宋体"/>
          <w:color w:val="000000"/>
          <w:kern w:val="0"/>
          <w:sz w:val="32"/>
          <w:szCs w:val="32"/>
          <w:highlight w:val="none"/>
        </w:rPr>
        <w:t>5052.01</w:t>
      </w:r>
      <w:r>
        <w:rPr>
          <w:rFonts w:ascii="仿宋_GB2312" w:hAnsi="宋体" w:eastAsia="仿宋_GB2312" w:cs="宋体"/>
          <w:color w:val="000000"/>
          <w:kern w:val="0"/>
          <w:sz w:val="32"/>
          <w:szCs w:val="32"/>
          <w:highlight w:val="none"/>
        </w:rPr>
        <w:t>万元，项目</w:t>
      </w:r>
      <w:r>
        <w:rPr>
          <w:rFonts w:hint="eastAsia" w:ascii="仿宋_GB2312" w:hAnsi="宋体" w:eastAsia="仿宋_GB2312" w:cs="宋体"/>
          <w:color w:val="000000"/>
          <w:kern w:val="0"/>
          <w:sz w:val="32"/>
          <w:szCs w:val="32"/>
          <w:highlight w:val="none"/>
        </w:rPr>
        <w:t>支出2753.7</w:t>
      </w:r>
      <w:r>
        <w:rPr>
          <w:rFonts w:hint="eastAsia" w:ascii="仿宋_GB2312" w:hAnsi="宋体" w:eastAsia="仿宋_GB2312" w:cs="宋体"/>
          <w:color w:val="000000"/>
          <w:kern w:val="0"/>
          <w:sz w:val="32"/>
          <w:szCs w:val="32"/>
          <w:highlight w:val="none"/>
          <w:lang w:val="en-US" w:eastAsia="zh-CN"/>
        </w:rPr>
        <w:t>6</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预算</w:t>
      </w:r>
      <w:r>
        <w:rPr>
          <w:rFonts w:ascii="仿宋_GB2312" w:hAnsi="宋体" w:eastAsia="仿宋_GB2312" w:cs="宋体"/>
          <w:color w:val="000000"/>
          <w:kern w:val="0"/>
          <w:sz w:val="32"/>
          <w:szCs w:val="32"/>
          <w:highlight w:val="none"/>
        </w:rPr>
        <w:t>执行率为</w:t>
      </w:r>
      <w:r>
        <w:rPr>
          <w:rFonts w:hint="eastAsia" w:ascii="仿宋_GB2312" w:hAnsi="宋体" w:eastAsia="仿宋_GB2312" w:cs="宋体"/>
          <w:color w:val="000000"/>
          <w:kern w:val="0"/>
          <w:sz w:val="32"/>
          <w:szCs w:val="32"/>
          <w:highlight w:val="none"/>
        </w:rPr>
        <w:t>9</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lang w:val="en-US" w:eastAsia="zh-CN"/>
        </w:rPr>
        <w:t>76</w:t>
      </w:r>
      <w:r>
        <w:rPr>
          <w:rFonts w:hint="eastAsia" w:ascii="仿宋_GB2312" w:hAnsi="宋体" w:eastAsia="仿宋_GB2312" w:cs="宋体"/>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0"/>
        <w:rPr>
          <w:rFonts w:ascii="黑体" w:hAnsi="黑体" w:eastAsia="黑体" w:cs="宋体"/>
          <w:color w:val="000000"/>
          <w:kern w:val="0"/>
          <w:sz w:val="32"/>
          <w:szCs w:val="32"/>
          <w:highlight w:val="none"/>
        </w:rPr>
      </w:pPr>
      <w:bookmarkStart w:id="6" w:name="_Toc20976"/>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bookmarkEnd w:id="6"/>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1"/>
        <w:rPr>
          <w:rFonts w:ascii="楷体_GB2312" w:eastAsia="楷体_GB2312"/>
          <w:sz w:val="32"/>
          <w:szCs w:val="32"/>
          <w:highlight w:val="none"/>
        </w:rPr>
      </w:pPr>
      <w:bookmarkStart w:id="7" w:name="_Toc15033"/>
      <w:r>
        <w:rPr>
          <w:rFonts w:hint="eastAsia" w:ascii="楷体_GB2312" w:eastAsia="楷体_GB2312"/>
          <w:sz w:val="32"/>
          <w:szCs w:val="32"/>
          <w:highlight w:val="none"/>
        </w:rPr>
        <w:t>（一）产出完成情况分析</w:t>
      </w:r>
      <w:bookmarkEnd w:id="7"/>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1.产出数量</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该项指标分值10.00分，实际得分</w:t>
      </w:r>
      <w:r>
        <w:rPr>
          <w:rFonts w:hint="eastAsia" w:ascii="仿宋_GB2312" w:hAnsi="宋体" w:eastAsia="仿宋_GB2312" w:cs="宋体"/>
          <w:color w:val="000000"/>
          <w:kern w:val="0"/>
          <w:sz w:val="32"/>
          <w:szCs w:val="32"/>
          <w:highlight w:val="none"/>
          <w:lang w:val="en-US" w:eastAsia="zh-CN"/>
        </w:rPr>
        <w:t>8.00</w:t>
      </w:r>
      <w:r>
        <w:rPr>
          <w:rFonts w:hint="eastAsia" w:ascii="仿宋_GB2312" w:hAnsi="宋体" w:eastAsia="仿宋_GB2312" w:cs="宋体"/>
          <w:color w:val="000000"/>
          <w:kern w:val="0"/>
          <w:sz w:val="32"/>
          <w:szCs w:val="32"/>
          <w:highlight w:val="none"/>
        </w:rPr>
        <w:t>分。202</w:t>
      </w: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年度</w:t>
      </w:r>
      <w:r>
        <w:rPr>
          <w:rFonts w:hint="eastAsia" w:ascii="仿宋_GB2312" w:hAnsi="宋体" w:eastAsia="仿宋_GB2312" w:cs="宋体"/>
          <w:color w:val="000000"/>
          <w:kern w:val="0"/>
          <w:sz w:val="32"/>
          <w:szCs w:val="32"/>
          <w:highlight w:val="none"/>
          <w:lang w:val="en-US" w:eastAsia="zh-CN"/>
        </w:rPr>
        <w:t>计划任务25</w:t>
      </w:r>
      <w:r>
        <w:rPr>
          <w:rFonts w:hint="eastAsia" w:ascii="仿宋_GB2312" w:hAnsi="宋体" w:eastAsia="仿宋_GB2312" w:cs="宋体"/>
          <w:color w:val="000000"/>
          <w:kern w:val="0"/>
          <w:sz w:val="32"/>
          <w:szCs w:val="32"/>
          <w:highlight w:val="none"/>
        </w:rPr>
        <w:t>个，</w:t>
      </w:r>
      <w:r>
        <w:rPr>
          <w:rFonts w:hint="eastAsia" w:ascii="仿宋_GB2312" w:hAnsi="宋体" w:eastAsia="仿宋_GB2312" w:cs="宋体"/>
          <w:color w:val="000000"/>
          <w:kern w:val="0"/>
          <w:sz w:val="32"/>
          <w:szCs w:val="32"/>
          <w:highlight w:val="none"/>
          <w:lang w:val="en-US" w:eastAsia="zh-CN"/>
        </w:rPr>
        <w:t>通过各项工作任务开展，按计划完成20项任务</w:t>
      </w:r>
      <w:r>
        <w:rPr>
          <w:rFonts w:hint="eastAsia" w:ascii="仿宋_GB2312" w:hAnsi="宋体" w:eastAsia="仿宋_GB2312" w:cs="宋体"/>
          <w:color w:val="000000"/>
          <w:kern w:val="0"/>
          <w:sz w:val="32"/>
          <w:szCs w:val="32"/>
          <w:highlight w:val="none"/>
        </w:rPr>
        <w:t>，实现了预期产出目标。具体</w:t>
      </w:r>
      <w:r>
        <w:rPr>
          <w:rFonts w:hint="eastAsia" w:ascii="仿宋_GB2312" w:hAnsi="宋体" w:eastAsia="仿宋_GB2312" w:cs="宋体"/>
          <w:color w:val="000000"/>
          <w:kern w:val="0"/>
          <w:sz w:val="32"/>
          <w:szCs w:val="32"/>
          <w:highlight w:val="none"/>
          <w:lang w:val="en-US" w:eastAsia="zh-CN"/>
        </w:rPr>
        <w:t>工作完成情况</w:t>
      </w:r>
      <w:r>
        <w:rPr>
          <w:rFonts w:hint="eastAsia" w:ascii="仿宋_GB2312" w:hAnsi="宋体" w:eastAsia="仿宋_GB2312" w:cs="宋体"/>
          <w:color w:val="000000"/>
          <w:kern w:val="0"/>
          <w:sz w:val="32"/>
          <w:szCs w:val="32"/>
          <w:highlight w:val="none"/>
        </w:rPr>
        <w:t>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通过</w:t>
      </w:r>
      <w:r>
        <w:rPr>
          <w:rFonts w:hint="eastAsia" w:ascii="仿宋_GB2312" w:hAnsi="宋体" w:eastAsia="仿宋_GB2312" w:cs="宋体"/>
          <w:color w:val="000000"/>
          <w:kern w:val="0"/>
          <w:sz w:val="32"/>
          <w:szCs w:val="32"/>
          <w:highlight w:val="none"/>
        </w:rPr>
        <w:t>北京畅融工程</w:t>
      </w:r>
      <w:r>
        <w:rPr>
          <w:rFonts w:hint="eastAsia" w:ascii="仿宋_GB2312" w:hAnsi="宋体" w:eastAsia="仿宋_GB2312" w:cs="宋体"/>
          <w:color w:val="000000"/>
          <w:kern w:val="0"/>
          <w:sz w:val="32"/>
          <w:szCs w:val="32"/>
          <w:highlight w:val="none"/>
          <w:lang w:val="en-US" w:eastAsia="zh-CN"/>
        </w:rPr>
        <w:t>公众号召开</w:t>
      </w:r>
      <w:r>
        <w:rPr>
          <w:rFonts w:hint="eastAsia" w:ascii="仿宋_GB2312" w:hAnsi="宋体" w:eastAsia="仿宋_GB2312" w:cs="宋体"/>
          <w:color w:val="000000"/>
          <w:kern w:val="0"/>
          <w:sz w:val="32"/>
          <w:szCs w:val="32"/>
          <w:highlight w:val="none"/>
        </w:rPr>
        <w:t>银企对接会</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包括1场年度活动、4场季度活动、13场月度活动、58场周活动。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组织</w:t>
      </w:r>
      <w:r>
        <w:rPr>
          <w:rFonts w:hint="eastAsia" w:ascii="仿宋_GB2312" w:hAnsi="宋体" w:eastAsia="仿宋_GB2312" w:cs="宋体"/>
          <w:color w:val="000000"/>
          <w:kern w:val="0"/>
          <w:sz w:val="32"/>
          <w:szCs w:val="32"/>
          <w:highlight w:val="none"/>
          <w:lang w:val="en-US" w:eastAsia="zh-CN"/>
        </w:rPr>
        <w:t>召开</w:t>
      </w:r>
      <w:r>
        <w:rPr>
          <w:rFonts w:hint="eastAsia" w:ascii="仿宋_GB2312" w:hAnsi="宋体" w:eastAsia="仿宋_GB2312" w:cs="宋体"/>
          <w:color w:val="000000"/>
          <w:kern w:val="0"/>
          <w:sz w:val="32"/>
          <w:szCs w:val="32"/>
          <w:highlight w:val="none"/>
        </w:rPr>
        <w:t>小额贷款、融资担保行业培训会各1场</w:t>
      </w:r>
      <w:r>
        <w:rPr>
          <w:rFonts w:hint="eastAsia" w:ascii="仿宋_GB2312" w:hAnsi="宋体" w:eastAsia="仿宋_GB2312" w:cs="宋体"/>
          <w:color w:val="000000"/>
          <w:kern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开展“线上+线下”现场宣传活动10场。</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对创投备案企业开展年检工作58家</w:t>
      </w:r>
      <w:r>
        <w:rPr>
          <w:rFonts w:hint="eastAsia" w:ascii="仿宋_GB2312" w:hAnsi="宋体" w:eastAsia="仿宋_GB2312" w:cs="宋体"/>
          <w:color w:val="000000"/>
          <w:kern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对QDLP、QFLP企业开展检查工作58家。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开展融担、小贷公司现场检查22家。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对区域性股权市场开展现场检查工作1家。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对本市有交易业务的交易场所进行现场检查22家。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对本市商业保理公司开展现场检查12家。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对本市典当企业开展现场检查76家</w:t>
      </w:r>
      <w:r>
        <w:rPr>
          <w:rFonts w:hint="eastAsia" w:ascii="仿宋_GB2312" w:hAnsi="宋体" w:eastAsia="仿宋_GB2312" w:cs="宋体"/>
          <w:color w:val="000000"/>
          <w:kern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发挥大数据辅助非法集资监测预警作用，本年度新增监测企业5万家</w:t>
      </w:r>
      <w:r>
        <w:rPr>
          <w:rFonts w:hint="eastAsia" w:ascii="仿宋_GB2312" w:hAnsi="宋体" w:eastAsia="仿宋_GB2312" w:cs="宋体"/>
          <w:color w:val="000000"/>
          <w:kern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对本市小额贷款公司、融资担保公司开展年度现场检查和专项现场检查22家。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“FIN-TAIK”系列活动</w:t>
      </w:r>
      <w:r>
        <w:rPr>
          <w:rFonts w:hint="eastAsia" w:ascii="仿宋_GB2312" w:hAnsi="宋体" w:eastAsia="仿宋_GB2312" w:cs="宋体"/>
          <w:color w:val="000000"/>
          <w:kern w:val="0"/>
          <w:sz w:val="32"/>
          <w:szCs w:val="32"/>
          <w:highlight w:val="none"/>
          <w:lang w:val="en-US" w:eastAsia="zh-CN"/>
        </w:rPr>
        <w:t>1年开展3期，因工作计划变动，未开展实施</w:t>
      </w:r>
      <w:r>
        <w:rPr>
          <w:rFonts w:hint="eastAsia" w:ascii="仿宋_GB2312" w:hAnsi="宋体" w:eastAsia="仿宋_GB2312" w:cs="宋体"/>
          <w:color w:val="000000"/>
          <w:kern w:val="0"/>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完成出版发行《首都金融》杂志双月刊6期。</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为2套网络环境下的终端提供日常安全防护，全年信息系统在200台终端下平稳运行，未发生重大安全事故</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lang w:val="en-US" w:eastAsia="zh-CN"/>
        </w:rPr>
        <w:t>为首都金融综合信息服务平台4个应用系统提供外部商业数据4个（套）未实施。</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为平台11个信息系统提供基础设施环境</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网络及相应支撑服务</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lang w:val="en-US" w:eastAsia="zh-CN"/>
        </w:rPr>
        <w:t>为首都金融综合信息服务平台1个系统采购北京地区企业境外上市数据接口服务1个（套）未开展</w:t>
      </w:r>
      <w:r>
        <w:rPr>
          <w:rFonts w:hint="eastAsia" w:ascii="仿宋_GB2312" w:hAnsi="宋体" w:eastAsia="仿宋_GB2312" w:cs="宋体"/>
          <w:color w:val="000000"/>
          <w:kern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组织召开首都金融研究专题会</w:t>
      </w:r>
      <w:r>
        <w:rPr>
          <w:rFonts w:hint="eastAsia" w:ascii="仿宋_GB2312" w:hAnsi="宋体" w:eastAsia="仿宋_GB2312" w:cs="宋体"/>
          <w:color w:val="000000"/>
          <w:kern w:val="0"/>
          <w:sz w:val="32"/>
          <w:szCs w:val="32"/>
          <w:highlight w:val="none"/>
          <w:lang w:val="en-US" w:eastAsia="zh-CN"/>
        </w:rPr>
        <w:t>1次，因工作计划变动，未开展实施</w:t>
      </w:r>
      <w:r>
        <w:rPr>
          <w:rFonts w:hint="eastAsia" w:ascii="仿宋_GB2312" w:hAnsi="宋体" w:eastAsia="仿宋_GB2312" w:cs="宋体"/>
          <w:color w:val="000000"/>
          <w:kern w:val="0"/>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召开北京市普惠金融、农村金融、小微金融工作会议1次</w:t>
      </w:r>
      <w:r>
        <w:rPr>
          <w:rFonts w:hint="eastAsia" w:ascii="仿宋_GB2312" w:hAnsi="宋体" w:eastAsia="仿宋_GB2312" w:cs="宋体"/>
          <w:color w:val="000000"/>
          <w:kern w:val="0"/>
          <w:sz w:val="32"/>
          <w:szCs w:val="32"/>
          <w:highlight w:val="none"/>
          <w:lang w:val="en-US" w:eastAsia="zh-CN"/>
        </w:rPr>
        <w:t>，因工作计划变动，未开展实施</w:t>
      </w:r>
      <w:r>
        <w:rPr>
          <w:rFonts w:hint="eastAsia" w:ascii="仿宋_GB2312" w:hAnsi="宋体" w:eastAsia="仿宋_GB2312" w:cs="宋体"/>
          <w:color w:val="000000"/>
          <w:kern w:val="0"/>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发布（上市公司风险监测、公司债风险监测</w:t>
      </w:r>
      <w:r>
        <w:rPr>
          <w:rFonts w:hint="eastAsia" w:ascii="仿宋_GB2312" w:hAnsi="宋体" w:eastAsia="仿宋_GB2312" w:cs="宋体"/>
          <w:color w:val="000000"/>
          <w:kern w:val="0"/>
          <w:sz w:val="32"/>
          <w:szCs w:val="32"/>
          <w:highlight w:val="none"/>
          <w:lang w:eastAsia="zh-CN"/>
        </w:rPr>
        <w:t>）</w:t>
      </w:r>
      <w:r>
        <w:rPr>
          <w:rFonts w:hint="eastAsia" w:ascii="仿宋_GB2312" w:hAnsi="宋体" w:eastAsia="仿宋_GB2312" w:cs="宋体"/>
          <w:color w:val="000000"/>
          <w:kern w:val="0"/>
          <w:sz w:val="32"/>
          <w:szCs w:val="32"/>
          <w:highlight w:val="none"/>
        </w:rPr>
        <w:t>全年舆情监测月报12期</w:t>
      </w:r>
      <w:r>
        <w:rPr>
          <w:rFonts w:hint="eastAsia" w:ascii="仿宋_GB2312" w:hAnsi="宋体" w:eastAsia="仿宋_GB2312" w:cs="宋体"/>
          <w:color w:val="000000"/>
          <w:kern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发布防范非法集资公益宣传信息、文章20篇。</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投放防范非法集资宣传片1分钟版、30秒版及宣传海报。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按照首都金融抖音号宣传计划，合同期内，共发布短视频数量364条。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完成创业投资发展报告1份。</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完成创投私募相关情况季报4份。</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分别完成上市公司风险监测月报、公司债风险监测月报、上市公司融资月报12份。</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w:t>
      </w:r>
      <w:r>
        <w:rPr>
          <w:rFonts w:ascii="仿宋_GB2312" w:hAnsi="宋体" w:eastAsia="仿宋_GB2312" w:cs="宋体"/>
          <w:color w:val="000000"/>
          <w:kern w:val="0"/>
          <w:sz w:val="32"/>
          <w:szCs w:val="32"/>
        </w:rPr>
        <w:t>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该项指标分值10.00分，实际得分</w:t>
      </w:r>
      <w:r>
        <w:rPr>
          <w:rFonts w:hint="eastAsia" w:ascii="仿宋_GB2312" w:hAnsi="宋体" w:eastAsia="仿宋_GB2312" w:cs="宋体"/>
          <w:color w:val="000000"/>
          <w:kern w:val="0"/>
          <w:sz w:val="32"/>
          <w:szCs w:val="32"/>
          <w:lang w:val="en-US" w:eastAsia="zh-CN"/>
        </w:rPr>
        <w:t>8.40</w:t>
      </w:r>
      <w:r>
        <w:rPr>
          <w:rFonts w:hint="eastAsia" w:ascii="仿宋_GB2312" w:hAnsi="宋体" w:eastAsia="仿宋_GB2312" w:cs="宋体"/>
          <w:color w:val="000000"/>
          <w:kern w:val="0"/>
          <w:sz w:val="32"/>
          <w:szCs w:val="32"/>
        </w:rPr>
        <w:t>分。</w:t>
      </w:r>
      <w:r>
        <w:rPr>
          <w:rFonts w:hint="eastAsia" w:ascii="仿宋_GB2312" w:hAnsi="宋体" w:eastAsia="仿宋_GB2312" w:cs="宋体"/>
          <w:color w:val="000000"/>
          <w:kern w:val="0"/>
          <w:sz w:val="32"/>
          <w:szCs w:val="32"/>
          <w:lang w:val="en-US" w:eastAsia="zh-CN"/>
        </w:rPr>
        <w:t>18项工作质量标准中，14项工作任务完成质量达标，具体情况如下：</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在局官网等平台发布宣传信息、宣传文章的质量为优。</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会议参与率100%</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各项正常组织培训工作参与率达到100%。</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会议参会率100%</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各项正常组织召开会议参会率达到100%。</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《首都金融》验收合格率100%</w:t>
      </w:r>
      <w:r>
        <w:rPr>
          <w:rFonts w:hint="eastAsia" w:ascii="仿宋_GB2312" w:hAnsi="宋体" w:eastAsia="仿宋_GB2312" w:cs="宋体"/>
          <w:color w:val="000000"/>
          <w:kern w:val="0"/>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现场检查的完成率100%</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各项正常组织开展进行的典当行，交易场所，融担、小贷公司，区域性股权市场，商业保理公司等的现场检查工作完成率达到100%。</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发布的短视频的</w:t>
      </w:r>
      <w:r>
        <w:rPr>
          <w:rFonts w:hint="eastAsia" w:ascii="仿宋_GB2312" w:hAnsi="宋体" w:eastAsia="仿宋_GB2312" w:cs="宋体"/>
          <w:color w:val="000000"/>
          <w:kern w:val="0"/>
          <w:sz w:val="32"/>
          <w:szCs w:val="32"/>
        </w:rPr>
        <w:t>视频内容准确率100%</w:t>
      </w:r>
      <w:r>
        <w:rPr>
          <w:rFonts w:hint="eastAsia" w:ascii="仿宋_GB2312" w:hAnsi="宋体" w:eastAsia="仿宋_GB2312" w:cs="宋体"/>
          <w:color w:val="000000"/>
          <w:kern w:val="0"/>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会议参与率100%</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各项正常组织开展的培训、会议的本单位各相关部门人员会议参会率100%。</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发布及时率100%</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各项正常组织开展的宣传信息、宣传文章、抖音短视频等发布及时率达到100%。</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典当行</w:t>
      </w:r>
      <w:r>
        <w:rPr>
          <w:rFonts w:hint="eastAsia" w:ascii="仿宋_GB2312" w:hAnsi="宋体" w:eastAsia="仿宋_GB2312" w:cs="宋体"/>
          <w:color w:val="000000"/>
          <w:kern w:val="0"/>
          <w:sz w:val="32"/>
          <w:szCs w:val="32"/>
        </w:rPr>
        <w:t>电子年审完成率100%</w:t>
      </w:r>
      <w:r>
        <w:rPr>
          <w:rFonts w:hint="eastAsia" w:ascii="仿宋_GB2312" w:hAnsi="宋体" w:eastAsia="仿宋_GB2312" w:cs="宋体"/>
          <w:color w:val="000000"/>
          <w:kern w:val="0"/>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报告合格率100%</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各项正常组织开展的现场检查报告合格率达到100%。</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报告合格率100%</w:t>
      </w:r>
      <w:r>
        <w:rPr>
          <w:rFonts w:hint="eastAsia" w:ascii="仿宋_GB2312" w:hAnsi="宋体" w:eastAsia="仿宋_GB2312" w:cs="宋体"/>
          <w:color w:val="000000"/>
          <w:kern w:val="0"/>
          <w:sz w:val="32"/>
          <w:szCs w:val="32"/>
          <w:lang w:eastAsia="zh-CN"/>
        </w:rPr>
        <w:t>。各项正常组织开展的</w:t>
      </w:r>
      <w:r>
        <w:rPr>
          <w:rFonts w:hint="eastAsia" w:ascii="仿宋_GB2312" w:hAnsi="宋体" w:eastAsia="仿宋_GB2312" w:cs="宋体"/>
          <w:color w:val="000000"/>
          <w:kern w:val="0"/>
          <w:sz w:val="32"/>
          <w:szCs w:val="32"/>
          <w:lang w:val="en-US" w:eastAsia="zh-CN"/>
        </w:rPr>
        <w:t>合作交流</w:t>
      </w:r>
      <w:r>
        <w:rPr>
          <w:rFonts w:hint="eastAsia" w:ascii="仿宋_GB2312" w:hAnsi="宋体" w:eastAsia="仿宋_GB2312" w:cs="宋体"/>
          <w:color w:val="000000"/>
          <w:kern w:val="0"/>
          <w:sz w:val="32"/>
          <w:szCs w:val="32"/>
          <w:lang w:eastAsia="zh-CN"/>
        </w:rPr>
        <w:t>报告合格率达到100%。</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7*24小时不间断运行</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单位各系统运行、终端安全、网络环境等达到</w:t>
      </w:r>
      <w:r>
        <w:rPr>
          <w:rFonts w:hint="eastAsia" w:ascii="仿宋_GB2312" w:hAnsi="宋体" w:eastAsia="仿宋_GB2312" w:cs="宋体"/>
          <w:color w:val="000000"/>
          <w:kern w:val="0"/>
          <w:sz w:val="32"/>
          <w:szCs w:val="32"/>
        </w:rPr>
        <w:t>7*24小时不间断运行</w:t>
      </w:r>
      <w:r>
        <w:rPr>
          <w:rFonts w:hint="eastAsia" w:ascii="仿宋_GB2312" w:hAnsi="宋体" w:eastAsia="仿宋_GB2312" w:cs="宋体"/>
          <w:color w:val="000000"/>
          <w:kern w:val="0"/>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意见、报告通过率100%</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各项正常组织开展的活动报告或者第三方报告出具的相关意见通过率达到100%。</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学习交流及调研报告完成率100%</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各项组织正常开展的外出学习交流、调研报告完成率达到100%。</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在项目执行过程中建立了项目日常监管办法，并严格按照单位管理制度执行，项目日常监督管理机制健全，执行严格，项目日常监督管理机制健全有效。</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w:t>
      </w:r>
      <w:r>
        <w:rPr>
          <w:rFonts w:ascii="仿宋_GB2312" w:hAnsi="宋体" w:eastAsia="仿宋_GB2312" w:cs="宋体"/>
          <w:color w:val="000000"/>
          <w:kern w:val="0"/>
          <w:sz w:val="32"/>
          <w:szCs w:val="32"/>
        </w:rPr>
        <w:t>进度</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该项指标分值5.00分，实际得分</w:t>
      </w:r>
      <w:r>
        <w:rPr>
          <w:rFonts w:hint="eastAsia" w:ascii="仿宋_GB2312" w:hAnsi="宋体" w:eastAsia="仿宋_GB2312" w:cs="宋体"/>
          <w:color w:val="000000"/>
          <w:kern w:val="0"/>
          <w:sz w:val="32"/>
          <w:szCs w:val="32"/>
          <w:lang w:val="en-US" w:eastAsia="zh-CN"/>
        </w:rPr>
        <w:t>4.00</w:t>
      </w:r>
      <w:r>
        <w:rPr>
          <w:rFonts w:hint="eastAsia" w:ascii="仿宋_GB2312" w:hAnsi="宋体" w:eastAsia="仿宋_GB2312" w:cs="宋体"/>
          <w:color w:val="000000"/>
          <w:kern w:val="0"/>
          <w:sz w:val="32"/>
          <w:szCs w:val="32"/>
        </w:rPr>
        <w:t>分。</w:t>
      </w:r>
      <w:r>
        <w:rPr>
          <w:rFonts w:hint="eastAsia" w:ascii="仿宋_GB2312" w:hAnsi="宋体" w:eastAsia="仿宋_GB2312" w:cs="宋体"/>
          <w:color w:val="000000"/>
          <w:kern w:val="0"/>
          <w:sz w:val="32"/>
          <w:szCs w:val="32"/>
          <w:lang w:val="en-US" w:eastAsia="zh-CN"/>
        </w:rPr>
        <w:t>25</w:t>
      </w:r>
      <w:r>
        <w:rPr>
          <w:rFonts w:hint="eastAsia" w:ascii="仿宋_GB2312" w:hAnsi="宋体" w:eastAsia="仿宋_GB2312" w:cs="宋体"/>
          <w:color w:val="000000"/>
          <w:kern w:val="0"/>
          <w:sz w:val="32"/>
          <w:szCs w:val="32"/>
        </w:rPr>
        <w:t>项工作任务中</w:t>
      </w:r>
      <w:r>
        <w:rPr>
          <w:rFonts w:hint="eastAsia" w:ascii="仿宋_GB2312" w:hAnsi="宋体" w:eastAsia="仿宋_GB2312" w:cs="宋体"/>
          <w:color w:val="000000"/>
          <w:kern w:val="0"/>
          <w:sz w:val="32"/>
          <w:szCs w:val="32"/>
          <w:lang w:val="en-US" w:eastAsia="zh-CN"/>
        </w:rPr>
        <w:t>20</w:t>
      </w:r>
      <w:r>
        <w:rPr>
          <w:rFonts w:hint="eastAsia" w:ascii="仿宋_GB2312" w:hAnsi="宋体" w:eastAsia="仿宋_GB2312" w:cs="宋体"/>
          <w:color w:val="000000"/>
          <w:kern w:val="0"/>
          <w:sz w:val="32"/>
          <w:szCs w:val="32"/>
        </w:rPr>
        <w:t>项按预期计划完成，完成及时率</w:t>
      </w:r>
      <w:r>
        <w:rPr>
          <w:rFonts w:hint="eastAsia" w:ascii="仿宋_GB2312" w:hAnsi="宋体" w:eastAsia="仿宋_GB2312" w:cs="宋体"/>
          <w:color w:val="000000"/>
          <w:kern w:val="0"/>
          <w:sz w:val="32"/>
          <w:szCs w:val="32"/>
          <w:lang w:val="en-US" w:eastAsia="zh-CN"/>
        </w:rPr>
        <w:t>80</w:t>
      </w:r>
      <w:r>
        <w:rPr>
          <w:rFonts w:hint="eastAsia" w:ascii="仿宋_GB2312" w:hAnsi="宋体" w:eastAsia="仿宋_GB2312" w:cs="宋体"/>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pPr>
        <w:keepNext w:val="0"/>
        <w:keepLines w:val="0"/>
        <w:pageBreakBefore w:val="0"/>
        <w:widowControl w:val="0"/>
        <w:shd w:val="clear"/>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该项指标分值5.00分，实际得分</w:t>
      </w:r>
      <w:r>
        <w:rPr>
          <w:rFonts w:hint="eastAsia" w:ascii="仿宋_GB2312" w:hAnsi="宋体" w:eastAsia="仿宋_GB2312" w:cs="宋体"/>
          <w:color w:val="000000"/>
          <w:kern w:val="0"/>
          <w:sz w:val="32"/>
          <w:szCs w:val="32"/>
          <w:highlight w:val="none"/>
          <w:lang w:val="en-US" w:eastAsia="zh-CN"/>
        </w:rPr>
        <w:t>5</w:t>
      </w:r>
      <w:r>
        <w:rPr>
          <w:rFonts w:hint="eastAsia" w:ascii="仿宋_GB2312" w:hAnsi="宋体" w:eastAsia="仿宋_GB2312" w:cs="宋体"/>
          <w:color w:val="000000"/>
          <w:kern w:val="0"/>
          <w:sz w:val="32"/>
          <w:szCs w:val="32"/>
          <w:highlight w:val="none"/>
        </w:rPr>
        <w:t>.00分。</w:t>
      </w:r>
      <w:r>
        <w:rPr>
          <w:rFonts w:hint="eastAsia" w:ascii="仿宋_GB2312" w:hAnsi="宋体" w:eastAsia="仿宋_GB2312" w:cs="宋体"/>
          <w:color w:val="000000"/>
          <w:kern w:val="0"/>
          <w:sz w:val="32"/>
          <w:szCs w:val="32"/>
          <w:highlight w:val="none"/>
          <w:lang w:val="en-US" w:eastAsia="zh-CN"/>
        </w:rPr>
        <w:t>2023年工作任务实施成本能够按照预期绩效目标进行控制；严格按照政府采购程序执行，成本控制措施比较到位</w:t>
      </w:r>
      <w:r>
        <w:rPr>
          <w:rFonts w:hint="eastAsia" w:ascii="仿宋_GB2312" w:hAnsi="宋体" w:eastAsia="仿宋_GB2312" w:cs="宋体"/>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1"/>
        <w:rPr>
          <w:rFonts w:ascii="楷体_GB2312" w:eastAsia="楷体_GB2312"/>
          <w:sz w:val="32"/>
          <w:szCs w:val="32"/>
        </w:rPr>
      </w:pPr>
      <w:bookmarkStart w:id="8" w:name="_Toc24627"/>
      <w:r>
        <w:rPr>
          <w:rFonts w:hint="eastAsia" w:ascii="楷体_GB2312" w:eastAsia="楷体_GB2312"/>
          <w:sz w:val="32"/>
          <w:szCs w:val="32"/>
        </w:rPr>
        <w:t>（二）效果</w:t>
      </w:r>
      <w:r>
        <w:rPr>
          <w:rFonts w:ascii="楷体_GB2312" w:eastAsia="楷体_GB2312"/>
          <w:sz w:val="32"/>
          <w:szCs w:val="32"/>
        </w:rPr>
        <w:t>实现情况分析</w:t>
      </w:r>
      <w:bookmarkEnd w:id="8"/>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1.社会效益</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rPr>
        <w:t>该项指标分值</w:t>
      </w:r>
      <w:r>
        <w:rPr>
          <w:rFonts w:hint="eastAsia" w:ascii="仿宋_GB2312" w:hAnsi="宋体" w:eastAsia="仿宋_GB2312" w:cs="宋体"/>
          <w:color w:val="000000"/>
          <w:kern w:val="0"/>
          <w:sz w:val="32"/>
          <w:szCs w:val="32"/>
          <w:lang w:val="en-US" w:eastAsia="zh-CN"/>
        </w:rPr>
        <w:t>20</w:t>
      </w:r>
      <w:r>
        <w:rPr>
          <w:rFonts w:hint="eastAsia" w:ascii="仿宋_GB2312" w:hAnsi="宋体" w:eastAsia="仿宋_GB2312" w:cs="宋体"/>
          <w:color w:val="000000"/>
          <w:kern w:val="0"/>
          <w:sz w:val="32"/>
          <w:szCs w:val="32"/>
        </w:rPr>
        <w:t>.00分，实际得分</w:t>
      </w: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8.00分。</w:t>
      </w:r>
      <w:r>
        <w:rPr>
          <w:rFonts w:hint="eastAsia" w:ascii="仿宋_GB2312" w:hAnsi="宋体" w:eastAsia="仿宋_GB2312" w:cs="宋体"/>
          <w:color w:val="000000"/>
          <w:kern w:val="0"/>
          <w:sz w:val="32"/>
          <w:szCs w:val="32"/>
          <w:lang w:val="en-US" w:eastAsia="zh-CN"/>
        </w:rPr>
        <w:t>以2023年市政府工作报告重点任务清单为目标，结合部门实际工作计划，不断调整优化各项目实施。</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000000"/>
          <w:kern w:val="0"/>
          <w:sz w:val="32"/>
          <w:szCs w:val="32"/>
        </w:rPr>
        <w:t>一是为经济高质量发展提供有力金融</w:t>
      </w:r>
      <w:r>
        <w:rPr>
          <w:rFonts w:hint="eastAsia" w:ascii="仿宋_GB2312" w:hAnsi="宋体" w:eastAsia="仿宋_GB2312" w:cs="宋体"/>
          <w:color w:val="auto"/>
          <w:kern w:val="0"/>
          <w:sz w:val="32"/>
          <w:szCs w:val="32"/>
        </w:rPr>
        <w:t>支撑。2023年，金融业实现增加值8663.1亿元，同比增长6.7%，占地区生产总值比重19.8%。截至12月末，北交所上市公司239家，是开市时近3倍，总市值近4500亿元，其中北京企业22家。持续推动股权投资和创业投资份额转让试点，北京股权交易中心成为首批“专精特新”专板运营机构，率先落地全国首个认股权综合服务试点。中航京能获批全国首批新能源REITs，物美REITs获批全国首批消费类公募REITs，基础设施公募REITs累计发行近200亿元，规模保持全国首位。</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二</w:t>
      </w:r>
      <w:r>
        <w:rPr>
          <w:rFonts w:hint="eastAsia" w:ascii="仿宋_GB2312" w:hAnsi="宋体" w:eastAsia="仿宋_GB2312" w:cs="宋体"/>
          <w:color w:val="000000"/>
          <w:kern w:val="0"/>
          <w:sz w:val="32"/>
          <w:szCs w:val="32"/>
        </w:rPr>
        <w:t>是不断深化金融改革发展。推动中关村科创金融改革试验区获批，有力支撑国际科技创新中心建设。指导北京绿交所获批建设全国温室气体自愿减排交易中心，支持绿交所与港交所签署合作备忘录，加强交流合作。指导北京金融发展促进中心联合智库机构等编制《城市ESG投资发展指数》。金融科技创新监管工具创新应用和资本市场金融科技创新试点持续领先，国家金融科技风险监控中心正式成立，稳步推进数字人民币全域试点。推动京津冀协同发展，支持金融机构创新服务模式，为城市副中心和雄安新区建设提供综合金融服务。多措并举开展支援合作和东西部协作。</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三</w:t>
      </w:r>
      <w:r>
        <w:rPr>
          <w:rFonts w:hint="eastAsia" w:ascii="仿宋_GB2312" w:hAnsi="宋体" w:eastAsia="仿宋_GB2312" w:cs="宋体"/>
          <w:color w:val="000000"/>
          <w:kern w:val="0"/>
          <w:sz w:val="32"/>
          <w:szCs w:val="32"/>
        </w:rPr>
        <w:t>是大力推进金融高水平开放。对接国际高标准经贸规则先行先试，助力推出“两区”建设金融领域2.0政策。“证券、基金、期货执业资格认可机制”纳入国家自贸试验区改革试点经验，“打造获得信贷‘一件事’集成服务”纳入市级复制推广案例。支持渣打证券（中国）有限公司、中邮保险资管有限公司、中信证券资产管理公司等一批优质中外资金融机构在京落地展业。高质量搭建国际金融合作平台，高规格举办中国国际服务贸易交易会金融服务专题、金融街论坛·2023全球系统重要性金融机构会议、全球财富管理论坛、京港金融合作发展论坛暨首都金融推介会、京台金融合作论坛等，成功申办金融界“奥运会”Sibos2024年会。</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.可持续</w:t>
      </w:r>
      <w:r>
        <w:rPr>
          <w:rFonts w:ascii="仿宋_GB2312" w:hAnsi="宋体" w:eastAsia="仿宋_GB2312" w:cs="宋体"/>
          <w:color w:val="000000"/>
          <w:kern w:val="0"/>
          <w:sz w:val="32"/>
          <w:szCs w:val="32"/>
        </w:rPr>
        <w:t>性影响</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该项指标分值10.00分，实际得分</w:t>
      </w:r>
      <w:r>
        <w:rPr>
          <w:rFonts w:hint="eastAsia" w:ascii="仿宋_GB2312" w:hAnsi="宋体" w:eastAsia="仿宋_GB2312" w:cs="宋体"/>
          <w:color w:val="000000"/>
          <w:kern w:val="0"/>
          <w:sz w:val="32"/>
          <w:szCs w:val="32"/>
          <w:lang w:val="en-US" w:eastAsia="zh-CN"/>
        </w:rPr>
        <w:t>9</w:t>
      </w:r>
      <w:r>
        <w:rPr>
          <w:rFonts w:hint="eastAsia" w:ascii="仿宋_GB2312" w:hAnsi="宋体" w:eastAsia="仿宋_GB2312" w:cs="宋体"/>
          <w:color w:val="000000"/>
          <w:kern w:val="0"/>
          <w:sz w:val="32"/>
          <w:szCs w:val="32"/>
        </w:rPr>
        <w:t>.00分。</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一</w:t>
      </w:r>
      <w:r>
        <w:rPr>
          <w:rFonts w:hint="eastAsia" w:ascii="仿宋_GB2312" w:hAnsi="宋体" w:eastAsia="仿宋_GB2312" w:cs="宋体"/>
          <w:color w:val="000000"/>
          <w:kern w:val="0"/>
          <w:sz w:val="32"/>
          <w:szCs w:val="32"/>
        </w:rPr>
        <w:t>是发挥各类融资对接机制作用。继续用好“融资纾困直通车”，常态化举办“畅融工程”，全年举办77场，服务金融机构1076家次，对接企业1962家次；“23·7”特大暴雨洪涝灾害发生后，以“汛”为令，迅速行动，指导首都保险业立即开展灾后保险救援理赔工作。用好用足国家货币信贷政策支持工具，切实发挥金融稳增长支撑作用。</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二</w:t>
      </w:r>
      <w:r>
        <w:rPr>
          <w:rFonts w:hint="eastAsia" w:ascii="仿宋_GB2312" w:hAnsi="宋体" w:eastAsia="仿宋_GB2312" w:cs="宋体"/>
          <w:color w:val="000000"/>
          <w:kern w:val="0"/>
          <w:sz w:val="32"/>
          <w:szCs w:val="32"/>
        </w:rPr>
        <w:t>是完善行业监管制度，优化行业发展环境。出台小额贷款、融资担保、区域性股权市场、地方交易场所、商业保理、融资租赁、典当行等地方金融组织行业监管办法。巩固发挥地方金融监管协调机制作用，形成监管合力。严把准入、审慎审批，严格履行地方金融组织准入审批流程，加强涉金融字样企业工商登记前置管理。全面推进监管信息系统建设，统筹现场检查和非现场监管，强化分级分类监管，推动地方金融组织合规发展。</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0"/>
        <w:rPr>
          <w:rFonts w:ascii="黑体" w:hAnsi="黑体" w:eastAsia="黑体" w:cs="宋体"/>
          <w:color w:val="000000"/>
          <w:kern w:val="0"/>
          <w:sz w:val="32"/>
          <w:szCs w:val="32"/>
        </w:rPr>
      </w:pPr>
      <w:bookmarkStart w:id="9" w:name="_Toc28342"/>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bookmarkEnd w:id="9"/>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1"/>
        <w:rPr>
          <w:rFonts w:ascii="楷体_GB2312" w:eastAsia="楷体_GB2312"/>
          <w:sz w:val="32"/>
          <w:szCs w:val="32"/>
        </w:rPr>
      </w:pPr>
      <w:bookmarkStart w:id="10" w:name="_Toc11018"/>
      <w:r>
        <w:rPr>
          <w:rFonts w:hint="eastAsia" w:ascii="楷体_GB2312" w:eastAsia="楷体_GB2312"/>
          <w:sz w:val="32"/>
          <w:szCs w:val="32"/>
        </w:rPr>
        <w:t>（一）财务管理</w:t>
      </w:r>
      <w:bookmarkEnd w:id="10"/>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该项指标分值1.00分，实际得分1.00分。建立了</w:t>
      </w:r>
      <w:r>
        <w:rPr>
          <w:rFonts w:hint="eastAsia" w:ascii="仿宋_GB2312" w:hAnsi="宋体" w:eastAsia="仿宋_GB2312" w:cs="宋体"/>
          <w:color w:val="000000"/>
          <w:kern w:val="0"/>
          <w:sz w:val="32"/>
          <w:szCs w:val="32"/>
          <w:lang w:eastAsia="zh-CN"/>
        </w:rPr>
        <w:t>《北京市地方金融监督管理局内部控制手册（试行）》《</w:t>
      </w:r>
      <w:r>
        <w:rPr>
          <w:rFonts w:hint="eastAsia" w:ascii="仿宋_GB2312" w:hAnsi="宋体" w:eastAsia="仿宋_GB2312" w:cs="宋体"/>
          <w:color w:val="000000"/>
          <w:kern w:val="0"/>
          <w:sz w:val="32"/>
          <w:szCs w:val="32"/>
        </w:rPr>
        <w:t>北京市地方金融监督管理局财务管理制度</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北京市地方金融监督管理局购买服务预算管理办法（2023年修订版）</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北京市地方金融监督管理局资金支出管理办法</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北京市地方金融监督管理局内部控制风险评估管理办法（试行）</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北京市地方金融监督管理局内部控制监督管理办法（试行）》等财务管理制度文件，单位财务管理制度健全、完整。</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w:t>
      </w:r>
      <w:r>
        <w:rPr>
          <w:rFonts w:ascii="仿宋_GB2312" w:hAnsi="宋体" w:eastAsia="仿宋_GB2312" w:cs="宋体"/>
          <w:color w:val="000000"/>
          <w:kern w:val="0"/>
          <w:sz w:val="32"/>
          <w:szCs w:val="32"/>
        </w:rPr>
        <w:t>和安全性</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指标分值2.00分，实际得分2.00分。资金使用符合国家财经法规和财务管理制度规定以及有关专项资金管理办法的规定；资金的拨付有完整的审批程序和手续；项目的重大开支经过评估论证；符合部门预算批复的用途；不存在截留、挤占、挪用情况；资金使用符合政府采购的程序和流程；资金使用符合公务卡结算相关制度和规定。</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该项指标分值1.00分，实际得分1.00分。基础数据信息和会计信息资料真实；基础数据信息和会计信息资料完整；基础数据信息和会计信息资料准确。</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1"/>
        <w:rPr>
          <w:rFonts w:ascii="楷体_GB2312" w:eastAsia="楷体_GB2312"/>
          <w:sz w:val="32"/>
          <w:szCs w:val="32"/>
        </w:rPr>
      </w:pPr>
      <w:bookmarkStart w:id="11" w:name="_Toc20585"/>
      <w:r>
        <w:rPr>
          <w:rFonts w:hint="eastAsia" w:ascii="楷体_GB2312" w:eastAsia="楷体_GB2312"/>
          <w:sz w:val="32"/>
          <w:szCs w:val="32"/>
        </w:rPr>
        <w:t>（二）资产管理</w:t>
      </w:r>
      <w:bookmarkEnd w:id="11"/>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该项指标分值4.00分，实际得分4.00分。未</w:t>
      </w:r>
      <w:r>
        <w:rPr>
          <w:rFonts w:hint="default" w:ascii="仿宋_GB2312" w:hAnsi="宋体" w:eastAsia="仿宋_GB2312" w:cs="宋体"/>
          <w:color w:val="000000"/>
          <w:kern w:val="0"/>
          <w:sz w:val="32"/>
          <w:szCs w:val="32"/>
          <w:lang w:val="en-US"/>
        </w:rPr>
        <w:t>有</w:t>
      </w:r>
      <w:r>
        <w:rPr>
          <w:rFonts w:hint="eastAsia" w:ascii="仿宋_GB2312" w:hAnsi="宋体" w:eastAsia="仿宋_GB2312" w:cs="宋体"/>
          <w:color w:val="000000"/>
          <w:kern w:val="0"/>
          <w:sz w:val="32"/>
          <w:szCs w:val="32"/>
        </w:rPr>
        <w:t>因管理不当发生严重资产损失和丢失情况；不存在超标准配置资产；资产使用规范，不存在未经批准擅自出租、出借资产行为；资产处置规范，不存在不按要求进行报批或资产不公开处置行为。</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1"/>
        <w:rPr>
          <w:rFonts w:ascii="楷体_GB2312" w:eastAsia="楷体_GB2312"/>
          <w:sz w:val="32"/>
          <w:szCs w:val="32"/>
        </w:rPr>
      </w:pPr>
      <w:bookmarkStart w:id="12" w:name="_Toc23397"/>
      <w:r>
        <w:rPr>
          <w:rFonts w:hint="eastAsia" w:ascii="楷体_GB2312" w:eastAsia="楷体_GB2312"/>
          <w:sz w:val="32"/>
          <w:szCs w:val="32"/>
        </w:rPr>
        <w:t>（三）绩效</w:t>
      </w:r>
      <w:r>
        <w:rPr>
          <w:rFonts w:ascii="楷体_GB2312" w:eastAsia="楷体_GB2312"/>
          <w:sz w:val="32"/>
          <w:szCs w:val="32"/>
        </w:rPr>
        <w:t>管理</w:t>
      </w:r>
      <w:bookmarkEnd w:id="12"/>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指标分值4.00分，实际得分4.00分。通过部门绩效中期运行监控的方式及时对绩效信息进行汇总分析整理，掌握各个项目执行情况，并对绩效目标偏离情况及时进行矫正，执行了绩效目标调整程序。在项目执行完毕后，通过全年绩效跟踪的方式梳理掌握部门年度绩效目标实现情况。绩效管理措施健全，执行有效。</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1"/>
        <w:rPr>
          <w:rFonts w:ascii="楷体_GB2312" w:eastAsia="楷体_GB2312"/>
          <w:sz w:val="32"/>
          <w:szCs w:val="32"/>
        </w:rPr>
      </w:pPr>
      <w:bookmarkStart w:id="13" w:name="_Toc27286"/>
      <w:r>
        <w:rPr>
          <w:rFonts w:hint="eastAsia" w:ascii="楷体_GB2312" w:eastAsia="楷体_GB2312"/>
          <w:sz w:val="32"/>
          <w:szCs w:val="32"/>
        </w:rPr>
        <w:t>（四）结转结余率</w:t>
      </w:r>
      <w:bookmarkEnd w:id="13"/>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该项指标分值4.00分，实际得分4.00分。202</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年度结转结余率为</w:t>
      </w:r>
      <w:r>
        <w:rPr>
          <w:rFonts w:hint="eastAsia" w:ascii="仿宋_GB2312" w:hAnsi="宋体" w:eastAsia="仿宋_GB2312" w:cs="宋体"/>
          <w:color w:val="000000"/>
          <w:kern w:val="0"/>
          <w:sz w:val="32"/>
          <w:szCs w:val="32"/>
          <w:lang w:val="en-US" w:eastAsia="zh-CN"/>
        </w:rPr>
        <w:t>3.09</w:t>
      </w: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年度结转结余率为</w:t>
      </w:r>
      <w:r>
        <w:rPr>
          <w:rFonts w:hint="eastAsia" w:ascii="仿宋_GB2312" w:hAnsi="宋体" w:eastAsia="仿宋_GB2312" w:cs="宋体"/>
          <w:color w:val="000000"/>
          <w:kern w:val="0"/>
          <w:sz w:val="32"/>
          <w:szCs w:val="32"/>
          <w:lang w:val="en-US" w:eastAsia="zh-CN"/>
        </w:rPr>
        <w:t>1.7</w:t>
      </w: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年度结转结余率较上年有所降低。</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1"/>
        <w:rPr>
          <w:rFonts w:ascii="楷体_GB2312" w:eastAsia="楷体_GB2312"/>
          <w:sz w:val="32"/>
          <w:szCs w:val="32"/>
        </w:rPr>
      </w:pPr>
      <w:bookmarkStart w:id="14" w:name="_Toc2122"/>
      <w:r>
        <w:rPr>
          <w:rFonts w:hint="eastAsia" w:ascii="楷体_GB2312" w:eastAsia="楷体_GB2312"/>
          <w:sz w:val="32"/>
          <w:szCs w:val="32"/>
        </w:rPr>
        <w:t>（五）部门</w:t>
      </w:r>
      <w:r>
        <w:rPr>
          <w:rFonts w:ascii="楷体_GB2312" w:eastAsia="楷体_GB2312"/>
          <w:sz w:val="32"/>
          <w:szCs w:val="32"/>
        </w:rPr>
        <w:t>预决算差异率</w:t>
      </w:r>
      <w:bookmarkEnd w:id="14"/>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该项指标分值4.00分，实际得分4.00分。202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年支出预算数8325.02万元，支出决算数7805.77万元，预决算差异金额519.25万元，预决算差异率为</w:t>
      </w:r>
      <w:r>
        <w:rPr>
          <w:rFonts w:hint="eastAsia" w:ascii="仿宋_GB2312" w:hAnsi="宋体" w:eastAsia="仿宋_GB2312" w:cs="宋体"/>
          <w:color w:val="000000"/>
          <w:kern w:val="0"/>
          <w:sz w:val="32"/>
          <w:szCs w:val="32"/>
          <w:lang w:val="en-US" w:eastAsia="zh-CN"/>
        </w:rPr>
        <w:t>6.24</w:t>
      </w:r>
      <w:r>
        <w:rPr>
          <w:rFonts w:hint="eastAsia" w:ascii="仿宋_GB2312" w:hAnsi="宋体" w:eastAsia="仿宋_GB2312" w:cs="宋体"/>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0"/>
        <w:rPr>
          <w:rFonts w:ascii="黑体" w:hAnsi="黑体" w:eastAsia="黑体"/>
          <w:sz w:val="32"/>
          <w:szCs w:val="32"/>
        </w:rPr>
      </w:pPr>
      <w:bookmarkStart w:id="15" w:name="_Toc31306"/>
      <w:r>
        <w:rPr>
          <w:rFonts w:hint="eastAsia" w:ascii="黑体" w:hAnsi="黑体" w:eastAsia="黑体"/>
          <w:sz w:val="32"/>
          <w:szCs w:val="32"/>
        </w:rPr>
        <w:t>五、总体</w:t>
      </w:r>
      <w:r>
        <w:rPr>
          <w:rFonts w:ascii="黑体" w:hAnsi="黑体" w:eastAsia="黑体"/>
          <w:sz w:val="32"/>
          <w:szCs w:val="32"/>
        </w:rPr>
        <w:t>评价结论</w:t>
      </w:r>
      <w:bookmarkEnd w:id="15"/>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1"/>
        <w:rPr>
          <w:rFonts w:ascii="楷体_GB2312" w:eastAsia="楷体_GB2312"/>
          <w:sz w:val="32"/>
          <w:szCs w:val="32"/>
        </w:rPr>
      </w:pPr>
      <w:bookmarkStart w:id="16" w:name="_Toc31780"/>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bookmarkEnd w:id="16"/>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楷体_GB2312" w:eastAsia="楷体_GB2312"/>
          <w:sz w:val="32"/>
          <w:szCs w:val="32"/>
        </w:rPr>
      </w:pPr>
      <w:r>
        <w:rPr>
          <w:rFonts w:hint="eastAsia" w:ascii="仿宋_GB2312" w:hAnsi="宋体" w:eastAsia="仿宋_GB2312" w:cs="宋体"/>
          <w:color w:val="000000"/>
          <w:kern w:val="0"/>
          <w:sz w:val="32"/>
          <w:szCs w:val="32"/>
        </w:rPr>
        <w:t>202</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年部门整体评价得分</w:t>
      </w:r>
      <w:r>
        <w:rPr>
          <w:rFonts w:hint="eastAsia" w:ascii="仿宋_GB2312" w:hAnsi="宋体" w:eastAsia="仿宋_GB2312" w:cs="宋体"/>
          <w:color w:val="000000"/>
          <w:kern w:val="0"/>
          <w:sz w:val="32"/>
          <w:szCs w:val="32"/>
          <w:lang w:val="en-US" w:eastAsia="zh-CN"/>
        </w:rPr>
        <w:t>91.15</w:t>
      </w:r>
      <w:r>
        <w:rPr>
          <w:rFonts w:hint="eastAsia" w:ascii="仿宋_GB2312" w:hAnsi="宋体" w:eastAsia="仿宋_GB2312" w:cs="宋体"/>
          <w:color w:val="000000"/>
          <w:kern w:val="0"/>
          <w:sz w:val="32"/>
          <w:szCs w:val="32"/>
        </w:rPr>
        <w:t>分，其中当年预算执行情况得分18.</w:t>
      </w:r>
      <w:r>
        <w:rPr>
          <w:rFonts w:hint="eastAsia" w:ascii="仿宋_GB2312" w:hAnsi="宋体" w:eastAsia="仿宋_GB2312" w:cs="宋体"/>
          <w:color w:val="000000"/>
          <w:kern w:val="0"/>
          <w:sz w:val="32"/>
          <w:szCs w:val="32"/>
          <w:lang w:val="en-US" w:eastAsia="zh-CN"/>
        </w:rPr>
        <w:t>75</w:t>
      </w:r>
      <w:r>
        <w:rPr>
          <w:rFonts w:hint="eastAsia" w:ascii="仿宋_GB2312" w:hAnsi="宋体" w:eastAsia="仿宋_GB2312" w:cs="宋体"/>
          <w:color w:val="000000"/>
          <w:kern w:val="0"/>
          <w:sz w:val="32"/>
          <w:szCs w:val="32"/>
        </w:rPr>
        <w:t>分，整体绩效目标实现情况得分5</w:t>
      </w: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lang w:val="en-US" w:eastAsia="zh-CN"/>
        </w:rPr>
        <w:t>40</w:t>
      </w:r>
      <w:r>
        <w:rPr>
          <w:rFonts w:hint="eastAsia" w:ascii="仿宋_GB2312" w:hAnsi="宋体" w:eastAsia="仿宋_GB2312" w:cs="宋体"/>
          <w:color w:val="000000"/>
          <w:kern w:val="0"/>
          <w:sz w:val="32"/>
          <w:szCs w:val="32"/>
        </w:rPr>
        <w:t>分，预算管理情况得分20.00分，部门整体评价等级为“</w:t>
      </w:r>
      <w:r>
        <w:rPr>
          <w:rFonts w:hint="eastAsia" w:ascii="仿宋_GB2312" w:hAnsi="宋体" w:eastAsia="仿宋_GB2312" w:cs="宋体"/>
          <w:color w:val="000000"/>
          <w:kern w:val="0"/>
          <w:sz w:val="32"/>
          <w:szCs w:val="32"/>
          <w:lang w:val="en-US" w:eastAsia="zh-CN"/>
        </w:rPr>
        <w:t>优</w:t>
      </w:r>
      <w:r>
        <w:rPr>
          <w:rFonts w:hint="eastAsia" w:ascii="仿宋_GB2312" w:hAnsi="宋体" w:eastAsia="仿宋_GB2312" w:cs="宋体"/>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outlineLvl w:val="1"/>
        <w:rPr>
          <w:rFonts w:ascii="楷体_GB2312" w:eastAsia="楷体_GB2312"/>
          <w:sz w:val="32"/>
          <w:szCs w:val="32"/>
        </w:rPr>
      </w:pPr>
      <w:bookmarkStart w:id="17" w:name="_Toc887"/>
      <w:r>
        <w:rPr>
          <w:rFonts w:hint="eastAsia" w:ascii="楷体_GB2312" w:eastAsia="楷体_GB2312"/>
          <w:sz w:val="32"/>
          <w:szCs w:val="32"/>
        </w:rPr>
        <w:t>（二）存在的问题及原因分析</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1.</w:t>
      </w:r>
      <w:r>
        <w:rPr>
          <w:rFonts w:hint="eastAsia" w:ascii="仿宋_GB2312" w:hAnsi="宋体" w:eastAsia="仿宋_GB2312" w:cs="宋体"/>
          <w:color w:val="000000"/>
          <w:kern w:val="0"/>
          <w:sz w:val="32"/>
          <w:szCs w:val="32"/>
        </w:rPr>
        <w:t>提高预算编制科学性。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项目预算资金测算依据及</w:t>
      </w:r>
      <w:r>
        <w:rPr>
          <w:rFonts w:hint="eastAsia" w:ascii="仿宋_GB2312" w:hAnsi="宋体" w:eastAsia="仿宋_GB2312" w:cs="宋体"/>
          <w:color w:val="000000"/>
          <w:kern w:val="0"/>
          <w:sz w:val="32"/>
          <w:szCs w:val="32"/>
          <w:lang w:val="en-US" w:eastAsia="zh-CN"/>
        </w:rPr>
        <w:t>申报阶段的测算数量、单价</w:t>
      </w:r>
      <w:r>
        <w:rPr>
          <w:rFonts w:hint="eastAsia" w:ascii="仿宋_GB2312" w:hAnsi="宋体" w:eastAsia="仿宋_GB2312" w:cs="宋体"/>
          <w:color w:val="000000"/>
          <w:kern w:val="0"/>
          <w:sz w:val="32"/>
          <w:szCs w:val="32"/>
        </w:rPr>
        <w:t>过程资料不够完整，后续有待梳理收集。</w:t>
      </w:r>
      <w:r>
        <w:rPr>
          <w:rFonts w:hint="eastAsia" w:ascii="仿宋_GB2312" w:hAnsi="宋体" w:eastAsia="仿宋_GB2312" w:cs="宋体"/>
          <w:color w:val="000000"/>
          <w:kern w:val="0"/>
          <w:sz w:val="32"/>
          <w:szCs w:val="32"/>
          <w:lang w:val="en-US" w:eastAsia="zh-CN"/>
        </w:rPr>
        <w:t>项目编制了</w:t>
      </w:r>
      <w:r>
        <w:rPr>
          <w:rFonts w:hint="eastAsia" w:ascii="仿宋_GB2312" w:hAnsi="宋体" w:eastAsia="仿宋_GB2312" w:cs="宋体"/>
          <w:color w:val="000000"/>
          <w:kern w:val="0"/>
          <w:sz w:val="32"/>
          <w:szCs w:val="32"/>
        </w:rPr>
        <w:t>实施方案，</w:t>
      </w:r>
      <w:r>
        <w:rPr>
          <w:rFonts w:hint="eastAsia" w:ascii="仿宋_GB2312" w:hAnsi="宋体" w:eastAsia="仿宋_GB2312" w:cs="宋体"/>
          <w:color w:val="000000"/>
          <w:kern w:val="0"/>
          <w:sz w:val="32"/>
          <w:szCs w:val="32"/>
          <w:lang w:val="en-US" w:eastAsia="zh-CN"/>
        </w:rPr>
        <w:t>但项目实施方案内容不够细化完整，部分人员职责分工、时间进度、资金额度测算、成本控制未见</w:t>
      </w:r>
      <w:r>
        <w:rPr>
          <w:rFonts w:hint="eastAsia" w:ascii="仿宋_GB2312" w:hAnsi="宋体" w:eastAsia="仿宋_GB2312" w:cs="宋体"/>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.绩效管理意识仍有待加强，绩效成果展现不够充分。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ascii="仿宋_GB2312" w:hAnsi="宋体" w:eastAsia="仿宋_GB2312" w:cs="宋体"/>
          <w:color w:val="000000"/>
          <w:kern w:val="0"/>
          <w:sz w:val="32"/>
          <w:szCs w:val="32"/>
        </w:rPr>
      </w:pPr>
      <w:bookmarkStart w:id="18" w:name="_Toc18828"/>
      <w:r>
        <w:rPr>
          <w:rFonts w:hint="eastAsia" w:ascii="仿宋_GB2312" w:hAnsi="宋体" w:eastAsia="仿宋_GB2312" w:cs="宋体"/>
          <w:color w:val="000000"/>
          <w:kern w:val="0"/>
          <w:sz w:val="32"/>
          <w:szCs w:val="32"/>
        </w:rPr>
        <w:t>项目实施过程中，各项目基本能够按照要求对项目的实施过程进行管理控制，但个别项目过程管理规范性仍有提升空间。对资料留存及收集整理的意识还有所欠缺，归集项目绩效资料的意识有待进一步加强。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bookmarkEnd w:id="18"/>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（一）科学编制预算，加强项目精细化管理</w:t>
      </w:r>
    </w:p>
    <w:p>
      <w:pPr>
        <w:keepNext w:val="0"/>
        <w:keepLines w:val="0"/>
        <w:pageBreakBefore w:val="0"/>
        <w:widowControl w:val="0"/>
        <w:kinsoku/>
        <w:wordWrap/>
        <w:overflowPunct/>
        <w:topLinePunct w:val="0"/>
        <w:autoSpaceDE/>
        <w:autoSpaceDN/>
        <w:bidi w:val="0"/>
        <w:adjustRightInd/>
        <w:snapToGrid/>
        <w:spacing w:line="560" w:lineRule="exact"/>
        <w:ind w:left="105" w:leftChars="50" w:firstLine="640" w:firstLineChars="200"/>
        <w:textAlignment w:val="auto"/>
        <w:rPr>
          <w:rFonts w:ascii="仿宋_GB2312" w:hAnsi="宋体" w:eastAsia="仿宋_GB2312" w:cs="宋体"/>
          <w:color w:val="000000"/>
          <w:kern w:val="0"/>
          <w:sz w:val="32"/>
          <w:szCs w:val="32"/>
        </w:rPr>
      </w:pPr>
      <w:r>
        <w:rPr>
          <w:rFonts w:hint="eastAsia" w:ascii="仿宋_GB2312" w:hAnsi="仿宋" w:eastAsia="仿宋_GB2312"/>
          <w:sz w:val="32"/>
          <w:szCs w:val="32"/>
        </w:rPr>
        <w:t>提高预算编制科学性，明确资金分配测算依据。强化项目</w:t>
      </w:r>
      <w:r>
        <w:rPr>
          <w:rFonts w:hint="eastAsia" w:ascii="仿宋_GB2312" w:hAnsi="宋体" w:eastAsia="仿宋_GB2312" w:cs="宋体"/>
          <w:color w:val="000000"/>
          <w:kern w:val="0"/>
          <w:sz w:val="32"/>
          <w:szCs w:val="32"/>
        </w:rPr>
        <w:t>精细化</w:t>
      </w:r>
      <w:r>
        <w:rPr>
          <w:rFonts w:hint="eastAsia" w:ascii="仿宋_GB2312" w:hAnsi="仿宋" w:eastAsia="仿宋_GB2312"/>
          <w:sz w:val="32"/>
          <w:szCs w:val="32"/>
        </w:rPr>
        <w:t>管理，制定要素完整的项目实施方案</w:t>
      </w:r>
      <w:r>
        <w:rPr>
          <w:rFonts w:hint="eastAsia" w:ascii="仿宋_GB2312" w:hAnsi="宋体" w:eastAsia="仿宋_GB2312" w:cs="宋体"/>
          <w:color w:val="000000"/>
          <w:kern w:val="0"/>
          <w:sz w:val="32"/>
          <w:szCs w:val="32"/>
        </w:rPr>
        <w:t>，有效指导项目实施。切实提高资金使用效益，按照预算绩效管理要求，严格把控项目进度，及时调整绩效目标，及时追踪项目资金额度；完善相关工作内容和程序，不断改进和完善管理措施。</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05" w:leftChars="5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color w:val="000000"/>
          <w:kern w:val="0"/>
          <w:sz w:val="32"/>
          <w:szCs w:val="32"/>
        </w:rPr>
        <w:t>强化预算绩效意识</w:t>
      </w:r>
      <w:r>
        <w:rPr>
          <w:rFonts w:hint="eastAsia" w:ascii="楷体_GB2312" w:hAnsi="楷体_GB2312" w:eastAsia="楷体_GB2312" w:cs="楷体_GB2312"/>
          <w:sz w:val="32"/>
          <w:szCs w:val="32"/>
        </w:rPr>
        <w:t>，充分反映项目实施效益</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eastAsia="仿宋_GB2312"/>
          <w:lang w:eastAsia="zh-CN"/>
        </w:rPr>
      </w:pPr>
      <w:r>
        <w:rPr>
          <w:rFonts w:hint="eastAsia" w:ascii="仿宋_GB2312" w:eastAsia="仿宋_GB2312"/>
          <w:sz w:val="32"/>
          <w:szCs w:val="32"/>
        </w:rPr>
        <w:t>按照预算绩效管理要求，进一步</w:t>
      </w:r>
      <w:bookmarkStart w:id="19" w:name="_GoBack"/>
      <w:bookmarkEnd w:id="19"/>
      <w:r>
        <w:rPr>
          <w:rFonts w:hint="eastAsia" w:ascii="仿宋_GB2312" w:eastAsia="仿宋_GB2312"/>
          <w:sz w:val="32"/>
          <w:szCs w:val="32"/>
        </w:rPr>
        <w:t>认真总结分析全年绩效跟踪管理的有益做法和经验，结合绩效跟踪发现的问题，完善相关工作内容和程序</w:t>
      </w:r>
      <w:r>
        <w:rPr>
          <w:rFonts w:hint="eastAsia" w:ascii="仿宋_GB2312" w:eastAsia="仿宋_GB2312"/>
          <w:sz w:val="32"/>
          <w:szCs w:val="32"/>
          <w:lang w:eastAsia="zh-CN"/>
        </w:rPr>
        <w:t>，</w:t>
      </w:r>
      <w:r>
        <w:rPr>
          <w:rFonts w:hint="eastAsia" w:ascii="仿宋_GB2312" w:hAnsi="宋体" w:eastAsia="仿宋_GB2312" w:cs="宋体"/>
          <w:color w:val="000000"/>
          <w:kern w:val="0"/>
          <w:sz w:val="32"/>
          <w:szCs w:val="32"/>
        </w:rPr>
        <w:t>加强项目</w:t>
      </w:r>
      <w:r>
        <w:rPr>
          <w:rFonts w:hint="eastAsia" w:ascii="仿宋_GB2312" w:hAnsi="宋体" w:eastAsia="仿宋_GB2312" w:cs="宋体"/>
          <w:color w:val="000000"/>
          <w:kern w:val="0"/>
          <w:sz w:val="32"/>
          <w:szCs w:val="32"/>
          <w:lang w:val="en-US" w:eastAsia="zh-CN"/>
        </w:rPr>
        <w:t>过程及</w:t>
      </w:r>
      <w:r>
        <w:rPr>
          <w:rFonts w:hint="eastAsia" w:ascii="仿宋_GB2312" w:hAnsi="宋体" w:eastAsia="仿宋_GB2312" w:cs="宋体"/>
          <w:color w:val="000000"/>
          <w:kern w:val="0"/>
          <w:sz w:val="32"/>
          <w:szCs w:val="32"/>
        </w:rPr>
        <w:t>验收资料的分析梳理，服务类项目应开展服务对象满意度调查</w:t>
      </w:r>
      <w:r>
        <w:rPr>
          <w:rFonts w:hint="eastAsia" w:ascii="仿宋_GB2312" w:hAnsi="宋体" w:eastAsia="仿宋_GB2312" w:cs="宋体"/>
          <w:color w:val="000000"/>
          <w:kern w:val="0"/>
          <w:sz w:val="32"/>
          <w:szCs w:val="32"/>
          <w:lang w:val="en-US" w:eastAsia="zh-CN"/>
        </w:rPr>
        <w:t>且注意承接单位的资料收集完整性</w:t>
      </w:r>
      <w:r>
        <w:rPr>
          <w:rFonts w:hint="eastAsia" w:ascii="仿宋_GB2312" w:hAnsi="宋体" w:eastAsia="仿宋_GB2312" w:cs="宋体"/>
          <w:color w:val="000000"/>
          <w:kern w:val="0"/>
          <w:sz w:val="32"/>
          <w:szCs w:val="32"/>
          <w:lang w:eastAsia="zh-CN"/>
        </w:rPr>
        <w:t>。</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F9DE7D-9411-4E7F-BDD8-35A06649F09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BF921DF9-756F-48D1-AB46-AFD4E8D9E5A5}"/>
  </w:font>
  <w:font w:name="方正小标宋简体">
    <w:panose1 w:val="02010601030101010101"/>
    <w:charset w:val="86"/>
    <w:family w:val="script"/>
    <w:pitch w:val="default"/>
    <w:sig w:usb0="00000001" w:usb1="080E0000" w:usb2="00000000" w:usb3="00000000" w:csb0="00040000" w:csb1="00000000"/>
    <w:embedRegular r:id="rId3" w:fontKey="{05C872CC-25AB-4452-9279-78D2C253F4C3}"/>
  </w:font>
  <w:font w:name="楷体_GB2312">
    <w:panose1 w:val="02010609030101010101"/>
    <w:charset w:val="86"/>
    <w:family w:val="modern"/>
    <w:pitch w:val="default"/>
    <w:sig w:usb0="00000001" w:usb1="080E0000" w:usb2="00000000" w:usb3="00000000" w:csb0="00040000" w:csb1="00000000"/>
    <w:embedRegular r:id="rId4" w:fontKey="{E1C3FCC8-8D3B-40C8-A141-F075CBB1BC85}"/>
  </w:font>
  <w:font w:name="仿宋">
    <w:panose1 w:val="02010609060101010101"/>
    <w:charset w:val="86"/>
    <w:family w:val="modern"/>
    <w:pitch w:val="default"/>
    <w:sig w:usb0="800002BF" w:usb1="38CF7CFA" w:usb2="00000016" w:usb3="00000000" w:csb0="00040001" w:csb1="00000000"/>
    <w:embedRegular r:id="rId5" w:fontKey="{3CB9442F-1B29-4EE9-8417-8C6A89AEB5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C51360"/>
    <w:multiLevelType w:val="singleLevel"/>
    <w:tmpl w:val="E6C51360"/>
    <w:lvl w:ilvl="0" w:tentative="0">
      <w:start w:val="1"/>
      <w:numFmt w:val="decimal"/>
      <w:suff w:val="nothing"/>
      <w:lvlText w:val="（%1）"/>
      <w:lvlJc w:val="left"/>
    </w:lvl>
  </w:abstractNum>
  <w:abstractNum w:abstractNumId="1">
    <w:nsid w:val="EEFEBEB1"/>
    <w:multiLevelType w:val="singleLevel"/>
    <w:tmpl w:val="EEFEBEB1"/>
    <w:lvl w:ilvl="0" w:tentative="0">
      <w:start w:val="1"/>
      <w:numFmt w:val="decimal"/>
      <w:suff w:val="nothing"/>
      <w:lvlText w:val="（%1）"/>
      <w:lvlJc w:val="left"/>
    </w:lvl>
  </w:abstractNum>
  <w:abstractNum w:abstractNumId="2">
    <w:nsid w:val="2B356280"/>
    <w:multiLevelType w:val="singleLevel"/>
    <w:tmpl w:val="2B35628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FlMGFkMDQ2Mzk2ZTRiZjhhMDFmOWI4MGI0YTRmN2YifQ=="/>
  </w:docVars>
  <w:rsids>
    <w:rsidRoot w:val="00172A27"/>
    <w:rsid w:val="000E30FD"/>
    <w:rsid w:val="00277DEE"/>
    <w:rsid w:val="0031681F"/>
    <w:rsid w:val="004B1EFD"/>
    <w:rsid w:val="0052724E"/>
    <w:rsid w:val="007840E0"/>
    <w:rsid w:val="008862F8"/>
    <w:rsid w:val="00A81A87"/>
    <w:rsid w:val="00B13DC6"/>
    <w:rsid w:val="00B1781A"/>
    <w:rsid w:val="00E552E7"/>
    <w:rsid w:val="00EA5BA0"/>
    <w:rsid w:val="00EC5FDC"/>
    <w:rsid w:val="01175F16"/>
    <w:rsid w:val="012C1508"/>
    <w:rsid w:val="01766947"/>
    <w:rsid w:val="024047CD"/>
    <w:rsid w:val="02C305D2"/>
    <w:rsid w:val="03D25B79"/>
    <w:rsid w:val="040C4C3E"/>
    <w:rsid w:val="047A1114"/>
    <w:rsid w:val="053138E1"/>
    <w:rsid w:val="056A1FCC"/>
    <w:rsid w:val="05863A26"/>
    <w:rsid w:val="05E35C4D"/>
    <w:rsid w:val="071F48EB"/>
    <w:rsid w:val="07452A3A"/>
    <w:rsid w:val="07674208"/>
    <w:rsid w:val="096B3218"/>
    <w:rsid w:val="0C144857"/>
    <w:rsid w:val="0D8E7186"/>
    <w:rsid w:val="0FE5719E"/>
    <w:rsid w:val="11D01765"/>
    <w:rsid w:val="12105979"/>
    <w:rsid w:val="13264F2E"/>
    <w:rsid w:val="13AD35B4"/>
    <w:rsid w:val="15AE235B"/>
    <w:rsid w:val="15B4741C"/>
    <w:rsid w:val="168B10C2"/>
    <w:rsid w:val="16B15AA0"/>
    <w:rsid w:val="16B5089D"/>
    <w:rsid w:val="16BE5FBD"/>
    <w:rsid w:val="17B76D45"/>
    <w:rsid w:val="185B0D53"/>
    <w:rsid w:val="1997149E"/>
    <w:rsid w:val="1A921E5B"/>
    <w:rsid w:val="1AEB0D31"/>
    <w:rsid w:val="1B041BC6"/>
    <w:rsid w:val="1CBC2932"/>
    <w:rsid w:val="1E844445"/>
    <w:rsid w:val="1F45026D"/>
    <w:rsid w:val="20631369"/>
    <w:rsid w:val="23270D74"/>
    <w:rsid w:val="253432D4"/>
    <w:rsid w:val="260B2287"/>
    <w:rsid w:val="261E020C"/>
    <w:rsid w:val="26FE3B9A"/>
    <w:rsid w:val="277001C4"/>
    <w:rsid w:val="282A78D1"/>
    <w:rsid w:val="285452B3"/>
    <w:rsid w:val="294C4684"/>
    <w:rsid w:val="29535AA8"/>
    <w:rsid w:val="297D6E28"/>
    <w:rsid w:val="29932436"/>
    <w:rsid w:val="29E8523C"/>
    <w:rsid w:val="2ADC0C80"/>
    <w:rsid w:val="2B3202B6"/>
    <w:rsid w:val="2B461EE9"/>
    <w:rsid w:val="2B8C0B36"/>
    <w:rsid w:val="2BD40774"/>
    <w:rsid w:val="305E1E14"/>
    <w:rsid w:val="3075265F"/>
    <w:rsid w:val="30EE0170"/>
    <w:rsid w:val="3122506D"/>
    <w:rsid w:val="31336B36"/>
    <w:rsid w:val="31DE3A9E"/>
    <w:rsid w:val="331C1F78"/>
    <w:rsid w:val="33362F81"/>
    <w:rsid w:val="349472EA"/>
    <w:rsid w:val="36BB75D0"/>
    <w:rsid w:val="372525AE"/>
    <w:rsid w:val="3810124E"/>
    <w:rsid w:val="38247742"/>
    <w:rsid w:val="38C74734"/>
    <w:rsid w:val="38FB1A61"/>
    <w:rsid w:val="396E7833"/>
    <w:rsid w:val="3AA156F3"/>
    <w:rsid w:val="3AF9494C"/>
    <w:rsid w:val="3D256B71"/>
    <w:rsid w:val="3DD81558"/>
    <w:rsid w:val="3E611186"/>
    <w:rsid w:val="3FC24CAB"/>
    <w:rsid w:val="41D81760"/>
    <w:rsid w:val="43BB117D"/>
    <w:rsid w:val="46B57DF5"/>
    <w:rsid w:val="46C67DD9"/>
    <w:rsid w:val="487E23A1"/>
    <w:rsid w:val="48FA020D"/>
    <w:rsid w:val="49251803"/>
    <w:rsid w:val="4CFA0C33"/>
    <w:rsid w:val="4D4546FD"/>
    <w:rsid w:val="4DBC3CE3"/>
    <w:rsid w:val="4E3C1596"/>
    <w:rsid w:val="4ECA3178"/>
    <w:rsid w:val="4FE94B38"/>
    <w:rsid w:val="51312C3A"/>
    <w:rsid w:val="519563CB"/>
    <w:rsid w:val="523F0236"/>
    <w:rsid w:val="524349D3"/>
    <w:rsid w:val="53474416"/>
    <w:rsid w:val="537742C5"/>
    <w:rsid w:val="53C41B44"/>
    <w:rsid w:val="55DC1A56"/>
    <w:rsid w:val="564C575A"/>
    <w:rsid w:val="568C725B"/>
    <w:rsid w:val="595C16D5"/>
    <w:rsid w:val="595D52E9"/>
    <w:rsid w:val="5A3E31F1"/>
    <w:rsid w:val="5B0605EA"/>
    <w:rsid w:val="5C693288"/>
    <w:rsid w:val="5CA02A22"/>
    <w:rsid w:val="5CA63460"/>
    <w:rsid w:val="5DB34F59"/>
    <w:rsid w:val="5DFA4633"/>
    <w:rsid w:val="5F4607D7"/>
    <w:rsid w:val="5F942323"/>
    <w:rsid w:val="60801015"/>
    <w:rsid w:val="60E4175B"/>
    <w:rsid w:val="60FA66B2"/>
    <w:rsid w:val="6197060F"/>
    <w:rsid w:val="61AE19CB"/>
    <w:rsid w:val="61E04F3C"/>
    <w:rsid w:val="61ED1051"/>
    <w:rsid w:val="620946D9"/>
    <w:rsid w:val="62FF05F3"/>
    <w:rsid w:val="634F746F"/>
    <w:rsid w:val="645A6E6C"/>
    <w:rsid w:val="65AB66C0"/>
    <w:rsid w:val="65BE0F69"/>
    <w:rsid w:val="65F8243B"/>
    <w:rsid w:val="67917600"/>
    <w:rsid w:val="685968A7"/>
    <w:rsid w:val="68961AA0"/>
    <w:rsid w:val="689664C7"/>
    <w:rsid w:val="69BE6932"/>
    <w:rsid w:val="69E46644"/>
    <w:rsid w:val="6ACC2515"/>
    <w:rsid w:val="6ADC309B"/>
    <w:rsid w:val="6ADF035F"/>
    <w:rsid w:val="6CC11D10"/>
    <w:rsid w:val="6D564DCA"/>
    <w:rsid w:val="6F23304B"/>
    <w:rsid w:val="708717DA"/>
    <w:rsid w:val="72F148F0"/>
    <w:rsid w:val="740521B9"/>
    <w:rsid w:val="740E3B7A"/>
    <w:rsid w:val="765863F0"/>
    <w:rsid w:val="77787871"/>
    <w:rsid w:val="78E360E5"/>
    <w:rsid w:val="79CB027A"/>
    <w:rsid w:val="7A9F67D4"/>
    <w:rsid w:val="7AD448DC"/>
    <w:rsid w:val="7B161D54"/>
    <w:rsid w:val="7B5B40B2"/>
    <w:rsid w:val="7BBD0AA3"/>
    <w:rsid w:val="7C266648"/>
    <w:rsid w:val="7C8B294F"/>
    <w:rsid w:val="7CB579CC"/>
    <w:rsid w:val="7D99109C"/>
    <w:rsid w:val="7DB70CEA"/>
    <w:rsid w:val="7DF30FDA"/>
    <w:rsid w:val="7E834D79"/>
    <w:rsid w:val="7EB4618D"/>
    <w:rsid w:val="7EBC211E"/>
    <w:rsid w:val="7F2B0A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annotation text"/>
    <w:basedOn w:val="1"/>
    <w:qFormat/>
    <w:uiPriority w:val="0"/>
    <w:pPr>
      <w:jc w:val="left"/>
    </w:pPr>
  </w:style>
  <w:style w:type="paragraph" w:styleId="4">
    <w:name w:val="Body Text Indent"/>
    <w:basedOn w:val="1"/>
    <w:qFormat/>
    <w:uiPriority w:val="0"/>
    <w:pPr>
      <w:ind w:firstLine="560" w:firstLineChars="200"/>
    </w:pPr>
    <w:rPr>
      <w:rFonts w:ascii="仿宋_GB2312" w:eastAsia="仿宋_GB2312"/>
      <w:sz w:val="28"/>
      <w:szCs w:val="32"/>
    </w:r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Autospacing="1" w:afterAutospacing="1"/>
      <w:jc w:val="left"/>
    </w:pPr>
    <w:rPr>
      <w:kern w:val="0"/>
      <w:sz w:val="24"/>
    </w:rPr>
  </w:style>
  <w:style w:type="paragraph" w:styleId="11">
    <w:name w:val="Body Text First Indent 2"/>
    <w:basedOn w:val="4"/>
    <w:qFormat/>
    <w:uiPriority w:val="99"/>
    <w:pPr>
      <w:spacing w:after="120"/>
      <w:ind w:left="420" w:leftChars="200" w:firstLine="420" w:firstLineChars="200"/>
    </w:pPr>
    <w:rPr>
      <w:sz w:val="21"/>
    </w:rPr>
  </w:style>
  <w:style w:type="character" w:customStyle="1" w:styleId="14">
    <w:name w:val="批注框文本 字符"/>
    <w:basedOn w:val="13"/>
    <w:link w:val="5"/>
    <w:qFormat/>
    <w:uiPriority w:val="0"/>
    <w:rPr>
      <w:kern w:val="2"/>
      <w:sz w:val="18"/>
      <w:szCs w:val="18"/>
    </w:rPr>
  </w:style>
  <w:style w:type="paragraph" w:customStyle="1" w:styleId="15">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16">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18</Pages>
  <Words>7163</Words>
  <Characters>7557</Characters>
  <Lines>60</Lines>
  <Paragraphs>17</Paragraphs>
  <TotalTime>85</TotalTime>
  <ScaleCrop>false</ScaleCrop>
  <LinksUpToDate>false</LinksUpToDate>
  <CharactersWithSpaces>7652</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2022-04-29T13:38:00Z</dcterms:created>
  <dc:creator>user</dc:creator>
  <cp:lastModifiedBy>Lenovo</cp:lastModifiedBy>
  <dcterms:modified xsi:type="dcterms:W3CDTF">2025-02-19T06:52:01Z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042CB84839B94340862819A61AF4B677</vt:lpwstr>
  </property>
</Properties>
</file>