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6BE" w:rsidRPr="00265A0E" w:rsidRDefault="00C026BE" w:rsidP="00DB197B">
      <w:pPr>
        <w:spacing w:before="113" w:line="219" w:lineRule="auto"/>
        <w:ind w:firstLine="700"/>
        <w:rPr>
          <w:rFonts w:ascii="宋体" w:eastAsiaTheme="minorEastAsia" w:hAnsi="宋体" w:cs="宋体" w:hint="eastAsia"/>
          <w:sz w:val="35"/>
          <w:szCs w:val="35"/>
        </w:rPr>
      </w:pPr>
    </w:p>
    <w:p w:rsidR="00C026BE" w:rsidRDefault="00A434D2" w:rsidP="00DB197B">
      <w:pPr>
        <w:spacing w:line="560" w:lineRule="exact"/>
        <w:ind w:firstLine="880"/>
        <w:jc w:val="center"/>
        <w:rPr>
          <w:rFonts w:ascii="方正小标宋简体" w:eastAsia="方正小标宋简体"/>
          <w:b/>
          <w:bCs/>
          <w:sz w:val="44"/>
          <w:szCs w:val="44"/>
        </w:rPr>
      </w:pPr>
      <w:r>
        <w:rPr>
          <w:rFonts w:ascii="方正小标宋简体" w:eastAsia="方正小标宋简体" w:hint="eastAsia"/>
          <w:b/>
          <w:bCs/>
          <w:sz w:val="44"/>
          <w:szCs w:val="44"/>
        </w:rPr>
        <w:t>北京市东城区人民检察院</w:t>
      </w:r>
    </w:p>
    <w:p w:rsidR="00C026BE" w:rsidRDefault="00A434D2" w:rsidP="00DB197B">
      <w:pPr>
        <w:spacing w:line="560" w:lineRule="exact"/>
        <w:ind w:firstLine="880"/>
        <w:jc w:val="center"/>
        <w:rPr>
          <w:rFonts w:ascii="方正小标宋简体" w:eastAsia="方正小标宋简体"/>
          <w:sz w:val="36"/>
          <w:szCs w:val="36"/>
        </w:rPr>
      </w:pPr>
      <w:r>
        <w:rPr>
          <w:rFonts w:ascii="方正小标宋简体" w:eastAsia="方正小标宋简体" w:hint="eastAsia"/>
          <w:b/>
          <w:bCs/>
          <w:sz w:val="44"/>
          <w:szCs w:val="44"/>
        </w:rPr>
        <w:t>2</w:t>
      </w:r>
      <w:r>
        <w:rPr>
          <w:rFonts w:ascii="方正小标宋简体" w:eastAsia="方正小标宋简体"/>
          <w:b/>
          <w:bCs/>
          <w:sz w:val="44"/>
          <w:szCs w:val="44"/>
        </w:rPr>
        <w:t>02</w:t>
      </w:r>
      <w:r>
        <w:rPr>
          <w:rFonts w:ascii="方正小标宋简体" w:eastAsia="方正小标宋简体" w:hint="eastAsia"/>
          <w:b/>
          <w:bCs/>
          <w:sz w:val="44"/>
          <w:szCs w:val="44"/>
        </w:rPr>
        <w:t>3年度部门整体绩效评价报告</w:t>
      </w:r>
    </w:p>
    <w:p w:rsidR="00C026BE" w:rsidRPr="00DB197B" w:rsidRDefault="00A434D2">
      <w:pPr>
        <w:snapToGrid w:val="0"/>
        <w:spacing w:line="560" w:lineRule="exact"/>
        <w:ind w:firstLineChars="200" w:firstLine="640"/>
        <w:rPr>
          <w:rFonts w:ascii="仿宋" w:eastAsia="仿宋" w:hAnsi="仿宋" w:cs="仿宋_GB2312"/>
          <w:sz w:val="32"/>
          <w:szCs w:val="32"/>
        </w:rPr>
      </w:pPr>
      <w:r w:rsidRPr="00DB197B">
        <w:rPr>
          <w:rFonts w:ascii="仿宋" w:eastAsia="仿宋" w:hAnsi="仿宋" w:cs="仿宋_GB2312" w:hint="eastAsia"/>
          <w:sz w:val="32"/>
          <w:szCs w:val="32"/>
        </w:rPr>
        <w:t>为进一步加强预算绩效管理，强化部门支出责任，提高财政资金使用效益，考核财政支出效率和综合效果，根据《中共北京市委 北京市人民政府关于全面实施预算绩效管理的实施意见》（京发〔2019〕12号）《北京市项目支出绩效评价管理办法》（京财绩效〔2020〕2146号）和北京市财政局《关于开展2024年预算绩效管理相关工作的函》等相关要求，北京国誉会计师事务所有限公司接受北京市东城区人民检察院（以下简称“东城区检察院”）委托，组织实施</w:t>
      </w:r>
      <w:r w:rsidRPr="00DB197B">
        <w:rPr>
          <w:rFonts w:ascii="仿宋" w:eastAsia="仿宋" w:hAnsi="仿宋" w:cs="仿宋_GB2312"/>
          <w:sz w:val="32"/>
          <w:szCs w:val="32"/>
        </w:rPr>
        <w:t>202</w:t>
      </w:r>
      <w:r w:rsidRPr="00DB197B">
        <w:rPr>
          <w:rFonts w:ascii="仿宋" w:eastAsia="仿宋" w:hAnsi="仿宋" w:cs="仿宋_GB2312" w:hint="eastAsia"/>
          <w:sz w:val="32"/>
          <w:szCs w:val="32"/>
        </w:rPr>
        <w:t>3</w:t>
      </w:r>
      <w:r w:rsidRPr="00DB197B">
        <w:rPr>
          <w:rFonts w:ascii="仿宋" w:eastAsia="仿宋" w:hAnsi="仿宋" w:cs="仿宋_GB2312"/>
          <w:sz w:val="32"/>
          <w:szCs w:val="32"/>
        </w:rPr>
        <w:t>年度部门整体绩效评价</w:t>
      </w:r>
      <w:r w:rsidRPr="00DB197B">
        <w:rPr>
          <w:rFonts w:ascii="仿宋" w:eastAsia="仿宋" w:hAnsi="仿宋" w:cs="仿宋_GB2312" w:hint="eastAsia"/>
          <w:sz w:val="32"/>
          <w:szCs w:val="32"/>
        </w:rPr>
        <w:t>工作</w:t>
      </w:r>
      <w:r w:rsidRPr="00DB197B">
        <w:rPr>
          <w:rFonts w:ascii="仿宋" w:eastAsia="仿宋" w:hAnsi="仿宋" w:cs="仿宋_GB2312"/>
          <w:sz w:val="32"/>
          <w:szCs w:val="32"/>
        </w:rPr>
        <w:t>，</w:t>
      </w:r>
      <w:r w:rsidRPr="00DB197B">
        <w:rPr>
          <w:rFonts w:ascii="仿宋" w:eastAsia="仿宋" w:hAnsi="仿宋" w:cs="仿宋_GB2312" w:hint="eastAsia"/>
          <w:sz w:val="32"/>
          <w:szCs w:val="32"/>
        </w:rPr>
        <w:t>形成本绩效评价报告。</w:t>
      </w:r>
    </w:p>
    <w:p w:rsidR="00C026BE" w:rsidRDefault="00A434D2">
      <w:pPr>
        <w:spacing w:line="560" w:lineRule="exact"/>
        <w:ind w:firstLineChars="200" w:firstLine="640"/>
        <w:outlineLvl w:val="0"/>
        <w:rPr>
          <w:rFonts w:ascii="黑体" w:eastAsia="黑体" w:hAnsi="黑体" w:cs="黑体"/>
          <w:kern w:val="0"/>
          <w:sz w:val="32"/>
          <w:szCs w:val="32"/>
        </w:rPr>
      </w:pPr>
      <w:bookmarkStart w:id="0" w:name="_Toc24806"/>
      <w:bookmarkStart w:id="1" w:name="_Toc9970"/>
      <w:bookmarkStart w:id="2" w:name="_Toc16308"/>
      <w:bookmarkStart w:id="3" w:name="_Toc14234"/>
      <w:bookmarkStart w:id="4" w:name="_Toc8657"/>
      <w:bookmarkStart w:id="5" w:name="_Toc32028"/>
      <w:bookmarkStart w:id="6" w:name="_Toc17624"/>
      <w:bookmarkStart w:id="7" w:name="_Toc27138"/>
      <w:bookmarkStart w:id="8" w:name="_Toc24301"/>
      <w:bookmarkStart w:id="9" w:name="_Toc2163"/>
      <w:bookmarkStart w:id="10" w:name="_Toc23503"/>
      <w:bookmarkStart w:id="11" w:name="_Toc20179"/>
      <w:r>
        <w:rPr>
          <w:rFonts w:ascii="黑体" w:eastAsia="黑体" w:hAnsi="黑体" w:cs="黑体" w:hint="eastAsia"/>
          <w:kern w:val="0"/>
          <w:sz w:val="32"/>
          <w:szCs w:val="32"/>
        </w:rPr>
        <w:t>一、部门概况</w:t>
      </w:r>
      <w:bookmarkEnd w:id="0"/>
      <w:bookmarkEnd w:id="1"/>
      <w:bookmarkEnd w:id="2"/>
      <w:bookmarkEnd w:id="3"/>
      <w:bookmarkEnd w:id="4"/>
      <w:bookmarkEnd w:id="5"/>
      <w:bookmarkEnd w:id="6"/>
      <w:bookmarkEnd w:id="7"/>
      <w:bookmarkEnd w:id="8"/>
      <w:bookmarkEnd w:id="9"/>
      <w:bookmarkEnd w:id="10"/>
      <w:bookmarkEnd w:id="11"/>
    </w:p>
    <w:p w:rsidR="00C026BE" w:rsidRDefault="00A434D2">
      <w:pPr>
        <w:spacing w:line="560" w:lineRule="exact"/>
        <w:ind w:firstLineChars="200" w:firstLine="643"/>
        <w:outlineLvl w:val="1"/>
        <w:rPr>
          <w:rFonts w:ascii="楷体_GB2312" w:eastAsia="楷体_GB2312" w:hAnsi="Calibri"/>
          <w:b/>
          <w:bCs/>
          <w:sz w:val="32"/>
          <w:szCs w:val="32"/>
        </w:rPr>
      </w:pPr>
      <w:bookmarkStart w:id="12" w:name="_Toc19188"/>
      <w:bookmarkStart w:id="13" w:name="_Toc13018"/>
      <w:bookmarkStart w:id="14" w:name="_Toc21306"/>
      <w:bookmarkStart w:id="15" w:name="_Toc23742"/>
      <w:bookmarkStart w:id="16" w:name="_Toc32154"/>
      <w:bookmarkStart w:id="17" w:name="_Toc27618"/>
      <w:bookmarkStart w:id="18" w:name="_Toc22357"/>
      <w:bookmarkStart w:id="19" w:name="_Toc1002"/>
      <w:bookmarkStart w:id="20" w:name="_Toc17149"/>
      <w:bookmarkStart w:id="21" w:name="_Toc21175"/>
      <w:bookmarkStart w:id="22" w:name="_Toc12493"/>
      <w:bookmarkStart w:id="23" w:name="_Toc12421"/>
      <w:r>
        <w:rPr>
          <w:rFonts w:ascii="楷体_GB2312" w:eastAsia="楷体_GB2312" w:hAnsi="Calibri" w:hint="eastAsia"/>
          <w:b/>
          <w:bCs/>
          <w:sz w:val="32"/>
          <w:szCs w:val="32"/>
        </w:rPr>
        <w:t>（一）机构设置及职责工作任务情况</w:t>
      </w:r>
      <w:bookmarkEnd w:id="12"/>
      <w:bookmarkEnd w:id="13"/>
      <w:bookmarkEnd w:id="14"/>
      <w:bookmarkEnd w:id="15"/>
      <w:bookmarkEnd w:id="16"/>
      <w:bookmarkEnd w:id="17"/>
      <w:bookmarkEnd w:id="18"/>
      <w:bookmarkEnd w:id="19"/>
      <w:bookmarkEnd w:id="20"/>
      <w:bookmarkEnd w:id="21"/>
      <w:bookmarkEnd w:id="22"/>
      <w:bookmarkEnd w:id="23"/>
    </w:p>
    <w:p w:rsidR="00C026BE" w:rsidRPr="00DB197B" w:rsidRDefault="00A434D2" w:rsidP="00DB197B">
      <w:pPr>
        <w:pStyle w:val="a5"/>
        <w:spacing w:line="560" w:lineRule="exact"/>
        <w:ind w:firstLine="643"/>
        <w:outlineLvl w:val="2"/>
        <w:rPr>
          <w:rFonts w:ascii="仿宋" w:eastAsia="仿宋" w:hAnsi="仿宋" w:cs="仿宋_GB2312"/>
          <w:b/>
          <w:bCs/>
          <w:sz w:val="32"/>
          <w:szCs w:val="32"/>
        </w:rPr>
      </w:pPr>
      <w:bookmarkStart w:id="24" w:name="_Toc30294"/>
      <w:bookmarkStart w:id="25" w:name="_Toc1361"/>
      <w:r w:rsidRPr="00DB197B">
        <w:rPr>
          <w:rFonts w:ascii="仿宋" w:eastAsia="仿宋" w:hAnsi="仿宋" w:cs="仿宋_GB2312" w:hint="eastAsia"/>
          <w:b/>
          <w:bCs/>
          <w:sz w:val="32"/>
          <w:szCs w:val="32"/>
        </w:rPr>
        <w:t>1.机构设置</w:t>
      </w:r>
      <w:bookmarkEnd w:id="24"/>
      <w:bookmarkEnd w:id="25"/>
    </w:p>
    <w:p w:rsidR="00C026BE" w:rsidRPr="00DB197B" w:rsidRDefault="00A434D2">
      <w:pPr>
        <w:snapToGrid w:val="0"/>
        <w:spacing w:line="560" w:lineRule="exact"/>
        <w:ind w:firstLineChars="200" w:firstLine="640"/>
        <w:rPr>
          <w:rFonts w:ascii="仿宋" w:eastAsia="仿宋" w:hAnsi="仿宋" w:cs="宋体"/>
          <w:color w:val="000000"/>
          <w:sz w:val="32"/>
          <w:szCs w:val="32"/>
        </w:rPr>
      </w:pPr>
      <w:r w:rsidRPr="00DB197B">
        <w:rPr>
          <w:rFonts w:ascii="仿宋" w:eastAsia="仿宋" w:hAnsi="仿宋" w:cs="宋体" w:hint="eastAsia"/>
          <w:color w:val="000000"/>
          <w:kern w:val="0"/>
          <w:sz w:val="32"/>
          <w:szCs w:val="32"/>
        </w:rPr>
        <w:t>根据中共北京市委政法委员会、中共北京市委机构编制委员会办公室、北京市人民检察院关于印发《北京市检察机关内设机构改革方案》的通知，</w:t>
      </w:r>
      <w:r w:rsidRPr="00DB197B">
        <w:rPr>
          <w:rFonts w:ascii="仿宋" w:eastAsia="仿宋" w:hAnsi="仿宋" w:cs="宋体" w:hint="eastAsia"/>
          <w:color w:val="000000"/>
          <w:sz w:val="32"/>
          <w:szCs w:val="32"/>
        </w:rPr>
        <w:t>北京市东城区人民检察院（以下简称“东城区检察院”）内设11个部门，分别为：第一检察部、第二检察部、第三检察部、第四检察部、第五检察部、第六检察部、第七检察部、第八检察部（法律政策研究室)、办公室（行政事务管理部)、政治部（机关党委、机关纪委)、检务督察部。</w:t>
      </w:r>
    </w:p>
    <w:p w:rsidR="00C026BE" w:rsidRDefault="00C026BE" w:rsidP="003A13DB">
      <w:pPr>
        <w:snapToGrid w:val="0"/>
        <w:spacing w:line="560" w:lineRule="exact"/>
        <w:ind w:firstLineChars="200" w:firstLine="640"/>
        <w:rPr>
          <w:rFonts w:ascii="仿宋_GB2312" w:eastAsia="仿宋_GB2312" w:hAnsi="仿宋_GB2312" w:cs="仿宋_GB2312"/>
          <w:b/>
          <w:bCs/>
          <w:sz w:val="32"/>
          <w:szCs w:val="32"/>
        </w:rPr>
      </w:pPr>
    </w:p>
    <w:p w:rsidR="00C026BE" w:rsidRDefault="00A434D2" w:rsidP="003A13DB">
      <w:pPr>
        <w:pStyle w:val="a5"/>
        <w:spacing w:line="560" w:lineRule="exact"/>
        <w:ind w:firstLine="640"/>
        <w:outlineLvl w:val="2"/>
        <w:rPr>
          <w:rFonts w:ascii="仿宋_GB2312" w:eastAsia="仿宋_GB2312" w:hAnsi="宋体" w:cs="宋体"/>
          <w:b/>
          <w:bCs/>
          <w:kern w:val="0"/>
          <w:sz w:val="32"/>
          <w:szCs w:val="32"/>
        </w:rPr>
      </w:pPr>
      <w:bookmarkStart w:id="26" w:name="_Toc4367"/>
      <w:bookmarkStart w:id="27" w:name="_Toc30324"/>
      <w:r>
        <w:rPr>
          <w:rFonts w:ascii="仿宋_GB2312" w:eastAsia="仿宋_GB2312" w:hAnsi="宋体" w:cs="宋体" w:hint="eastAsia"/>
          <w:b/>
          <w:bCs/>
          <w:kern w:val="0"/>
          <w:sz w:val="32"/>
          <w:szCs w:val="32"/>
        </w:rPr>
        <w:lastRenderedPageBreak/>
        <w:t>2.部门职责和工作任务情况</w:t>
      </w:r>
      <w:bookmarkEnd w:id="26"/>
      <w:bookmarkEnd w:id="27"/>
    </w:p>
    <w:p w:rsidR="00C026BE" w:rsidRPr="00DB197B" w:rsidRDefault="00A434D2">
      <w:pPr>
        <w:snapToGrid w:val="0"/>
        <w:spacing w:line="560" w:lineRule="exact"/>
        <w:ind w:firstLineChars="200" w:firstLine="640"/>
        <w:rPr>
          <w:rFonts w:ascii="仿宋" w:eastAsia="仿宋" w:hAnsi="仿宋" w:cs="宋体"/>
          <w:color w:val="000000"/>
          <w:kern w:val="0"/>
          <w:sz w:val="32"/>
          <w:szCs w:val="32"/>
        </w:rPr>
      </w:pPr>
      <w:r w:rsidRPr="00DB197B">
        <w:rPr>
          <w:rFonts w:ascii="仿宋" w:eastAsia="仿宋" w:hAnsi="仿宋" w:cs="宋体" w:hint="eastAsia"/>
          <w:color w:val="000000"/>
          <w:kern w:val="0"/>
          <w:sz w:val="32"/>
          <w:szCs w:val="32"/>
        </w:rPr>
        <w:t>（1）部门职责</w:t>
      </w:r>
    </w:p>
    <w:p w:rsidR="00C026BE" w:rsidRPr="00DB197B" w:rsidRDefault="00A434D2">
      <w:pPr>
        <w:snapToGrid w:val="0"/>
        <w:spacing w:line="560" w:lineRule="exact"/>
        <w:ind w:firstLineChars="200" w:firstLine="640"/>
        <w:rPr>
          <w:rFonts w:ascii="仿宋" w:eastAsia="仿宋" w:hAnsi="仿宋" w:cs="仿宋_GB2312"/>
          <w:sz w:val="32"/>
          <w:szCs w:val="32"/>
        </w:rPr>
      </w:pPr>
      <w:r w:rsidRPr="00DB197B">
        <w:rPr>
          <w:rFonts w:ascii="仿宋" w:eastAsia="仿宋" w:hAnsi="仿宋" w:cs="仿宋_GB2312" w:hint="eastAsia"/>
          <w:sz w:val="32"/>
          <w:szCs w:val="32"/>
        </w:rPr>
        <w:t xml:space="preserve">东城区检察院是国家的法律监督机关，通过行使检察权，追诉犯罪，维护国家安全和社会秩序，维护个人和组织的合法权益，维护国家利益和社会公共利益，保障法律正确实施，维护社会公平正义，维护国家法制统一、尊严和权威，保障中国特色社会主义建设的顺利进行。具体行使下列职权：依照法律规定对有关刑事案件行使侦查权；对刑事案件进行审查，批准或者决定是否逮捕犯罪嫌疑人；对刑事案件进行审查，决定是否提起公诉，对决定提起公诉的案件支持公诉；依照法律规定提起公益诉讼；对诉讼活动实行法律监督；对判决、裁定等生效法律文书的执行工作实行法律监督；对监狱、看守所的执法活动实行法律监督；法律规定的其他职权。 </w:t>
      </w:r>
    </w:p>
    <w:p w:rsidR="00C026BE" w:rsidRPr="00DB197B" w:rsidRDefault="00A434D2">
      <w:pPr>
        <w:snapToGrid w:val="0"/>
        <w:spacing w:line="560" w:lineRule="exact"/>
        <w:ind w:firstLineChars="200" w:firstLine="640"/>
        <w:rPr>
          <w:rFonts w:ascii="仿宋" w:eastAsia="仿宋" w:hAnsi="仿宋" w:cs="宋体"/>
          <w:color w:val="000000"/>
          <w:kern w:val="0"/>
          <w:sz w:val="32"/>
          <w:szCs w:val="32"/>
        </w:rPr>
      </w:pPr>
      <w:r w:rsidRPr="00DB197B">
        <w:rPr>
          <w:rFonts w:ascii="仿宋" w:eastAsia="仿宋" w:hAnsi="仿宋" w:cs="仿宋_GB2312" w:hint="eastAsia"/>
          <w:sz w:val="32"/>
          <w:szCs w:val="32"/>
        </w:rPr>
        <w:t>（</w:t>
      </w:r>
      <w:r w:rsidRPr="00DB197B">
        <w:rPr>
          <w:rFonts w:ascii="仿宋" w:eastAsia="仿宋" w:hAnsi="仿宋" w:cs="仿宋_GB2312"/>
          <w:sz w:val="32"/>
          <w:szCs w:val="32"/>
        </w:rPr>
        <w:t>2</w:t>
      </w:r>
      <w:r w:rsidRPr="00DB197B">
        <w:rPr>
          <w:rFonts w:ascii="仿宋" w:eastAsia="仿宋" w:hAnsi="仿宋" w:cs="仿宋_GB2312" w:hint="eastAsia"/>
          <w:sz w:val="32"/>
          <w:szCs w:val="32"/>
        </w:rPr>
        <w:t>）工作任务情况</w:t>
      </w:r>
    </w:p>
    <w:p w:rsidR="00C026BE" w:rsidRPr="00DB197B" w:rsidRDefault="00A434D2">
      <w:pPr>
        <w:snapToGrid w:val="0"/>
        <w:spacing w:line="560" w:lineRule="exact"/>
        <w:ind w:firstLineChars="200" w:firstLine="640"/>
        <w:rPr>
          <w:rFonts w:ascii="仿宋" w:eastAsia="仿宋" w:hAnsi="仿宋" w:cs="宋体"/>
          <w:color w:val="000000"/>
          <w:sz w:val="32"/>
          <w:szCs w:val="32"/>
        </w:rPr>
      </w:pPr>
      <w:r w:rsidRPr="00DB197B">
        <w:rPr>
          <w:rFonts w:ascii="仿宋" w:eastAsia="仿宋" w:hAnsi="仿宋" w:cs="仿宋_GB2312" w:hint="eastAsia"/>
          <w:sz w:val="32"/>
          <w:szCs w:val="32"/>
        </w:rPr>
        <w:t>坚持从政治上着眼、从法治上着力，始终以党的政治建设统领检察工作。自觉将检察工作融入区域中心工作大局，着力深化以检察工作现代化服务中国式现代化的东城实践。针对人民群众急难愁盼，扎实办好民生实事，厚植党的执政根基。深刻把握数字时代特征，全面实施数字检察战略，推动东城检察机关数字化转型发展，高质效履行法律监督职责中体现法治担当。大力弘扬求真务实、担当实干之风，一体推进从严管理监督和鼓励担当作为，努力以检察队伍建设新成效奋力推动检察事业开创新局面。</w:t>
      </w:r>
    </w:p>
    <w:p w:rsidR="00C026BE" w:rsidRDefault="00C026BE" w:rsidP="003A13DB">
      <w:pPr>
        <w:snapToGrid w:val="0"/>
        <w:spacing w:line="560" w:lineRule="exact"/>
        <w:ind w:firstLineChars="200" w:firstLine="640"/>
        <w:rPr>
          <w:rFonts w:ascii="仿宋_GB2312" w:eastAsia="仿宋_GB2312" w:hAnsi="仿宋_GB2312" w:cs="仿宋_GB2312"/>
          <w:b/>
          <w:bCs/>
          <w:sz w:val="32"/>
          <w:szCs w:val="32"/>
        </w:rPr>
      </w:pPr>
    </w:p>
    <w:p w:rsidR="00C026BE" w:rsidRPr="00DB197B" w:rsidRDefault="00A434D2" w:rsidP="00DB197B">
      <w:pPr>
        <w:pStyle w:val="a5"/>
        <w:spacing w:line="560" w:lineRule="exact"/>
        <w:ind w:firstLine="643"/>
        <w:outlineLvl w:val="2"/>
        <w:rPr>
          <w:rFonts w:ascii="仿宋" w:eastAsia="仿宋" w:hAnsi="仿宋" w:cs="宋体"/>
          <w:b/>
          <w:bCs/>
          <w:kern w:val="0"/>
          <w:sz w:val="32"/>
          <w:szCs w:val="32"/>
        </w:rPr>
      </w:pPr>
      <w:bookmarkStart w:id="28" w:name="_Toc262"/>
      <w:bookmarkStart w:id="29" w:name="_Toc25770"/>
      <w:r w:rsidRPr="00DB197B">
        <w:rPr>
          <w:rFonts w:ascii="仿宋" w:eastAsia="仿宋" w:hAnsi="仿宋" w:cs="宋体" w:hint="eastAsia"/>
          <w:b/>
          <w:bCs/>
          <w:kern w:val="0"/>
          <w:sz w:val="32"/>
          <w:szCs w:val="32"/>
        </w:rPr>
        <w:lastRenderedPageBreak/>
        <w:t>3.人员配置及人员构成情况</w:t>
      </w:r>
      <w:bookmarkEnd w:id="28"/>
      <w:bookmarkEnd w:id="29"/>
    </w:p>
    <w:p w:rsidR="00C026BE" w:rsidRPr="00DB197B" w:rsidRDefault="00A434D2">
      <w:pPr>
        <w:snapToGrid w:val="0"/>
        <w:spacing w:line="560" w:lineRule="exact"/>
        <w:ind w:firstLineChars="200" w:firstLine="640"/>
        <w:rPr>
          <w:rFonts w:ascii="仿宋" w:eastAsia="仿宋" w:hAnsi="仿宋" w:cs="宋体"/>
          <w:color w:val="000000"/>
          <w:kern w:val="0"/>
          <w:sz w:val="32"/>
          <w:szCs w:val="32"/>
        </w:rPr>
      </w:pPr>
      <w:r w:rsidRPr="00DB197B">
        <w:rPr>
          <w:rFonts w:ascii="仿宋" w:eastAsia="仿宋" w:hAnsi="仿宋" w:cs="仿宋_GB2312" w:hint="eastAsia"/>
          <w:sz w:val="32"/>
          <w:szCs w:val="32"/>
        </w:rPr>
        <w:t>东城区检察院20</w:t>
      </w:r>
      <w:r w:rsidRPr="00DB197B">
        <w:rPr>
          <w:rFonts w:ascii="仿宋" w:eastAsia="仿宋" w:hAnsi="仿宋" w:cs="仿宋_GB2312"/>
          <w:sz w:val="32"/>
          <w:szCs w:val="32"/>
        </w:rPr>
        <w:t>2</w:t>
      </w:r>
      <w:r w:rsidRPr="00DB197B">
        <w:rPr>
          <w:rFonts w:ascii="仿宋" w:eastAsia="仿宋" w:hAnsi="仿宋" w:cs="仿宋_GB2312" w:hint="eastAsia"/>
          <w:sz w:val="32"/>
          <w:szCs w:val="32"/>
        </w:rPr>
        <w:t>3年行政编制201人，事业编制22人，年末实有在职人员199人，</w:t>
      </w:r>
      <w:r w:rsidRPr="00DB197B">
        <w:rPr>
          <w:rFonts w:ascii="仿宋" w:eastAsia="仿宋" w:hAnsi="仿宋" w:cs="宋体" w:hint="eastAsia"/>
          <w:color w:val="000000"/>
          <w:sz w:val="32"/>
          <w:szCs w:val="32"/>
        </w:rPr>
        <w:t>其中，行政编制179人，事业编制20人，</w:t>
      </w:r>
      <w:r w:rsidRPr="00DB197B">
        <w:rPr>
          <w:rFonts w:ascii="仿宋" w:eastAsia="仿宋" w:hAnsi="仿宋" w:hint="eastAsia"/>
          <w:bCs/>
          <w:sz w:val="32"/>
          <w:szCs w:val="28"/>
        </w:rPr>
        <w:t>其他人员（检察院聘任书记员、聘用制司法警察）42人</w:t>
      </w:r>
      <w:r w:rsidRPr="00DB197B">
        <w:rPr>
          <w:rFonts w:ascii="仿宋" w:eastAsia="仿宋" w:hAnsi="仿宋" w:cs="宋体" w:hint="eastAsia"/>
          <w:color w:val="000000"/>
          <w:sz w:val="32"/>
          <w:szCs w:val="32"/>
        </w:rPr>
        <w:t>，退休人员133人。</w:t>
      </w:r>
    </w:p>
    <w:p w:rsidR="00C026BE" w:rsidRDefault="00A434D2">
      <w:pPr>
        <w:spacing w:line="560" w:lineRule="exact"/>
        <w:ind w:firstLineChars="200" w:firstLine="643"/>
        <w:outlineLvl w:val="1"/>
        <w:rPr>
          <w:rFonts w:ascii="楷体_GB2312" w:eastAsia="楷体_GB2312" w:hAnsi="Calibri"/>
          <w:b/>
          <w:bCs/>
          <w:sz w:val="32"/>
          <w:szCs w:val="32"/>
        </w:rPr>
      </w:pPr>
      <w:bookmarkStart w:id="30" w:name="_Toc13215"/>
      <w:bookmarkStart w:id="31" w:name="_Toc3738"/>
      <w:bookmarkStart w:id="32" w:name="_Toc25520"/>
      <w:bookmarkStart w:id="33" w:name="_Toc20434"/>
      <w:bookmarkStart w:id="34" w:name="_Toc5485"/>
      <w:bookmarkStart w:id="35" w:name="_Toc19710"/>
      <w:bookmarkStart w:id="36" w:name="_Toc20926"/>
      <w:bookmarkStart w:id="37" w:name="_Toc7545"/>
      <w:bookmarkStart w:id="38" w:name="_Toc3077"/>
      <w:bookmarkStart w:id="39" w:name="_Toc9611"/>
      <w:bookmarkStart w:id="40" w:name="_Toc24228"/>
      <w:r>
        <w:rPr>
          <w:rFonts w:ascii="楷体_GB2312" w:eastAsia="楷体_GB2312" w:hAnsi="Calibri" w:hint="eastAsia"/>
          <w:b/>
          <w:bCs/>
          <w:sz w:val="32"/>
          <w:szCs w:val="32"/>
        </w:rPr>
        <w:t>（二）部门整体绩效目标设立情况</w:t>
      </w:r>
      <w:bookmarkEnd w:id="30"/>
      <w:bookmarkEnd w:id="31"/>
      <w:bookmarkEnd w:id="32"/>
      <w:bookmarkEnd w:id="33"/>
      <w:bookmarkEnd w:id="34"/>
      <w:bookmarkEnd w:id="35"/>
      <w:bookmarkEnd w:id="36"/>
      <w:bookmarkEnd w:id="37"/>
      <w:bookmarkEnd w:id="38"/>
      <w:bookmarkEnd w:id="39"/>
      <w:bookmarkEnd w:id="40"/>
    </w:p>
    <w:p w:rsidR="00C026BE" w:rsidRPr="00DB197B" w:rsidRDefault="00A434D2" w:rsidP="00DB197B">
      <w:pPr>
        <w:pStyle w:val="a5"/>
        <w:spacing w:line="560" w:lineRule="exact"/>
        <w:ind w:firstLine="643"/>
        <w:outlineLvl w:val="2"/>
        <w:rPr>
          <w:rFonts w:ascii="仿宋" w:eastAsia="仿宋" w:hAnsi="仿宋" w:cs="宋体"/>
          <w:b/>
          <w:bCs/>
          <w:kern w:val="0"/>
          <w:sz w:val="32"/>
          <w:szCs w:val="32"/>
        </w:rPr>
      </w:pPr>
      <w:bookmarkStart w:id="41" w:name="_Toc32068"/>
      <w:bookmarkStart w:id="42" w:name="_Toc18118"/>
      <w:r w:rsidRPr="00DB197B">
        <w:rPr>
          <w:rFonts w:ascii="仿宋" w:eastAsia="仿宋" w:hAnsi="仿宋" w:cs="宋体" w:hint="eastAsia"/>
          <w:b/>
          <w:bCs/>
          <w:kern w:val="0"/>
          <w:sz w:val="32"/>
          <w:szCs w:val="32"/>
        </w:rPr>
        <w:t>1.绩效目标设立依据</w:t>
      </w:r>
      <w:bookmarkEnd w:id="41"/>
      <w:bookmarkEnd w:id="42"/>
    </w:p>
    <w:p w:rsidR="00C026BE" w:rsidRPr="00DB197B" w:rsidRDefault="00A434D2">
      <w:pPr>
        <w:spacing w:line="560" w:lineRule="exact"/>
        <w:ind w:firstLineChars="200" w:firstLine="640"/>
        <w:rPr>
          <w:rFonts w:ascii="仿宋" w:eastAsia="仿宋" w:hAnsi="仿宋" w:cs="仿宋_GB2312"/>
          <w:sz w:val="32"/>
          <w:szCs w:val="32"/>
        </w:rPr>
      </w:pPr>
      <w:r w:rsidRPr="00DB197B">
        <w:rPr>
          <w:rFonts w:ascii="仿宋" w:eastAsia="仿宋" w:hAnsi="仿宋" w:cs="仿宋_GB2312" w:hint="eastAsia"/>
          <w:sz w:val="32"/>
          <w:szCs w:val="32"/>
        </w:rPr>
        <w:t>（1）《中国共产党政法工作条例》</w:t>
      </w:r>
    </w:p>
    <w:p w:rsidR="00C026BE" w:rsidRPr="00DB197B" w:rsidRDefault="00A434D2">
      <w:pPr>
        <w:spacing w:line="560" w:lineRule="exact"/>
        <w:ind w:firstLineChars="200" w:firstLine="640"/>
        <w:rPr>
          <w:rFonts w:ascii="仿宋" w:eastAsia="仿宋" w:hAnsi="仿宋" w:cs="仿宋_GB2312"/>
          <w:sz w:val="32"/>
          <w:szCs w:val="32"/>
        </w:rPr>
      </w:pPr>
      <w:r w:rsidRPr="00DB197B">
        <w:rPr>
          <w:rFonts w:ascii="仿宋" w:eastAsia="仿宋" w:hAnsi="仿宋" w:cs="仿宋_GB2312" w:hint="eastAsia"/>
          <w:sz w:val="32"/>
          <w:szCs w:val="32"/>
        </w:rPr>
        <w:t>（2）中共北京市委贯彻《中共中央关于加强新时代检察机关法律监督工作的意见》的实施意见</w:t>
      </w:r>
    </w:p>
    <w:p w:rsidR="00C026BE" w:rsidRPr="00DB197B" w:rsidRDefault="00A434D2">
      <w:pPr>
        <w:spacing w:line="560" w:lineRule="exact"/>
        <w:ind w:firstLineChars="200" w:firstLine="640"/>
        <w:rPr>
          <w:rFonts w:ascii="仿宋" w:eastAsia="仿宋" w:hAnsi="仿宋" w:cs="仿宋_GB2312"/>
          <w:sz w:val="32"/>
          <w:szCs w:val="32"/>
        </w:rPr>
      </w:pPr>
      <w:r w:rsidRPr="00DB197B">
        <w:rPr>
          <w:rFonts w:ascii="仿宋" w:eastAsia="仿宋" w:hAnsi="仿宋" w:cs="仿宋_GB2312" w:hint="eastAsia"/>
          <w:sz w:val="32"/>
          <w:szCs w:val="32"/>
        </w:rPr>
        <w:t>（3）“十四五”时期检务保障工作发展规划</w:t>
      </w:r>
    </w:p>
    <w:p w:rsidR="00C026BE" w:rsidRPr="00DB197B" w:rsidRDefault="00A434D2">
      <w:pPr>
        <w:spacing w:line="560" w:lineRule="exact"/>
        <w:ind w:firstLineChars="200" w:firstLine="640"/>
        <w:rPr>
          <w:rFonts w:ascii="仿宋" w:eastAsia="仿宋" w:hAnsi="仿宋" w:cs="仿宋_GB2312"/>
          <w:sz w:val="32"/>
          <w:szCs w:val="32"/>
        </w:rPr>
      </w:pPr>
      <w:r w:rsidRPr="00DB197B">
        <w:rPr>
          <w:rFonts w:ascii="仿宋" w:eastAsia="仿宋" w:hAnsi="仿宋" w:cs="仿宋_GB2312" w:hint="eastAsia"/>
          <w:sz w:val="32"/>
          <w:szCs w:val="32"/>
        </w:rPr>
        <w:t>（4）</w:t>
      </w:r>
      <w:r w:rsidRPr="00DB197B">
        <w:rPr>
          <w:rFonts w:ascii="仿宋" w:eastAsia="仿宋" w:hAnsi="仿宋" w:cs="宋体" w:hint="eastAsia"/>
          <w:color w:val="000000"/>
          <w:sz w:val="32"/>
          <w:szCs w:val="32"/>
        </w:rPr>
        <w:t>北京市东城区人民检察院</w:t>
      </w:r>
      <w:r w:rsidRPr="00DB197B">
        <w:rPr>
          <w:rFonts w:ascii="仿宋" w:eastAsia="仿宋" w:hAnsi="仿宋" w:cs="仿宋_GB2312" w:hint="eastAsia"/>
          <w:sz w:val="32"/>
          <w:szCs w:val="32"/>
        </w:rPr>
        <w:t>单位职能职责</w:t>
      </w:r>
    </w:p>
    <w:p w:rsidR="00C026BE" w:rsidRPr="00DB197B" w:rsidRDefault="00A434D2">
      <w:pPr>
        <w:spacing w:line="560" w:lineRule="exact"/>
        <w:ind w:firstLineChars="200" w:firstLine="640"/>
        <w:rPr>
          <w:rFonts w:ascii="仿宋" w:eastAsia="仿宋" w:hAnsi="仿宋" w:cs="仿宋_GB2312"/>
          <w:sz w:val="32"/>
          <w:szCs w:val="32"/>
        </w:rPr>
      </w:pPr>
      <w:r w:rsidRPr="00DB197B">
        <w:rPr>
          <w:rFonts w:ascii="仿宋" w:eastAsia="仿宋" w:hAnsi="仿宋" w:cs="仿宋_GB2312" w:hint="eastAsia"/>
          <w:sz w:val="32"/>
          <w:szCs w:val="32"/>
        </w:rPr>
        <w:t>（5）</w:t>
      </w:r>
      <w:r w:rsidRPr="00DB197B">
        <w:rPr>
          <w:rFonts w:ascii="仿宋" w:eastAsia="仿宋" w:hAnsi="仿宋" w:cs="宋体" w:hint="eastAsia"/>
          <w:color w:val="000000"/>
          <w:sz w:val="32"/>
          <w:szCs w:val="32"/>
        </w:rPr>
        <w:t>北京市东城区人民检察院</w:t>
      </w:r>
      <w:r w:rsidRPr="00DB197B">
        <w:rPr>
          <w:rFonts w:ascii="仿宋" w:eastAsia="仿宋" w:hAnsi="仿宋" w:cs="仿宋_GB2312" w:hint="eastAsia"/>
          <w:sz w:val="32"/>
          <w:szCs w:val="32"/>
        </w:rPr>
        <w:t>年度工作计划</w:t>
      </w:r>
    </w:p>
    <w:p w:rsidR="00C026BE" w:rsidRPr="00DB197B" w:rsidRDefault="00A434D2">
      <w:pPr>
        <w:spacing w:line="560" w:lineRule="exact"/>
        <w:ind w:firstLineChars="200" w:firstLine="640"/>
        <w:rPr>
          <w:rFonts w:ascii="仿宋" w:eastAsia="仿宋" w:hAnsi="仿宋" w:cs="仿宋_GB2312"/>
          <w:sz w:val="32"/>
          <w:szCs w:val="32"/>
        </w:rPr>
      </w:pPr>
      <w:r w:rsidRPr="00DB197B">
        <w:rPr>
          <w:rFonts w:ascii="仿宋" w:eastAsia="仿宋" w:hAnsi="仿宋" w:cs="仿宋_GB2312" w:hint="eastAsia"/>
          <w:sz w:val="32"/>
          <w:szCs w:val="32"/>
        </w:rPr>
        <w:t>（6）国家相关法律法规和规章制度</w:t>
      </w:r>
    </w:p>
    <w:p w:rsidR="00C026BE" w:rsidRPr="00DB197B" w:rsidRDefault="00A434D2">
      <w:pPr>
        <w:spacing w:line="560" w:lineRule="exact"/>
        <w:ind w:firstLineChars="200" w:firstLine="640"/>
        <w:rPr>
          <w:rFonts w:ascii="仿宋" w:eastAsia="仿宋" w:hAnsi="仿宋" w:cs="仿宋_GB2312"/>
          <w:sz w:val="32"/>
          <w:szCs w:val="32"/>
        </w:rPr>
      </w:pPr>
      <w:r w:rsidRPr="00DB197B">
        <w:rPr>
          <w:rFonts w:ascii="仿宋" w:eastAsia="仿宋" w:hAnsi="仿宋" w:cs="仿宋_GB2312" w:hint="eastAsia"/>
          <w:sz w:val="32"/>
          <w:szCs w:val="32"/>
        </w:rPr>
        <w:t>（7）北京市相关法规、规章制度</w:t>
      </w:r>
    </w:p>
    <w:p w:rsidR="00C026BE" w:rsidRPr="00DB197B" w:rsidRDefault="00A434D2">
      <w:pPr>
        <w:spacing w:line="560" w:lineRule="exact"/>
        <w:ind w:firstLineChars="200" w:firstLine="640"/>
        <w:rPr>
          <w:rFonts w:ascii="仿宋" w:eastAsia="仿宋" w:hAnsi="仿宋" w:cs="仿宋_GB2312"/>
          <w:sz w:val="32"/>
          <w:szCs w:val="32"/>
        </w:rPr>
      </w:pPr>
      <w:r w:rsidRPr="00DB197B">
        <w:rPr>
          <w:rFonts w:ascii="仿宋" w:eastAsia="仿宋" w:hAnsi="仿宋" w:cs="仿宋_GB2312" w:hint="eastAsia"/>
          <w:sz w:val="32"/>
          <w:szCs w:val="32"/>
        </w:rPr>
        <w:t>（8）</w:t>
      </w:r>
      <w:r w:rsidRPr="00DB197B">
        <w:rPr>
          <w:rFonts w:ascii="仿宋" w:eastAsia="仿宋" w:hAnsi="仿宋" w:cs="宋体" w:hint="eastAsia"/>
          <w:color w:val="000000"/>
          <w:sz w:val="32"/>
          <w:szCs w:val="32"/>
        </w:rPr>
        <w:t>北京市东城区人民检察院</w:t>
      </w:r>
      <w:r w:rsidRPr="00DB197B">
        <w:rPr>
          <w:rFonts w:ascii="仿宋" w:eastAsia="仿宋" w:hAnsi="仿宋" w:cs="仿宋_GB2312" w:hint="eastAsia"/>
          <w:sz w:val="32"/>
          <w:szCs w:val="32"/>
        </w:rPr>
        <w:t>内部控制制度</w:t>
      </w:r>
    </w:p>
    <w:p w:rsidR="00C026BE" w:rsidRPr="00DB197B" w:rsidRDefault="00A434D2">
      <w:pPr>
        <w:spacing w:line="560" w:lineRule="exact"/>
        <w:ind w:firstLineChars="200" w:firstLine="640"/>
        <w:rPr>
          <w:rFonts w:ascii="仿宋" w:eastAsia="仿宋" w:hAnsi="仿宋" w:cs="宋体"/>
          <w:color w:val="000000"/>
          <w:kern w:val="0"/>
          <w:sz w:val="32"/>
          <w:szCs w:val="32"/>
        </w:rPr>
      </w:pPr>
      <w:r w:rsidRPr="00DB197B">
        <w:rPr>
          <w:rFonts w:ascii="仿宋" w:eastAsia="仿宋" w:hAnsi="仿宋" w:cs="仿宋_GB2312" w:hint="eastAsia"/>
          <w:sz w:val="32"/>
          <w:szCs w:val="32"/>
        </w:rPr>
        <w:t>（9）相关历史数据、行业标准、计划标准等</w:t>
      </w:r>
    </w:p>
    <w:p w:rsidR="00C026BE" w:rsidRPr="00DB197B" w:rsidRDefault="00A434D2" w:rsidP="00DB197B">
      <w:pPr>
        <w:pStyle w:val="a5"/>
        <w:spacing w:line="560" w:lineRule="exact"/>
        <w:ind w:firstLine="643"/>
        <w:outlineLvl w:val="2"/>
        <w:rPr>
          <w:rFonts w:ascii="仿宋" w:eastAsia="仿宋" w:hAnsi="仿宋" w:cs="宋体"/>
          <w:b/>
          <w:bCs/>
          <w:kern w:val="0"/>
          <w:sz w:val="32"/>
          <w:szCs w:val="32"/>
        </w:rPr>
      </w:pPr>
      <w:bookmarkStart w:id="43" w:name="_Toc315"/>
      <w:bookmarkStart w:id="44" w:name="_Toc8394"/>
      <w:r w:rsidRPr="00DB197B">
        <w:rPr>
          <w:rFonts w:ascii="仿宋" w:eastAsia="仿宋" w:hAnsi="仿宋" w:cs="宋体" w:hint="eastAsia"/>
          <w:b/>
          <w:bCs/>
          <w:kern w:val="0"/>
          <w:sz w:val="32"/>
          <w:szCs w:val="32"/>
        </w:rPr>
        <w:t>2.目标设置情况</w:t>
      </w:r>
      <w:bookmarkEnd w:id="43"/>
      <w:bookmarkEnd w:id="44"/>
    </w:p>
    <w:p w:rsidR="00C026BE" w:rsidRPr="00DB197B" w:rsidRDefault="00A434D2">
      <w:pPr>
        <w:spacing w:line="560" w:lineRule="exact"/>
        <w:ind w:firstLineChars="200" w:firstLine="640"/>
        <w:rPr>
          <w:rFonts w:ascii="仿宋" w:eastAsia="仿宋" w:hAnsi="仿宋" w:cs="宋体"/>
          <w:color w:val="000000"/>
          <w:kern w:val="0"/>
          <w:sz w:val="32"/>
          <w:szCs w:val="32"/>
        </w:rPr>
      </w:pPr>
      <w:r w:rsidRPr="00DB197B">
        <w:rPr>
          <w:rFonts w:ascii="仿宋" w:eastAsia="仿宋" w:hAnsi="仿宋" w:cs="宋体" w:hint="eastAsia"/>
          <w:color w:val="000000"/>
          <w:kern w:val="0"/>
          <w:sz w:val="32"/>
          <w:szCs w:val="32"/>
        </w:rPr>
        <w:t>东城区检察院根据单位职责，结合“十四五”规划和年度任务计划设置了部门整体绩效目标，部门整体绩效目标设置基本合理，与单位职能相匹配，但个别绩效指标设置的量化程度和合理性有待提高，具体情况如下：</w:t>
      </w:r>
    </w:p>
    <w:p w:rsidR="00C026BE" w:rsidRPr="00DB197B" w:rsidRDefault="00A434D2" w:rsidP="00DB197B">
      <w:pPr>
        <w:spacing w:line="560" w:lineRule="exact"/>
        <w:ind w:firstLineChars="200" w:firstLine="643"/>
        <w:rPr>
          <w:rFonts w:ascii="仿宋" w:eastAsia="仿宋" w:hAnsi="仿宋" w:cs="宋体"/>
          <w:color w:val="000000"/>
          <w:kern w:val="0"/>
          <w:sz w:val="32"/>
          <w:szCs w:val="32"/>
        </w:rPr>
      </w:pPr>
      <w:r w:rsidRPr="00DB197B">
        <w:rPr>
          <w:rFonts w:ascii="仿宋" w:eastAsia="仿宋" w:hAnsi="仿宋" w:cs="仿宋_GB2312" w:hint="eastAsia"/>
          <w:b/>
          <w:bCs/>
          <w:sz w:val="32"/>
          <w:szCs w:val="32"/>
        </w:rPr>
        <w:t>整体绩效目标：</w:t>
      </w:r>
    </w:p>
    <w:p w:rsidR="00C026BE" w:rsidRPr="00DB197B" w:rsidRDefault="00A434D2">
      <w:pPr>
        <w:spacing w:line="560" w:lineRule="exact"/>
        <w:ind w:firstLineChars="200" w:firstLine="640"/>
        <w:rPr>
          <w:rFonts w:ascii="仿宋" w:eastAsia="仿宋" w:hAnsi="仿宋" w:cs="宋体"/>
          <w:color w:val="000000"/>
          <w:kern w:val="0"/>
          <w:sz w:val="32"/>
          <w:szCs w:val="32"/>
        </w:rPr>
      </w:pPr>
      <w:r w:rsidRPr="00DB197B">
        <w:rPr>
          <w:rFonts w:ascii="仿宋" w:eastAsia="仿宋" w:hAnsi="仿宋" w:cs="宋体" w:hint="eastAsia"/>
          <w:color w:val="000000"/>
          <w:kern w:val="0"/>
          <w:sz w:val="32"/>
          <w:szCs w:val="32"/>
        </w:rPr>
        <w:t>东城区检察院作为法律监督机关，在管辖的地区依法独</w:t>
      </w:r>
      <w:r w:rsidRPr="00DB197B">
        <w:rPr>
          <w:rFonts w:ascii="仿宋" w:eastAsia="仿宋" w:hAnsi="仿宋" w:cs="宋体" w:hint="eastAsia"/>
          <w:color w:val="000000"/>
          <w:kern w:val="0"/>
          <w:sz w:val="32"/>
          <w:szCs w:val="32"/>
        </w:rPr>
        <w:lastRenderedPageBreak/>
        <w:t>立行使检察权。通过申请部门经费，保证机关正常运转，保障各项检察业务工作有序开展，围绕中心工作履行检察职能，维护首都工作大局，维护社会安全稳定，强化法律监督，维护公平正义。</w:t>
      </w:r>
    </w:p>
    <w:p w:rsidR="00C026BE" w:rsidRPr="00DB197B" w:rsidRDefault="00A434D2" w:rsidP="00DB197B">
      <w:pPr>
        <w:spacing w:line="560" w:lineRule="exact"/>
        <w:ind w:firstLineChars="200" w:firstLine="643"/>
        <w:rPr>
          <w:rFonts w:ascii="仿宋" w:eastAsia="仿宋" w:hAnsi="仿宋" w:cs="宋体"/>
          <w:color w:val="000000"/>
          <w:kern w:val="0"/>
          <w:sz w:val="32"/>
          <w:szCs w:val="32"/>
        </w:rPr>
      </w:pPr>
      <w:r w:rsidRPr="00DB197B">
        <w:rPr>
          <w:rFonts w:ascii="仿宋" w:eastAsia="仿宋" w:hAnsi="仿宋" w:cs="仿宋_GB2312" w:hint="eastAsia"/>
          <w:b/>
          <w:bCs/>
          <w:sz w:val="32"/>
          <w:szCs w:val="32"/>
        </w:rPr>
        <w:t>绩效指标：</w:t>
      </w:r>
    </w:p>
    <w:p w:rsidR="00C026BE" w:rsidRPr="00DB197B" w:rsidRDefault="00A434D2">
      <w:pPr>
        <w:spacing w:line="560" w:lineRule="exact"/>
        <w:ind w:firstLineChars="200" w:firstLine="640"/>
        <w:rPr>
          <w:rFonts w:ascii="仿宋" w:eastAsia="仿宋" w:hAnsi="仿宋" w:cs="宋体"/>
          <w:color w:val="000000"/>
          <w:kern w:val="0"/>
          <w:sz w:val="32"/>
          <w:szCs w:val="32"/>
        </w:rPr>
      </w:pPr>
      <w:r w:rsidRPr="00DB197B">
        <w:rPr>
          <w:rFonts w:ascii="仿宋" w:eastAsia="仿宋" w:hAnsi="仿宋" w:cs="宋体" w:hint="eastAsia"/>
          <w:color w:val="000000"/>
          <w:kern w:val="0"/>
          <w:sz w:val="32"/>
          <w:szCs w:val="32"/>
        </w:rPr>
        <w:t>（1）努力提升法律监督质量和效果，推动“四大检察”全面协调充分发展。加强革命化、正规化、专业化、职业化建设，努力打造一支让党放心，让人民群众满意的高素质检察队伍。</w:t>
      </w:r>
    </w:p>
    <w:p w:rsidR="00C026BE" w:rsidRPr="00DB197B" w:rsidRDefault="00A434D2">
      <w:pPr>
        <w:spacing w:line="560" w:lineRule="exact"/>
        <w:ind w:firstLineChars="200" w:firstLine="640"/>
        <w:rPr>
          <w:rFonts w:ascii="仿宋" w:eastAsia="仿宋" w:hAnsi="仿宋" w:cs="宋体"/>
          <w:color w:val="000000"/>
          <w:kern w:val="0"/>
          <w:sz w:val="32"/>
          <w:szCs w:val="32"/>
        </w:rPr>
      </w:pPr>
      <w:r w:rsidRPr="00DB197B">
        <w:rPr>
          <w:rFonts w:ascii="仿宋" w:eastAsia="仿宋" w:hAnsi="仿宋" w:cs="宋体" w:hint="eastAsia"/>
          <w:color w:val="000000"/>
          <w:kern w:val="0"/>
          <w:sz w:val="32"/>
          <w:szCs w:val="32"/>
        </w:rPr>
        <w:t>（2）更加紧密地团结在以习近平同志为核心的党中央周围，自觉落实好“看北京首先从政治上看”的要求，突出政治属性是检察机关第一属性，强化“红墙意识”。</w:t>
      </w:r>
    </w:p>
    <w:p w:rsidR="00C026BE" w:rsidRPr="00DB197B" w:rsidRDefault="00A434D2">
      <w:pPr>
        <w:spacing w:line="560" w:lineRule="exact"/>
        <w:ind w:firstLineChars="200" w:firstLine="640"/>
        <w:rPr>
          <w:rFonts w:ascii="仿宋" w:eastAsia="仿宋" w:hAnsi="仿宋" w:cs="宋体"/>
          <w:color w:val="000000"/>
          <w:kern w:val="0"/>
          <w:sz w:val="32"/>
          <w:szCs w:val="32"/>
        </w:rPr>
      </w:pPr>
      <w:r w:rsidRPr="00DB197B">
        <w:rPr>
          <w:rFonts w:ascii="仿宋" w:eastAsia="仿宋" w:hAnsi="仿宋" w:cs="宋体" w:hint="eastAsia"/>
          <w:color w:val="000000"/>
          <w:kern w:val="0"/>
          <w:sz w:val="32"/>
          <w:szCs w:val="32"/>
        </w:rPr>
        <w:t>（3）保障核心业务管理系统等应用系统和主机环境稳定运行，全院局域网稳定运行，确保核心数据安全，保障检察工作顺利开展。</w:t>
      </w:r>
    </w:p>
    <w:p w:rsidR="00C026BE" w:rsidRPr="00DB197B" w:rsidRDefault="00A434D2">
      <w:pPr>
        <w:spacing w:line="560" w:lineRule="exact"/>
        <w:ind w:firstLineChars="200" w:firstLine="640"/>
        <w:rPr>
          <w:rFonts w:ascii="仿宋" w:eastAsia="仿宋" w:hAnsi="仿宋" w:cs="宋体"/>
          <w:color w:val="000000"/>
          <w:kern w:val="0"/>
          <w:sz w:val="32"/>
          <w:szCs w:val="32"/>
        </w:rPr>
      </w:pPr>
      <w:r w:rsidRPr="00DB197B">
        <w:rPr>
          <w:rFonts w:ascii="仿宋" w:eastAsia="仿宋" w:hAnsi="仿宋" w:cs="宋体" w:hint="eastAsia"/>
          <w:color w:val="000000"/>
          <w:kern w:val="0"/>
          <w:sz w:val="32"/>
          <w:szCs w:val="32"/>
        </w:rPr>
        <w:t>（4）购置业务装备，保障履行检察职能所需检察业务技术装备、综合保障装备等。</w:t>
      </w:r>
    </w:p>
    <w:p w:rsidR="00C026BE" w:rsidRPr="00DB197B" w:rsidRDefault="00A434D2">
      <w:pPr>
        <w:spacing w:line="560" w:lineRule="exact"/>
        <w:ind w:firstLineChars="200" w:firstLine="640"/>
        <w:rPr>
          <w:rFonts w:ascii="仿宋" w:eastAsia="仿宋" w:hAnsi="仿宋" w:cs="宋体"/>
          <w:color w:val="000000"/>
          <w:kern w:val="0"/>
          <w:sz w:val="32"/>
          <w:szCs w:val="32"/>
        </w:rPr>
      </w:pPr>
      <w:r w:rsidRPr="00DB197B">
        <w:rPr>
          <w:rFonts w:ascii="仿宋" w:eastAsia="仿宋" w:hAnsi="仿宋" w:cs="宋体" w:hint="eastAsia"/>
          <w:color w:val="000000"/>
          <w:kern w:val="0"/>
          <w:sz w:val="32"/>
          <w:szCs w:val="32"/>
        </w:rPr>
        <w:t>（5）坚持维护国家安全和社会安宁，创造和谐稳定的社会环境。树牢总体国家安全观，依法打击危害国家安全和社会稳定的各类犯罪，维护核心区绝对安全。</w:t>
      </w:r>
    </w:p>
    <w:p w:rsidR="00C026BE" w:rsidRPr="00DB197B" w:rsidRDefault="00A434D2">
      <w:pPr>
        <w:spacing w:line="560" w:lineRule="exact"/>
        <w:ind w:firstLineChars="200" w:firstLine="640"/>
        <w:rPr>
          <w:rFonts w:ascii="仿宋" w:eastAsia="仿宋" w:hAnsi="仿宋" w:cs="宋体"/>
          <w:color w:val="000000"/>
          <w:kern w:val="0"/>
          <w:sz w:val="32"/>
          <w:szCs w:val="32"/>
        </w:rPr>
      </w:pPr>
      <w:r w:rsidRPr="00DB197B">
        <w:rPr>
          <w:rFonts w:ascii="仿宋" w:eastAsia="仿宋" w:hAnsi="仿宋" w:cs="宋体" w:hint="eastAsia"/>
          <w:color w:val="000000"/>
          <w:kern w:val="0"/>
          <w:sz w:val="32"/>
          <w:szCs w:val="32"/>
        </w:rPr>
        <w:t>（6）坚持服从和服务大局，服务保障经济社会高质量发展。聚焦“两区”建设、首都功能核心区“控规”实施等重要部署，强化检察服务保障，加速“崇文争先”。</w:t>
      </w:r>
    </w:p>
    <w:p w:rsidR="00C026BE" w:rsidRDefault="00A434D2">
      <w:pPr>
        <w:spacing w:line="560" w:lineRule="exact"/>
        <w:ind w:firstLineChars="200" w:firstLine="640"/>
        <w:rPr>
          <w:rFonts w:ascii="仿宋_GB2312" w:eastAsia="仿宋_GB2312" w:hAnsi="宋体" w:cs="宋体"/>
          <w:color w:val="000000"/>
          <w:kern w:val="0"/>
          <w:sz w:val="32"/>
          <w:szCs w:val="32"/>
        </w:rPr>
      </w:pPr>
      <w:r w:rsidRPr="00DB197B">
        <w:rPr>
          <w:rFonts w:ascii="仿宋" w:eastAsia="仿宋" w:hAnsi="仿宋" w:cs="宋体" w:hint="eastAsia"/>
          <w:color w:val="000000"/>
          <w:kern w:val="0"/>
          <w:sz w:val="32"/>
          <w:szCs w:val="32"/>
        </w:rPr>
        <w:t>（7）坚持以人民为中心，不断增强人民群众获得感幸</w:t>
      </w:r>
      <w:r w:rsidRPr="00DB197B">
        <w:rPr>
          <w:rFonts w:ascii="仿宋" w:eastAsia="仿宋" w:hAnsi="仿宋" w:cs="宋体" w:hint="eastAsia"/>
          <w:color w:val="000000"/>
          <w:kern w:val="0"/>
          <w:sz w:val="32"/>
          <w:szCs w:val="32"/>
        </w:rPr>
        <w:lastRenderedPageBreak/>
        <w:t>福感安全感。把保护人民生命财产安全摆在首位，严厉打击“盗抢骗”“黄赌毒”“危害食品药品安全”等发生在群众身边的犯罪。</w:t>
      </w:r>
    </w:p>
    <w:p w:rsidR="00C026BE" w:rsidRDefault="00A434D2">
      <w:pPr>
        <w:spacing w:line="560" w:lineRule="exact"/>
        <w:ind w:firstLineChars="200" w:firstLine="640"/>
        <w:outlineLvl w:val="0"/>
        <w:rPr>
          <w:rFonts w:ascii="黑体" w:eastAsia="黑体" w:hAnsi="黑体" w:cs="黑体"/>
          <w:kern w:val="0"/>
          <w:sz w:val="32"/>
          <w:szCs w:val="32"/>
        </w:rPr>
      </w:pPr>
      <w:bookmarkStart w:id="45" w:name="_Toc18691"/>
      <w:bookmarkStart w:id="46" w:name="_Toc31878"/>
      <w:bookmarkStart w:id="47" w:name="_Toc27229"/>
      <w:bookmarkStart w:id="48" w:name="_Toc13358"/>
      <w:bookmarkStart w:id="49" w:name="_Toc1658"/>
      <w:bookmarkStart w:id="50" w:name="_Toc25147"/>
      <w:bookmarkStart w:id="51" w:name="_Toc23499"/>
      <w:bookmarkStart w:id="52" w:name="_Toc2104"/>
      <w:bookmarkStart w:id="53" w:name="_Toc1675"/>
      <w:bookmarkStart w:id="54" w:name="_Toc5958"/>
      <w:bookmarkStart w:id="55" w:name="_Toc27115"/>
      <w:bookmarkStart w:id="56" w:name="_Toc23069"/>
      <w:r>
        <w:rPr>
          <w:rFonts w:ascii="黑体" w:eastAsia="黑体" w:hAnsi="黑体" w:cs="黑体" w:hint="eastAsia"/>
          <w:kern w:val="0"/>
          <w:sz w:val="32"/>
          <w:szCs w:val="32"/>
        </w:rPr>
        <w:t>二</w:t>
      </w:r>
      <w:r>
        <w:rPr>
          <w:rFonts w:ascii="黑体" w:eastAsia="黑体" w:hAnsi="黑体" w:cs="黑体"/>
          <w:kern w:val="0"/>
          <w:sz w:val="32"/>
          <w:szCs w:val="32"/>
        </w:rPr>
        <w:t>、</w:t>
      </w:r>
      <w:r>
        <w:rPr>
          <w:rFonts w:ascii="黑体" w:eastAsia="黑体" w:hAnsi="黑体" w:cs="黑体" w:hint="eastAsia"/>
          <w:kern w:val="0"/>
          <w:sz w:val="32"/>
          <w:szCs w:val="32"/>
        </w:rPr>
        <w:t>当年</w:t>
      </w:r>
      <w:r>
        <w:rPr>
          <w:rFonts w:ascii="黑体" w:eastAsia="黑体" w:hAnsi="黑体" w:cs="黑体"/>
          <w:kern w:val="0"/>
          <w:sz w:val="32"/>
          <w:szCs w:val="32"/>
        </w:rPr>
        <w:t>预算执行情况</w:t>
      </w:r>
      <w:bookmarkEnd w:id="45"/>
      <w:bookmarkEnd w:id="46"/>
      <w:bookmarkEnd w:id="47"/>
      <w:bookmarkEnd w:id="48"/>
      <w:bookmarkEnd w:id="49"/>
      <w:bookmarkEnd w:id="50"/>
      <w:bookmarkEnd w:id="51"/>
      <w:bookmarkEnd w:id="52"/>
      <w:bookmarkEnd w:id="53"/>
      <w:bookmarkEnd w:id="54"/>
      <w:bookmarkEnd w:id="55"/>
      <w:bookmarkEnd w:id="56"/>
    </w:p>
    <w:p w:rsidR="00C026BE" w:rsidRPr="00DB197B" w:rsidRDefault="00A434D2">
      <w:pPr>
        <w:snapToGrid w:val="0"/>
        <w:spacing w:line="560" w:lineRule="exact"/>
        <w:ind w:firstLineChars="200" w:firstLine="640"/>
        <w:rPr>
          <w:rFonts w:ascii="仿宋" w:eastAsia="仿宋" w:hAnsi="仿宋" w:cs="仿宋_GB2312"/>
          <w:sz w:val="32"/>
          <w:szCs w:val="32"/>
        </w:rPr>
      </w:pPr>
      <w:r w:rsidRPr="00DB197B">
        <w:rPr>
          <w:rFonts w:ascii="仿宋" w:eastAsia="仿宋" w:hAnsi="仿宋" w:cs="宋体" w:hint="eastAsia"/>
          <w:kern w:val="0"/>
          <w:sz w:val="32"/>
          <w:szCs w:val="32"/>
        </w:rPr>
        <w:t>2023</w:t>
      </w:r>
      <w:r w:rsidRPr="00DB197B">
        <w:rPr>
          <w:rFonts w:ascii="仿宋" w:eastAsia="仿宋" w:hAnsi="仿宋" w:cs="宋体" w:hint="eastAsia"/>
          <w:color w:val="000000"/>
          <w:kern w:val="0"/>
          <w:sz w:val="32"/>
          <w:szCs w:val="32"/>
        </w:rPr>
        <w:t>年</w:t>
      </w:r>
      <w:r w:rsidRPr="00DB197B">
        <w:rPr>
          <w:rFonts w:ascii="仿宋" w:eastAsia="仿宋" w:hAnsi="仿宋" w:cs="宋体"/>
          <w:color w:val="000000"/>
          <w:kern w:val="0"/>
          <w:sz w:val="32"/>
          <w:szCs w:val="32"/>
        </w:rPr>
        <w:t>全年</w:t>
      </w:r>
      <w:r w:rsidRPr="00DB197B">
        <w:rPr>
          <w:rFonts w:ascii="仿宋" w:eastAsia="仿宋" w:hAnsi="仿宋" w:cs="宋体" w:hint="eastAsia"/>
          <w:color w:val="000000"/>
          <w:kern w:val="0"/>
          <w:sz w:val="32"/>
          <w:szCs w:val="32"/>
        </w:rPr>
        <w:t>预算数11,279.73万元</w:t>
      </w:r>
      <w:r w:rsidRPr="00DB197B">
        <w:rPr>
          <w:rFonts w:ascii="仿宋" w:eastAsia="仿宋" w:hAnsi="仿宋" w:cs="宋体"/>
          <w:color w:val="000000"/>
          <w:kern w:val="0"/>
          <w:sz w:val="32"/>
          <w:szCs w:val="32"/>
        </w:rPr>
        <w:t>，</w:t>
      </w:r>
      <w:r w:rsidRPr="00DB197B">
        <w:rPr>
          <w:rFonts w:ascii="仿宋" w:eastAsia="仿宋" w:hAnsi="仿宋" w:cs="宋体" w:hint="eastAsia"/>
          <w:color w:val="000000"/>
          <w:kern w:val="0"/>
          <w:sz w:val="32"/>
          <w:szCs w:val="32"/>
        </w:rPr>
        <w:t>其中</w:t>
      </w:r>
      <w:r w:rsidRPr="00DB197B">
        <w:rPr>
          <w:rFonts w:ascii="仿宋" w:eastAsia="仿宋" w:hAnsi="仿宋" w:cs="宋体"/>
          <w:color w:val="000000"/>
          <w:kern w:val="0"/>
          <w:sz w:val="32"/>
          <w:szCs w:val="32"/>
        </w:rPr>
        <w:t>，基本</w:t>
      </w:r>
      <w:r w:rsidRPr="00DB197B">
        <w:rPr>
          <w:rFonts w:ascii="仿宋" w:eastAsia="仿宋" w:hAnsi="仿宋" w:cs="宋体" w:hint="eastAsia"/>
          <w:color w:val="000000"/>
          <w:kern w:val="0"/>
          <w:sz w:val="32"/>
          <w:szCs w:val="32"/>
        </w:rPr>
        <w:t>支出</w:t>
      </w:r>
      <w:r w:rsidRPr="00DB197B">
        <w:rPr>
          <w:rFonts w:ascii="仿宋" w:eastAsia="仿宋" w:hAnsi="仿宋" w:cs="宋体"/>
          <w:color w:val="000000"/>
          <w:kern w:val="0"/>
          <w:sz w:val="32"/>
          <w:szCs w:val="32"/>
        </w:rPr>
        <w:t>预算数</w:t>
      </w:r>
      <w:r w:rsidRPr="00DB197B">
        <w:rPr>
          <w:rFonts w:ascii="仿宋" w:eastAsia="仿宋" w:hAnsi="仿宋" w:cs="宋体" w:hint="eastAsia"/>
          <w:color w:val="000000"/>
          <w:kern w:val="0"/>
          <w:sz w:val="32"/>
          <w:szCs w:val="32"/>
        </w:rPr>
        <w:t>10,392.43</w:t>
      </w:r>
      <w:r w:rsidRPr="00DB197B">
        <w:rPr>
          <w:rFonts w:ascii="仿宋" w:eastAsia="仿宋" w:hAnsi="仿宋" w:cs="宋体"/>
          <w:color w:val="000000"/>
          <w:kern w:val="0"/>
          <w:sz w:val="32"/>
          <w:szCs w:val="32"/>
        </w:rPr>
        <w:t>万元，</w:t>
      </w:r>
      <w:r w:rsidRPr="00DB197B">
        <w:rPr>
          <w:rFonts w:ascii="仿宋" w:eastAsia="仿宋" w:hAnsi="仿宋" w:cs="宋体" w:hint="eastAsia"/>
          <w:color w:val="000000"/>
          <w:kern w:val="0"/>
          <w:sz w:val="32"/>
          <w:szCs w:val="32"/>
        </w:rPr>
        <w:t>项目支出预算数887.30</w:t>
      </w:r>
      <w:r w:rsidRPr="00DB197B">
        <w:rPr>
          <w:rFonts w:ascii="仿宋" w:eastAsia="仿宋" w:hAnsi="仿宋" w:cs="宋体"/>
          <w:color w:val="000000"/>
          <w:kern w:val="0"/>
          <w:sz w:val="32"/>
          <w:szCs w:val="32"/>
        </w:rPr>
        <w:t>万元</w:t>
      </w:r>
      <w:r w:rsidRPr="00DB197B">
        <w:rPr>
          <w:rFonts w:ascii="仿宋" w:eastAsia="仿宋" w:hAnsi="仿宋" w:cs="宋体" w:hint="eastAsia"/>
          <w:color w:val="000000"/>
          <w:kern w:val="0"/>
          <w:sz w:val="32"/>
          <w:szCs w:val="32"/>
        </w:rPr>
        <w:t>。</w:t>
      </w:r>
      <w:r w:rsidRPr="00DB197B">
        <w:rPr>
          <w:rFonts w:ascii="仿宋" w:eastAsia="仿宋" w:hAnsi="仿宋" w:cs="宋体"/>
          <w:color w:val="000000"/>
          <w:kern w:val="0"/>
          <w:sz w:val="32"/>
          <w:szCs w:val="32"/>
        </w:rPr>
        <w:t>资金总体</w:t>
      </w:r>
      <w:r w:rsidRPr="00DB197B">
        <w:rPr>
          <w:rFonts w:ascii="仿宋" w:eastAsia="仿宋" w:hAnsi="仿宋" w:cs="宋体" w:hint="eastAsia"/>
          <w:color w:val="000000"/>
          <w:kern w:val="0"/>
          <w:sz w:val="32"/>
          <w:szCs w:val="32"/>
        </w:rPr>
        <w:t>支出10,904.52</w:t>
      </w:r>
      <w:r w:rsidRPr="00DB197B">
        <w:rPr>
          <w:rFonts w:ascii="仿宋" w:eastAsia="仿宋" w:hAnsi="仿宋" w:cs="宋体"/>
          <w:color w:val="000000"/>
          <w:kern w:val="0"/>
          <w:sz w:val="32"/>
          <w:szCs w:val="32"/>
        </w:rPr>
        <w:t>万元，其中，基本支出</w:t>
      </w:r>
      <w:r w:rsidRPr="00DB197B">
        <w:rPr>
          <w:rFonts w:ascii="仿宋" w:eastAsia="仿宋" w:hAnsi="仿宋" w:cs="宋体" w:hint="eastAsia"/>
          <w:color w:val="000000"/>
          <w:kern w:val="0"/>
          <w:sz w:val="32"/>
          <w:szCs w:val="32"/>
        </w:rPr>
        <w:t>10,217.55</w:t>
      </w:r>
      <w:r w:rsidRPr="00DB197B">
        <w:rPr>
          <w:rFonts w:ascii="仿宋" w:eastAsia="仿宋" w:hAnsi="仿宋" w:cs="宋体"/>
          <w:color w:val="000000"/>
          <w:kern w:val="0"/>
          <w:sz w:val="32"/>
          <w:szCs w:val="32"/>
        </w:rPr>
        <w:t>万元，项目</w:t>
      </w:r>
      <w:r w:rsidRPr="00DB197B">
        <w:rPr>
          <w:rFonts w:ascii="仿宋" w:eastAsia="仿宋" w:hAnsi="仿宋" w:cs="宋体" w:hint="eastAsia"/>
          <w:color w:val="000000"/>
          <w:kern w:val="0"/>
          <w:sz w:val="32"/>
          <w:szCs w:val="32"/>
        </w:rPr>
        <w:t>支出686.97</w:t>
      </w:r>
      <w:r w:rsidRPr="00DB197B">
        <w:rPr>
          <w:rFonts w:ascii="仿宋" w:eastAsia="仿宋" w:hAnsi="仿宋" w:cs="宋体"/>
          <w:color w:val="000000"/>
          <w:kern w:val="0"/>
          <w:sz w:val="32"/>
          <w:szCs w:val="32"/>
        </w:rPr>
        <w:t>万元。</w:t>
      </w:r>
      <w:r w:rsidRPr="00DB197B">
        <w:rPr>
          <w:rFonts w:ascii="仿宋" w:eastAsia="仿宋" w:hAnsi="仿宋" w:cs="宋体" w:hint="eastAsia"/>
          <w:color w:val="000000"/>
          <w:kern w:val="0"/>
          <w:sz w:val="32"/>
          <w:szCs w:val="32"/>
        </w:rPr>
        <w:t>预算</w:t>
      </w:r>
      <w:r w:rsidRPr="00DB197B">
        <w:rPr>
          <w:rFonts w:ascii="仿宋" w:eastAsia="仿宋" w:hAnsi="仿宋" w:cs="宋体"/>
          <w:color w:val="000000"/>
          <w:kern w:val="0"/>
          <w:sz w:val="32"/>
          <w:szCs w:val="32"/>
        </w:rPr>
        <w:t>执行率为</w:t>
      </w:r>
      <w:r w:rsidRPr="00DB197B">
        <w:rPr>
          <w:rFonts w:ascii="仿宋" w:eastAsia="仿宋" w:hAnsi="仿宋" w:cs="宋体" w:hint="eastAsia"/>
          <w:color w:val="000000"/>
          <w:kern w:val="0"/>
          <w:sz w:val="32"/>
          <w:szCs w:val="32"/>
        </w:rPr>
        <w:t>96.67%</w:t>
      </w:r>
      <w:r w:rsidRPr="00DB197B">
        <w:rPr>
          <w:rFonts w:ascii="仿宋" w:eastAsia="仿宋" w:hAnsi="仿宋" w:cs="仿宋_GB2312" w:hint="eastAsia"/>
          <w:sz w:val="32"/>
          <w:szCs w:val="32"/>
        </w:rPr>
        <w:t>。</w:t>
      </w:r>
    </w:p>
    <w:p w:rsidR="00C026BE" w:rsidRDefault="00A434D2">
      <w:pPr>
        <w:spacing w:line="560" w:lineRule="exact"/>
        <w:ind w:firstLineChars="200" w:firstLine="640"/>
        <w:outlineLvl w:val="0"/>
        <w:rPr>
          <w:rFonts w:ascii="黑体" w:eastAsia="黑体" w:hAnsi="黑体" w:cs="黑体"/>
          <w:kern w:val="0"/>
          <w:sz w:val="32"/>
          <w:szCs w:val="32"/>
        </w:rPr>
      </w:pPr>
      <w:bookmarkStart w:id="57" w:name="_Toc19479"/>
      <w:bookmarkStart w:id="58" w:name="_Toc20857"/>
      <w:bookmarkStart w:id="59" w:name="_Toc32764"/>
      <w:bookmarkStart w:id="60" w:name="_Toc19486"/>
      <w:bookmarkStart w:id="61" w:name="_Toc21"/>
      <w:bookmarkStart w:id="62" w:name="_Toc31688"/>
      <w:bookmarkStart w:id="63" w:name="_Toc1967"/>
      <w:bookmarkStart w:id="64" w:name="_Toc2210"/>
      <w:bookmarkStart w:id="65" w:name="_Toc9065"/>
      <w:bookmarkStart w:id="66" w:name="_Toc29416"/>
      <w:bookmarkStart w:id="67" w:name="_Toc10361"/>
      <w:bookmarkStart w:id="68" w:name="_Toc25383"/>
      <w:r>
        <w:rPr>
          <w:rFonts w:ascii="黑体" w:eastAsia="黑体" w:hAnsi="黑体" w:cs="黑体" w:hint="eastAsia"/>
          <w:kern w:val="0"/>
          <w:sz w:val="32"/>
          <w:szCs w:val="32"/>
        </w:rPr>
        <w:t>三</w:t>
      </w:r>
      <w:r>
        <w:rPr>
          <w:rFonts w:ascii="黑体" w:eastAsia="黑体" w:hAnsi="黑体" w:cs="黑体"/>
          <w:kern w:val="0"/>
          <w:sz w:val="32"/>
          <w:szCs w:val="32"/>
        </w:rPr>
        <w:t>、整体绩效目标实现情况</w:t>
      </w:r>
      <w:bookmarkEnd w:id="57"/>
      <w:bookmarkEnd w:id="58"/>
      <w:bookmarkEnd w:id="59"/>
      <w:bookmarkEnd w:id="60"/>
      <w:bookmarkEnd w:id="61"/>
      <w:bookmarkEnd w:id="62"/>
      <w:bookmarkEnd w:id="63"/>
      <w:bookmarkEnd w:id="64"/>
      <w:bookmarkEnd w:id="65"/>
      <w:bookmarkEnd w:id="66"/>
      <w:bookmarkEnd w:id="67"/>
      <w:bookmarkEnd w:id="68"/>
    </w:p>
    <w:p w:rsidR="00C026BE" w:rsidRDefault="00A434D2">
      <w:pPr>
        <w:spacing w:line="560" w:lineRule="exact"/>
        <w:ind w:firstLineChars="200" w:firstLine="643"/>
        <w:outlineLvl w:val="1"/>
        <w:rPr>
          <w:rFonts w:ascii="楷体_GB2312" w:eastAsia="楷体_GB2312" w:hAnsi="Calibri"/>
          <w:b/>
          <w:bCs/>
          <w:sz w:val="32"/>
          <w:szCs w:val="32"/>
        </w:rPr>
      </w:pPr>
      <w:bookmarkStart w:id="69" w:name="_Toc4642"/>
      <w:bookmarkStart w:id="70" w:name="_Toc20792"/>
      <w:bookmarkStart w:id="71" w:name="_Toc1282"/>
      <w:bookmarkStart w:id="72" w:name="_Toc28523"/>
      <w:bookmarkStart w:id="73" w:name="_Toc18881"/>
      <w:bookmarkStart w:id="74" w:name="_Toc20705"/>
      <w:bookmarkStart w:id="75" w:name="_Toc18477"/>
      <w:bookmarkStart w:id="76" w:name="_Toc18346"/>
      <w:bookmarkStart w:id="77" w:name="_Toc18308"/>
      <w:bookmarkStart w:id="78" w:name="_Toc21096"/>
      <w:bookmarkStart w:id="79" w:name="_Toc15925"/>
      <w:bookmarkStart w:id="80" w:name="_Toc118"/>
      <w:r>
        <w:rPr>
          <w:rFonts w:ascii="楷体_GB2312" w:eastAsia="楷体_GB2312" w:hAnsi="Calibri" w:hint="eastAsia"/>
          <w:b/>
          <w:bCs/>
          <w:sz w:val="32"/>
          <w:szCs w:val="32"/>
        </w:rPr>
        <w:t>（一）产出完成情况分析</w:t>
      </w:r>
      <w:bookmarkEnd w:id="69"/>
      <w:bookmarkEnd w:id="70"/>
      <w:bookmarkEnd w:id="71"/>
      <w:bookmarkEnd w:id="72"/>
      <w:bookmarkEnd w:id="73"/>
      <w:bookmarkEnd w:id="74"/>
      <w:bookmarkEnd w:id="75"/>
      <w:bookmarkEnd w:id="76"/>
      <w:bookmarkEnd w:id="77"/>
      <w:bookmarkEnd w:id="78"/>
      <w:bookmarkEnd w:id="79"/>
      <w:bookmarkEnd w:id="80"/>
    </w:p>
    <w:p w:rsidR="00C026BE" w:rsidRPr="007F65CC" w:rsidRDefault="00A434D2" w:rsidP="007F65CC">
      <w:pPr>
        <w:pStyle w:val="a5"/>
        <w:spacing w:line="560" w:lineRule="exact"/>
        <w:ind w:firstLine="643"/>
        <w:outlineLvl w:val="2"/>
        <w:rPr>
          <w:rFonts w:ascii="仿宋" w:eastAsia="仿宋" w:hAnsi="仿宋" w:cs="宋体"/>
          <w:b/>
          <w:bCs/>
          <w:kern w:val="0"/>
          <w:sz w:val="32"/>
          <w:szCs w:val="32"/>
        </w:rPr>
      </w:pPr>
      <w:bookmarkStart w:id="81" w:name="_Toc11047"/>
      <w:bookmarkStart w:id="82" w:name="_Toc12754"/>
      <w:r w:rsidRPr="007F65CC">
        <w:rPr>
          <w:rFonts w:ascii="仿宋" w:eastAsia="仿宋" w:hAnsi="仿宋" w:cs="宋体" w:hint="eastAsia"/>
          <w:b/>
          <w:bCs/>
          <w:kern w:val="0"/>
          <w:sz w:val="32"/>
          <w:szCs w:val="32"/>
        </w:rPr>
        <w:t>1.产出数量</w:t>
      </w:r>
      <w:bookmarkEnd w:id="81"/>
      <w:bookmarkEnd w:id="82"/>
    </w:p>
    <w:p w:rsidR="00C026BE" w:rsidRPr="007F65CC" w:rsidRDefault="00A434D2">
      <w:pPr>
        <w:snapToGrid w:val="0"/>
        <w:spacing w:line="560" w:lineRule="exact"/>
        <w:ind w:firstLineChars="200" w:firstLine="640"/>
        <w:rPr>
          <w:rFonts w:ascii="仿宋" w:eastAsia="仿宋" w:hAnsi="仿宋" w:cs="仿宋_GB2312"/>
          <w:sz w:val="32"/>
          <w:szCs w:val="32"/>
        </w:rPr>
      </w:pPr>
      <w:r w:rsidRPr="007F65CC">
        <w:rPr>
          <w:rFonts w:ascii="仿宋" w:eastAsia="仿宋" w:hAnsi="仿宋" w:cs="仿宋_GB2312" w:hint="eastAsia"/>
          <w:sz w:val="32"/>
          <w:szCs w:val="32"/>
        </w:rPr>
        <w:t>（1）</w:t>
      </w:r>
      <w:r w:rsidRPr="007F65CC">
        <w:rPr>
          <w:rFonts w:ascii="仿宋" w:eastAsia="仿宋" w:hAnsi="仿宋" w:cs="仿宋_GB2312" w:hint="eastAsia"/>
          <w:color w:val="000000"/>
          <w:kern w:val="0"/>
          <w:sz w:val="32"/>
          <w:szCs w:val="32"/>
        </w:rPr>
        <w:t>2023年，</w:t>
      </w:r>
      <w:r w:rsidRPr="007F65CC">
        <w:rPr>
          <w:rFonts w:ascii="仿宋" w:eastAsia="仿宋" w:hAnsi="仿宋" w:cs="仿宋_GB2312" w:hint="eastAsia"/>
          <w:sz w:val="32"/>
          <w:szCs w:val="32"/>
        </w:rPr>
        <w:t>坚持总体国家安全观，以做实“靖”字文章为统领，依法严厉打击各类刑事犯罪，受理审查逮捕、审查起诉2069件2620人，案件量同比上升50.7%。开展数据质量审核130次，对2000余件案件开展流程监控，检察权运行制约监督机制不断完善。</w:t>
      </w:r>
    </w:p>
    <w:p w:rsidR="00C026BE" w:rsidRPr="007F65CC" w:rsidRDefault="00A434D2">
      <w:pPr>
        <w:snapToGrid w:val="0"/>
        <w:spacing w:line="560" w:lineRule="exact"/>
        <w:ind w:firstLineChars="200" w:firstLine="640"/>
        <w:rPr>
          <w:rFonts w:ascii="仿宋" w:eastAsia="仿宋" w:hAnsi="仿宋" w:cs="仿宋_GB2312"/>
          <w:color w:val="000000"/>
          <w:kern w:val="0"/>
          <w:sz w:val="32"/>
          <w:szCs w:val="32"/>
        </w:rPr>
      </w:pPr>
      <w:r w:rsidRPr="007F65CC">
        <w:rPr>
          <w:rFonts w:ascii="仿宋" w:eastAsia="仿宋" w:hAnsi="仿宋" w:cs="仿宋_GB2312" w:hint="eastAsia"/>
          <w:color w:val="000000"/>
          <w:kern w:val="0"/>
          <w:sz w:val="32"/>
          <w:szCs w:val="32"/>
        </w:rPr>
        <w:t>（2）</w:t>
      </w:r>
      <w:r w:rsidRPr="007F65CC">
        <w:rPr>
          <w:rFonts w:ascii="仿宋" w:eastAsia="仿宋" w:hAnsi="仿宋" w:cs="仿宋_GB2312" w:hint="eastAsia"/>
          <w:kern w:val="0"/>
          <w:sz w:val="32"/>
          <w:szCs w:val="32"/>
        </w:rPr>
        <w:t>为了保证新媒体</w:t>
      </w:r>
      <w:r w:rsidRPr="007F65CC">
        <w:rPr>
          <w:rFonts w:ascii="仿宋" w:eastAsia="仿宋" w:hAnsi="仿宋" w:cs="仿宋_GB2312" w:hint="eastAsia"/>
          <w:color w:val="000000"/>
          <w:kern w:val="0"/>
          <w:sz w:val="32"/>
          <w:szCs w:val="32"/>
        </w:rPr>
        <w:t>法制宣传、检务公开、政策理论研究等相关检察工作开展，外聘新媒体宣传人员2人。</w:t>
      </w:r>
      <w:r w:rsidRPr="007F65CC">
        <w:rPr>
          <w:rFonts w:ascii="仿宋" w:eastAsia="仿宋" w:hAnsi="仿宋" w:cs="仿宋_GB2312" w:hint="eastAsia"/>
          <w:sz w:val="32"/>
          <w:szCs w:val="32"/>
        </w:rPr>
        <w:t>讲好检察故事，推出742个原创检察宣传产品，数字检察等亮点工作获中央、市级传统媒体报道53次，《借条的背后》等微视频作品获学习强国、央视频等新媒体报道35次，2部作品分获第十届亚洲微电影艺术节纪实影像（纪录片）单元优秀作品、好作品奖。</w:t>
      </w:r>
    </w:p>
    <w:p w:rsidR="00C026BE" w:rsidRPr="007F65CC" w:rsidRDefault="00A434D2">
      <w:pPr>
        <w:snapToGrid w:val="0"/>
        <w:spacing w:line="560" w:lineRule="exact"/>
        <w:ind w:firstLineChars="200" w:firstLine="640"/>
        <w:rPr>
          <w:rFonts w:ascii="仿宋" w:eastAsia="仿宋" w:hAnsi="仿宋" w:cs="仿宋_GB2312"/>
          <w:color w:val="000000"/>
          <w:kern w:val="0"/>
          <w:sz w:val="32"/>
          <w:szCs w:val="32"/>
        </w:rPr>
      </w:pPr>
      <w:r w:rsidRPr="007F65CC">
        <w:rPr>
          <w:rFonts w:ascii="仿宋" w:eastAsia="仿宋" w:hAnsi="仿宋" w:cs="仿宋_GB2312" w:hint="eastAsia"/>
          <w:color w:val="000000"/>
          <w:kern w:val="0"/>
          <w:sz w:val="32"/>
          <w:szCs w:val="32"/>
        </w:rPr>
        <w:t>（3）</w:t>
      </w:r>
      <w:r w:rsidRPr="007F65CC">
        <w:rPr>
          <w:rFonts w:ascii="仿宋" w:eastAsia="仿宋" w:hAnsi="仿宋" w:cs="仿宋_GB2312" w:hint="eastAsia"/>
          <w:sz w:val="32"/>
          <w:szCs w:val="32"/>
        </w:rPr>
        <w:t>组织开展“百日攻坚”，履职效能不断增强，数</w:t>
      </w:r>
      <w:r w:rsidRPr="007F65CC">
        <w:rPr>
          <w:rFonts w:ascii="仿宋" w:eastAsia="仿宋" w:hAnsi="仿宋" w:cs="仿宋_GB2312" w:hint="eastAsia"/>
          <w:sz w:val="32"/>
          <w:szCs w:val="32"/>
        </w:rPr>
        <w:lastRenderedPageBreak/>
        <w:t>字检察对监督线索发现、监督案件办理的贡献率分别为74.3%、62.2%，带动全年办理各类案件6791件，同比上升72.1%。其中，民事检察同比上升1.3倍，行政检察同比上升1.9倍，公益诉讼检察同比上升1.5倍。</w:t>
      </w:r>
      <w:r w:rsidRPr="007F65CC">
        <w:rPr>
          <w:rFonts w:ascii="仿宋" w:eastAsia="仿宋" w:hAnsi="仿宋" w:cs="仿宋_GB2312" w:hint="eastAsia"/>
          <w:color w:val="000000"/>
          <w:kern w:val="0"/>
          <w:sz w:val="32"/>
          <w:szCs w:val="32"/>
        </w:rPr>
        <w:t>为了确保本院办案场所、办案人员的安全，保障检察业务工作的顺利开展，外聘安检安保人员23人，轮班工作时间为24小时。</w:t>
      </w:r>
    </w:p>
    <w:p w:rsidR="00C026BE" w:rsidRPr="007F65CC" w:rsidRDefault="00A434D2">
      <w:pPr>
        <w:snapToGrid w:val="0"/>
        <w:spacing w:line="560" w:lineRule="exact"/>
        <w:ind w:firstLineChars="200" w:firstLine="640"/>
        <w:rPr>
          <w:rFonts w:ascii="仿宋" w:eastAsia="仿宋" w:hAnsi="仿宋" w:cs="仿宋_GB2312"/>
          <w:color w:val="000000"/>
          <w:kern w:val="0"/>
          <w:sz w:val="32"/>
          <w:szCs w:val="32"/>
        </w:rPr>
      </w:pPr>
      <w:r w:rsidRPr="007F65CC">
        <w:rPr>
          <w:rFonts w:ascii="仿宋" w:eastAsia="仿宋" w:hAnsi="仿宋" w:cs="仿宋_GB2312" w:hint="eastAsia"/>
          <w:color w:val="000000"/>
          <w:kern w:val="0"/>
          <w:sz w:val="32"/>
          <w:szCs w:val="32"/>
        </w:rPr>
        <w:t>（4）为了实现全预算绩效管理要求，提高财政资金使用效益，通过委托中介机构进行项目预算评审、会计服务、审计服务、内部控制咨询服务、绩效评价咨询服务等工作，完成项目绩效评价7项。</w:t>
      </w:r>
    </w:p>
    <w:p w:rsidR="003A13DB" w:rsidRPr="007F65CC" w:rsidRDefault="00A434D2">
      <w:pPr>
        <w:snapToGrid w:val="0"/>
        <w:spacing w:line="560" w:lineRule="exact"/>
        <w:ind w:firstLineChars="200" w:firstLine="640"/>
        <w:rPr>
          <w:rFonts w:ascii="仿宋" w:eastAsia="仿宋" w:hAnsi="仿宋" w:cs="仿宋_GB2312"/>
          <w:color w:val="000000"/>
          <w:kern w:val="0"/>
          <w:sz w:val="32"/>
          <w:szCs w:val="32"/>
        </w:rPr>
      </w:pPr>
      <w:r w:rsidRPr="007F65CC">
        <w:rPr>
          <w:rFonts w:ascii="仿宋" w:eastAsia="仿宋" w:hAnsi="仿宋" w:cs="仿宋_GB2312" w:hint="eastAsia"/>
          <w:color w:val="000000"/>
          <w:kern w:val="0"/>
          <w:sz w:val="32"/>
          <w:szCs w:val="32"/>
        </w:rPr>
        <w:t>（5）为了保障履行检察职能所需检察业务技术装备、综合保障装备，购置了职务犯罪侦查设备1套、</w:t>
      </w:r>
      <w:r w:rsidR="003A13DB" w:rsidRPr="007F65CC">
        <w:rPr>
          <w:rFonts w:ascii="仿宋" w:eastAsia="仿宋" w:hAnsi="仿宋" w:cs="仿宋_GB2312" w:hint="eastAsia"/>
          <w:color w:val="000000"/>
          <w:kern w:val="0"/>
          <w:sz w:val="32"/>
          <w:szCs w:val="32"/>
        </w:rPr>
        <w:t>业务视频会议系统设备1套，驻所检察室视频监控录像存储设备升级等。</w:t>
      </w:r>
    </w:p>
    <w:p w:rsidR="00C026BE" w:rsidRPr="007F65CC" w:rsidRDefault="00A434D2">
      <w:pPr>
        <w:snapToGrid w:val="0"/>
        <w:spacing w:line="560" w:lineRule="exact"/>
        <w:ind w:firstLineChars="200" w:firstLine="640"/>
        <w:rPr>
          <w:rFonts w:ascii="仿宋" w:eastAsia="仿宋" w:hAnsi="仿宋" w:cs="仿宋_GB2312"/>
          <w:color w:val="000000"/>
          <w:kern w:val="0"/>
          <w:sz w:val="32"/>
          <w:szCs w:val="32"/>
        </w:rPr>
      </w:pPr>
      <w:r w:rsidRPr="007F65CC">
        <w:rPr>
          <w:rFonts w:ascii="仿宋" w:eastAsia="仿宋" w:hAnsi="仿宋" w:cs="仿宋_GB2312" w:hint="eastAsia"/>
          <w:color w:val="000000"/>
          <w:kern w:val="0"/>
          <w:sz w:val="32"/>
          <w:szCs w:val="32"/>
        </w:rPr>
        <w:t>（6）为了实现东城区检察院计算机外网系统、大要案指挥中心、图书馆系统等接入互联网宽带工作，保障信息化建设顺利进行，促进检察各项工作的高效发展，接入60Mbps带宽。</w:t>
      </w:r>
      <w:r w:rsidRPr="007F65CC">
        <w:rPr>
          <w:rFonts w:ascii="仿宋" w:eastAsia="仿宋" w:hAnsi="仿宋" w:cs="仿宋_GB2312" w:hint="eastAsia"/>
          <w:sz w:val="32"/>
          <w:szCs w:val="32"/>
        </w:rPr>
        <w:t>坚持“建用并举、以用为主”，自主研发9个大数据监督模型，应用场景覆盖“四大检察”；从全市认证的287个大数据监督模型中选用符合区情的36个重点推进“落地查案”。</w:t>
      </w:r>
    </w:p>
    <w:p w:rsidR="00C026BE" w:rsidRPr="007F65CC" w:rsidRDefault="00A434D2">
      <w:pPr>
        <w:snapToGrid w:val="0"/>
        <w:spacing w:line="560" w:lineRule="exact"/>
        <w:ind w:firstLineChars="200" w:firstLine="640"/>
        <w:rPr>
          <w:rFonts w:ascii="仿宋" w:eastAsia="仿宋" w:hAnsi="仿宋" w:cs="仿宋_GB2312"/>
          <w:sz w:val="32"/>
          <w:szCs w:val="32"/>
        </w:rPr>
      </w:pPr>
      <w:r w:rsidRPr="007F65CC">
        <w:rPr>
          <w:rFonts w:ascii="仿宋" w:eastAsia="仿宋" w:hAnsi="仿宋" w:cs="仿宋_GB2312" w:hint="eastAsia"/>
          <w:color w:val="000000"/>
          <w:kern w:val="0"/>
          <w:sz w:val="32"/>
          <w:szCs w:val="32"/>
        </w:rPr>
        <w:t>（7）为了保障核心业务管理系统、首都检察网东城分主页的应用系统和主机环境稳定运行，全院局域网稳定运行，委托网络运维公司派驻网络信息运维常驻技术人员3人，网络信息运维硬件1065台，接入局维护线路572条，弱电维</w:t>
      </w:r>
      <w:r w:rsidRPr="007F65CC">
        <w:rPr>
          <w:rFonts w:ascii="仿宋" w:eastAsia="仿宋" w:hAnsi="仿宋" w:cs="仿宋_GB2312" w:hint="eastAsia"/>
          <w:color w:val="000000"/>
          <w:kern w:val="0"/>
          <w:sz w:val="32"/>
          <w:szCs w:val="32"/>
        </w:rPr>
        <w:lastRenderedPageBreak/>
        <w:t>保系统14套，保障了检务工作顺利开展与接入局线路的正常运行。</w:t>
      </w:r>
    </w:p>
    <w:p w:rsidR="00C026BE" w:rsidRPr="007F65CC" w:rsidRDefault="00A434D2" w:rsidP="007F65CC">
      <w:pPr>
        <w:pStyle w:val="a5"/>
        <w:spacing w:line="560" w:lineRule="exact"/>
        <w:ind w:firstLine="643"/>
        <w:outlineLvl w:val="2"/>
        <w:rPr>
          <w:rFonts w:ascii="仿宋" w:eastAsia="仿宋" w:hAnsi="仿宋" w:cs="宋体"/>
          <w:b/>
          <w:bCs/>
          <w:kern w:val="0"/>
          <w:sz w:val="32"/>
          <w:szCs w:val="32"/>
        </w:rPr>
      </w:pPr>
      <w:bookmarkStart w:id="83" w:name="_Toc24013"/>
      <w:bookmarkStart w:id="84" w:name="_Toc22991"/>
      <w:r w:rsidRPr="007F65CC">
        <w:rPr>
          <w:rFonts w:ascii="仿宋" w:eastAsia="仿宋" w:hAnsi="仿宋" w:cs="宋体" w:hint="eastAsia"/>
          <w:b/>
          <w:bCs/>
          <w:kern w:val="0"/>
          <w:sz w:val="32"/>
          <w:szCs w:val="32"/>
        </w:rPr>
        <w:t>2.产出质量</w:t>
      </w:r>
      <w:bookmarkEnd w:id="83"/>
      <w:bookmarkEnd w:id="84"/>
    </w:p>
    <w:p w:rsidR="00C026BE" w:rsidRPr="007F65CC" w:rsidRDefault="00A434D2">
      <w:pPr>
        <w:numPr>
          <w:ilvl w:val="255"/>
          <w:numId w:val="0"/>
        </w:numPr>
        <w:snapToGrid w:val="0"/>
        <w:spacing w:line="560" w:lineRule="exact"/>
        <w:ind w:firstLineChars="200" w:firstLine="640"/>
        <w:rPr>
          <w:rFonts w:ascii="仿宋" w:eastAsia="仿宋" w:hAnsi="仿宋" w:cs="仿宋_GB2312"/>
          <w:color w:val="000000"/>
          <w:kern w:val="0"/>
          <w:sz w:val="32"/>
          <w:szCs w:val="32"/>
        </w:rPr>
      </w:pPr>
      <w:r w:rsidRPr="007F65CC">
        <w:rPr>
          <w:rFonts w:ascii="仿宋" w:eastAsia="仿宋" w:hAnsi="仿宋" w:cs="仿宋_GB2312" w:hint="eastAsia"/>
          <w:sz w:val="32"/>
          <w:szCs w:val="32"/>
        </w:rPr>
        <w:t>（1）办案业务费</w:t>
      </w:r>
      <w:r w:rsidRPr="007F65CC">
        <w:rPr>
          <w:rFonts w:ascii="仿宋" w:eastAsia="仿宋" w:hAnsi="仿宋" w:cs="仿宋_GB2312" w:hint="eastAsia"/>
          <w:color w:val="000000"/>
          <w:kern w:val="0"/>
          <w:sz w:val="32"/>
          <w:szCs w:val="32"/>
        </w:rPr>
        <w:t>维护了司法公正公信，积极推进了公益诉讼，维护了社会公共利益。保障了检察院依法履行检察职能，保证了各项检察业务工作顺利进行。</w:t>
      </w:r>
      <w:r w:rsidRPr="007F65CC">
        <w:rPr>
          <w:rFonts w:ascii="仿宋" w:eastAsia="仿宋" w:hAnsi="仿宋" w:cs="仿宋_GB2312" w:hint="eastAsia"/>
          <w:sz w:val="32"/>
          <w:szCs w:val="32"/>
        </w:rPr>
        <w:t>唯干唯实推动发展，以检察履职实绩检验主题教育成效，全年9个案例入选最高人民检察院典型案例、1份文书入选全国检察机关“优秀刑事检察文书”，11个案件、8份文书获评市级荣誉。</w:t>
      </w:r>
    </w:p>
    <w:p w:rsidR="00C026BE" w:rsidRPr="007F65CC" w:rsidRDefault="00A434D2">
      <w:pPr>
        <w:numPr>
          <w:ilvl w:val="255"/>
          <w:numId w:val="0"/>
        </w:numPr>
        <w:snapToGrid w:val="0"/>
        <w:spacing w:line="560" w:lineRule="exact"/>
        <w:ind w:firstLineChars="200" w:firstLine="640"/>
        <w:rPr>
          <w:rFonts w:ascii="仿宋" w:eastAsia="仿宋" w:hAnsi="仿宋" w:cs="仿宋_GB2312"/>
          <w:color w:val="000000"/>
          <w:kern w:val="0"/>
          <w:sz w:val="32"/>
          <w:szCs w:val="32"/>
        </w:rPr>
      </w:pPr>
      <w:r w:rsidRPr="007F65CC">
        <w:rPr>
          <w:rFonts w:ascii="仿宋" w:eastAsia="仿宋" w:hAnsi="仿宋" w:cs="仿宋_GB2312" w:hint="eastAsia"/>
          <w:color w:val="000000"/>
          <w:kern w:val="0"/>
          <w:sz w:val="32"/>
          <w:szCs w:val="32"/>
        </w:rPr>
        <w:t>（2）检察工作经费保障了新闻宣传平台搭建、法制宣传片制作、三微一端一平台建设及维护，专题片、微电影、微动漫拍摄制作等业务需求。</w:t>
      </w:r>
      <w:r w:rsidRPr="007F65CC">
        <w:rPr>
          <w:rFonts w:ascii="仿宋" w:eastAsia="仿宋" w:hAnsi="仿宋" w:cs="仿宋_GB2312" w:hint="eastAsia"/>
          <w:sz w:val="32"/>
          <w:szCs w:val="32"/>
        </w:rPr>
        <w:t>激活“沉睡数字资源”，运用“公益诉讼智能分析研判平台”，对12345市民热线反映问题进行筛查，靶向工地渣土遗撒等热点投诉问题，制发诉前检察建议督促整改，取得良好成效。</w:t>
      </w:r>
    </w:p>
    <w:p w:rsidR="00C026BE" w:rsidRPr="007F65CC" w:rsidRDefault="00A434D2">
      <w:pPr>
        <w:numPr>
          <w:ilvl w:val="255"/>
          <w:numId w:val="0"/>
        </w:numPr>
        <w:snapToGrid w:val="0"/>
        <w:spacing w:line="560" w:lineRule="exact"/>
        <w:ind w:firstLineChars="200" w:firstLine="640"/>
        <w:rPr>
          <w:rFonts w:ascii="仿宋" w:eastAsia="仿宋" w:hAnsi="仿宋" w:cs="宋体"/>
          <w:color w:val="000000"/>
          <w:kern w:val="0"/>
          <w:sz w:val="32"/>
          <w:szCs w:val="32"/>
        </w:rPr>
      </w:pPr>
      <w:r w:rsidRPr="007F65CC">
        <w:rPr>
          <w:rFonts w:ascii="仿宋" w:eastAsia="仿宋" w:hAnsi="仿宋" w:cs="宋体" w:hint="eastAsia"/>
          <w:color w:val="000000"/>
          <w:kern w:val="0"/>
          <w:sz w:val="32"/>
          <w:szCs w:val="32"/>
        </w:rPr>
        <w:t>（3）安检安保工作在案管中心、检务接待中心、监控室等办案场所配置专业安检人员，治安、消防、突发事件处理能力较好，保障检察业务工作的顺利开展。有效降低了各类风险发生的概率。</w:t>
      </w:r>
    </w:p>
    <w:p w:rsidR="00C026BE" w:rsidRPr="007F65CC" w:rsidRDefault="00A434D2">
      <w:pPr>
        <w:numPr>
          <w:ilvl w:val="255"/>
          <w:numId w:val="0"/>
        </w:numPr>
        <w:snapToGrid w:val="0"/>
        <w:spacing w:line="560" w:lineRule="exact"/>
        <w:ind w:firstLineChars="200" w:firstLine="640"/>
        <w:rPr>
          <w:rFonts w:ascii="仿宋" w:eastAsia="仿宋" w:hAnsi="仿宋" w:cs="宋体"/>
          <w:color w:val="000000"/>
          <w:kern w:val="0"/>
          <w:sz w:val="32"/>
          <w:szCs w:val="32"/>
        </w:rPr>
      </w:pPr>
      <w:r w:rsidRPr="007F65CC">
        <w:rPr>
          <w:rFonts w:ascii="仿宋" w:eastAsia="仿宋" w:hAnsi="仿宋" w:cs="宋体" w:hint="eastAsia"/>
          <w:color w:val="000000"/>
          <w:kern w:val="0"/>
          <w:sz w:val="32"/>
          <w:szCs w:val="32"/>
        </w:rPr>
        <w:t>（4）绩效评审咨询服务提高财政资金使用效益、保障经费运行安全，促进单位内部控制，充分发挥内部审计免疫和防范作用。</w:t>
      </w:r>
    </w:p>
    <w:p w:rsidR="00C026BE" w:rsidRPr="007F65CC" w:rsidRDefault="00A434D2">
      <w:pPr>
        <w:numPr>
          <w:ilvl w:val="255"/>
          <w:numId w:val="0"/>
        </w:numPr>
        <w:snapToGrid w:val="0"/>
        <w:spacing w:line="560" w:lineRule="exact"/>
        <w:ind w:firstLineChars="200" w:firstLine="640"/>
        <w:rPr>
          <w:rFonts w:ascii="仿宋" w:eastAsia="仿宋" w:hAnsi="仿宋" w:cs="宋体"/>
          <w:color w:val="000000"/>
          <w:kern w:val="0"/>
          <w:sz w:val="32"/>
          <w:szCs w:val="32"/>
        </w:rPr>
      </w:pPr>
      <w:r w:rsidRPr="007F65CC">
        <w:rPr>
          <w:rFonts w:ascii="仿宋" w:eastAsia="仿宋" w:hAnsi="仿宋" w:cs="宋体" w:hint="eastAsia"/>
          <w:color w:val="000000"/>
          <w:kern w:val="0"/>
          <w:sz w:val="32"/>
          <w:szCs w:val="32"/>
        </w:rPr>
        <w:t>（5）业务装备费项目通过购置履行检察职能所需检察业务技术装备、综合保障装备等，保障东城区检察院履行检</w:t>
      </w:r>
      <w:r w:rsidRPr="007F65CC">
        <w:rPr>
          <w:rFonts w:ascii="仿宋" w:eastAsia="仿宋" w:hAnsi="仿宋" w:cs="宋体" w:hint="eastAsia"/>
          <w:color w:val="000000"/>
          <w:kern w:val="0"/>
          <w:sz w:val="32"/>
          <w:szCs w:val="32"/>
        </w:rPr>
        <w:lastRenderedPageBreak/>
        <w:t>察职能。通过接入互联网，实现了东城区检察院计算机外网系统、大要案指挥中心、图书馆系统等接入互联网宽带工作，保障了东城区检察院对信息化不断增长的需求，保障检务公开，加强了检察机关与外界沟通交流，为检察工作提供强有力的网络平台，改善干警办公、办案条件，保证了东城区检察院信息化建设顺利进行，促进了检察各项工作的高效发展。</w:t>
      </w:r>
    </w:p>
    <w:p w:rsidR="00C026BE" w:rsidRPr="007F65CC" w:rsidRDefault="00A434D2">
      <w:pPr>
        <w:numPr>
          <w:ilvl w:val="255"/>
          <w:numId w:val="0"/>
        </w:numPr>
        <w:snapToGrid w:val="0"/>
        <w:spacing w:line="560" w:lineRule="exact"/>
        <w:ind w:firstLineChars="200" w:firstLine="640"/>
        <w:rPr>
          <w:rFonts w:ascii="仿宋" w:eastAsia="仿宋" w:hAnsi="仿宋" w:cs="仿宋_GB2312"/>
          <w:sz w:val="32"/>
          <w:szCs w:val="32"/>
        </w:rPr>
      </w:pPr>
      <w:r w:rsidRPr="007F65CC">
        <w:rPr>
          <w:rFonts w:ascii="仿宋" w:eastAsia="仿宋" w:hAnsi="仿宋" w:cs="宋体" w:hint="eastAsia"/>
          <w:color w:val="000000"/>
          <w:kern w:val="0"/>
          <w:sz w:val="32"/>
          <w:szCs w:val="32"/>
        </w:rPr>
        <w:t>（6）信息化运维项目保障了东城区检察院核心业务管理系统、首都检察网东城分主页的应用系统和主机环境稳定运行，全院局域网稳定运行，确保核心数据安全、保障视频会议、大要安全侦查指挥、远程案件研讨等系统稳定运行。保障了大要案指挥中心、审讯系统、视频会议室、办案区等弱电系统安全运行，保障检务工作顺利开展</w:t>
      </w:r>
      <w:r w:rsidRPr="007F65CC">
        <w:rPr>
          <w:rFonts w:ascii="仿宋" w:eastAsia="仿宋" w:hAnsi="仿宋" w:cs="仿宋_GB2312" w:hint="eastAsia"/>
          <w:sz w:val="32"/>
          <w:szCs w:val="32"/>
        </w:rPr>
        <w:t>。</w:t>
      </w:r>
    </w:p>
    <w:p w:rsidR="00C026BE" w:rsidRPr="007F65CC" w:rsidRDefault="00A434D2" w:rsidP="007F65CC">
      <w:pPr>
        <w:pStyle w:val="a5"/>
        <w:spacing w:line="560" w:lineRule="exact"/>
        <w:ind w:firstLine="643"/>
        <w:outlineLvl w:val="2"/>
        <w:rPr>
          <w:rFonts w:ascii="仿宋" w:eastAsia="仿宋" w:hAnsi="仿宋" w:cs="宋体"/>
          <w:b/>
          <w:bCs/>
          <w:kern w:val="0"/>
          <w:sz w:val="32"/>
          <w:szCs w:val="32"/>
        </w:rPr>
      </w:pPr>
      <w:bookmarkStart w:id="85" w:name="_Toc15860"/>
      <w:bookmarkStart w:id="86" w:name="_Toc28758"/>
      <w:r w:rsidRPr="007F65CC">
        <w:rPr>
          <w:rFonts w:ascii="仿宋" w:eastAsia="仿宋" w:hAnsi="仿宋" w:cs="宋体" w:hint="eastAsia"/>
          <w:b/>
          <w:bCs/>
          <w:kern w:val="0"/>
          <w:sz w:val="32"/>
          <w:szCs w:val="32"/>
        </w:rPr>
        <w:t>3.产出进度</w:t>
      </w:r>
      <w:bookmarkEnd w:id="85"/>
      <w:bookmarkEnd w:id="86"/>
    </w:p>
    <w:p w:rsidR="00C026BE" w:rsidRPr="007F65CC" w:rsidRDefault="00A434D2">
      <w:pPr>
        <w:snapToGrid w:val="0"/>
        <w:spacing w:line="560" w:lineRule="exact"/>
        <w:ind w:firstLineChars="200" w:firstLine="640"/>
        <w:rPr>
          <w:rFonts w:ascii="仿宋" w:eastAsia="仿宋" w:hAnsi="仿宋" w:cs="仿宋_GB2312"/>
          <w:sz w:val="32"/>
          <w:szCs w:val="32"/>
        </w:rPr>
      </w:pPr>
      <w:r w:rsidRPr="007F65CC">
        <w:rPr>
          <w:rFonts w:ascii="仿宋" w:eastAsia="仿宋" w:hAnsi="仿宋" w:cs="仿宋_GB2312" w:hint="eastAsia"/>
          <w:color w:val="000000"/>
          <w:kern w:val="0"/>
          <w:sz w:val="32"/>
          <w:szCs w:val="32"/>
        </w:rPr>
        <w:t>东城区检察院</w:t>
      </w:r>
      <w:r w:rsidRPr="007F65CC">
        <w:rPr>
          <w:rFonts w:ascii="仿宋" w:eastAsia="仿宋" w:hAnsi="仿宋" w:cs="仿宋_GB2312" w:hint="eastAsia"/>
          <w:sz w:val="32"/>
        </w:rPr>
        <w:t>工作贯穿全年，按照年度预算和各项工作计划，2023年末完成了各项检察工作。</w:t>
      </w:r>
    </w:p>
    <w:p w:rsidR="00C026BE" w:rsidRPr="007F65CC" w:rsidRDefault="00A434D2" w:rsidP="007F65CC">
      <w:pPr>
        <w:pStyle w:val="a5"/>
        <w:spacing w:line="560" w:lineRule="exact"/>
        <w:ind w:firstLine="643"/>
        <w:outlineLvl w:val="2"/>
        <w:rPr>
          <w:rFonts w:ascii="仿宋" w:eastAsia="仿宋" w:hAnsi="仿宋" w:cs="宋体"/>
          <w:b/>
          <w:bCs/>
          <w:kern w:val="0"/>
          <w:sz w:val="32"/>
          <w:szCs w:val="32"/>
        </w:rPr>
      </w:pPr>
      <w:bookmarkStart w:id="87" w:name="_Toc18150"/>
      <w:bookmarkStart w:id="88" w:name="_Toc31033"/>
      <w:r w:rsidRPr="007F65CC">
        <w:rPr>
          <w:rFonts w:ascii="仿宋" w:eastAsia="仿宋" w:hAnsi="仿宋" w:cs="宋体" w:hint="eastAsia"/>
          <w:b/>
          <w:bCs/>
          <w:kern w:val="0"/>
          <w:sz w:val="32"/>
          <w:szCs w:val="32"/>
        </w:rPr>
        <w:t>4.产出成本</w:t>
      </w:r>
      <w:bookmarkEnd w:id="87"/>
      <w:bookmarkEnd w:id="88"/>
    </w:p>
    <w:p w:rsidR="00C026BE" w:rsidRPr="007F65CC" w:rsidRDefault="00A434D2">
      <w:pPr>
        <w:snapToGrid w:val="0"/>
        <w:spacing w:line="560" w:lineRule="exact"/>
        <w:ind w:firstLineChars="200" w:firstLine="640"/>
        <w:rPr>
          <w:rFonts w:ascii="仿宋" w:eastAsia="仿宋" w:hAnsi="仿宋" w:cs="仿宋_GB2312"/>
          <w:sz w:val="32"/>
          <w:szCs w:val="32"/>
        </w:rPr>
      </w:pPr>
      <w:r w:rsidRPr="007F65CC">
        <w:rPr>
          <w:rFonts w:ascii="仿宋" w:eastAsia="仿宋" w:hAnsi="仿宋" w:hint="eastAsia"/>
          <w:sz w:val="32"/>
          <w:szCs w:val="32"/>
        </w:rPr>
        <w:t>2023年，东城区检察院预算安排严格落实“过紧日子”要求，厉行勤俭节约压缩行政支出，在保基本保运转的情况下，严控一般性支出，</w:t>
      </w:r>
      <w:r w:rsidRPr="007F65CC">
        <w:rPr>
          <w:rFonts w:ascii="仿宋" w:eastAsia="仿宋" w:hAnsi="仿宋" w:hint="eastAsia"/>
          <w:color w:val="000000"/>
          <w:sz w:val="32"/>
          <w:szCs w:val="32"/>
        </w:rPr>
        <w:t>在预算总规模增长受限的情况下，加强</w:t>
      </w:r>
      <w:r w:rsidRPr="007F65CC">
        <w:rPr>
          <w:rFonts w:ascii="仿宋" w:eastAsia="仿宋" w:hAnsi="仿宋" w:cs="仿宋_GB2312" w:hint="eastAsia"/>
          <w:sz w:val="32"/>
          <w:szCs w:val="32"/>
        </w:rPr>
        <w:t>资源合理</w:t>
      </w:r>
      <w:r w:rsidRPr="007F65CC">
        <w:rPr>
          <w:rFonts w:ascii="仿宋" w:eastAsia="仿宋" w:hAnsi="仿宋" w:hint="eastAsia"/>
          <w:color w:val="000000"/>
          <w:sz w:val="32"/>
          <w:szCs w:val="32"/>
        </w:rPr>
        <w:t>统筹</w:t>
      </w:r>
      <w:r w:rsidRPr="007F65CC">
        <w:rPr>
          <w:rFonts w:ascii="仿宋" w:eastAsia="仿宋" w:hAnsi="仿宋" w:cs="仿宋_GB2312" w:hint="eastAsia"/>
          <w:sz w:val="32"/>
          <w:szCs w:val="32"/>
        </w:rPr>
        <w:t>和分配</w:t>
      </w:r>
      <w:r w:rsidRPr="007F65CC">
        <w:rPr>
          <w:rFonts w:ascii="仿宋" w:eastAsia="仿宋" w:hAnsi="仿宋" w:hint="eastAsia"/>
          <w:color w:val="000000"/>
          <w:sz w:val="32"/>
          <w:szCs w:val="32"/>
        </w:rPr>
        <w:t>，优化支出结构，</w:t>
      </w:r>
      <w:r w:rsidRPr="007F65CC">
        <w:rPr>
          <w:rFonts w:ascii="仿宋" w:eastAsia="仿宋" w:hAnsi="仿宋" w:cs="仿宋_GB2312" w:hint="eastAsia"/>
          <w:sz w:val="32"/>
          <w:szCs w:val="32"/>
        </w:rPr>
        <w:t>将有限的资源花在刀刃上，不断提升预算执行效能。</w:t>
      </w:r>
    </w:p>
    <w:p w:rsidR="00C026BE" w:rsidRDefault="00A434D2">
      <w:pPr>
        <w:snapToGrid w:val="0"/>
        <w:spacing w:line="560" w:lineRule="exact"/>
        <w:ind w:firstLineChars="200" w:firstLine="640"/>
        <w:rPr>
          <w:rFonts w:ascii="仿宋_GB2312" w:eastAsia="仿宋_GB2312" w:hAnsi="仿宋_GB2312" w:cs="仿宋_GB2312"/>
          <w:sz w:val="32"/>
          <w:szCs w:val="32"/>
        </w:rPr>
      </w:pPr>
      <w:r w:rsidRPr="007F65CC">
        <w:rPr>
          <w:rFonts w:ascii="仿宋" w:eastAsia="仿宋" w:hAnsi="仿宋" w:cs="宋体" w:hint="eastAsia"/>
          <w:color w:val="000000"/>
          <w:kern w:val="0"/>
          <w:sz w:val="32"/>
          <w:szCs w:val="32"/>
        </w:rPr>
        <w:t>2023年，东城区检察院</w:t>
      </w:r>
      <w:r w:rsidRPr="007F65CC">
        <w:rPr>
          <w:rFonts w:ascii="仿宋" w:eastAsia="仿宋" w:hAnsi="仿宋" w:cs="宋体"/>
          <w:color w:val="000000"/>
          <w:kern w:val="0"/>
          <w:sz w:val="32"/>
          <w:szCs w:val="32"/>
        </w:rPr>
        <w:t>资金总体</w:t>
      </w:r>
      <w:r w:rsidRPr="007F65CC">
        <w:rPr>
          <w:rFonts w:ascii="仿宋" w:eastAsia="仿宋" w:hAnsi="仿宋" w:cs="宋体" w:hint="eastAsia"/>
          <w:color w:val="000000"/>
          <w:kern w:val="0"/>
          <w:sz w:val="32"/>
          <w:szCs w:val="32"/>
        </w:rPr>
        <w:t>支出10,904.52</w:t>
      </w:r>
      <w:r w:rsidRPr="007F65CC">
        <w:rPr>
          <w:rFonts w:ascii="仿宋" w:eastAsia="仿宋" w:hAnsi="仿宋" w:cs="宋体"/>
          <w:color w:val="000000"/>
          <w:kern w:val="0"/>
          <w:sz w:val="32"/>
          <w:szCs w:val="32"/>
        </w:rPr>
        <w:t>万元，其中，基本支出</w:t>
      </w:r>
      <w:r w:rsidRPr="007F65CC">
        <w:rPr>
          <w:rFonts w:ascii="仿宋" w:eastAsia="仿宋" w:hAnsi="仿宋" w:cs="宋体" w:hint="eastAsia"/>
          <w:color w:val="000000"/>
          <w:kern w:val="0"/>
          <w:sz w:val="32"/>
          <w:szCs w:val="32"/>
        </w:rPr>
        <w:t>10,217.55</w:t>
      </w:r>
      <w:r w:rsidRPr="007F65CC">
        <w:rPr>
          <w:rFonts w:ascii="仿宋" w:eastAsia="仿宋" w:hAnsi="仿宋" w:cs="宋体"/>
          <w:color w:val="000000"/>
          <w:kern w:val="0"/>
          <w:sz w:val="32"/>
          <w:szCs w:val="32"/>
        </w:rPr>
        <w:t>万元，项目</w:t>
      </w:r>
      <w:r w:rsidRPr="007F65CC">
        <w:rPr>
          <w:rFonts w:ascii="仿宋" w:eastAsia="仿宋" w:hAnsi="仿宋" w:cs="宋体" w:hint="eastAsia"/>
          <w:color w:val="000000"/>
          <w:kern w:val="0"/>
          <w:sz w:val="32"/>
          <w:szCs w:val="32"/>
        </w:rPr>
        <w:t>支出686.97</w:t>
      </w:r>
      <w:r w:rsidRPr="007F65CC">
        <w:rPr>
          <w:rFonts w:ascii="仿宋" w:eastAsia="仿宋" w:hAnsi="仿宋" w:cs="宋体"/>
          <w:color w:val="000000"/>
          <w:kern w:val="0"/>
          <w:sz w:val="32"/>
          <w:szCs w:val="32"/>
        </w:rPr>
        <w:t>万元。</w:t>
      </w:r>
      <w:r w:rsidRPr="007F65CC">
        <w:rPr>
          <w:rFonts w:ascii="仿宋" w:eastAsia="仿宋" w:hAnsi="仿宋" w:cs="宋体" w:hint="eastAsia"/>
          <w:color w:val="000000"/>
          <w:kern w:val="0"/>
          <w:sz w:val="32"/>
          <w:szCs w:val="32"/>
        </w:rPr>
        <w:t>预算</w:t>
      </w:r>
      <w:r w:rsidRPr="007F65CC">
        <w:rPr>
          <w:rFonts w:ascii="仿宋" w:eastAsia="仿宋" w:hAnsi="仿宋" w:cs="宋体"/>
          <w:color w:val="000000"/>
          <w:kern w:val="0"/>
          <w:sz w:val="32"/>
          <w:szCs w:val="32"/>
        </w:rPr>
        <w:t>执行率为</w:t>
      </w:r>
      <w:r w:rsidRPr="007F65CC">
        <w:rPr>
          <w:rFonts w:ascii="仿宋" w:eastAsia="仿宋" w:hAnsi="仿宋" w:cs="宋体" w:hint="eastAsia"/>
          <w:color w:val="000000"/>
          <w:kern w:val="0"/>
          <w:sz w:val="32"/>
          <w:szCs w:val="32"/>
        </w:rPr>
        <w:t>96.67%</w:t>
      </w:r>
      <w:r w:rsidRPr="007F65CC">
        <w:rPr>
          <w:rFonts w:ascii="仿宋" w:eastAsia="仿宋" w:hAnsi="仿宋" w:cs="仿宋_GB2312" w:hint="eastAsia"/>
          <w:sz w:val="32"/>
          <w:szCs w:val="32"/>
        </w:rPr>
        <w:t>。总体支出控制在预算范围内。</w:t>
      </w:r>
    </w:p>
    <w:p w:rsidR="00C026BE" w:rsidRDefault="00A434D2">
      <w:pPr>
        <w:spacing w:line="560" w:lineRule="exact"/>
        <w:ind w:firstLineChars="200" w:firstLine="643"/>
        <w:outlineLvl w:val="1"/>
        <w:rPr>
          <w:rFonts w:ascii="楷体_GB2312" w:eastAsia="楷体_GB2312" w:hAnsi="Calibri"/>
          <w:b/>
          <w:bCs/>
          <w:sz w:val="32"/>
          <w:szCs w:val="32"/>
        </w:rPr>
      </w:pPr>
      <w:bookmarkStart w:id="89" w:name="_Toc20526"/>
      <w:bookmarkStart w:id="90" w:name="_Toc2172"/>
      <w:bookmarkStart w:id="91" w:name="_Toc23566"/>
      <w:bookmarkStart w:id="92" w:name="_Toc5045"/>
      <w:bookmarkStart w:id="93" w:name="_Toc18971"/>
      <w:bookmarkStart w:id="94" w:name="_Toc15055"/>
      <w:bookmarkStart w:id="95" w:name="_Toc29244"/>
      <w:bookmarkStart w:id="96" w:name="_Toc16452"/>
      <w:bookmarkStart w:id="97" w:name="_Toc2038"/>
      <w:bookmarkStart w:id="98" w:name="_Toc20825"/>
      <w:bookmarkStart w:id="99" w:name="_Toc25783"/>
      <w:bookmarkStart w:id="100" w:name="_Toc20879"/>
      <w:r>
        <w:rPr>
          <w:rFonts w:ascii="楷体_GB2312" w:eastAsia="楷体_GB2312" w:hAnsi="Calibri" w:hint="eastAsia"/>
          <w:b/>
          <w:bCs/>
          <w:sz w:val="32"/>
          <w:szCs w:val="32"/>
        </w:rPr>
        <w:lastRenderedPageBreak/>
        <w:t>（二）效果实现情况分析</w:t>
      </w:r>
      <w:bookmarkEnd w:id="89"/>
      <w:bookmarkEnd w:id="90"/>
      <w:bookmarkEnd w:id="91"/>
      <w:bookmarkEnd w:id="92"/>
      <w:bookmarkEnd w:id="93"/>
      <w:bookmarkEnd w:id="94"/>
      <w:bookmarkEnd w:id="95"/>
      <w:bookmarkEnd w:id="96"/>
      <w:bookmarkEnd w:id="97"/>
      <w:bookmarkEnd w:id="98"/>
      <w:bookmarkEnd w:id="99"/>
      <w:bookmarkEnd w:id="100"/>
    </w:p>
    <w:p w:rsidR="00C026BE" w:rsidRPr="007F65CC" w:rsidRDefault="00A434D2" w:rsidP="007F65CC">
      <w:pPr>
        <w:pStyle w:val="a5"/>
        <w:spacing w:line="560" w:lineRule="exact"/>
        <w:ind w:firstLine="643"/>
        <w:outlineLvl w:val="2"/>
        <w:rPr>
          <w:rFonts w:ascii="仿宋" w:eastAsia="仿宋" w:hAnsi="仿宋" w:cs="宋体"/>
          <w:b/>
          <w:bCs/>
          <w:kern w:val="0"/>
          <w:sz w:val="32"/>
          <w:szCs w:val="32"/>
        </w:rPr>
      </w:pPr>
      <w:bookmarkStart w:id="101" w:name="_Toc21001"/>
      <w:bookmarkStart w:id="102" w:name="_Toc10260"/>
      <w:r w:rsidRPr="007F65CC">
        <w:rPr>
          <w:rFonts w:ascii="仿宋" w:eastAsia="仿宋" w:hAnsi="仿宋" w:cs="宋体" w:hint="eastAsia"/>
          <w:b/>
          <w:bCs/>
          <w:kern w:val="0"/>
          <w:sz w:val="32"/>
          <w:szCs w:val="32"/>
        </w:rPr>
        <w:t>1.产出效益</w:t>
      </w:r>
      <w:bookmarkEnd w:id="101"/>
      <w:bookmarkEnd w:id="102"/>
    </w:p>
    <w:p w:rsidR="00C026BE" w:rsidRPr="007F65CC" w:rsidRDefault="00A434D2">
      <w:pPr>
        <w:snapToGrid w:val="0"/>
        <w:spacing w:line="560" w:lineRule="exact"/>
        <w:ind w:firstLineChars="200" w:firstLine="640"/>
        <w:rPr>
          <w:rFonts w:ascii="仿宋" w:eastAsia="仿宋" w:hAnsi="仿宋" w:cs="仿宋_GB2312"/>
          <w:color w:val="000000"/>
          <w:kern w:val="0"/>
          <w:sz w:val="32"/>
          <w:szCs w:val="32"/>
        </w:rPr>
      </w:pPr>
      <w:r w:rsidRPr="007F65CC">
        <w:rPr>
          <w:rFonts w:ascii="仿宋" w:eastAsia="仿宋" w:hAnsi="仿宋" w:cs="仿宋_GB2312" w:hint="eastAsia"/>
          <w:color w:val="000000"/>
          <w:kern w:val="0"/>
          <w:sz w:val="32"/>
          <w:szCs w:val="32"/>
        </w:rPr>
        <w:t>（1）筑牢政治忠诚，确保核心区检察工作正确政治方向。</w:t>
      </w:r>
      <w:r w:rsidRPr="007F65CC">
        <w:rPr>
          <w:rFonts w:ascii="仿宋" w:eastAsia="仿宋" w:hAnsi="仿宋" w:cs="仿宋_GB2312" w:hint="eastAsia"/>
          <w:sz w:val="32"/>
          <w:szCs w:val="32"/>
        </w:rPr>
        <w:t>坚持总体国家安全观，以做实“靖”字文章为统领，依法严厉打击各类刑事犯罪，受理审查逮捕、审查起诉2069件2620人，案件量同比上升50.7%，不断提升了人民群众安全感和满意度，助力了服务国防和军队建设。</w:t>
      </w:r>
    </w:p>
    <w:p w:rsidR="00C026BE" w:rsidRPr="007F65CC" w:rsidRDefault="00A434D2">
      <w:pPr>
        <w:snapToGrid w:val="0"/>
        <w:spacing w:line="560" w:lineRule="exact"/>
        <w:ind w:firstLineChars="200" w:firstLine="640"/>
        <w:rPr>
          <w:rFonts w:ascii="仿宋" w:eastAsia="仿宋" w:hAnsi="仿宋" w:cs="仿宋_GB2312"/>
          <w:sz w:val="32"/>
          <w:szCs w:val="32"/>
        </w:rPr>
      </w:pPr>
      <w:r w:rsidRPr="007F65CC">
        <w:rPr>
          <w:rFonts w:ascii="仿宋" w:eastAsia="仿宋" w:hAnsi="仿宋" w:cs="仿宋_GB2312" w:hint="eastAsia"/>
          <w:color w:val="000000"/>
          <w:kern w:val="0"/>
          <w:sz w:val="32"/>
          <w:szCs w:val="32"/>
        </w:rPr>
        <w:t>（2）主动融入大局，服务保障区域经济社会高质量发展。</w:t>
      </w:r>
      <w:r w:rsidRPr="007F65CC">
        <w:rPr>
          <w:rFonts w:ascii="仿宋" w:eastAsia="仿宋" w:hAnsi="仿宋" w:cs="仿宋_GB2312" w:hint="eastAsia"/>
          <w:sz w:val="32"/>
          <w:szCs w:val="32"/>
        </w:rPr>
        <w:t>落实《中共中央 国务院关于促进民营经济发展壮大的意见》，持续优化了民营经济发展环境，打击扰乱市场秩序犯罪66件156人、侵犯知识产权犯罪18件27</w:t>
      </w:r>
      <w:r w:rsidR="00824845">
        <w:rPr>
          <w:rFonts w:ascii="仿宋" w:eastAsia="仿宋" w:hAnsi="仿宋" w:cs="仿宋_GB2312" w:hint="eastAsia"/>
          <w:sz w:val="32"/>
          <w:szCs w:val="32"/>
        </w:rPr>
        <w:t>人</w:t>
      </w:r>
      <w:r w:rsidRPr="007F65CC">
        <w:rPr>
          <w:rFonts w:ascii="仿宋" w:eastAsia="仿宋" w:hAnsi="仿宋" w:cs="仿宋_GB2312" w:hint="eastAsia"/>
          <w:sz w:val="32"/>
          <w:szCs w:val="32"/>
        </w:rPr>
        <w:t>。</w:t>
      </w:r>
    </w:p>
    <w:p w:rsidR="00C026BE" w:rsidRPr="007F65CC" w:rsidRDefault="00A434D2">
      <w:pPr>
        <w:snapToGrid w:val="0"/>
        <w:spacing w:line="560" w:lineRule="exact"/>
        <w:ind w:firstLineChars="200" w:firstLine="640"/>
        <w:rPr>
          <w:rFonts w:ascii="仿宋" w:eastAsia="仿宋" w:hAnsi="仿宋" w:cs="仿宋_GB2312"/>
          <w:sz w:val="32"/>
          <w:szCs w:val="32"/>
        </w:rPr>
      </w:pPr>
      <w:r w:rsidRPr="007F65CC">
        <w:rPr>
          <w:rFonts w:ascii="仿宋" w:eastAsia="仿宋" w:hAnsi="仿宋" w:cs="仿宋_GB2312" w:hint="eastAsia"/>
          <w:sz w:val="32"/>
          <w:szCs w:val="32"/>
        </w:rPr>
        <w:t>（3）深化数字赋能，以高质效履行法律监督职责彰显法治担当。聚焦新时代人民群众法治需求，以建用大数据监督模型为抓手，持续破解检察办案供给不足、质效不高、结构失衡问题，推动“四大检察”全面协调充分发展。坚持“建用并举、以用为主”，自主研发9个大数据监督模型，应用场景覆盖“四大检察”。法律监督的主动性、能动性持续突显，依职权监督案件占案件总量六成，数字检察驱动法律监督提质增效的重要引擎和关键变量效用得到充分彰显。</w:t>
      </w:r>
    </w:p>
    <w:p w:rsidR="00C026BE" w:rsidRPr="007F65CC" w:rsidRDefault="00A434D2" w:rsidP="007F65CC">
      <w:pPr>
        <w:pStyle w:val="a5"/>
        <w:spacing w:line="560" w:lineRule="exact"/>
        <w:ind w:firstLine="643"/>
        <w:outlineLvl w:val="2"/>
        <w:rPr>
          <w:rFonts w:ascii="仿宋" w:eastAsia="仿宋" w:hAnsi="仿宋" w:cs="宋体"/>
          <w:b/>
          <w:bCs/>
          <w:kern w:val="0"/>
          <w:sz w:val="32"/>
          <w:szCs w:val="32"/>
        </w:rPr>
      </w:pPr>
      <w:bookmarkStart w:id="103" w:name="_Toc8258"/>
      <w:bookmarkStart w:id="104" w:name="_Toc5609"/>
      <w:r w:rsidRPr="007F65CC">
        <w:rPr>
          <w:rFonts w:ascii="仿宋" w:eastAsia="仿宋" w:hAnsi="仿宋" w:cs="宋体" w:hint="eastAsia"/>
          <w:b/>
          <w:bCs/>
          <w:kern w:val="0"/>
          <w:sz w:val="32"/>
          <w:szCs w:val="32"/>
        </w:rPr>
        <w:t>2.满意度</w:t>
      </w:r>
      <w:bookmarkEnd w:id="103"/>
      <w:bookmarkEnd w:id="104"/>
    </w:p>
    <w:p w:rsidR="00C026BE" w:rsidRPr="00715640" w:rsidRDefault="00A434D2">
      <w:pPr>
        <w:snapToGrid w:val="0"/>
        <w:spacing w:line="560" w:lineRule="exact"/>
        <w:ind w:firstLineChars="200" w:firstLine="640"/>
        <w:rPr>
          <w:rFonts w:ascii="仿宋" w:eastAsia="仿宋" w:hAnsi="仿宋" w:cs="仿宋_GB2312"/>
          <w:sz w:val="32"/>
          <w:szCs w:val="32"/>
        </w:rPr>
      </w:pPr>
      <w:r w:rsidRPr="00715640">
        <w:rPr>
          <w:rFonts w:ascii="仿宋" w:eastAsia="仿宋" w:hAnsi="仿宋" w:cs="仿宋_GB2312" w:hint="eastAsia"/>
          <w:sz w:val="32"/>
          <w:szCs w:val="32"/>
        </w:rPr>
        <w:t>人大代表对东城区检察院工作报告赞成率达到100</w:t>
      </w:r>
      <w:r w:rsidRPr="00715640">
        <w:rPr>
          <w:rFonts w:ascii="仿宋" w:eastAsia="仿宋" w:hAnsi="仿宋" w:cs="仿宋_GB2312"/>
          <w:sz w:val="32"/>
          <w:szCs w:val="32"/>
        </w:rPr>
        <w:t>%</w:t>
      </w:r>
      <w:r w:rsidRPr="00715640">
        <w:rPr>
          <w:rFonts w:ascii="仿宋" w:eastAsia="仿宋" w:hAnsi="仿宋" w:cs="仿宋_GB2312" w:hint="eastAsia"/>
          <w:sz w:val="32"/>
          <w:szCs w:val="32"/>
        </w:rPr>
        <w:t>。</w:t>
      </w:r>
    </w:p>
    <w:p w:rsidR="00C026BE" w:rsidRDefault="00A434D2">
      <w:pPr>
        <w:spacing w:line="560" w:lineRule="exact"/>
        <w:ind w:firstLineChars="200" w:firstLine="640"/>
        <w:outlineLvl w:val="0"/>
        <w:rPr>
          <w:rFonts w:ascii="黑体" w:eastAsia="黑体" w:hAnsi="黑体" w:cs="黑体"/>
          <w:kern w:val="0"/>
          <w:sz w:val="32"/>
          <w:szCs w:val="32"/>
        </w:rPr>
      </w:pPr>
      <w:bookmarkStart w:id="105" w:name="_Toc12787"/>
      <w:bookmarkStart w:id="106" w:name="_Toc15160"/>
      <w:bookmarkStart w:id="107" w:name="_Toc13703"/>
      <w:bookmarkStart w:id="108" w:name="_Toc7897"/>
      <w:bookmarkStart w:id="109" w:name="_Toc16766"/>
      <w:bookmarkStart w:id="110" w:name="_Toc28298"/>
      <w:bookmarkStart w:id="111" w:name="_Toc6183"/>
      <w:bookmarkStart w:id="112" w:name="_Toc9198"/>
      <w:bookmarkStart w:id="113" w:name="_Toc17999"/>
      <w:bookmarkStart w:id="114" w:name="_Toc1059"/>
      <w:bookmarkStart w:id="115" w:name="_Toc1238"/>
      <w:bookmarkStart w:id="116" w:name="_Toc22943"/>
      <w:r>
        <w:rPr>
          <w:rFonts w:ascii="黑体" w:eastAsia="黑体" w:hAnsi="黑体" w:cs="黑体" w:hint="eastAsia"/>
          <w:kern w:val="0"/>
          <w:sz w:val="32"/>
          <w:szCs w:val="32"/>
        </w:rPr>
        <w:t>四</w:t>
      </w:r>
      <w:r>
        <w:rPr>
          <w:rFonts w:ascii="黑体" w:eastAsia="黑体" w:hAnsi="黑体" w:cs="黑体"/>
          <w:kern w:val="0"/>
          <w:sz w:val="32"/>
          <w:szCs w:val="32"/>
        </w:rPr>
        <w:t>、预算管理</w:t>
      </w:r>
      <w:r>
        <w:rPr>
          <w:rFonts w:ascii="黑体" w:eastAsia="黑体" w:hAnsi="黑体" w:cs="黑体" w:hint="eastAsia"/>
          <w:kern w:val="0"/>
          <w:sz w:val="32"/>
          <w:szCs w:val="32"/>
        </w:rPr>
        <w:t>情况分</w:t>
      </w:r>
      <w:r>
        <w:rPr>
          <w:rFonts w:ascii="黑体" w:eastAsia="黑体" w:hAnsi="黑体" w:cs="黑体"/>
          <w:kern w:val="0"/>
          <w:sz w:val="32"/>
          <w:szCs w:val="32"/>
        </w:rPr>
        <w:t>析</w:t>
      </w:r>
      <w:bookmarkEnd w:id="105"/>
      <w:bookmarkEnd w:id="106"/>
      <w:bookmarkEnd w:id="107"/>
      <w:bookmarkEnd w:id="108"/>
      <w:bookmarkEnd w:id="109"/>
      <w:bookmarkEnd w:id="110"/>
      <w:bookmarkEnd w:id="111"/>
      <w:bookmarkEnd w:id="112"/>
      <w:bookmarkEnd w:id="113"/>
      <w:bookmarkEnd w:id="114"/>
      <w:bookmarkEnd w:id="115"/>
      <w:bookmarkEnd w:id="116"/>
    </w:p>
    <w:p w:rsidR="00C026BE" w:rsidRDefault="00A434D2">
      <w:pPr>
        <w:spacing w:line="560" w:lineRule="exact"/>
        <w:ind w:firstLineChars="200" w:firstLine="643"/>
        <w:outlineLvl w:val="1"/>
        <w:rPr>
          <w:rFonts w:ascii="楷体_GB2312" w:eastAsia="楷体_GB2312" w:hAnsi="Calibri"/>
          <w:b/>
          <w:bCs/>
          <w:sz w:val="32"/>
          <w:szCs w:val="32"/>
        </w:rPr>
      </w:pPr>
      <w:bookmarkStart w:id="117" w:name="_Toc28342"/>
      <w:bookmarkStart w:id="118" w:name="_Toc25463"/>
      <w:bookmarkStart w:id="119" w:name="_Toc10360"/>
      <w:bookmarkStart w:id="120" w:name="_Toc27896"/>
      <w:bookmarkStart w:id="121" w:name="_Toc4428"/>
      <w:bookmarkStart w:id="122" w:name="_Toc14077"/>
      <w:bookmarkStart w:id="123" w:name="_Toc31045"/>
      <w:bookmarkStart w:id="124" w:name="_Toc6494"/>
      <w:bookmarkStart w:id="125" w:name="_Toc28972"/>
      <w:bookmarkStart w:id="126" w:name="_Toc5176"/>
      <w:bookmarkStart w:id="127" w:name="_Toc1142"/>
      <w:bookmarkStart w:id="128" w:name="_Toc19207"/>
      <w:r>
        <w:rPr>
          <w:rFonts w:ascii="楷体_GB2312" w:eastAsia="楷体_GB2312" w:hAnsi="Calibri" w:hint="eastAsia"/>
          <w:b/>
          <w:bCs/>
          <w:sz w:val="32"/>
          <w:szCs w:val="32"/>
        </w:rPr>
        <w:t>（一）财务管理</w:t>
      </w:r>
      <w:bookmarkEnd w:id="117"/>
      <w:bookmarkEnd w:id="118"/>
      <w:bookmarkEnd w:id="119"/>
      <w:bookmarkEnd w:id="120"/>
      <w:bookmarkEnd w:id="121"/>
      <w:bookmarkEnd w:id="122"/>
      <w:bookmarkEnd w:id="123"/>
      <w:bookmarkEnd w:id="124"/>
      <w:bookmarkEnd w:id="125"/>
      <w:bookmarkEnd w:id="126"/>
      <w:bookmarkEnd w:id="127"/>
      <w:bookmarkEnd w:id="128"/>
    </w:p>
    <w:p w:rsidR="00C026BE" w:rsidRPr="00931EF6" w:rsidRDefault="00A434D2" w:rsidP="00931EF6">
      <w:pPr>
        <w:pStyle w:val="a5"/>
        <w:spacing w:line="560" w:lineRule="exact"/>
        <w:ind w:firstLine="643"/>
        <w:outlineLvl w:val="2"/>
        <w:rPr>
          <w:rFonts w:ascii="仿宋" w:eastAsia="仿宋" w:hAnsi="仿宋" w:cs="宋体"/>
          <w:b/>
          <w:bCs/>
          <w:kern w:val="0"/>
          <w:sz w:val="32"/>
          <w:szCs w:val="32"/>
        </w:rPr>
      </w:pPr>
      <w:bookmarkStart w:id="129" w:name="_Toc6872"/>
      <w:bookmarkStart w:id="130" w:name="_Toc15742"/>
      <w:r w:rsidRPr="00931EF6">
        <w:rPr>
          <w:rFonts w:ascii="仿宋" w:eastAsia="仿宋" w:hAnsi="仿宋" w:cs="宋体" w:hint="eastAsia"/>
          <w:b/>
          <w:bCs/>
          <w:kern w:val="0"/>
          <w:sz w:val="32"/>
          <w:szCs w:val="32"/>
        </w:rPr>
        <w:t>1.财务管理制度健全性</w:t>
      </w:r>
      <w:bookmarkEnd w:id="129"/>
      <w:bookmarkEnd w:id="130"/>
    </w:p>
    <w:p w:rsidR="00C026BE" w:rsidRPr="00931EF6" w:rsidRDefault="00A434D2">
      <w:pPr>
        <w:spacing w:line="560" w:lineRule="exact"/>
        <w:ind w:firstLineChars="200" w:firstLine="640"/>
        <w:jc w:val="left"/>
        <w:rPr>
          <w:rFonts w:ascii="仿宋" w:eastAsia="仿宋" w:hAnsi="仿宋" w:cs="仿宋_GB2312"/>
          <w:sz w:val="32"/>
          <w:szCs w:val="32"/>
        </w:rPr>
      </w:pPr>
      <w:r w:rsidRPr="00931EF6">
        <w:rPr>
          <w:rFonts w:ascii="仿宋" w:eastAsia="仿宋" w:hAnsi="仿宋" w:cs="宋体" w:hint="eastAsia"/>
          <w:color w:val="000000"/>
          <w:kern w:val="0"/>
          <w:sz w:val="32"/>
          <w:szCs w:val="32"/>
        </w:rPr>
        <w:lastRenderedPageBreak/>
        <w:t>东城区检察院不断加强财务管理，积极落实行政事业单位内部控制规范要求，制定了《北京市东城区人民检察院内部控制手册》，完善了《预算管理办法》《预算项目管理办法》《经费支出管理办法》《采购工作管理办法》《会计档案管理办法》等制度，财务</w:t>
      </w:r>
      <w:r w:rsidRPr="00931EF6">
        <w:rPr>
          <w:rFonts w:ascii="仿宋" w:eastAsia="仿宋" w:hAnsi="仿宋" w:cs="宋体"/>
          <w:color w:val="000000"/>
          <w:kern w:val="0"/>
          <w:sz w:val="32"/>
          <w:szCs w:val="32"/>
        </w:rPr>
        <w:t>管理制度健全</w:t>
      </w:r>
      <w:r w:rsidRPr="00931EF6">
        <w:rPr>
          <w:rFonts w:ascii="仿宋" w:eastAsia="仿宋" w:hAnsi="仿宋" w:cs="宋体" w:hint="eastAsia"/>
          <w:color w:val="000000"/>
          <w:kern w:val="0"/>
          <w:sz w:val="32"/>
          <w:szCs w:val="32"/>
        </w:rPr>
        <w:t>，并得到有效执行</w:t>
      </w:r>
      <w:r w:rsidRPr="00931EF6">
        <w:rPr>
          <w:rFonts w:ascii="仿宋" w:eastAsia="仿宋" w:hAnsi="仿宋" w:cs="仿宋_GB2312" w:hint="eastAsia"/>
          <w:sz w:val="32"/>
          <w:szCs w:val="32"/>
        </w:rPr>
        <w:t>。</w:t>
      </w:r>
    </w:p>
    <w:p w:rsidR="00C026BE" w:rsidRPr="00931EF6" w:rsidRDefault="00A434D2" w:rsidP="00931EF6">
      <w:pPr>
        <w:pStyle w:val="a5"/>
        <w:spacing w:line="560" w:lineRule="exact"/>
        <w:ind w:firstLine="643"/>
        <w:outlineLvl w:val="2"/>
        <w:rPr>
          <w:rFonts w:ascii="仿宋" w:eastAsia="仿宋" w:hAnsi="仿宋" w:cs="宋体"/>
          <w:b/>
          <w:bCs/>
          <w:kern w:val="0"/>
          <w:sz w:val="32"/>
          <w:szCs w:val="32"/>
        </w:rPr>
      </w:pPr>
      <w:bookmarkStart w:id="131" w:name="_Toc20948"/>
      <w:bookmarkStart w:id="132" w:name="_Toc17869"/>
      <w:r w:rsidRPr="00931EF6">
        <w:rPr>
          <w:rFonts w:ascii="仿宋" w:eastAsia="仿宋" w:hAnsi="仿宋" w:cs="宋体" w:hint="eastAsia"/>
          <w:b/>
          <w:bCs/>
          <w:kern w:val="0"/>
          <w:sz w:val="32"/>
          <w:szCs w:val="32"/>
        </w:rPr>
        <w:t>2.资金使用合规性和安全性</w:t>
      </w:r>
      <w:bookmarkEnd w:id="131"/>
      <w:bookmarkEnd w:id="132"/>
    </w:p>
    <w:p w:rsidR="00C026BE" w:rsidRPr="00931EF6" w:rsidRDefault="00A434D2">
      <w:pPr>
        <w:snapToGrid w:val="0"/>
        <w:spacing w:line="560" w:lineRule="exact"/>
        <w:ind w:firstLineChars="200" w:firstLine="640"/>
        <w:rPr>
          <w:rFonts w:ascii="仿宋" w:eastAsia="仿宋" w:hAnsi="仿宋" w:cs="仿宋_GB2312"/>
          <w:sz w:val="32"/>
          <w:szCs w:val="32"/>
        </w:rPr>
      </w:pPr>
      <w:r w:rsidRPr="00931EF6">
        <w:rPr>
          <w:rFonts w:ascii="仿宋" w:eastAsia="仿宋" w:hAnsi="仿宋" w:cs="仿宋_GB2312" w:hint="eastAsia"/>
          <w:sz w:val="32"/>
          <w:szCs w:val="32"/>
        </w:rPr>
        <w:t>2023年，东城区检察院牢固树立“过紧日子”思想，严格落实中央八项规定，按照财政要求，依法依规，从严从简，厉行节约，大力压减一般性支出。不断加强经费支出的精细化管理，不断提升预算执行的规范性。经费支出控制在预算批复范围内，严格按照各项管理制度和要求规范资金使用，资金支出按照市财政预算批复执行，严格履行审核审批手续，增强资金使用过程规范化。经抽查部分项目支出会计凭证，资金支出按照内部管理制度执行，未发现资金有超范围、超标准支出的情况。资金使用合规，资金管理安全。</w:t>
      </w:r>
    </w:p>
    <w:p w:rsidR="00C026BE" w:rsidRPr="00931EF6" w:rsidRDefault="00C026BE" w:rsidP="00931EF6">
      <w:pPr>
        <w:pStyle w:val="a5"/>
        <w:spacing w:line="560" w:lineRule="exact"/>
        <w:ind w:firstLine="643"/>
        <w:outlineLvl w:val="2"/>
        <w:rPr>
          <w:rFonts w:ascii="仿宋" w:eastAsia="仿宋" w:hAnsi="仿宋" w:cs="宋体"/>
          <w:b/>
          <w:bCs/>
          <w:kern w:val="0"/>
          <w:sz w:val="32"/>
          <w:szCs w:val="32"/>
        </w:rPr>
      </w:pPr>
      <w:bookmarkStart w:id="133" w:name="_Toc10528"/>
      <w:bookmarkStart w:id="134" w:name="_Toc29556"/>
    </w:p>
    <w:p w:rsidR="00C026BE" w:rsidRPr="00931EF6" w:rsidRDefault="00A434D2" w:rsidP="00931EF6">
      <w:pPr>
        <w:pStyle w:val="a5"/>
        <w:spacing w:line="560" w:lineRule="exact"/>
        <w:ind w:firstLine="643"/>
        <w:outlineLvl w:val="2"/>
        <w:rPr>
          <w:rFonts w:ascii="仿宋" w:eastAsia="仿宋" w:hAnsi="仿宋" w:cs="宋体"/>
          <w:b/>
          <w:bCs/>
          <w:kern w:val="0"/>
          <w:sz w:val="32"/>
          <w:szCs w:val="32"/>
        </w:rPr>
      </w:pPr>
      <w:r w:rsidRPr="00931EF6">
        <w:rPr>
          <w:rFonts w:ascii="仿宋" w:eastAsia="仿宋" w:hAnsi="仿宋" w:cs="宋体" w:hint="eastAsia"/>
          <w:b/>
          <w:bCs/>
          <w:kern w:val="0"/>
          <w:sz w:val="32"/>
          <w:szCs w:val="32"/>
        </w:rPr>
        <w:t>3.会计基础信息完善性</w:t>
      </w:r>
      <w:bookmarkEnd w:id="133"/>
      <w:bookmarkEnd w:id="134"/>
    </w:p>
    <w:p w:rsidR="00C026BE" w:rsidRDefault="00A434D2">
      <w:pPr>
        <w:snapToGrid w:val="0"/>
        <w:spacing w:line="560" w:lineRule="exact"/>
        <w:ind w:firstLineChars="200" w:firstLine="640"/>
        <w:rPr>
          <w:rFonts w:ascii="仿宋_GB2312" w:eastAsia="仿宋_GB2312" w:hAnsi="仿宋_GB2312" w:cs="仿宋_GB2312"/>
          <w:sz w:val="32"/>
          <w:szCs w:val="32"/>
        </w:rPr>
      </w:pPr>
      <w:r w:rsidRPr="00931EF6">
        <w:rPr>
          <w:rFonts w:ascii="仿宋" w:eastAsia="仿宋" w:hAnsi="仿宋" w:cs="仿宋_GB2312" w:hint="eastAsia"/>
          <w:sz w:val="32"/>
          <w:szCs w:val="32"/>
        </w:rPr>
        <w:t>2023年，严格按照政府会计制度和《财政部关于贯彻实施政府会计准则制度的通知》相关要求开展会计工作。会计报表符合政府会计准则、相关会计制度和财务报告编制规定的要求，如实反映部门的财务状况、运行情况等有关信息。通过梳理重点项目支出会计凭证及会计账簿、财务报告等基础信息，有效保障会计基础信息完善性。</w:t>
      </w:r>
    </w:p>
    <w:p w:rsidR="00C026BE" w:rsidRDefault="00A434D2">
      <w:pPr>
        <w:spacing w:line="560" w:lineRule="exact"/>
        <w:ind w:firstLineChars="200" w:firstLine="643"/>
        <w:outlineLvl w:val="1"/>
        <w:rPr>
          <w:rFonts w:ascii="楷体_GB2312" w:eastAsia="楷体_GB2312" w:hAnsi="Calibri"/>
          <w:b/>
          <w:bCs/>
          <w:sz w:val="32"/>
          <w:szCs w:val="32"/>
        </w:rPr>
      </w:pPr>
      <w:bookmarkStart w:id="135" w:name="_Toc15530"/>
      <w:bookmarkStart w:id="136" w:name="_Toc23765"/>
      <w:bookmarkStart w:id="137" w:name="_Toc24842"/>
      <w:bookmarkStart w:id="138" w:name="_Toc14931"/>
      <w:bookmarkStart w:id="139" w:name="_Toc23439"/>
      <w:bookmarkStart w:id="140" w:name="_Toc25950"/>
      <w:bookmarkStart w:id="141" w:name="_Toc23383"/>
      <w:bookmarkStart w:id="142" w:name="_Toc32566"/>
      <w:bookmarkStart w:id="143" w:name="_Toc14771"/>
      <w:bookmarkStart w:id="144" w:name="_Toc26126"/>
      <w:bookmarkStart w:id="145" w:name="_Toc3512"/>
      <w:bookmarkStart w:id="146" w:name="_Toc28515"/>
      <w:r>
        <w:rPr>
          <w:rFonts w:ascii="楷体_GB2312" w:eastAsia="楷体_GB2312" w:hAnsi="Calibri" w:hint="eastAsia"/>
          <w:b/>
          <w:bCs/>
          <w:sz w:val="32"/>
          <w:szCs w:val="32"/>
        </w:rPr>
        <w:t>（二）资产管理</w:t>
      </w:r>
      <w:bookmarkEnd w:id="135"/>
      <w:bookmarkEnd w:id="136"/>
      <w:bookmarkEnd w:id="137"/>
      <w:bookmarkEnd w:id="138"/>
      <w:bookmarkEnd w:id="139"/>
      <w:bookmarkEnd w:id="140"/>
      <w:bookmarkEnd w:id="141"/>
      <w:bookmarkEnd w:id="142"/>
      <w:bookmarkEnd w:id="143"/>
      <w:bookmarkEnd w:id="144"/>
      <w:bookmarkEnd w:id="145"/>
      <w:bookmarkEnd w:id="146"/>
    </w:p>
    <w:p w:rsidR="00C026BE" w:rsidRPr="000C72DC" w:rsidRDefault="00A434D2" w:rsidP="000C72DC">
      <w:pPr>
        <w:pStyle w:val="a5"/>
        <w:spacing w:line="560" w:lineRule="exact"/>
        <w:ind w:firstLine="643"/>
        <w:outlineLvl w:val="2"/>
        <w:rPr>
          <w:rFonts w:ascii="仿宋" w:eastAsia="仿宋" w:hAnsi="仿宋" w:cs="宋体"/>
          <w:b/>
          <w:bCs/>
          <w:kern w:val="0"/>
          <w:sz w:val="32"/>
          <w:szCs w:val="32"/>
        </w:rPr>
      </w:pPr>
      <w:bookmarkStart w:id="147" w:name="_Toc28250"/>
      <w:bookmarkStart w:id="148" w:name="_Toc32077"/>
      <w:r w:rsidRPr="000C72DC">
        <w:rPr>
          <w:rFonts w:ascii="仿宋" w:eastAsia="仿宋" w:hAnsi="仿宋" w:cs="宋体" w:hint="eastAsia"/>
          <w:b/>
          <w:bCs/>
          <w:kern w:val="0"/>
          <w:sz w:val="32"/>
          <w:szCs w:val="32"/>
        </w:rPr>
        <w:lastRenderedPageBreak/>
        <w:t>1.资产总体情况</w:t>
      </w:r>
      <w:bookmarkEnd w:id="147"/>
      <w:bookmarkEnd w:id="148"/>
    </w:p>
    <w:p w:rsidR="00C026BE" w:rsidRPr="000C72DC" w:rsidRDefault="00A434D2">
      <w:pPr>
        <w:snapToGrid w:val="0"/>
        <w:spacing w:line="560" w:lineRule="exact"/>
        <w:ind w:firstLineChars="200" w:firstLine="640"/>
        <w:rPr>
          <w:rFonts w:ascii="仿宋" w:eastAsia="仿宋" w:hAnsi="仿宋" w:cs="仿宋_GB2312"/>
          <w:sz w:val="32"/>
          <w:szCs w:val="32"/>
        </w:rPr>
      </w:pPr>
      <w:r w:rsidRPr="000C72DC">
        <w:rPr>
          <w:rFonts w:ascii="仿宋" w:eastAsia="仿宋" w:hAnsi="仿宋" w:cs="仿宋_GB2312" w:hint="eastAsia"/>
          <w:sz w:val="32"/>
          <w:szCs w:val="32"/>
        </w:rPr>
        <w:t>截至</w:t>
      </w:r>
      <w:r w:rsidRPr="000C72DC">
        <w:rPr>
          <w:rFonts w:ascii="仿宋" w:eastAsia="仿宋" w:hAnsi="仿宋" w:cs="仿宋_GB2312"/>
          <w:sz w:val="32"/>
          <w:szCs w:val="32"/>
        </w:rPr>
        <w:t>202</w:t>
      </w:r>
      <w:r w:rsidRPr="000C72DC">
        <w:rPr>
          <w:rFonts w:ascii="仿宋" w:eastAsia="仿宋" w:hAnsi="仿宋" w:cs="仿宋_GB2312" w:hint="eastAsia"/>
          <w:sz w:val="32"/>
          <w:szCs w:val="32"/>
        </w:rPr>
        <w:t>3年1</w:t>
      </w:r>
      <w:r w:rsidRPr="000C72DC">
        <w:rPr>
          <w:rFonts w:ascii="仿宋" w:eastAsia="仿宋" w:hAnsi="仿宋" w:cs="仿宋_GB2312"/>
          <w:sz w:val="32"/>
          <w:szCs w:val="32"/>
        </w:rPr>
        <w:t>2</w:t>
      </w:r>
      <w:r w:rsidRPr="000C72DC">
        <w:rPr>
          <w:rFonts w:ascii="仿宋" w:eastAsia="仿宋" w:hAnsi="仿宋" w:cs="仿宋_GB2312" w:hint="eastAsia"/>
          <w:sz w:val="32"/>
          <w:szCs w:val="32"/>
        </w:rPr>
        <w:t>月3</w:t>
      </w:r>
      <w:r w:rsidRPr="000C72DC">
        <w:rPr>
          <w:rFonts w:ascii="仿宋" w:eastAsia="仿宋" w:hAnsi="仿宋" w:cs="仿宋_GB2312"/>
          <w:sz w:val="32"/>
          <w:szCs w:val="32"/>
        </w:rPr>
        <w:t>1</w:t>
      </w:r>
      <w:r w:rsidRPr="000C72DC">
        <w:rPr>
          <w:rFonts w:ascii="仿宋" w:eastAsia="仿宋" w:hAnsi="仿宋" w:cs="仿宋_GB2312" w:hint="eastAsia"/>
          <w:sz w:val="32"/>
          <w:szCs w:val="32"/>
        </w:rPr>
        <w:t>日，资产总额（账面净值，下同）4,272.13万元，负债总额5.03万元，净资产4,267.10万元。资产总额构成情况：货币资金7.38万元，占资产总额的0.17</w:t>
      </w:r>
      <w:r w:rsidRPr="000C72DC">
        <w:rPr>
          <w:rFonts w:ascii="仿宋" w:eastAsia="仿宋" w:hAnsi="仿宋" w:cs="仿宋_GB2312"/>
          <w:sz w:val="32"/>
          <w:szCs w:val="32"/>
        </w:rPr>
        <w:t>%</w:t>
      </w:r>
      <w:r w:rsidRPr="000C72DC">
        <w:rPr>
          <w:rFonts w:ascii="仿宋" w:eastAsia="仿宋" w:hAnsi="仿宋" w:cs="仿宋_GB2312" w:hint="eastAsia"/>
          <w:sz w:val="32"/>
          <w:szCs w:val="32"/>
        </w:rPr>
        <w:t>；财政应返还额度373.21万元，占资产总额的8.74%；固定资产净值</w:t>
      </w:r>
      <w:r w:rsidRPr="000C72DC">
        <w:rPr>
          <w:rFonts w:ascii="仿宋" w:eastAsia="仿宋" w:hAnsi="仿宋" w:cs="仿宋_GB2312"/>
          <w:sz w:val="32"/>
          <w:szCs w:val="32"/>
        </w:rPr>
        <w:t>1,</w:t>
      </w:r>
      <w:r w:rsidRPr="000C72DC">
        <w:rPr>
          <w:rFonts w:ascii="仿宋" w:eastAsia="仿宋" w:hAnsi="仿宋" w:cs="仿宋_GB2312" w:hint="eastAsia"/>
          <w:sz w:val="32"/>
          <w:szCs w:val="32"/>
        </w:rPr>
        <w:t>435.78万元，占资产总额的33.61%；无形资产净值156.62万元，占资产总额3.67%；在建工程2,299.14万元，占资产总额53.82%；受托代理资产0.00万元。</w:t>
      </w:r>
    </w:p>
    <w:p w:rsidR="00C026BE" w:rsidRPr="000C72DC" w:rsidRDefault="00A434D2" w:rsidP="000C72DC">
      <w:pPr>
        <w:pStyle w:val="a5"/>
        <w:spacing w:line="560" w:lineRule="exact"/>
        <w:ind w:firstLine="643"/>
        <w:outlineLvl w:val="2"/>
        <w:rPr>
          <w:rFonts w:ascii="仿宋" w:eastAsia="仿宋" w:hAnsi="仿宋" w:cs="宋体"/>
          <w:b/>
          <w:bCs/>
          <w:kern w:val="0"/>
          <w:sz w:val="32"/>
          <w:szCs w:val="32"/>
        </w:rPr>
      </w:pPr>
      <w:bookmarkStart w:id="149" w:name="_Toc7140"/>
      <w:bookmarkStart w:id="150" w:name="_Toc17930"/>
      <w:r w:rsidRPr="000C72DC">
        <w:rPr>
          <w:rFonts w:ascii="仿宋" w:eastAsia="仿宋" w:hAnsi="仿宋" w:cs="宋体" w:hint="eastAsia"/>
          <w:b/>
          <w:bCs/>
          <w:kern w:val="0"/>
          <w:sz w:val="32"/>
          <w:szCs w:val="32"/>
        </w:rPr>
        <w:t>2.资产管理制度及过程管理情况</w:t>
      </w:r>
      <w:bookmarkEnd w:id="149"/>
      <w:bookmarkEnd w:id="150"/>
    </w:p>
    <w:p w:rsidR="00C026BE" w:rsidRPr="000C72DC" w:rsidRDefault="00A434D2" w:rsidP="00C15F8B">
      <w:pPr>
        <w:spacing w:line="560" w:lineRule="exact"/>
        <w:ind w:leftChars="50" w:left="105" w:firstLineChars="150" w:firstLine="480"/>
        <w:rPr>
          <w:rFonts w:ascii="仿宋" w:eastAsia="仿宋" w:hAnsi="仿宋" w:cs="宋体"/>
          <w:color w:val="000000"/>
          <w:kern w:val="0"/>
          <w:sz w:val="32"/>
          <w:szCs w:val="32"/>
        </w:rPr>
      </w:pPr>
      <w:r w:rsidRPr="000C72DC">
        <w:rPr>
          <w:rFonts w:ascii="仿宋" w:eastAsia="仿宋" w:hAnsi="仿宋" w:cs="宋体" w:hint="eastAsia"/>
          <w:color w:val="000000"/>
          <w:kern w:val="0"/>
          <w:sz w:val="32"/>
          <w:szCs w:val="32"/>
        </w:rPr>
        <w:t>（1）东城区检察院建立了《固定资产管理规定》《办公用品管理办法（试行）》等管理制度，资产管理制度较为健全。</w:t>
      </w:r>
    </w:p>
    <w:p w:rsidR="00C026BE" w:rsidRPr="000C72DC" w:rsidRDefault="00A434D2">
      <w:pPr>
        <w:snapToGrid w:val="0"/>
        <w:spacing w:line="560" w:lineRule="exact"/>
        <w:ind w:firstLineChars="200" w:firstLine="640"/>
        <w:rPr>
          <w:rFonts w:ascii="仿宋" w:eastAsia="仿宋" w:hAnsi="仿宋" w:cs="仿宋_GB2312"/>
          <w:sz w:val="32"/>
          <w:szCs w:val="32"/>
        </w:rPr>
      </w:pPr>
      <w:r w:rsidRPr="000C72DC">
        <w:rPr>
          <w:rFonts w:ascii="仿宋" w:eastAsia="仿宋" w:hAnsi="仿宋" w:cs="宋体" w:hint="eastAsia"/>
          <w:color w:val="000000"/>
          <w:kern w:val="0"/>
          <w:sz w:val="32"/>
          <w:szCs w:val="32"/>
        </w:rPr>
        <w:t>（2）东城区检察院在资产管理方面能够按照现有制度执行，完善固定资产申请购买、入库、领用、转移及报废的各项手续材料，确保做到“精准管理”“有效管理”。按照国有资产管理要求，及时开展固定资产核实清查工作，对固定资产使用留存状况进行登记清查，做到摸清家底，全面掌握底数，确保账实相符。对现有固定资产留置、待报废进行分类，做好实物资产的管理与处置工作。不断增强资产管理意识、加强日常管理、及时登记账卡、落实管理责任。</w:t>
      </w:r>
    </w:p>
    <w:p w:rsidR="00C026BE" w:rsidRDefault="00A434D2">
      <w:pPr>
        <w:spacing w:line="560" w:lineRule="exact"/>
        <w:ind w:firstLineChars="200" w:firstLine="643"/>
        <w:outlineLvl w:val="1"/>
        <w:rPr>
          <w:rFonts w:ascii="楷体_GB2312" w:eastAsia="楷体_GB2312" w:hAnsi="Calibri"/>
          <w:b/>
          <w:bCs/>
          <w:sz w:val="32"/>
          <w:szCs w:val="32"/>
        </w:rPr>
      </w:pPr>
      <w:bookmarkStart w:id="151" w:name="_Toc5799"/>
      <w:bookmarkStart w:id="152" w:name="_Toc17376"/>
      <w:bookmarkStart w:id="153" w:name="_Toc17262"/>
      <w:bookmarkStart w:id="154" w:name="_Toc27360"/>
      <w:bookmarkStart w:id="155" w:name="_Toc4783"/>
      <w:bookmarkStart w:id="156" w:name="_Toc18266"/>
      <w:bookmarkStart w:id="157" w:name="_Toc6642"/>
      <w:bookmarkStart w:id="158" w:name="_Toc17745"/>
      <w:bookmarkStart w:id="159" w:name="_Toc19401"/>
      <w:bookmarkStart w:id="160" w:name="_Toc6571"/>
      <w:bookmarkStart w:id="161" w:name="_Toc23733"/>
      <w:bookmarkStart w:id="162" w:name="_Toc26245"/>
      <w:r>
        <w:rPr>
          <w:rFonts w:ascii="楷体_GB2312" w:eastAsia="楷体_GB2312" w:hAnsi="Calibri" w:hint="eastAsia"/>
          <w:b/>
          <w:bCs/>
          <w:sz w:val="32"/>
          <w:szCs w:val="32"/>
        </w:rPr>
        <w:t>（三）绩效管理</w:t>
      </w:r>
      <w:bookmarkEnd w:id="151"/>
      <w:bookmarkEnd w:id="152"/>
      <w:bookmarkEnd w:id="153"/>
      <w:bookmarkEnd w:id="154"/>
      <w:bookmarkEnd w:id="155"/>
      <w:bookmarkEnd w:id="156"/>
      <w:bookmarkEnd w:id="157"/>
      <w:bookmarkEnd w:id="158"/>
      <w:bookmarkEnd w:id="159"/>
      <w:bookmarkEnd w:id="160"/>
      <w:bookmarkEnd w:id="161"/>
      <w:bookmarkEnd w:id="162"/>
    </w:p>
    <w:p w:rsidR="00C026BE" w:rsidRPr="00D702CA" w:rsidRDefault="00A434D2">
      <w:pPr>
        <w:snapToGrid w:val="0"/>
        <w:spacing w:line="560" w:lineRule="exact"/>
        <w:ind w:firstLineChars="200" w:firstLine="640"/>
        <w:rPr>
          <w:rFonts w:ascii="仿宋" w:eastAsia="仿宋" w:hAnsi="仿宋" w:cs="宋体"/>
          <w:color w:val="000000"/>
          <w:kern w:val="0"/>
          <w:sz w:val="32"/>
          <w:szCs w:val="32"/>
        </w:rPr>
      </w:pPr>
      <w:r w:rsidRPr="00D702CA">
        <w:rPr>
          <w:rFonts w:ascii="仿宋" w:eastAsia="仿宋" w:hAnsi="仿宋" w:cs="宋体" w:hint="eastAsia"/>
          <w:color w:val="000000"/>
          <w:kern w:val="0"/>
          <w:sz w:val="32"/>
          <w:szCs w:val="32"/>
        </w:rPr>
        <w:t>东城区检察院按照北京市财政局关于“预算编制有目标、预算执行有监控、预算完成有评价、评价结果有反馈、反馈结果有应用”的预算绩效管理要求，深化推进全面预算绩效</w:t>
      </w:r>
      <w:r w:rsidRPr="00D702CA">
        <w:rPr>
          <w:rFonts w:ascii="仿宋" w:eastAsia="仿宋" w:hAnsi="仿宋" w:cs="宋体" w:hint="eastAsia"/>
          <w:color w:val="000000"/>
          <w:kern w:val="0"/>
          <w:sz w:val="32"/>
          <w:szCs w:val="32"/>
        </w:rPr>
        <w:lastRenderedPageBreak/>
        <w:t>管理工作，将所有预算资金纳入部门预算绩效管理工作。</w:t>
      </w:r>
    </w:p>
    <w:p w:rsidR="00C026BE" w:rsidRPr="00D702CA" w:rsidRDefault="00A434D2">
      <w:pPr>
        <w:snapToGrid w:val="0"/>
        <w:spacing w:line="560" w:lineRule="exact"/>
        <w:ind w:firstLineChars="200" w:firstLine="640"/>
        <w:rPr>
          <w:rFonts w:ascii="仿宋" w:eastAsia="仿宋" w:hAnsi="仿宋" w:cs="宋体"/>
          <w:color w:val="000000"/>
          <w:kern w:val="0"/>
          <w:sz w:val="32"/>
          <w:szCs w:val="32"/>
        </w:rPr>
      </w:pPr>
      <w:r w:rsidRPr="00D702CA">
        <w:rPr>
          <w:rFonts w:ascii="仿宋" w:eastAsia="仿宋" w:hAnsi="仿宋" w:cs="宋体" w:hint="eastAsia"/>
          <w:color w:val="000000"/>
          <w:kern w:val="0"/>
          <w:sz w:val="32"/>
          <w:szCs w:val="32"/>
        </w:rPr>
        <w:t>2023年，按照市财政要求对全部立项批复项目开展预算绩效监控工作，从预算资金执行、管理以及绩效目标完成等情况进行分析，进一步加强了预算绩效运行监控管理。</w:t>
      </w:r>
    </w:p>
    <w:p w:rsidR="00C026BE" w:rsidRPr="00D702CA" w:rsidRDefault="00A434D2">
      <w:pPr>
        <w:snapToGrid w:val="0"/>
        <w:spacing w:line="560" w:lineRule="exact"/>
        <w:ind w:firstLineChars="200" w:firstLine="640"/>
        <w:rPr>
          <w:rFonts w:ascii="仿宋" w:eastAsia="仿宋" w:hAnsi="仿宋" w:cs="仿宋_GB2312"/>
          <w:sz w:val="32"/>
          <w:szCs w:val="32"/>
        </w:rPr>
      </w:pPr>
      <w:r w:rsidRPr="00D702CA">
        <w:rPr>
          <w:rFonts w:ascii="仿宋" w:eastAsia="仿宋" w:hAnsi="仿宋" w:cs="宋体" w:hint="eastAsia"/>
          <w:color w:val="000000"/>
          <w:kern w:val="0"/>
          <w:sz w:val="32"/>
          <w:szCs w:val="32"/>
        </w:rPr>
        <w:t>按照《北京市财政局关于开展2024年预算绩效管理相关工作的函》要求对“安检安保工作经费”项目采用部门评价方式开展，出具绩效评价报告；其他项目采用单位自评方式进行评价，出具项目支出绩效自评表。总体评价结果来看，各项目能够较好地按照预算执行，绩效目标设定较为合理，绩效目标及产出指标的完成情况较好，项目执行过程比较规范，项目效果基本达到预定目标</w:t>
      </w:r>
      <w:r w:rsidRPr="00D702CA">
        <w:rPr>
          <w:rFonts w:ascii="仿宋" w:eastAsia="仿宋" w:hAnsi="仿宋" w:cs="仿宋_GB2312" w:hint="eastAsia"/>
          <w:sz w:val="32"/>
          <w:szCs w:val="32"/>
        </w:rPr>
        <w:t>。</w:t>
      </w:r>
    </w:p>
    <w:p w:rsidR="00C026BE" w:rsidRDefault="00A434D2">
      <w:pPr>
        <w:spacing w:line="560" w:lineRule="exact"/>
        <w:ind w:firstLineChars="200" w:firstLine="643"/>
        <w:outlineLvl w:val="1"/>
        <w:rPr>
          <w:rFonts w:ascii="楷体_GB2312" w:eastAsia="楷体_GB2312" w:hAnsi="Calibri"/>
          <w:b/>
          <w:bCs/>
          <w:sz w:val="32"/>
          <w:szCs w:val="32"/>
        </w:rPr>
      </w:pPr>
      <w:bookmarkStart w:id="163" w:name="_Toc16726"/>
      <w:bookmarkStart w:id="164" w:name="_Toc28103"/>
      <w:bookmarkStart w:id="165" w:name="_Toc15164"/>
      <w:bookmarkStart w:id="166" w:name="_Toc23025"/>
      <w:bookmarkStart w:id="167" w:name="_Toc16447"/>
      <w:bookmarkStart w:id="168" w:name="_Toc4692"/>
      <w:bookmarkStart w:id="169" w:name="_Toc17244"/>
      <w:bookmarkStart w:id="170" w:name="_Toc20360"/>
      <w:bookmarkStart w:id="171" w:name="_Toc10886"/>
      <w:bookmarkStart w:id="172" w:name="_Toc10176"/>
      <w:bookmarkStart w:id="173" w:name="_Toc28539"/>
      <w:bookmarkStart w:id="174" w:name="_Toc23590"/>
      <w:r>
        <w:rPr>
          <w:rFonts w:ascii="楷体_GB2312" w:eastAsia="楷体_GB2312" w:hAnsi="Calibri" w:hint="eastAsia"/>
          <w:b/>
          <w:bCs/>
          <w:sz w:val="32"/>
          <w:szCs w:val="32"/>
        </w:rPr>
        <w:t>（四）结转结余情况</w:t>
      </w:r>
      <w:bookmarkEnd w:id="163"/>
      <w:bookmarkEnd w:id="164"/>
      <w:bookmarkEnd w:id="165"/>
      <w:bookmarkEnd w:id="166"/>
      <w:bookmarkEnd w:id="167"/>
      <w:bookmarkEnd w:id="168"/>
      <w:bookmarkEnd w:id="169"/>
      <w:bookmarkEnd w:id="170"/>
      <w:bookmarkEnd w:id="171"/>
      <w:bookmarkEnd w:id="172"/>
      <w:bookmarkEnd w:id="173"/>
      <w:bookmarkEnd w:id="174"/>
    </w:p>
    <w:p w:rsidR="00C026BE" w:rsidRPr="00C15F8B" w:rsidRDefault="00A434D2">
      <w:pPr>
        <w:snapToGrid w:val="0"/>
        <w:spacing w:line="560" w:lineRule="exact"/>
        <w:ind w:firstLineChars="200" w:firstLine="640"/>
        <w:rPr>
          <w:rFonts w:ascii="仿宋" w:eastAsia="仿宋" w:hAnsi="仿宋" w:cs="仿宋_GB2312"/>
          <w:sz w:val="32"/>
          <w:szCs w:val="32"/>
        </w:rPr>
      </w:pPr>
      <w:r w:rsidRPr="00C15F8B">
        <w:rPr>
          <w:rFonts w:ascii="仿宋" w:eastAsia="仿宋" w:hAnsi="仿宋" w:cs="仿宋_GB2312" w:hint="eastAsia"/>
          <w:sz w:val="32"/>
          <w:szCs w:val="32"/>
        </w:rPr>
        <w:t>2</w:t>
      </w:r>
      <w:r w:rsidRPr="00C15F8B">
        <w:rPr>
          <w:rFonts w:ascii="仿宋" w:eastAsia="仿宋" w:hAnsi="仿宋" w:cs="仿宋_GB2312"/>
          <w:sz w:val="32"/>
          <w:szCs w:val="32"/>
        </w:rPr>
        <w:t>02</w:t>
      </w:r>
      <w:r w:rsidRPr="00C15F8B">
        <w:rPr>
          <w:rFonts w:ascii="仿宋" w:eastAsia="仿宋" w:hAnsi="仿宋" w:cs="仿宋_GB2312" w:hint="eastAsia"/>
          <w:sz w:val="32"/>
          <w:szCs w:val="32"/>
        </w:rPr>
        <w:t>3年，东城区检察院全年预算批复11,279.73万元，年末结转结余375.21万元（其中，财政拨款结转结余373.21万元，其他资金2.00万元），结转结余率为3.33</w:t>
      </w:r>
      <w:r w:rsidRPr="00C15F8B">
        <w:rPr>
          <w:rFonts w:ascii="仿宋" w:eastAsia="仿宋" w:hAnsi="仿宋" w:cs="仿宋_GB2312"/>
          <w:sz w:val="32"/>
          <w:szCs w:val="32"/>
        </w:rPr>
        <w:t>%</w:t>
      </w:r>
      <w:r w:rsidRPr="00C15F8B">
        <w:rPr>
          <w:rFonts w:ascii="仿宋" w:eastAsia="仿宋" w:hAnsi="仿宋" w:cs="仿宋_GB2312" w:hint="eastAsia"/>
          <w:sz w:val="32"/>
          <w:szCs w:val="32"/>
        </w:rPr>
        <w:t>，与上年结转结余率（3%）基本持平。</w:t>
      </w:r>
    </w:p>
    <w:p w:rsidR="00C026BE" w:rsidRDefault="00A434D2">
      <w:pPr>
        <w:spacing w:line="560" w:lineRule="exact"/>
        <w:ind w:firstLineChars="200" w:firstLine="643"/>
        <w:outlineLvl w:val="1"/>
        <w:rPr>
          <w:rFonts w:ascii="楷体_GB2312" w:eastAsia="楷体_GB2312" w:hAnsi="Calibri"/>
          <w:b/>
          <w:bCs/>
          <w:sz w:val="32"/>
          <w:szCs w:val="32"/>
        </w:rPr>
      </w:pPr>
      <w:bookmarkStart w:id="175" w:name="_Toc23904"/>
      <w:bookmarkStart w:id="176" w:name="_Toc3496"/>
      <w:bookmarkStart w:id="177" w:name="_Toc13505"/>
      <w:bookmarkStart w:id="178" w:name="_Toc23231"/>
      <w:bookmarkStart w:id="179" w:name="_Toc32288"/>
      <w:bookmarkStart w:id="180" w:name="_Toc10761"/>
      <w:bookmarkStart w:id="181" w:name="_Toc18769"/>
      <w:bookmarkStart w:id="182" w:name="_Toc11155"/>
      <w:bookmarkStart w:id="183" w:name="_Toc11283"/>
      <w:bookmarkStart w:id="184" w:name="_Toc19416"/>
      <w:bookmarkStart w:id="185" w:name="_Toc23155"/>
      <w:bookmarkStart w:id="186" w:name="_Toc26642"/>
      <w:r>
        <w:rPr>
          <w:rFonts w:ascii="楷体_GB2312" w:eastAsia="楷体_GB2312" w:hAnsi="Calibri" w:hint="eastAsia"/>
          <w:b/>
          <w:bCs/>
          <w:sz w:val="32"/>
          <w:szCs w:val="32"/>
        </w:rPr>
        <w:t>（五）部门预决算差异情况</w:t>
      </w:r>
      <w:bookmarkEnd w:id="175"/>
      <w:bookmarkEnd w:id="176"/>
      <w:bookmarkEnd w:id="177"/>
      <w:bookmarkEnd w:id="178"/>
      <w:bookmarkEnd w:id="179"/>
      <w:bookmarkEnd w:id="180"/>
      <w:bookmarkEnd w:id="181"/>
      <w:bookmarkEnd w:id="182"/>
      <w:bookmarkEnd w:id="183"/>
      <w:bookmarkEnd w:id="184"/>
      <w:bookmarkEnd w:id="185"/>
      <w:bookmarkEnd w:id="186"/>
    </w:p>
    <w:p w:rsidR="00C026BE" w:rsidRPr="00C15F8B" w:rsidRDefault="00A434D2">
      <w:pPr>
        <w:snapToGrid w:val="0"/>
        <w:spacing w:line="560" w:lineRule="exact"/>
        <w:ind w:firstLineChars="200" w:firstLine="640"/>
        <w:rPr>
          <w:rFonts w:ascii="仿宋" w:eastAsia="仿宋" w:hAnsi="仿宋" w:cs="仿宋_GB2312"/>
          <w:sz w:val="32"/>
          <w:szCs w:val="32"/>
        </w:rPr>
      </w:pPr>
      <w:r w:rsidRPr="00C15F8B">
        <w:rPr>
          <w:rFonts w:ascii="仿宋" w:eastAsia="仿宋" w:hAnsi="仿宋" w:cs="仿宋_GB2312" w:hint="eastAsia"/>
          <w:sz w:val="32"/>
          <w:szCs w:val="32"/>
        </w:rPr>
        <w:t>2023年，年初部门预算12,135.53万元，年度部门决算10,904.52万元，部门预决算差异率为10.14</w:t>
      </w:r>
      <w:r w:rsidRPr="00C15F8B">
        <w:rPr>
          <w:rFonts w:ascii="仿宋" w:eastAsia="仿宋" w:hAnsi="仿宋" w:cs="仿宋_GB2312"/>
          <w:sz w:val="32"/>
          <w:szCs w:val="32"/>
        </w:rPr>
        <w:t>%</w:t>
      </w:r>
      <w:r w:rsidRPr="00C15F8B">
        <w:rPr>
          <w:rFonts w:ascii="仿宋" w:eastAsia="仿宋" w:hAnsi="仿宋" w:cs="仿宋_GB2312" w:hint="eastAsia"/>
          <w:sz w:val="32"/>
          <w:szCs w:val="32"/>
        </w:rPr>
        <w:t>，低于市级平均差异率（28.30%）。</w:t>
      </w:r>
    </w:p>
    <w:p w:rsidR="00C026BE" w:rsidRDefault="00A434D2">
      <w:pPr>
        <w:spacing w:line="560" w:lineRule="exact"/>
        <w:ind w:firstLineChars="200" w:firstLine="640"/>
        <w:outlineLvl w:val="0"/>
        <w:rPr>
          <w:rFonts w:ascii="黑体" w:eastAsia="黑体" w:hAnsi="黑体" w:cs="黑体"/>
          <w:kern w:val="0"/>
          <w:sz w:val="32"/>
          <w:szCs w:val="32"/>
        </w:rPr>
      </w:pPr>
      <w:bookmarkStart w:id="187" w:name="_Toc13237"/>
      <w:bookmarkStart w:id="188" w:name="_Toc16990"/>
      <w:bookmarkStart w:id="189" w:name="_Toc25178"/>
      <w:bookmarkStart w:id="190" w:name="_Toc6235"/>
      <w:bookmarkStart w:id="191" w:name="_Toc1443"/>
      <w:bookmarkStart w:id="192" w:name="_Toc19591"/>
      <w:bookmarkStart w:id="193" w:name="_Toc32086"/>
      <w:bookmarkStart w:id="194" w:name="_Toc13184"/>
      <w:bookmarkStart w:id="195" w:name="_Toc10227"/>
      <w:bookmarkStart w:id="196" w:name="_Toc12270"/>
      <w:bookmarkStart w:id="197" w:name="_Toc18117"/>
      <w:bookmarkStart w:id="198" w:name="_Toc28278"/>
      <w:r>
        <w:rPr>
          <w:rFonts w:ascii="黑体" w:eastAsia="黑体" w:hAnsi="黑体" w:cs="黑体" w:hint="eastAsia"/>
          <w:kern w:val="0"/>
          <w:sz w:val="32"/>
          <w:szCs w:val="32"/>
        </w:rPr>
        <w:t>五、总体</w:t>
      </w:r>
      <w:r>
        <w:rPr>
          <w:rFonts w:ascii="黑体" w:eastAsia="黑体" w:hAnsi="黑体" w:cs="黑体"/>
          <w:kern w:val="0"/>
          <w:sz w:val="32"/>
          <w:szCs w:val="32"/>
        </w:rPr>
        <w:t>评价结论</w:t>
      </w:r>
      <w:bookmarkEnd w:id="187"/>
      <w:bookmarkEnd w:id="188"/>
      <w:bookmarkEnd w:id="189"/>
      <w:bookmarkEnd w:id="190"/>
      <w:bookmarkEnd w:id="191"/>
      <w:bookmarkEnd w:id="192"/>
      <w:bookmarkEnd w:id="193"/>
      <w:bookmarkEnd w:id="194"/>
      <w:bookmarkEnd w:id="195"/>
      <w:bookmarkEnd w:id="196"/>
      <w:bookmarkEnd w:id="197"/>
      <w:bookmarkEnd w:id="198"/>
    </w:p>
    <w:p w:rsidR="00C026BE" w:rsidRDefault="00A434D2">
      <w:pPr>
        <w:spacing w:line="560" w:lineRule="exact"/>
        <w:ind w:firstLineChars="200" w:firstLine="643"/>
        <w:outlineLvl w:val="1"/>
        <w:rPr>
          <w:rFonts w:ascii="楷体_GB2312" w:eastAsia="楷体_GB2312" w:hAnsi="Calibri"/>
          <w:b/>
          <w:bCs/>
          <w:sz w:val="32"/>
          <w:szCs w:val="32"/>
        </w:rPr>
      </w:pPr>
      <w:bookmarkStart w:id="199" w:name="_Toc29870"/>
      <w:bookmarkStart w:id="200" w:name="_Toc20395"/>
      <w:bookmarkStart w:id="201" w:name="_Toc20908"/>
      <w:bookmarkStart w:id="202" w:name="_Toc30014"/>
      <w:bookmarkStart w:id="203" w:name="_Toc23957"/>
      <w:bookmarkStart w:id="204" w:name="_Toc9225"/>
      <w:bookmarkStart w:id="205" w:name="_Toc15438"/>
      <w:bookmarkStart w:id="206" w:name="_Toc25562"/>
      <w:bookmarkStart w:id="207" w:name="_Toc4210"/>
      <w:bookmarkStart w:id="208" w:name="_Toc32259"/>
      <w:bookmarkStart w:id="209" w:name="_Toc16265"/>
      <w:bookmarkStart w:id="210" w:name="_Toc12405"/>
      <w:r>
        <w:rPr>
          <w:rFonts w:ascii="楷体_GB2312" w:eastAsia="楷体_GB2312" w:hAnsi="Calibri" w:hint="eastAsia"/>
          <w:b/>
          <w:bCs/>
          <w:sz w:val="32"/>
          <w:szCs w:val="32"/>
        </w:rPr>
        <w:t>（一）评价得分情况</w:t>
      </w:r>
      <w:bookmarkEnd w:id="199"/>
      <w:bookmarkEnd w:id="200"/>
      <w:bookmarkEnd w:id="201"/>
      <w:bookmarkEnd w:id="202"/>
      <w:bookmarkEnd w:id="203"/>
      <w:bookmarkEnd w:id="204"/>
      <w:bookmarkEnd w:id="205"/>
      <w:bookmarkEnd w:id="206"/>
      <w:bookmarkEnd w:id="207"/>
      <w:bookmarkEnd w:id="208"/>
      <w:bookmarkEnd w:id="209"/>
      <w:bookmarkEnd w:id="210"/>
    </w:p>
    <w:p w:rsidR="00C026BE" w:rsidRPr="00C15F8B" w:rsidRDefault="00A434D2">
      <w:pPr>
        <w:snapToGrid w:val="0"/>
        <w:spacing w:line="560" w:lineRule="exact"/>
        <w:ind w:firstLineChars="200" w:firstLine="640"/>
        <w:rPr>
          <w:rFonts w:ascii="仿宋" w:eastAsia="仿宋" w:hAnsi="仿宋" w:cs="宋体"/>
          <w:color w:val="000000"/>
          <w:kern w:val="0"/>
          <w:sz w:val="32"/>
          <w:szCs w:val="32"/>
        </w:rPr>
      </w:pPr>
      <w:r w:rsidRPr="00C15F8B">
        <w:rPr>
          <w:rFonts w:ascii="仿宋" w:eastAsia="仿宋" w:hAnsi="仿宋" w:cs="宋体" w:hint="eastAsia"/>
          <w:color w:val="000000"/>
          <w:kern w:val="0"/>
          <w:sz w:val="32"/>
          <w:szCs w:val="32"/>
        </w:rPr>
        <w:t>经综合评价，东城区检察院2023年度部门整体支出绩效评价总得分92.83分，评价结果为“优秀”。其中</w:t>
      </w:r>
      <w:r w:rsidRPr="00C15F8B">
        <w:rPr>
          <w:rFonts w:ascii="仿宋" w:eastAsia="仿宋" w:hAnsi="仿宋" w:cs="仿宋_GB2312" w:hint="eastAsia"/>
          <w:sz w:val="32"/>
          <w:szCs w:val="32"/>
        </w:rPr>
        <w:t>当年预</w:t>
      </w:r>
      <w:r w:rsidRPr="00C15F8B">
        <w:rPr>
          <w:rFonts w:ascii="仿宋" w:eastAsia="仿宋" w:hAnsi="仿宋" w:cs="仿宋_GB2312" w:hint="eastAsia"/>
          <w:sz w:val="32"/>
          <w:szCs w:val="32"/>
        </w:rPr>
        <w:lastRenderedPageBreak/>
        <w:t>算执行情况得分为19.33分；整体绩效目标实现情况得分为54分；预算管理情况得分19.50分。</w:t>
      </w:r>
    </w:p>
    <w:p w:rsidR="00C026BE" w:rsidRDefault="00A434D2">
      <w:pPr>
        <w:spacing w:line="560" w:lineRule="exact"/>
        <w:ind w:firstLineChars="200" w:firstLine="643"/>
        <w:outlineLvl w:val="1"/>
        <w:rPr>
          <w:rFonts w:ascii="楷体_GB2312" w:eastAsia="楷体_GB2312" w:hAnsi="Calibri"/>
          <w:b/>
          <w:bCs/>
          <w:sz w:val="32"/>
          <w:szCs w:val="32"/>
        </w:rPr>
      </w:pPr>
      <w:bookmarkStart w:id="211" w:name="_Toc2388"/>
      <w:bookmarkStart w:id="212" w:name="_Toc147"/>
      <w:bookmarkStart w:id="213" w:name="_Toc31499"/>
      <w:bookmarkStart w:id="214" w:name="_Toc66"/>
      <w:bookmarkStart w:id="215" w:name="_Toc24144"/>
      <w:bookmarkStart w:id="216" w:name="_Toc29215"/>
      <w:bookmarkStart w:id="217" w:name="_Toc14839"/>
      <w:bookmarkStart w:id="218" w:name="_Toc27195"/>
      <w:bookmarkStart w:id="219" w:name="_Toc24017"/>
      <w:bookmarkStart w:id="220" w:name="_Toc24542"/>
      <w:bookmarkStart w:id="221" w:name="_Toc24946"/>
      <w:bookmarkStart w:id="222" w:name="_Toc27845"/>
      <w:r>
        <w:rPr>
          <w:rFonts w:ascii="楷体_GB2312" w:eastAsia="楷体_GB2312" w:hAnsi="Calibri" w:hint="eastAsia"/>
          <w:b/>
          <w:bCs/>
          <w:sz w:val="32"/>
          <w:szCs w:val="32"/>
        </w:rPr>
        <w:t>（二）存在的问题</w:t>
      </w:r>
      <w:bookmarkEnd w:id="211"/>
      <w:r>
        <w:rPr>
          <w:rFonts w:ascii="楷体_GB2312" w:eastAsia="楷体_GB2312" w:hAnsi="Calibri" w:hint="eastAsia"/>
          <w:b/>
          <w:bCs/>
          <w:sz w:val="32"/>
          <w:szCs w:val="32"/>
        </w:rPr>
        <w:t>及原因分析</w:t>
      </w:r>
      <w:bookmarkEnd w:id="212"/>
      <w:bookmarkEnd w:id="213"/>
      <w:bookmarkEnd w:id="214"/>
      <w:bookmarkEnd w:id="215"/>
      <w:bookmarkEnd w:id="216"/>
      <w:bookmarkEnd w:id="217"/>
      <w:bookmarkEnd w:id="218"/>
      <w:bookmarkEnd w:id="219"/>
      <w:bookmarkEnd w:id="220"/>
      <w:bookmarkEnd w:id="221"/>
      <w:bookmarkEnd w:id="222"/>
    </w:p>
    <w:p w:rsidR="00C026BE" w:rsidRPr="00C15F8B" w:rsidRDefault="00A434D2">
      <w:pPr>
        <w:snapToGrid w:val="0"/>
        <w:spacing w:line="560" w:lineRule="exact"/>
        <w:ind w:firstLineChars="200" w:firstLine="640"/>
        <w:rPr>
          <w:rFonts w:ascii="仿宋" w:eastAsia="仿宋" w:hAnsi="仿宋" w:cs="仿宋_GB2312"/>
          <w:sz w:val="32"/>
          <w:szCs w:val="32"/>
        </w:rPr>
      </w:pPr>
      <w:r w:rsidRPr="00C15F8B">
        <w:rPr>
          <w:rFonts w:ascii="仿宋" w:eastAsia="仿宋" w:hAnsi="仿宋" w:cs="仿宋_GB2312" w:hint="eastAsia"/>
          <w:sz w:val="32"/>
          <w:szCs w:val="32"/>
        </w:rPr>
        <w:t>1.部门整体绩效目标设置不够细化，目标与部门职责职能和预算、重点工作任务的结合紧密度不够；部门整体绩效指标设置不全面，产出均为质量指标且为定性指标，缺乏细化、量化、可考核性。</w:t>
      </w:r>
    </w:p>
    <w:p w:rsidR="00C026BE" w:rsidRPr="00C15F8B" w:rsidRDefault="00A434D2">
      <w:pPr>
        <w:snapToGrid w:val="0"/>
        <w:spacing w:line="560" w:lineRule="exact"/>
        <w:ind w:firstLineChars="200" w:firstLine="640"/>
        <w:rPr>
          <w:rFonts w:ascii="仿宋" w:eastAsia="仿宋" w:hAnsi="仿宋" w:cs="仿宋_GB2312"/>
          <w:sz w:val="32"/>
          <w:szCs w:val="32"/>
        </w:rPr>
      </w:pPr>
      <w:r w:rsidRPr="00C15F8B">
        <w:rPr>
          <w:rFonts w:ascii="仿宋" w:eastAsia="仿宋" w:hAnsi="仿宋" w:cs="仿宋_GB2312" w:hint="eastAsia"/>
          <w:sz w:val="32"/>
          <w:szCs w:val="32"/>
        </w:rPr>
        <w:t>2.呈现项目效益效果的有效证明资料不够充分，个别项目开展满意度调查工作不够全面，不能体现通过项目实施以及开展各项活动受益服务对象的满意程度。</w:t>
      </w:r>
    </w:p>
    <w:p w:rsidR="00C026BE" w:rsidRDefault="00A434D2">
      <w:pPr>
        <w:spacing w:line="560" w:lineRule="exact"/>
        <w:ind w:firstLineChars="200" w:firstLine="640"/>
        <w:outlineLvl w:val="0"/>
        <w:rPr>
          <w:rFonts w:ascii="黑体" w:eastAsia="黑体" w:hAnsi="黑体" w:cs="黑体"/>
          <w:kern w:val="0"/>
          <w:sz w:val="32"/>
          <w:szCs w:val="32"/>
        </w:rPr>
      </w:pPr>
      <w:bookmarkStart w:id="223" w:name="_Toc30050"/>
      <w:bookmarkStart w:id="224" w:name="_Toc5679"/>
      <w:bookmarkStart w:id="225" w:name="_Toc5732"/>
      <w:bookmarkStart w:id="226" w:name="_Toc6049"/>
      <w:bookmarkStart w:id="227" w:name="_Toc2064"/>
      <w:bookmarkStart w:id="228" w:name="_Toc2813"/>
      <w:bookmarkStart w:id="229" w:name="_Toc6711"/>
      <w:bookmarkStart w:id="230" w:name="_Toc13214"/>
      <w:bookmarkStart w:id="231" w:name="_Toc29600"/>
      <w:bookmarkStart w:id="232" w:name="_Toc6427"/>
      <w:bookmarkStart w:id="233" w:name="_Toc29354"/>
      <w:bookmarkStart w:id="234" w:name="_Toc20424"/>
      <w:r>
        <w:rPr>
          <w:rFonts w:ascii="黑体" w:eastAsia="黑体" w:hAnsi="黑体" w:cs="黑体" w:hint="eastAsia"/>
          <w:kern w:val="0"/>
          <w:sz w:val="32"/>
          <w:szCs w:val="32"/>
        </w:rPr>
        <w:t>六、措施建议</w:t>
      </w:r>
      <w:bookmarkEnd w:id="223"/>
      <w:bookmarkEnd w:id="224"/>
      <w:bookmarkEnd w:id="225"/>
      <w:bookmarkEnd w:id="226"/>
      <w:bookmarkEnd w:id="227"/>
      <w:bookmarkEnd w:id="228"/>
      <w:bookmarkEnd w:id="229"/>
      <w:bookmarkEnd w:id="230"/>
      <w:bookmarkEnd w:id="231"/>
      <w:bookmarkEnd w:id="232"/>
      <w:bookmarkEnd w:id="233"/>
      <w:bookmarkEnd w:id="234"/>
    </w:p>
    <w:p w:rsidR="00C026BE" w:rsidRPr="00C15F8B" w:rsidRDefault="00A434D2">
      <w:pPr>
        <w:snapToGrid w:val="0"/>
        <w:spacing w:line="560" w:lineRule="exact"/>
        <w:ind w:firstLineChars="200" w:firstLine="640"/>
        <w:rPr>
          <w:rFonts w:ascii="仿宋" w:eastAsia="仿宋" w:hAnsi="仿宋" w:cs="仿宋_GB2312"/>
          <w:sz w:val="32"/>
          <w:szCs w:val="32"/>
        </w:rPr>
      </w:pPr>
      <w:bookmarkStart w:id="235" w:name="_Toc72401385"/>
      <w:r w:rsidRPr="00C15F8B">
        <w:rPr>
          <w:rFonts w:ascii="仿宋" w:eastAsia="仿宋" w:hAnsi="仿宋" w:cs="仿宋_GB2312" w:hint="eastAsia"/>
          <w:sz w:val="32"/>
          <w:szCs w:val="32"/>
        </w:rPr>
        <w:t>1.进一步增强绩效管理意识，加强绩效目标管理，绩效目标设置与部门职责职能和预算、重点工作任务紧密结合，绩效指标设置应对应年度履职的重点项目任务，合理设置产出数量指标，对应质量指标、时效指标、成本指标、效益指标等，做到细化、量化，增强可考核性；结合以前年度项目执行情况、绩效实现情况，制定年度需求与目标。</w:t>
      </w:r>
    </w:p>
    <w:p w:rsidR="00C026BE" w:rsidRDefault="00A434D2">
      <w:pPr>
        <w:snapToGrid w:val="0"/>
        <w:spacing w:line="560" w:lineRule="exact"/>
        <w:ind w:firstLineChars="200" w:firstLine="640"/>
        <w:rPr>
          <w:rFonts w:ascii="仿宋_GB2312" w:eastAsia="仿宋_GB2312" w:hAnsi="仿宋_GB2312" w:cs="仿宋_GB2312"/>
          <w:sz w:val="32"/>
          <w:szCs w:val="32"/>
        </w:rPr>
      </w:pPr>
      <w:r w:rsidRPr="00C15F8B">
        <w:rPr>
          <w:rFonts w:ascii="仿宋" w:eastAsia="仿宋" w:hAnsi="仿宋" w:cs="仿宋_GB2312" w:hint="eastAsia"/>
          <w:sz w:val="32"/>
          <w:szCs w:val="32"/>
        </w:rPr>
        <w:t>2.加强全面预算绩效管理意识，</w:t>
      </w:r>
      <w:bookmarkEnd w:id="235"/>
      <w:r w:rsidRPr="00C15F8B">
        <w:rPr>
          <w:rFonts w:ascii="仿宋" w:eastAsia="仿宋" w:hAnsi="仿宋" w:cs="仿宋_GB2312" w:hint="eastAsia"/>
          <w:sz w:val="32"/>
          <w:szCs w:val="32"/>
        </w:rPr>
        <w:t>注重项目效益和效果资料归集，为项目成果提供更具体的数据支撑。结合项目服务对象，选择适当的方法，全面开展服务对象满意度调查及分析，充分反映项目服务对象满意度效果。</w:t>
      </w:r>
    </w:p>
    <w:p w:rsidR="00C026BE" w:rsidRDefault="00A434D2">
      <w:pPr>
        <w:spacing w:line="560" w:lineRule="exact"/>
        <w:ind w:firstLineChars="200" w:firstLine="640"/>
        <w:outlineLvl w:val="0"/>
        <w:rPr>
          <w:rFonts w:ascii="黑体" w:eastAsia="黑体" w:hAnsi="黑体" w:cs="黑体"/>
          <w:kern w:val="0"/>
          <w:sz w:val="32"/>
          <w:szCs w:val="32"/>
        </w:rPr>
      </w:pPr>
      <w:bookmarkStart w:id="236" w:name="_Toc32525"/>
      <w:bookmarkStart w:id="237" w:name="_Toc19531"/>
      <w:bookmarkStart w:id="238" w:name="_Toc12306"/>
      <w:bookmarkStart w:id="239" w:name="_Toc22397"/>
      <w:bookmarkStart w:id="240" w:name="_Toc28930"/>
      <w:bookmarkStart w:id="241" w:name="_Toc12903"/>
      <w:bookmarkStart w:id="242" w:name="_Toc17208"/>
      <w:bookmarkStart w:id="243" w:name="_Toc27813"/>
      <w:bookmarkStart w:id="244" w:name="_Toc15512"/>
      <w:bookmarkStart w:id="245" w:name="_Toc7209"/>
      <w:bookmarkStart w:id="246" w:name="_Toc18633"/>
      <w:bookmarkStart w:id="247" w:name="_Toc7171"/>
      <w:r>
        <w:rPr>
          <w:rFonts w:ascii="黑体" w:eastAsia="黑体" w:hAnsi="黑体" w:cs="黑体" w:hint="eastAsia"/>
          <w:kern w:val="0"/>
          <w:sz w:val="32"/>
          <w:szCs w:val="32"/>
        </w:rPr>
        <w:t>七、附件</w:t>
      </w:r>
      <w:bookmarkEnd w:id="236"/>
      <w:bookmarkEnd w:id="237"/>
      <w:bookmarkEnd w:id="238"/>
      <w:bookmarkEnd w:id="239"/>
      <w:bookmarkEnd w:id="240"/>
      <w:bookmarkEnd w:id="241"/>
      <w:bookmarkEnd w:id="242"/>
      <w:bookmarkEnd w:id="243"/>
      <w:bookmarkEnd w:id="244"/>
      <w:bookmarkEnd w:id="245"/>
      <w:bookmarkEnd w:id="246"/>
      <w:bookmarkEnd w:id="247"/>
    </w:p>
    <w:p w:rsidR="00C026BE" w:rsidRPr="00C15F8B" w:rsidRDefault="00A434D2">
      <w:pPr>
        <w:snapToGrid w:val="0"/>
        <w:spacing w:line="560" w:lineRule="exact"/>
        <w:ind w:firstLineChars="200" w:firstLine="640"/>
        <w:rPr>
          <w:rFonts w:ascii="仿宋" w:eastAsia="仿宋" w:hAnsi="仿宋" w:cs="仿宋_GB2312"/>
          <w:sz w:val="32"/>
          <w:szCs w:val="32"/>
        </w:rPr>
      </w:pPr>
      <w:r w:rsidRPr="00C15F8B">
        <w:rPr>
          <w:rFonts w:ascii="仿宋" w:eastAsia="仿宋" w:hAnsi="仿宋" w:cs="仿宋_GB2312" w:hint="eastAsia"/>
          <w:sz w:val="32"/>
          <w:szCs w:val="32"/>
        </w:rPr>
        <w:t>2023年部门整体绩效评价指标体系评分表</w:t>
      </w:r>
    </w:p>
    <w:p w:rsidR="00C026BE" w:rsidRDefault="00C026BE" w:rsidP="00C15F8B">
      <w:pPr>
        <w:spacing w:line="560" w:lineRule="exact"/>
        <w:ind w:firstLine="640"/>
        <w:sectPr w:rsidR="00C026BE">
          <w:footerReference w:type="default" r:id="rId9"/>
          <w:pgSz w:w="11906" w:h="16838"/>
          <w:pgMar w:top="1440" w:right="1797" w:bottom="1440" w:left="1797" w:header="851" w:footer="992" w:gutter="0"/>
          <w:pgNumType w:start="1"/>
          <w:cols w:space="425"/>
          <w:docGrid w:type="lines" w:linePitch="312"/>
        </w:sectPr>
      </w:pPr>
    </w:p>
    <w:p w:rsidR="00C026BE" w:rsidRDefault="00A434D2">
      <w:pPr>
        <w:ind w:firstLineChars="200" w:firstLine="640"/>
        <w:rPr>
          <w:rFonts w:ascii="黑体" w:eastAsia="黑体" w:hAnsi="黑体" w:cs="黑体"/>
          <w:sz w:val="32"/>
          <w:szCs w:val="32"/>
        </w:rPr>
      </w:pPr>
      <w:r>
        <w:rPr>
          <w:rFonts w:ascii="黑体" w:eastAsia="黑体" w:hAnsi="黑体" w:cs="黑体" w:hint="eastAsia"/>
          <w:sz w:val="32"/>
          <w:szCs w:val="32"/>
        </w:rPr>
        <w:lastRenderedPageBreak/>
        <w:t>附件</w:t>
      </w:r>
    </w:p>
    <w:tbl>
      <w:tblPr>
        <w:tblW w:w="5000" w:type="pct"/>
        <w:tblLayout w:type="fixed"/>
        <w:tblLook w:val="04A0"/>
      </w:tblPr>
      <w:tblGrid>
        <w:gridCol w:w="738"/>
        <w:gridCol w:w="1023"/>
        <w:gridCol w:w="1466"/>
        <w:gridCol w:w="1417"/>
        <w:gridCol w:w="992"/>
        <w:gridCol w:w="709"/>
        <w:gridCol w:w="850"/>
        <w:gridCol w:w="3263"/>
        <w:gridCol w:w="3716"/>
      </w:tblGrid>
      <w:tr w:rsidR="00C026BE">
        <w:trPr>
          <w:trHeight w:val="499"/>
        </w:trPr>
        <w:tc>
          <w:tcPr>
            <w:tcW w:w="5000" w:type="pct"/>
            <w:gridSpan w:val="9"/>
            <w:tcBorders>
              <w:top w:val="nil"/>
              <w:left w:val="nil"/>
              <w:bottom w:val="single" w:sz="4" w:space="0" w:color="auto"/>
              <w:right w:val="nil"/>
            </w:tcBorders>
            <w:noWrap/>
            <w:vAlign w:val="bottom"/>
          </w:tcPr>
          <w:p w:rsidR="00C026BE" w:rsidRDefault="00A434D2" w:rsidP="00DB197B">
            <w:pPr>
              <w:widowControl/>
              <w:ind w:firstLine="880"/>
              <w:jc w:val="center"/>
              <w:rPr>
                <w:rFonts w:ascii="方正小标宋简体" w:eastAsia="方正小标宋简体" w:hAnsi="黑体" w:cs="宋体"/>
                <w:color w:val="000000"/>
                <w:kern w:val="0"/>
                <w:sz w:val="44"/>
                <w:szCs w:val="44"/>
              </w:rPr>
            </w:pPr>
            <w:r>
              <w:rPr>
                <w:rFonts w:ascii="方正小标宋简体" w:eastAsia="方正小标宋简体" w:hAnsi="黑体" w:cs="宋体" w:hint="eastAsia"/>
                <w:color w:val="000000"/>
                <w:kern w:val="0"/>
                <w:sz w:val="44"/>
                <w:szCs w:val="44"/>
              </w:rPr>
              <w:t>2023年部门整体绩效评价指标体系评分表</w:t>
            </w:r>
          </w:p>
        </w:tc>
      </w:tr>
      <w:tr w:rsidR="00C026BE">
        <w:trPr>
          <w:trHeight w:val="470"/>
        </w:trPr>
        <w:tc>
          <w:tcPr>
            <w:tcW w:w="5000" w:type="pct"/>
            <w:gridSpan w:val="9"/>
            <w:tcBorders>
              <w:top w:val="single" w:sz="4" w:space="0" w:color="auto"/>
              <w:left w:val="single" w:sz="4" w:space="0" w:color="auto"/>
              <w:bottom w:val="single" w:sz="4" w:space="0" w:color="000000"/>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当年预算执行情况（20分）</w:t>
            </w:r>
          </w:p>
        </w:tc>
      </w:tr>
      <w:tr w:rsidR="00C026BE">
        <w:trPr>
          <w:trHeight w:val="660"/>
        </w:trPr>
        <w:tc>
          <w:tcPr>
            <w:tcW w:w="260"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361"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517"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500"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350"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250"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分值</w:t>
            </w:r>
          </w:p>
        </w:tc>
        <w:tc>
          <w:tcPr>
            <w:tcW w:w="300"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得分</w:t>
            </w:r>
          </w:p>
        </w:tc>
        <w:tc>
          <w:tcPr>
            <w:tcW w:w="1151"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1311"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C026BE">
        <w:trPr>
          <w:trHeight w:val="1304"/>
        </w:trPr>
        <w:tc>
          <w:tcPr>
            <w:tcW w:w="260" w:type="pct"/>
            <w:vMerge w:val="restart"/>
            <w:tcBorders>
              <w:top w:val="nil"/>
              <w:left w:val="single" w:sz="4" w:space="0" w:color="auto"/>
              <w:bottom w:val="single" w:sz="4" w:space="0" w:color="000000"/>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当年预算执行情况（20）</w:t>
            </w:r>
          </w:p>
        </w:tc>
        <w:tc>
          <w:tcPr>
            <w:tcW w:w="361"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资金总体</w:t>
            </w:r>
          </w:p>
        </w:tc>
        <w:tc>
          <w:tcPr>
            <w:tcW w:w="517"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11,279.73</w:t>
            </w:r>
          </w:p>
        </w:tc>
        <w:tc>
          <w:tcPr>
            <w:tcW w:w="500"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10,904.52</w:t>
            </w:r>
          </w:p>
        </w:tc>
        <w:tc>
          <w:tcPr>
            <w:tcW w:w="350"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96.67%</w:t>
            </w:r>
          </w:p>
        </w:tc>
        <w:tc>
          <w:tcPr>
            <w:tcW w:w="250" w:type="pct"/>
            <w:vMerge w:val="restart"/>
            <w:tcBorders>
              <w:top w:val="single" w:sz="4" w:space="0" w:color="auto"/>
              <w:left w:val="single" w:sz="4" w:space="0" w:color="auto"/>
              <w:bottom w:val="single" w:sz="4" w:space="0" w:color="auto"/>
              <w:right w:val="single" w:sz="4" w:space="0" w:color="auto"/>
            </w:tcBorders>
            <w:noWrap/>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20</w:t>
            </w:r>
          </w:p>
        </w:tc>
        <w:tc>
          <w:tcPr>
            <w:tcW w:w="300" w:type="pct"/>
            <w:vMerge w:val="restart"/>
            <w:tcBorders>
              <w:top w:val="single" w:sz="4" w:space="0" w:color="auto"/>
              <w:left w:val="single" w:sz="4" w:space="0" w:color="auto"/>
              <w:bottom w:val="single" w:sz="4" w:space="0" w:color="auto"/>
              <w:right w:val="single" w:sz="4" w:space="0" w:color="auto"/>
            </w:tcBorders>
            <w:noWrap/>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19.33</w:t>
            </w:r>
          </w:p>
        </w:tc>
        <w:tc>
          <w:tcPr>
            <w:tcW w:w="1151" w:type="pct"/>
            <w:vMerge w:val="restar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部门全年执行数与全年预算数的比率。资金总体=基本支出+项目支出+其他</w:t>
            </w:r>
          </w:p>
        </w:tc>
        <w:tc>
          <w:tcPr>
            <w:tcW w:w="1311" w:type="pct"/>
            <w:vMerge w:val="restart"/>
            <w:tcBorders>
              <w:top w:val="nil"/>
              <w:left w:val="single" w:sz="4" w:space="0" w:color="auto"/>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①得分一档最高不能超过该指标分值上限（20分）。</w:t>
            </w:r>
          </w:p>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C026BE">
        <w:trPr>
          <w:trHeight w:val="1304"/>
        </w:trPr>
        <w:tc>
          <w:tcPr>
            <w:tcW w:w="260" w:type="pct"/>
            <w:vMerge/>
            <w:tcBorders>
              <w:top w:val="nil"/>
              <w:left w:val="single" w:sz="4" w:space="0" w:color="auto"/>
              <w:bottom w:val="single" w:sz="4" w:space="0" w:color="000000"/>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61" w:type="pct"/>
            <w:tcBorders>
              <w:top w:val="single" w:sz="4" w:space="0" w:color="auto"/>
              <w:left w:val="single" w:sz="4" w:space="0" w:color="auto"/>
              <w:bottom w:val="single" w:sz="4" w:space="0" w:color="auto"/>
              <w:right w:val="nil"/>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基本支出</w:t>
            </w:r>
          </w:p>
        </w:tc>
        <w:tc>
          <w:tcPr>
            <w:tcW w:w="517"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10,392.43</w:t>
            </w:r>
          </w:p>
        </w:tc>
        <w:tc>
          <w:tcPr>
            <w:tcW w:w="500" w:type="pct"/>
            <w:tcBorders>
              <w:top w:val="single" w:sz="4" w:space="0" w:color="auto"/>
              <w:left w:val="nil"/>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10,217.55</w:t>
            </w:r>
          </w:p>
        </w:tc>
        <w:tc>
          <w:tcPr>
            <w:tcW w:w="350" w:type="pct"/>
            <w:vMerge w:val="restart"/>
            <w:tcBorders>
              <w:top w:val="single" w:sz="4" w:space="0" w:color="auto"/>
              <w:left w:val="single" w:sz="4" w:space="0" w:color="auto"/>
              <w:bottom w:val="single" w:sz="4" w:space="0" w:color="auto"/>
              <w:right w:val="single" w:sz="4" w:space="0" w:color="auto"/>
            </w:tcBorders>
            <w:vAlign w:val="center"/>
          </w:tcPr>
          <w:p w:rsidR="00C026BE" w:rsidRDefault="00A434D2" w:rsidP="00B23A40">
            <w:pPr>
              <w:widowControl/>
              <w:rPr>
                <w:rFonts w:ascii="宋体" w:hAnsi="宋体" w:cs="宋体"/>
                <w:color w:val="000000"/>
                <w:kern w:val="0"/>
                <w:sz w:val="20"/>
                <w:szCs w:val="20"/>
              </w:rPr>
            </w:pPr>
            <w:r>
              <w:rPr>
                <w:rFonts w:ascii="宋体" w:hAnsi="宋体" w:cs="宋体" w:hint="eastAsia"/>
                <w:color w:val="000000"/>
                <w:kern w:val="0"/>
                <w:sz w:val="20"/>
                <w:szCs w:val="20"/>
              </w:rPr>
              <w:t>——</w:t>
            </w:r>
          </w:p>
        </w:tc>
        <w:tc>
          <w:tcPr>
            <w:tcW w:w="250"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00" w:type="pct"/>
            <w:vMerge/>
            <w:tcBorders>
              <w:top w:val="single" w:sz="4" w:space="0" w:color="auto"/>
              <w:left w:val="nil"/>
              <w:bottom w:val="single" w:sz="4" w:space="0" w:color="auto"/>
              <w:right w:val="nil"/>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1151"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c>
          <w:tcPr>
            <w:tcW w:w="1311" w:type="pct"/>
            <w:vMerge/>
            <w:tcBorders>
              <w:top w:val="nil"/>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r>
      <w:tr w:rsidR="00C026BE">
        <w:trPr>
          <w:trHeight w:val="1304"/>
        </w:trPr>
        <w:tc>
          <w:tcPr>
            <w:tcW w:w="260" w:type="pct"/>
            <w:vMerge/>
            <w:tcBorders>
              <w:top w:val="nil"/>
              <w:left w:val="single" w:sz="4" w:space="0" w:color="auto"/>
              <w:bottom w:val="single" w:sz="4" w:space="0" w:color="000000"/>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61" w:type="pct"/>
            <w:tcBorders>
              <w:top w:val="single" w:sz="4" w:space="0" w:color="auto"/>
              <w:left w:val="single" w:sz="4" w:space="0" w:color="auto"/>
              <w:bottom w:val="single" w:sz="4" w:space="0" w:color="auto"/>
              <w:right w:val="nil"/>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项目支出</w:t>
            </w:r>
          </w:p>
        </w:tc>
        <w:tc>
          <w:tcPr>
            <w:tcW w:w="517"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887.30</w:t>
            </w:r>
          </w:p>
        </w:tc>
        <w:tc>
          <w:tcPr>
            <w:tcW w:w="500" w:type="pct"/>
            <w:tcBorders>
              <w:top w:val="single" w:sz="4" w:space="0" w:color="auto"/>
              <w:left w:val="nil"/>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686.97</w:t>
            </w:r>
          </w:p>
        </w:tc>
        <w:tc>
          <w:tcPr>
            <w:tcW w:w="350"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250"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00" w:type="pct"/>
            <w:vMerge/>
            <w:tcBorders>
              <w:top w:val="single" w:sz="4" w:space="0" w:color="auto"/>
              <w:left w:val="nil"/>
              <w:bottom w:val="single" w:sz="4" w:space="0" w:color="auto"/>
              <w:right w:val="nil"/>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1151"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c>
          <w:tcPr>
            <w:tcW w:w="1311" w:type="pct"/>
            <w:vMerge/>
            <w:tcBorders>
              <w:top w:val="nil"/>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r>
      <w:tr w:rsidR="00C026BE">
        <w:trPr>
          <w:trHeight w:val="454"/>
        </w:trPr>
        <w:tc>
          <w:tcPr>
            <w:tcW w:w="260" w:type="pct"/>
            <w:vMerge/>
            <w:tcBorders>
              <w:top w:val="nil"/>
              <w:left w:val="single" w:sz="4" w:space="0" w:color="auto"/>
              <w:bottom w:val="single" w:sz="4" w:space="0" w:color="000000"/>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61"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基本建设类项目</w:t>
            </w:r>
          </w:p>
        </w:tc>
        <w:tc>
          <w:tcPr>
            <w:tcW w:w="517"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500"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350"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250"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00" w:type="pct"/>
            <w:vMerge/>
            <w:tcBorders>
              <w:top w:val="single" w:sz="4" w:space="0" w:color="auto"/>
              <w:left w:val="nil"/>
              <w:bottom w:val="single" w:sz="4" w:space="0" w:color="auto"/>
              <w:right w:val="nil"/>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1151"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c>
          <w:tcPr>
            <w:tcW w:w="1311" w:type="pct"/>
            <w:vMerge/>
            <w:tcBorders>
              <w:top w:val="nil"/>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r>
    </w:tbl>
    <w:p w:rsidR="00C026BE" w:rsidRDefault="00C026BE" w:rsidP="00C15F8B">
      <w:pPr>
        <w:ind w:firstLine="640"/>
      </w:pPr>
    </w:p>
    <w:p w:rsidR="00C026BE" w:rsidRDefault="00C026BE" w:rsidP="00C15F8B">
      <w:pPr>
        <w:pStyle w:val="21"/>
      </w:pPr>
    </w:p>
    <w:tbl>
      <w:tblPr>
        <w:tblW w:w="5000" w:type="pct"/>
        <w:tblLayout w:type="fixed"/>
        <w:tblLook w:val="04A0"/>
      </w:tblPr>
      <w:tblGrid>
        <w:gridCol w:w="813"/>
        <w:gridCol w:w="1137"/>
        <w:gridCol w:w="1134"/>
        <w:gridCol w:w="2086"/>
        <w:gridCol w:w="1536"/>
        <w:gridCol w:w="675"/>
        <w:gridCol w:w="729"/>
        <w:gridCol w:w="2767"/>
        <w:gridCol w:w="3297"/>
      </w:tblGrid>
      <w:tr w:rsidR="00C026BE">
        <w:trPr>
          <w:trHeight w:val="500"/>
          <w:tblHead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lastRenderedPageBreak/>
              <w:t>二</w:t>
            </w:r>
            <w:r>
              <w:rPr>
                <w:rFonts w:ascii="宋体" w:hAnsi="宋体" w:cs="宋体"/>
                <w:color w:val="000000"/>
                <w:kern w:val="0"/>
                <w:sz w:val="18"/>
                <w:szCs w:val="18"/>
              </w:rPr>
              <w:t>、</w:t>
            </w:r>
            <w:r>
              <w:rPr>
                <w:rFonts w:ascii="宋体" w:hAnsi="宋体" w:cs="宋体" w:hint="eastAsia"/>
                <w:color w:val="000000"/>
                <w:kern w:val="0"/>
                <w:sz w:val="20"/>
                <w:szCs w:val="20"/>
              </w:rPr>
              <w:t>整体绩效目标实现情况（60分）</w:t>
            </w:r>
          </w:p>
        </w:tc>
      </w:tr>
      <w:tr w:rsidR="00C026BE">
        <w:trPr>
          <w:trHeight w:val="499"/>
          <w:tblHeader/>
        </w:trPr>
        <w:tc>
          <w:tcPr>
            <w:tcW w:w="287"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w:t>
            </w:r>
            <w:r w:rsidR="00D449E0">
              <w:rPr>
                <w:rFonts w:ascii="宋体" w:hAnsi="宋体" w:cs="宋体" w:hint="eastAsia"/>
                <w:color w:val="000000"/>
                <w:kern w:val="0"/>
                <w:sz w:val="20"/>
                <w:szCs w:val="20"/>
              </w:rPr>
              <w:t>指标</w:t>
            </w:r>
          </w:p>
        </w:tc>
        <w:tc>
          <w:tcPr>
            <w:tcW w:w="401" w:type="pct"/>
            <w:tcBorders>
              <w:top w:val="single" w:sz="4" w:space="0" w:color="auto"/>
              <w:left w:val="nil"/>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400" w:type="pct"/>
            <w:tcBorders>
              <w:top w:val="single" w:sz="4" w:space="0" w:color="auto"/>
              <w:left w:val="nil"/>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736"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542"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238" w:type="pct"/>
            <w:tcBorders>
              <w:top w:val="single" w:sz="4" w:space="0" w:color="auto"/>
              <w:left w:val="nil"/>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分值</w:t>
            </w:r>
          </w:p>
        </w:tc>
        <w:tc>
          <w:tcPr>
            <w:tcW w:w="257" w:type="pct"/>
            <w:tcBorders>
              <w:top w:val="single" w:sz="4" w:space="0" w:color="auto"/>
              <w:left w:val="nil"/>
              <w:bottom w:val="single" w:sz="4" w:space="0" w:color="auto"/>
              <w:right w:val="nil"/>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得分</w:t>
            </w:r>
          </w:p>
        </w:tc>
        <w:tc>
          <w:tcPr>
            <w:tcW w:w="976"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0"/>
              <w:jc w:val="center"/>
              <w:rPr>
                <w:rFonts w:ascii="宋体" w:hAnsi="宋体" w:cs="宋体"/>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159"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0"/>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C026BE">
        <w:trPr>
          <w:trHeight w:val="1701"/>
        </w:trPr>
        <w:tc>
          <w:tcPr>
            <w:tcW w:w="287" w:type="pct"/>
            <w:vMerge w:val="restar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整体绩效目标实现情况（60）</w:t>
            </w:r>
          </w:p>
        </w:tc>
        <w:tc>
          <w:tcPr>
            <w:tcW w:w="401" w:type="pct"/>
            <w:vMerge w:val="restart"/>
            <w:tcBorders>
              <w:top w:val="single" w:sz="4" w:space="0" w:color="auto"/>
              <w:left w:val="nil"/>
              <w:bottom w:val="single" w:sz="4" w:space="0" w:color="auto"/>
              <w:right w:val="single" w:sz="4" w:space="0" w:color="auto"/>
            </w:tcBorders>
            <w:vAlign w:val="center"/>
          </w:tcPr>
          <w:p w:rsidR="00C026BE" w:rsidRDefault="00C026BE" w:rsidP="00DB197B">
            <w:pPr>
              <w:widowControl/>
              <w:ind w:firstLine="400"/>
              <w:jc w:val="center"/>
              <w:rPr>
                <w:rFonts w:ascii="宋体" w:hAnsi="宋体" w:cs="宋体"/>
                <w:color w:val="000000"/>
                <w:kern w:val="0"/>
                <w:sz w:val="20"/>
                <w:szCs w:val="20"/>
              </w:rPr>
            </w:pPr>
          </w:p>
          <w:p w:rsidR="00C026BE" w:rsidRDefault="00A434D2" w:rsidP="00D449E0">
            <w:pPr>
              <w:rPr>
                <w:rFonts w:ascii="宋体" w:hAnsi="宋体" w:cs="宋体"/>
                <w:color w:val="000000"/>
                <w:kern w:val="0"/>
                <w:sz w:val="20"/>
                <w:szCs w:val="20"/>
              </w:rPr>
            </w:pPr>
            <w:r>
              <w:rPr>
                <w:rFonts w:ascii="宋体" w:hAnsi="宋体" w:cs="宋体" w:hint="eastAsia"/>
                <w:color w:val="000000"/>
                <w:kern w:val="0"/>
                <w:sz w:val="20"/>
                <w:szCs w:val="20"/>
              </w:rPr>
              <w:t>产出（30）</w:t>
            </w:r>
          </w:p>
        </w:tc>
        <w:tc>
          <w:tcPr>
            <w:tcW w:w="400" w:type="pct"/>
            <w:tcBorders>
              <w:top w:val="single" w:sz="4" w:space="0" w:color="auto"/>
              <w:left w:val="nil"/>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质量指标</w:t>
            </w:r>
          </w:p>
        </w:tc>
        <w:tc>
          <w:tcPr>
            <w:tcW w:w="736" w:type="pct"/>
            <w:tcBorders>
              <w:top w:val="single" w:sz="4" w:space="0" w:color="auto"/>
              <w:left w:val="nil"/>
              <w:bottom w:val="single" w:sz="4" w:space="0" w:color="auto"/>
              <w:right w:val="single" w:sz="4" w:space="0" w:color="auto"/>
            </w:tcBorders>
            <w:vAlign w:val="center"/>
          </w:tcPr>
          <w:p w:rsidR="00C026BE" w:rsidRDefault="00A434D2" w:rsidP="00DB197B">
            <w:pPr>
              <w:ind w:firstLine="400"/>
              <w:jc w:val="left"/>
              <w:rPr>
                <w:rFonts w:ascii="宋体" w:hAnsi="宋体" w:cs="宋体"/>
                <w:color w:val="000000"/>
                <w:kern w:val="0"/>
                <w:sz w:val="20"/>
                <w:szCs w:val="20"/>
              </w:rPr>
            </w:pPr>
            <w:r>
              <w:rPr>
                <w:rFonts w:ascii="宋体" w:hAnsi="宋体" w:cs="宋体" w:hint="eastAsia"/>
                <w:color w:val="000000"/>
                <w:kern w:val="0"/>
                <w:sz w:val="20"/>
                <w:szCs w:val="20"/>
              </w:rPr>
              <w:t>努力提升法律监督质量和效果，推动“四大检察”全面协调充分发展。加强革命化、正规化、专业化、职业化建设，努力打造一支让党放心，让人民群众满意的高素质检察队伍。</w:t>
            </w:r>
          </w:p>
        </w:tc>
        <w:tc>
          <w:tcPr>
            <w:tcW w:w="542" w:type="pct"/>
            <w:tcBorders>
              <w:top w:val="single" w:sz="4" w:space="0" w:color="auto"/>
              <w:left w:val="nil"/>
              <w:bottom w:val="single" w:sz="4" w:space="0" w:color="auto"/>
              <w:right w:val="single" w:sz="4" w:space="0" w:color="auto"/>
            </w:tcBorders>
            <w:vAlign w:val="center"/>
          </w:tcPr>
          <w:p w:rsidR="00C026BE" w:rsidRDefault="00A434D2" w:rsidP="00DB197B">
            <w:pPr>
              <w:ind w:firstLine="400"/>
              <w:jc w:val="center"/>
              <w:rPr>
                <w:rFonts w:ascii="宋体" w:hAnsi="宋体" w:cs="宋体"/>
                <w:color w:val="000000"/>
                <w:kern w:val="0"/>
                <w:sz w:val="20"/>
                <w:szCs w:val="20"/>
              </w:rPr>
            </w:pPr>
            <w:r>
              <w:rPr>
                <w:rFonts w:ascii="宋体" w:hAnsi="宋体" w:cs="宋体" w:hint="eastAsia"/>
                <w:color w:val="000000"/>
                <w:kern w:val="0"/>
                <w:sz w:val="20"/>
                <w:szCs w:val="20"/>
              </w:rPr>
              <w:t>部门产出质量提升及达到标准，资料需进一步完善</w:t>
            </w:r>
          </w:p>
        </w:tc>
        <w:tc>
          <w:tcPr>
            <w:tcW w:w="238"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ind w:firstLine="400"/>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257" w:type="pct"/>
            <w:tcBorders>
              <w:top w:val="single" w:sz="4" w:space="0" w:color="auto"/>
              <w:left w:val="nil"/>
              <w:bottom w:val="single" w:sz="4" w:space="0" w:color="auto"/>
              <w:right w:val="nil"/>
            </w:tcBorders>
            <w:vAlign w:val="center"/>
          </w:tcPr>
          <w:p w:rsidR="00C026BE" w:rsidRDefault="00A434D2" w:rsidP="00DB197B">
            <w:pPr>
              <w:ind w:firstLine="400"/>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976" w:type="pct"/>
            <w:vMerge w:val="restar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1"/>
              <w:jc w:val="left"/>
              <w:rPr>
                <w:rFonts w:ascii="宋体" w:hAnsi="宋体" w:cs="宋体"/>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按时完成率=（按时完成工作数/实际完成工作数）×100%。按时完成工作数：部门（单位）按照整体绩效目标确定的时限实际完成的工作任务数量。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w:t>
            </w:r>
            <w:r>
              <w:rPr>
                <w:rFonts w:ascii="宋体" w:hAnsi="宋体" w:cs="宋体" w:hint="eastAsia"/>
                <w:color w:val="000000"/>
                <w:kern w:val="0"/>
                <w:sz w:val="18"/>
                <w:szCs w:val="18"/>
              </w:rPr>
              <w:lastRenderedPageBreak/>
              <w:t>产出的节约额；③部门公用经费的控制情况。</w:t>
            </w:r>
          </w:p>
        </w:tc>
        <w:tc>
          <w:tcPr>
            <w:tcW w:w="1159" w:type="pct"/>
            <w:vMerge w:val="restar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lastRenderedPageBreak/>
              <w:t>部门根据本单位情况自行确定并选择产出指标，合理确定各项指标权重。可量化的指标按照比率*单项指标分值即为该指标得分。如果不能定量评价，则以定性的方式进行自评。</w:t>
            </w:r>
          </w:p>
        </w:tc>
      </w:tr>
      <w:tr w:rsidR="00C026BE">
        <w:trPr>
          <w:trHeight w:val="1701"/>
        </w:trPr>
        <w:tc>
          <w:tcPr>
            <w:tcW w:w="287" w:type="pct"/>
            <w:vMerge/>
            <w:tcBorders>
              <w:top w:val="nil"/>
              <w:left w:val="single" w:sz="4" w:space="0" w:color="auto"/>
              <w:bottom w:val="single" w:sz="4" w:space="0" w:color="000000"/>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400" w:type="pct"/>
            <w:tcBorders>
              <w:top w:val="single" w:sz="4" w:space="0" w:color="auto"/>
              <w:left w:val="nil"/>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质量指标</w:t>
            </w:r>
          </w:p>
        </w:tc>
        <w:tc>
          <w:tcPr>
            <w:tcW w:w="736"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400"/>
              <w:jc w:val="left"/>
              <w:rPr>
                <w:rFonts w:ascii="宋体" w:hAnsi="宋体" w:cs="宋体"/>
                <w:color w:val="000000"/>
                <w:kern w:val="0"/>
                <w:sz w:val="20"/>
                <w:szCs w:val="20"/>
              </w:rPr>
            </w:pPr>
            <w:r>
              <w:rPr>
                <w:rFonts w:ascii="宋体" w:hAnsi="宋体" w:cs="宋体" w:hint="eastAsia"/>
                <w:color w:val="000000"/>
                <w:kern w:val="0"/>
                <w:sz w:val="20"/>
                <w:szCs w:val="20"/>
              </w:rPr>
              <w:t>更加紧密地团结在以习近平同志为核心的党中央周围，自觉落实好“看北京首先从政治上看”的要求，突出政治属性是检察机关第一属性，强化“红墙意识”。</w:t>
            </w:r>
          </w:p>
        </w:tc>
        <w:tc>
          <w:tcPr>
            <w:tcW w:w="542"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部门产出质量提升及达到标准，资料需进一步完善</w:t>
            </w:r>
          </w:p>
        </w:tc>
        <w:tc>
          <w:tcPr>
            <w:tcW w:w="238"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257" w:type="pct"/>
            <w:tcBorders>
              <w:top w:val="single" w:sz="4" w:space="0" w:color="auto"/>
              <w:left w:val="nil"/>
              <w:bottom w:val="single" w:sz="4" w:space="0" w:color="auto"/>
              <w:right w:val="nil"/>
            </w:tcBorders>
            <w:noWrap/>
            <w:vAlign w:val="center"/>
          </w:tcPr>
          <w:p w:rsidR="00C026BE" w:rsidRDefault="00A434D2" w:rsidP="00DB197B">
            <w:pPr>
              <w:ind w:firstLine="400"/>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976"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c>
          <w:tcPr>
            <w:tcW w:w="1159"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r>
      <w:tr w:rsidR="00C026BE">
        <w:trPr>
          <w:trHeight w:val="1701"/>
        </w:trPr>
        <w:tc>
          <w:tcPr>
            <w:tcW w:w="287" w:type="pct"/>
            <w:vMerge/>
            <w:tcBorders>
              <w:top w:val="nil"/>
              <w:left w:val="single" w:sz="4" w:space="0" w:color="auto"/>
              <w:bottom w:val="single" w:sz="4" w:space="0" w:color="000000"/>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400" w:type="pct"/>
            <w:tcBorders>
              <w:top w:val="nil"/>
              <w:left w:val="nil"/>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质量指标</w:t>
            </w:r>
          </w:p>
        </w:tc>
        <w:tc>
          <w:tcPr>
            <w:tcW w:w="736" w:type="pct"/>
            <w:tcBorders>
              <w:top w:val="nil"/>
              <w:left w:val="nil"/>
              <w:bottom w:val="single" w:sz="4" w:space="0" w:color="auto"/>
              <w:right w:val="single" w:sz="4" w:space="0" w:color="auto"/>
            </w:tcBorders>
            <w:vAlign w:val="center"/>
          </w:tcPr>
          <w:p w:rsidR="00C026BE" w:rsidRDefault="00A434D2" w:rsidP="00DB197B">
            <w:pPr>
              <w:widowControl/>
              <w:ind w:firstLine="400"/>
              <w:jc w:val="left"/>
              <w:rPr>
                <w:rFonts w:ascii="宋体" w:hAnsi="宋体" w:cs="宋体"/>
                <w:color w:val="000000"/>
                <w:kern w:val="0"/>
                <w:sz w:val="20"/>
                <w:szCs w:val="20"/>
              </w:rPr>
            </w:pPr>
            <w:r>
              <w:rPr>
                <w:rFonts w:ascii="宋体" w:hAnsi="宋体" w:cs="宋体" w:hint="eastAsia"/>
                <w:color w:val="000000"/>
                <w:kern w:val="0"/>
                <w:sz w:val="20"/>
                <w:szCs w:val="20"/>
              </w:rPr>
              <w:t>保障核心业务管理系统等应用系统和主机环境稳定运行，全院局域网稳定运行，确保核心数据安</w:t>
            </w:r>
            <w:r>
              <w:rPr>
                <w:rFonts w:ascii="宋体" w:hAnsi="宋体" w:cs="宋体" w:hint="eastAsia"/>
                <w:color w:val="000000"/>
                <w:kern w:val="0"/>
                <w:sz w:val="20"/>
                <w:szCs w:val="20"/>
              </w:rPr>
              <w:lastRenderedPageBreak/>
              <w:t>全，保障检察工作顺利开展。</w:t>
            </w:r>
          </w:p>
        </w:tc>
        <w:tc>
          <w:tcPr>
            <w:tcW w:w="542" w:type="pct"/>
            <w:tcBorders>
              <w:top w:val="nil"/>
              <w:left w:val="nil"/>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lastRenderedPageBreak/>
              <w:t>部门产出质量提升及达到标准，资料需进一步完善</w:t>
            </w:r>
          </w:p>
        </w:tc>
        <w:tc>
          <w:tcPr>
            <w:tcW w:w="238"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257" w:type="pct"/>
            <w:tcBorders>
              <w:top w:val="nil"/>
              <w:left w:val="nil"/>
              <w:bottom w:val="single" w:sz="4" w:space="0" w:color="auto"/>
              <w:right w:val="nil"/>
            </w:tcBorders>
            <w:noWrap/>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976"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c>
          <w:tcPr>
            <w:tcW w:w="1159"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r>
      <w:tr w:rsidR="00C026BE">
        <w:trPr>
          <w:trHeight w:val="1701"/>
        </w:trPr>
        <w:tc>
          <w:tcPr>
            <w:tcW w:w="287" w:type="pct"/>
            <w:vMerge/>
            <w:tcBorders>
              <w:top w:val="nil"/>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400" w:type="pct"/>
            <w:tcBorders>
              <w:top w:val="nil"/>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质量指标</w:t>
            </w:r>
          </w:p>
        </w:tc>
        <w:tc>
          <w:tcPr>
            <w:tcW w:w="736" w:type="pct"/>
            <w:tcBorders>
              <w:top w:val="nil"/>
              <w:left w:val="nil"/>
              <w:bottom w:val="single" w:sz="4" w:space="0" w:color="auto"/>
              <w:right w:val="single" w:sz="4" w:space="0" w:color="auto"/>
            </w:tcBorders>
            <w:vAlign w:val="center"/>
          </w:tcPr>
          <w:p w:rsidR="00C026BE" w:rsidRDefault="00A434D2" w:rsidP="00DB197B">
            <w:pPr>
              <w:widowControl/>
              <w:ind w:firstLine="400"/>
              <w:jc w:val="left"/>
              <w:rPr>
                <w:rFonts w:ascii="宋体" w:hAnsi="宋体" w:cs="宋体"/>
                <w:color w:val="000000"/>
                <w:kern w:val="0"/>
                <w:sz w:val="20"/>
                <w:szCs w:val="20"/>
              </w:rPr>
            </w:pPr>
            <w:r>
              <w:rPr>
                <w:rFonts w:ascii="宋体" w:hAnsi="宋体" w:cs="宋体" w:hint="eastAsia"/>
                <w:color w:val="000000"/>
                <w:kern w:val="0"/>
                <w:sz w:val="20"/>
                <w:szCs w:val="20"/>
              </w:rPr>
              <w:t>购置业务装备，保障履行检察职能所需检察业务技术装备、综合保障装备等。</w:t>
            </w:r>
          </w:p>
        </w:tc>
        <w:tc>
          <w:tcPr>
            <w:tcW w:w="542" w:type="pct"/>
            <w:tcBorders>
              <w:top w:val="nil"/>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部门产出质量提升及达到标准</w:t>
            </w:r>
          </w:p>
        </w:tc>
        <w:tc>
          <w:tcPr>
            <w:tcW w:w="238"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257" w:type="pct"/>
            <w:tcBorders>
              <w:top w:val="nil"/>
              <w:left w:val="nil"/>
              <w:bottom w:val="single" w:sz="4" w:space="0" w:color="auto"/>
              <w:right w:val="nil"/>
            </w:tcBorders>
            <w:noWrap/>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976"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c>
          <w:tcPr>
            <w:tcW w:w="1159"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r>
      <w:tr w:rsidR="00C026BE">
        <w:trPr>
          <w:trHeight w:val="1701"/>
        </w:trPr>
        <w:tc>
          <w:tcPr>
            <w:tcW w:w="287" w:type="pct"/>
            <w:vMerge/>
            <w:tcBorders>
              <w:top w:val="nil"/>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401" w:type="pct"/>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400" w:type="pct"/>
            <w:tcBorders>
              <w:top w:val="nil"/>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质量指标</w:t>
            </w:r>
          </w:p>
        </w:tc>
        <w:tc>
          <w:tcPr>
            <w:tcW w:w="736" w:type="pct"/>
            <w:tcBorders>
              <w:top w:val="nil"/>
              <w:left w:val="nil"/>
              <w:bottom w:val="single" w:sz="4" w:space="0" w:color="auto"/>
              <w:right w:val="single" w:sz="4" w:space="0" w:color="auto"/>
            </w:tcBorders>
            <w:vAlign w:val="center"/>
          </w:tcPr>
          <w:p w:rsidR="00C026BE" w:rsidRDefault="00A434D2" w:rsidP="00DB197B">
            <w:pPr>
              <w:widowControl/>
              <w:ind w:firstLine="400"/>
              <w:jc w:val="left"/>
              <w:rPr>
                <w:rFonts w:ascii="宋体" w:hAnsi="宋体" w:cs="宋体"/>
                <w:color w:val="000000"/>
                <w:kern w:val="0"/>
                <w:sz w:val="20"/>
                <w:szCs w:val="20"/>
              </w:rPr>
            </w:pPr>
            <w:r>
              <w:rPr>
                <w:rFonts w:ascii="宋体" w:hAnsi="宋体" w:cs="宋体" w:hint="eastAsia"/>
                <w:color w:val="000000"/>
                <w:kern w:val="0"/>
                <w:sz w:val="20"/>
                <w:szCs w:val="20"/>
              </w:rPr>
              <w:t>坚持维护国家安全和社会安宁，创造和谐稳定的社会环境。 树牢总体国家安全观，依法打击危害国家安全和社会稳定的各类犯罪，维护核心区绝对安全。</w:t>
            </w:r>
          </w:p>
        </w:tc>
        <w:tc>
          <w:tcPr>
            <w:tcW w:w="542" w:type="pct"/>
            <w:tcBorders>
              <w:top w:val="nil"/>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部门产出质量提升及达到标准，资料需进一步完善</w:t>
            </w:r>
          </w:p>
        </w:tc>
        <w:tc>
          <w:tcPr>
            <w:tcW w:w="238"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10</w:t>
            </w:r>
          </w:p>
        </w:tc>
        <w:tc>
          <w:tcPr>
            <w:tcW w:w="257" w:type="pct"/>
            <w:tcBorders>
              <w:top w:val="nil"/>
              <w:left w:val="nil"/>
              <w:bottom w:val="single" w:sz="4" w:space="0" w:color="auto"/>
              <w:right w:val="nil"/>
            </w:tcBorders>
            <w:noWrap/>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9</w:t>
            </w:r>
          </w:p>
        </w:tc>
        <w:tc>
          <w:tcPr>
            <w:tcW w:w="976"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c>
          <w:tcPr>
            <w:tcW w:w="1159"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r>
      <w:tr w:rsidR="00C026BE">
        <w:trPr>
          <w:trHeight w:val="1928"/>
        </w:trPr>
        <w:tc>
          <w:tcPr>
            <w:tcW w:w="287"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效果（30）</w:t>
            </w:r>
          </w:p>
        </w:tc>
        <w:tc>
          <w:tcPr>
            <w:tcW w:w="400"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经济效益</w:t>
            </w:r>
          </w:p>
        </w:tc>
        <w:tc>
          <w:tcPr>
            <w:tcW w:w="736"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400"/>
              <w:jc w:val="left"/>
              <w:rPr>
                <w:rFonts w:ascii="宋体" w:hAnsi="宋体" w:cs="宋体"/>
                <w:color w:val="000000"/>
                <w:kern w:val="0"/>
                <w:sz w:val="20"/>
                <w:szCs w:val="20"/>
              </w:rPr>
            </w:pPr>
            <w:r>
              <w:rPr>
                <w:rFonts w:ascii="宋体" w:hAnsi="宋体" w:cs="宋体" w:hint="eastAsia"/>
                <w:color w:val="000000"/>
                <w:kern w:val="0"/>
                <w:sz w:val="20"/>
                <w:szCs w:val="20"/>
              </w:rPr>
              <w:t>坚持服从和服务大局，服务保障经济社会高质量发展。聚焦“两区”建设、首都功能核心区“控规”实施等重要部署，强化检察服务保障，加速“崇文争先”。</w:t>
            </w:r>
          </w:p>
        </w:tc>
        <w:tc>
          <w:tcPr>
            <w:tcW w:w="542"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达到预期目标，资料需进一步完善</w:t>
            </w:r>
          </w:p>
        </w:tc>
        <w:tc>
          <w:tcPr>
            <w:tcW w:w="238" w:type="pct"/>
            <w:tcBorders>
              <w:top w:val="single" w:sz="4" w:space="0" w:color="auto"/>
              <w:left w:val="single" w:sz="4" w:space="0" w:color="auto"/>
              <w:bottom w:val="single" w:sz="4" w:space="0" w:color="auto"/>
              <w:right w:val="single" w:sz="4" w:space="0" w:color="auto"/>
            </w:tcBorders>
            <w:noWrap/>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15</w:t>
            </w:r>
          </w:p>
        </w:tc>
        <w:tc>
          <w:tcPr>
            <w:tcW w:w="257" w:type="pct"/>
            <w:tcBorders>
              <w:top w:val="single" w:sz="4" w:space="0" w:color="auto"/>
              <w:left w:val="nil"/>
              <w:bottom w:val="single" w:sz="4" w:space="0" w:color="auto"/>
              <w:right w:val="nil"/>
            </w:tcBorders>
            <w:noWrap/>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14</w:t>
            </w:r>
          </w:p>
        </w:tc>
        <w:tc>
          <w:tcPr>
            <w:tcW w:w="976" w:type="pct"/>
            <w:vMerge w:val="restar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1"/>
              <w:jc w:val="left"/>
              <w:rPr>
                <w:rFonts w:ascii="宋体" w:hAnsi="宋体" w:cs="宋体"/>
                <w:color w:val="000000"/>
                <w:kern w:val="0"/>
                <w:sz w:val="18"/>
                <w:szCs w:val="18"/>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1159" w:type="pct"/>
            <w:vMerge w:val="restar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部门根据实际情况选择指标进行填写，并将其细化为相应的个性化指标。对于效益类指标可从受益对象瞄准度、受益广度和受益深度上进行设计分析。</w:t>
            </w:r>
          </w:p>
        </w:tc>
      </w:tr>
      <w:tr w:rsidR="00C026BE">
        <w:trPr>
          <w:trHeight w:val="1928"/>
        </w:trPr>
        <w:tc>
          <w:tcPr>
            <w:tcW w:w="287" w:type="pct"/>
            <w:vMerge/>
            <w:tcBorders>
              <w:top w:val="single" w:sz="4" w:space="0" w:color="auto"/>
              <w:left w:val="single" w:sz="4" w:space="0" w:color="auto"/>
              <w:bottom w:val="single" w:sz="4" w:space="0" w:color="000000"/>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400"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社会效益</w:t>
            </w:r>
          </w:p>
        </w:tc>
        <w:tc>
          <w:tcPr>
            <w:tcW w:w="736"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400"/>
              <w:jc w:val="left"/>
              <w:rPr>
                <w:rFonts w:ascii="宋体" w:hAnsi="宋体" w:cs="宋体"/>
                <w:color w:val="000000"/>
                <w:kern w:val="0"/>
                <w:sz w:val="20"/>
                <w:szCs w:val="20"/>
              </w:rPr>
            </w:pPr>
            <w:r>
              <w:rPr>
                <w:rFonts w:ascii="宋体" w:hAnsi="宋体" w:cs="宋体" w:hint="eastAsia"/>
                <w:color w:val="000000"/>
                <w:kern w:val="0"/>
                <w:sz w:val="20"/>
                <w:szCs w:val="20"/>
              </w:rPr>
              <w:t>坚持以人民为中心，不断增强人民群众获得感幸福感安全感。把保护人民生命财产安全摆在首位，严厉打击“盗抢骗”“黄赌毒”“危害食品药品安全”等发生在群众身边的犯罪。</w:t>
            </w:r>
          </w:p>
        </w:tc>
        <w:tc>
          <w:tcPr>
            <w:tcW w:w="542"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达到预期目标，资料需进一步完善</w:t>
            </w:r>
          </w:p>
        </w:tc>
        <w:tc>
          <w:tcPr>
            <w:tcW w:w="238" w:type="pc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15</w:t>
            </w:r>
          </w:p>
        </w:tc>
        <w:tc>
          <w:tcPr>
            <w:tcW w:w="257" w:type="pct"/>
            <w:tcBorders>
              <w:top w:val="single" w:sz="4" w:space="0" w:color="auto"/>
              <w:left w:val="nil"/>
              <w:bottom w:val="single" w:sz="4" w:space="0" w:color="auto"/>
              <w:right w:val="nil"/>
            </w:tcBorders>
            <w:noWrap/>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14</w:t>
            </w:r>
          </w:p>
        </w:tc>
        <w:tc>
          <w:tcPr>
            <w:tcW w:w="976"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c>
          <w:tcPr>
            <w:tcW w:w="1159"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360"/>
              <w:jc w:val="left"/>
              <w:rPr>
                <w:rFonts w:ascii="宋体" w:hAnsi="宋体" w:cs="宋体"/>
                <w:color w:val="000000"/>
                <w:kern w:val="0"/>
                <w:sz w:val="18"/>
                <w:szCs w:val="18"/>
              </w:rPr>
            </w:pPr>
          </w:p>
        </w:tc>
      </w:tr>
    </w:tbl>
    <w:p w:rsidR="00C026BE" w:rsidRDefault="00C026BE">
      <w:pPr>
        <w:ind w:firstLineChars="200" w:firstLine="640"/>
        <w:rPr>
          <w:rFonts w:ascii="仿宋_GB2312" w:eastAsia="仿宋_GB2312"/>
          <w:sz w:val="32"/>
          <w:szCs w:val="32"/>
        </w:rPr>
        <w:sectPr w:rsidR="00C026BE">
          <w:pgSz w:w="16838" w:h="11906" w:orient="landscape"/>
          <w:pgMar w:top="1797" w:right="1440" w:bottom="1797" w:left="1440" w:header="851" w:footer="992" w:gutter="0"/>
          <w:pgNumType w:fmt="numberInDash"/>
          <w:cols w:space="425"/>
          <w:docGrid w:type="lines" w:linePitch="312"/>
        </w:sectPr>
      </w:pPr>
    </w:p>
    <w:tbl>
      <w:tblPr>
        <w:tblW w:w="5000" w:type="pct"/>
        <w:tblLayout w:type="fixed"/>
        <w:tblLook w:val="04A0"/>
      </w:tblPr>
      <w:tblGrid>
        <w:gridCol w:w="814"/>
        <w:gridCol w:w="992"/>
        <w:gridCol w:w="850"/>
        <w:gridCol w:w="1630"/>
        <w:gridCol w:w="924"/>
        <w:gridCol w:w="709"/>
        <w:gridCol w:w="1783"/>
        <w:gridCol w:w="2835"/>
        <w:gridCol w:w="3637"/>
      </w:tblGrid>
      <w:tr w:rsidR="00C026BE">
        <w:trPr>
          <w:trHeight w:val="483"/>
          <w:tblHead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lastRenderedPageBreak/>
              <w:t>三</w:t>
            </w:r>
            <w:r>
              <w:rPr>
                <w:rFonts w:ascii="宋体" w:hAnsi="宋体" w:cs="宋体"/>
                <w:color w:val="000000"/>
                <w:kern w:val="0"/>
                <w:sz w:val="18"/>
                <w:szCs w:val="18"/>
              </w:rPr>
              <w:t>、</w:t>
            </w:r>
            <w:r>
              <w:rPr>
                <w:rFonts w:ascii="宋体" w:hAnsi="宋体" w:cs="宋体" w:hint="eastAsia"/>
                <w:color w:val="000000"/>
                <w:kern w:val="0"/>
                <w:sz w:val="20"/>
                <w:szCs w:val="20"/>
              </w:rPr>
              <w:t>预算管理情况（20分）</w:t>
            </w:r>
          </w:p>
        </w:tc>
      </w:tr>
      <w:tr w:rsidR="00C026BE">
        <w:trPr>
          <w:trHeight w:val="443"/>
          <w:tblHeader/>
        </w:trPr>
        <w:tc>
          <w:tcPr>
            <w:tcW w:w="287"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350"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300"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574"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324" w:type="pct"/>
            <w:tcBorders>
              <w:top w:val="single" w:sz="4" w:space="0" w:color="auto"/>
              <w:left w:val="nil"/>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250" w:type="pct"/>
            <w:tcBorders>
              <w:top w:val="single" w:sz="4" w:space="0" w:color="auto"/>
              <w:left w:val="nil"/>
              <w:bottom w:val="single" w:sz="4" w:space="0" w:color="auto"/>
              <w:right w:val="single" w:sz="4" w:space="0" w:color="auto"/>
            </w:tcBorders>
            <w:noWrap/>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629" w:type="pct"/>
            <w:tcBorders>
              <w:top w:val="single" w:sz="4" w:space="0" w:color="auto"/>
              <w:left w:val="nil"/>
              <w:bottom w:val="single" w:sz="4" w:space="0" w:color="auto"/>
              <w:right w:val="nil"/>
            </w:tcBorders>
            <w:noWrap/>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c>
          <w:tcPr>
            <w:tcW w:w="1000"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0"/>
              <w:jc w:val="center"/>
              <w:rPr>
                <w:rFonts w:ascii="宋体" w:hAnsi="宋体" w:cs="宋体"/>
                <w:b/>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281"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360"/>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C026BE">
        <w:trPr>
          <w:trHeight w:val="1230"/>
        </w:trPr>
        <w:tc>
          <w:tcPr>
            <w:tcW w:w="287" w:type="pct"/>
            <w:vMerge w:val="restar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预算管理情况（20）</w:t>
            </w:r>
          </w:p>
        </w:tc>
        <w:tc>
          <w:tcPr>
            <w:tcW w:w="350" w:type="pct"/>
            <w:vMerge w:val="restart"/>
            <w:tcBorders>
              <w:top w:val="single" w:sz="4" w:space="0" w:color="auto"/>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财务</w:t>
            </w:r>
          </w:p>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管理</w:t>
            </w:r>
          </w:p>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（4）</w:t>
            </w:r>
          </w:p>
        </w:tc>
        <w:tc>
          <w:tcPr>
            <w:tcW w:w="300"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574" w:type="pct"/>
            <w:tcBorders>
              <w:top w:val="single" w:sz="4" w:space="0" w:color="auto"/>
              <w:left w:val="nil"/>
              <w:bottom w:val="single" w:sz="4" w:space="0" w:color="auto"/>
              <w:right w:val="single" w:sz="4" w:space="0" w:color="auto"/>
            </w:tcBorders>
            <w:vAlign w:val="center"/>
          </w:tcPr>
          <w:p w:rsidR="00C026BE" w:rsidRDefault="00A434D2" w:rsidP="007B34F2">
            <w:pPr>
              <w:widowControl/>
              <w:jc w:val="left"/>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324"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Theme="minorEastAsia" w:eastAsiaTheme="minorEastAsia" w:hAnsiTheme="minorEastAsia" w:hint="eastAsia"/>
                <w:color w:val="000000"/>
                <w:sz w:val="20"/>
                <w:szCs w:val="20"/>
              </w:rPr>
              <w:t>相关财务管理制度完整、规范</w:t>
            </w:r>
          </w:p>
        </w:tc>
        <w:tc>
          <w:tcPr>
            <w:tcW w:w="250" w:type="pct"/>
            <w:tcBorders>
              <w:top w:val="single" w:sz="4" w:space="0" w:color="auto"/>
              <w:left w:val="nil"/>
              <w:bottom w:val="single" w:sz="4" w:space="0" w:color="auto"/>
              <w:right w:val="single" w:sz="4" w:space="0" w:color="auto"/>
            </w:tcBorders>
            <w:noWrap/>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629" w:type="pct"/>
            <w:tcBorders>
              <w:top w:val="single" w:sz="4" w:space="0" w:color="auto"/>
              <w:left w:val="nil"/>
              <w:bottom w:val="single" w:sz="4" w:space="0" w:color="auto"/>
              <w:right w:val="nil"/>
            </w:tcBorders>
            <w:noWrap/>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1000"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1"/>
              <w:jc w:val="left"/>
              <w:rPr>
                <w:rFonts w:ascii="宋体" w:hAnsi="宋体" w:cs="宋体"/>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color w:val="000000"/>
                <w:kern w:val="0"/>
                <w:sz w:val="18"/>
                <w:szCs w:val="18"/>
              </w:rPr>
              <w:t>部门（单位）为加强财务管理、规范财务行为而制定的管理制度。</w:t>
            </w:r>
          </w:p>
        </w:tc>
        <w:tc>
          <w:tcPr>
            <w:tcW w:w="1281"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rsidR="00C026BE">
        <w:trPr>
          <w:trHeight w:val="2220"/>
        </w:trPr>
        <w:tc>
          <w:tcPr>
            <w:tcW w:w="287" w:type="pct"/>
            <w:vMerge/>
            <w:tcBorders>
              <w:top w:val="single" w:sz="4" w:space="0" w:color="auto"/>
              <w:left w:val="single" w:sz="4" w:space="0" w:color="auto"/>
              <w:bottom w:val="single" w:sz="4" w:space="0" w:color="000000"/>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50" w:type="pct"/>
            <w:vMerge/>
            <w:tcBorders>
              <w:top w:val="single" w:sz="4" w:space="0" w:color="auto"/>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00"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资金使用合规性和安全性</w:t>
            </w:r>
          </w:p>
        </w:tc>
        <w:tc>
          <w:tcPr>
            <w:tcW w:w="574" w:type="pct"/>
            <w:tcBorders>
              <w:top w:val="single" w:sz="4" w:space="0" w:color="auto"/>
              <w:left w:val="nil"/>
              <w:bottom w:val="single" w:sz="4" w:space="0" w:color="auto"/>
              <w:right w:val="single" w:sz="4" w:space="0" w:color="auto"/>
            </w:tcBorders>
            <w:vAlign w:val="center"/>
          </w:tcPr>
          <w:p w:rsidR="00C026BE" w:rsidRDefault="00A434D2" w:rsidP="007B34F2">
            <w:pPr>
              <w:widowControl/>
              <w:jc w:val="left"/>
              <w:rPr>
                <w:rFonts w:ascii="宋体" w:hAnsi="宋体" w:cs="宋体"/>
                <w:color w:val="000000"/>
                <w:kern w:val="0"/>
                <w:sz w:val="20"/>
                <w:szCs w:val="20"/>
              </w:rPr>
            </w:pPr>
            <w:r>
              <w:rPr>
                <w:rFonts w:ascii="宋体" w:hAnsi="宋体" w:cs="宋体" w:hint="eastAsia"/>
                <w:color w:val="000000"/>
                <w:kern w:val="0"/>
                <w:sz w:val="20"/>
                <w:szCs w:val="20"/>
              </w:rPr>
              <w:t>资金使用合规性和安全性</w:t>
            </w:r>
          </w:p>
        </w:tc>
        <w:tc>
          <w:tcPr>
            <w:tcW w:w="324"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规范</w:t>
            </w:r>
          </w:p>
        </w:tc>
        <w:tc>
          <w:tcPr>
            <w:tcW w:w="250" w:type="pct"/>
            <w:tcBorders>
              <w:top w:val="single" w:sz="4" w:space="0" w:color="auto"/>
              <w:left w:val="nil"/>
              <w:bottom w:val="single" w:sz="4" w:space="0" w:color="auto"/>
              <w:right w:val="single" w:sz="4" w:space="0" w:color="auto"/>
            </w:tcBorders>
            <w:noWrap/>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629" w:type="pct"/>
            <w:tcBorders>
              <w:top w:val="single" w:sz="4" w:space="0" w:color="auto"/>
              <w:left w:val="nil"/>
              <w:bottom w:val="single" w:sz="4" w:space="0" w:color="auto"/>
              <w:right w:val="nil"/>
            </w:tcBorders>
            <w:noWrap/>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000"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1"/>
              <w:jc w:val="left"/>
              <w:rPr>
                <w:rFonts w:ascii="宋体" w:hAnsi="宋体" w:cs="宋体"/>
                <w:color w:val="000000"/>
                <w:kern w:val="0"/>
                <w:sz w:val="18"/>
                <w:szCs w:val="18"/>
              </w:rPr>
            </w:pPr>
            <w:r>
              <w:rPr>
                <w:rFonts w:ascii="宋体" w:hAnsi="宋体" w:cs="宋体" w:hint="eastAsia"/>
                <w:b/>
                <w:bCs/>
                <w:color w:val="000000"/>
                <w:kern w:val="0"/>
                <w:sz w:val="18"/>
                <w:szCs w:val="18"/>
              </w:rPr>
              <w:t>资金使用合规性和安全性:</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281"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C026BE">
        <w:trPr>
          <w:trHeight w:val="1145"/>
        </w:trPr>
        <w:tc>
          <w:tcPr>
            <w:tcW w:w="287" w:type="pct"/>
            <w:vMerge/>
            <w:tcBorders>
              <w:top w:val="nil"/>
              <w:left w:val="single" w:sz="4" w:space="0" w:color="auto"/>
              <w:bottom w:val="single" w:sz="4" w:space="0" w:color="000000"/>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50" w:type="pct"/>
            <w:vMerge/>
            <w:tcBorders>
              <w:top w:val="nil"/>
              <w:left w:val="single" w:sz="4" w:space="0" w:color="auto"/>
              <w:bottom w:val="single" w:sz="4" w:space="0" w:color="auto"/>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00" w:type="pct"/>
            <w:tcBorders>
              <w:top w:val="nil"/>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574" w:type="pct"/>
            <w:tcBorders>
              <w:top w:val="nil"/>
              <w:left w:val="nil"/>
              <w:bottom w:val="single" w:sz="4" w:space="0" w:color="auto"/>
              <w:right w:val="single" w:sz="4" w:space="0" w:color="auto"/>
            </w:tcBorders>
            <w:vAlign w:val="center"/>
          </w:tcPr>
          <w:p w:rsidR="00C026BE" w:rsidRDefault="00A434D2" w:rsidP="007B34F2">
            <w:pPr>
              <w:widowControl/>
              <w:jc w:val="left"/>
              <w:rPr>
                <w:rFonts w:ascii="宋体" w:hAnsi="宋体" w:cs="宋体"/>
                <w:color w:val="000000"/>
                <w:kern w:val="0"/>
                <w:sz w:val="20"/>
                <w:szCs w:val="20"/>
              </w:rPr>
            </w:pPr>
            <w:r>
              <w:rPr>
                <w:rFonts w:ascii="宋体" w:hAnsi="宋体" w:cs="宋体" w:hint="eastAsia"/>
                <w:color w:val="000000"/>
                <w:kern w:val="0"/>
                <w:sz w:val="20"/>
                <w:szCs w:val="20"/>
              </w:rPr>
              <w:t>会计基础信息真实、完整、准确</w:t>
            </w:r>
          </w:p>
        </w:tc>
        <w:tc>
          <w:tcPr>
            <w:tcW w:w="324" w:type="pct"/>
            <w:tcBorders>
              <w:top w:val="nil"/>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规范</w:t>
            </w:r>
          </w:p>
        </w:tc>
        <w:tc>
          <w:tcPr>
            <w:tcW w:w="250" w:type="pct"/>
            <w:tcBorders>
              <w:top w:val="nil"/>
              <w:left w:val="nil"/>
              <w:bottom w:val="single" w:sz="4" w:space="0" w:color="auto"/>
              <w:right w:val="single" w:sz="4" w:space="0" w:color="auto"/>
            </w:tcBorders>
            <w:noWrap/>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629" w:type="pct"/>
            <w:tcBorders>
              <w:top w:val="nil"/>
              <w:left w:val="nil"/>
              <w:bottom w:val="single" w:sz="4" w:space="0" w:color="auto"/>
              <w:right w:val="nil"/>
            </w:tcBorders>
            <w:noWrap/>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1000" w:type="pct"/>
            <w:tcBorders>
              <w:top w:val="nil"/>
              <w:left w:val="single" w:sz="4" w:space="0" w:color="auto"/>
              <w:bottom w:val="single" w:sz="4" w:space="0" w:color="auto"/>
              <w:right w:val="single" w:sz="4" w:space="0" w:color="auto"/>
            </w:tcBorders>
            <w:vAlign w:val="center"/>
          </w:tcPr>
          <w:p w:rsidR="00C026BE" w:rsidRDefault="00A434D2" w:rsidP="00DB197B">
            <w:pPr>
              <w:widowControl/>
              <w:ind w:firstLine="361"/>
              <w:jc w:val="left"/>
              <w:rPr>
                <w:rFonts w:ascii="宋体" w:hAnsi="宋体" w:cs="宋体"/>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color w:val="000000"/>
                <w:kern w:val="0"/>
                <w:sz w:val="18"/>
                <w:szCs w:val="18"/>
              </w:rPr>
              <w:t>部门（单位）会计基础信息情况。</w:t>
            </w:r>
          </w:p>
        </w:tc>
        <w:tc>
          <w:tcPr>
            <w:tcW w:w="1281" w:type="pct"/>
            <w:tcBorders>
              <w:top w:val="nil"/>
              <w:left w:val="nil"/>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rsidR="00C026BE">
        <w:trPr>
          <w:trHeight w:val="2065"/>
        </w:trPr>
        <w:tc>
          <w:tcPr>
            <w:tcW w:w="287" w:type="pct"/>
            <w:vMerge/>
            <w:tcBorders>
              <w:top w:val="nil"/>
              <w:left w:val="single" w:sz="4" w:space="0" w:color="auto"/>
              <w:bottom w:val="single" w:sz="4" w:space="0" w:color="000000"/>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50" w:type="pct"/>
            <w:tcBorders>
              <w:top w:val="single" w:sz="4" w:space="0" w:color="auto"/>
              <w:left w:val="single" w:sz="4" w:space="0" w:color="auto"/>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资产</w:t>
            </w:r>
          </w:p>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管理</w:t>
            </w:r>
          </w:p>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（4）</w:t>
            </w:r>
          </w:p>
        </w:tc>
        <w:tc>
          <w:tcPr>
            <w:tcW w:w="300" w:type="pct"/>
            <w:tcBorders>
              <w:top w:val="single" w:sz="4" w:space="0" w:color="auto"/>
              <w:left w:val="single" w:sz="4" w:space="0" w:color="auto"/>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资产管理规范性</w:t>
            </w:r>
          </w:p>
        </w:tc>
        <w:tc>
          <w:tcPr>
            <w:tcW w:w="574" w:type="pct"/>
            <w:tcBorders>
              <w:top w:val="single" w:sz="4" w:space="0" w:color="auto"/>
              <w:left w:val="single" w:sz="4" w:space="0" w:color="auto"/>
              <w:bottom w:val="single" w:sz="4" w:space="0" w:color="auto"/>
              <w:right w:val="single" w:sz="4" w:space="0" w:color="auto"/>
            </w:tcBorders>
            <w:vAlign w:val="center"/>
          </w:tcPr>
          <w:p w:rsidR="00C026BE" w:rsidRDefault="00A434D2" w:rsidP="007B34F2">
            <w:pPr>
              <w:widowControl/>
              <w:jc w:val="left"/>
              <w:rPr>
                <w:rFonts w:ascii="宋体" w:hAnsi="宋体" w:cs="宋体"/>
                <w:color w:val="000000"/>
                <w:kern w:val="0"/>
                <w:sz w:val="20"/>
                <w:szCs w:val="20"/>
              </w:rPr>
            </w:pPr>
            <w:r>
              <w:rPr>
                <w:rFonts w:ascii="宋体" w:hAnsi="宋体" w:cs="宋体" w:hint="eastAsia"/>
                <w:color w:val="000000"/>
                <w:kern w:val="0"/>
                <w:sz w:val="20"/>
                <w:szCs w:val="20"/>
              </w:rPr>
              <w:t>资产制度健全，管理规范</w:t>
            </w:r>
          </w:p>
        </w:tc>
        <w:tc>
          <w:tcPr>
            <w:tcW w:w="324" w:type="pct"/>
            <w:tcBorders>
              <w:top w:val="single" w:sz="4" w:space="0" w:color="auto"/>
              <w:left w:val="single" w:sz="4" w:space="0" w:color="auto"/>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规范</w:t>
            </w:r>
          </w:p>
        </w:tc>
        <w:tc>
          <w:tcPr>
            <w:tcW w:w="250"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629"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000"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1"/>
              <w:jc w:val="left"/>
              <w:rPr>
                <w:rFonts w:ascii="宋体" w:hAnsi="宋体" w:cs="宋体"/>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1281"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C026BE">
        <w:trPr>
          <w:trHeight w:val="1361"/>
        </w:trPr>
        <w:tc>
          <w:tcPr>
            <w:tcW w:w="287" w:type="pct"/>
            <w:vMerge/>
            <w:tcBorders>
              <w:top w:val="nil"/>
              <w:left w:val="single" w:sz="4" w:space="0" w:color="auto"/>
              <w:bottom w:val="single" w:sz="4" w:space="0" w:color="000000"/>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50"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绩效</w:t>
            </w:r>
          </w:p>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管理</w:t>
            </w:r>
          </w:p>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（4）</w:t>
            </w:r>
          </w:p>
        </w:tc>
        <w:tc>
          <w:tcPr>
            <w:tcW w:w="300"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绩效管理情况</w:t>
            </w:r>
          </w:p>
        </w:tc>
        <w:tc>
          <w:tcPr>
            <w:tcW w:w="574"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绩效管理规范，未发生目标偏离</w:t>
            </w:r>
          </w:p>
        </w:tc>
        <w:tc>
          <w:tcPr>
            <w:tcW w:w="324"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比较规范</w:t>
            </w:r>
          </w:p>
        </w:tc>
        <w:tc>
          <w:tcPr>
            <w:tcW w:w="250"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629" w:type="pct"/>
            <w:tcBorders>
              <w:top w:val="single" w:sz="4" w:space="0" w:color="auto"/>
              <w:left w:val="nil"/>
              <w:bottom w:val="single" w:sz="4" w:space="0" w:color="auto"/>
              <w:right w:val="nil"/>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color w:val="000000"/>
                <w:kern w:val="0"/>
                <w:sz w:val="20"/>
                <w:szCs w:val="20"/>
              </w:rPr>
              <w:t>3.5</w:t>
            </w:r>
          </w:p>
        </w:tc>
        <w:tc>
          <w:tcPr>
            <w:tcW w:w="1000"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1"/>
              <w:jc w:val="left"/>
              <w:rPr>
                <w:rFonts w:ascii="宋体" w:hAnsi="宋体" w:cs="宋体"/>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color w:val="000000"/>
                <w:kern w:val="0"/>
                <w:sz w:val="18"/>
                <w:szCs w:val="18"/>
              </w:rPr>
              <w:t>考核部门（单位）在绩效管理信息的汇总和应用情况。</w:t>
            </w:r>
          </w:p>
        </w:tc>
        <w:tc>
          <w:tcPr>
            <w:tcW w:w="1281"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①部门（单位）是否及时对绩效信息进行汇总分析整理；②部门（单位）是否对绩效目标偏离情况及时进行矫正。每有一项不合格扣2分。</w:t>
            </w:r>
          </w:p>
        </w:tc>
      </w:tr>
      <w:tr w:rsidR="00C026BE">
        <w:trPr>
          <w:trHeight w:val="624"/>
        </w:trPr>
        <w:tc>
          <w:tcPr>
            <w:tcW w:w="287" w:type="pct"/>
            <w:vMerge/>
            <w:tcBorders>
              <w:top w:val="nil"/>
              <w:left w:val="single" w:sz="4" w:space="0" w:color="auto"/>
              <w:bottom w:val="single" w:sz="4" w:space="0" w:color="000000"/>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50"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 xml:space="preserve">指标　</w:t>
            </w:r>
          </w:p>
        </w:tc>
        <w:tc>
          <w:tcPr>
            <w:tcW w:w="875" w:type="pct"/>
            <w:gridSpan w:val="2"/>
            <w:tcBorders>
              <w:top w:val="single" w:sz="4" w:space="0" w:color="auto"/>
              <w:left w:val="nil"/>
              <w:bottom w:val="single" w:sz="4" w:space="0" w:color="auto"/>
              <w:right w:val="single" w:sz="4" w:space="0" w:color="000000"/>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202</w:t>
            </w:r>
            <w:r>
              <w:rPr>
                <w:rFonts w:ascii="宋体" w:hAnsi="宋体" w:cs="宋体"/>
                <w:color w:val="000000"/>
                <w:kern w:val="0"/>
                <w:sz w:val="20"/>
                <w:szCs w:val="20"/>
              </w:rPr>
              <w:t>2</w:t>
            </w:r>
            <w:r>
              <w:rPr>
                <w:rFonts w:ascii="宋体" w:hAnsi="宋体" w:cs="宋体" w:hint="eastAsia"/>
                <w:color w:val="000000"/>
                <w:kern w:val="0"/>
                <w:sz w:val="20"/>
                <w:szCs w:val="20"/>
              </w:rPr>
              <w:t>年</w:t>
            </w:r>
          </w:p>
        </w:tc>
        <w:tc>
          <w:tcPr>
            <w:tcW w:w="324"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2023年</w:t>
            </w:r>
          </w:p>
        </w:tc>
        <w:tc>
          <w:tcPr>
            <w:tcW w:w="250" w:type="pct"/>
            <w:tcBorders>
              <w:top w:val="single" w:sz="4" w:space="0" w:color="auto"/>
              <w:left w:val="nil"/>
              <w:bottom w:val="single" w:sz="4" w:space="0" w:color="auto"/>
              <w:right w:val="single" w:sz="4" w:space="0" w:color="auto"/>
            </w:tcBorders>
            <w:vAlign w:val="center"/>
          </w:tcPr>
          <w:p w:rsidR="00C026BE" w:rsidRDefault="00A434D2" w:rsidP="007B34F2">
            <w:pPr>
              <w:widowControl/>
              <w:rPr>
                <w:rFonts w:ascii="宋体" w:hAnsi="宋体" w:cs="宋体"/>
                <w:color w:val="000000"/>
                <w:kern w:val="0"/>
                <w:sz w:val="20"/>
                <w:szCs w:val="20"/>
              </w:rPr>
            </w:pPr>
            <w:r>
              <w:rPr>
                <w:rFonts w:ascii="宋体" w:hAnsi="宋体" w:cs="宋体" w:hint="eastAsia"/>
                <w:color w:val="000000"/>
                <w:kern w:val="0"/>
                <w:sz w:val="20"/>
                <w:szCs w:val="20"/>
              </w:rPr>
              <w:t>分值</w:t>
            </w:r>
          </w:p>
        </w:tc>
        <w:tc>
          <w:tcPr>
            <w:tcW w:w="629"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000"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0"/>
              <w:jc w:val="center"/>
              <w:rPr>
                <w:rFonts w:ascii="宋体" w:hAnsi="宋体" w:cs="宋体"/>
                <w:color w:val="000000"/>
                <w:kern w:val="0"/>
                <w:sz w:val="20"/>
                <w:szCs w:val="20"/>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281"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360"/>
              <w:jc w:val="center"/>
              <w:rPr>
                <w:rFonts w:eastAsia="Times New Roman"/>
                <w:kern w:val="0"/>
                <w:sz w:val="20"/>
                <w:szCs w:val="20"/>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C026BE">
        <w:trPr>
          <w:trHeight w:val="1752"/>
        </w:trPr>
        <w:tc>
          <w:tcPr>
            <w:tcW w:w="287" w:type="pct"/>
            <w:vMerge/>
            <w:tcBorders>
              <w:top w:val="nil"/>
              <w:left w:val="single" w:sz="4" w:space="0" w:color="auto"/>
              <w:bottom w:val="single" w:sz="4" w:space="0" w:color="000000"/>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50" w:type="pct"/>
            <w:tcBorders>
              <w:top w:val="nil"/>
              <w:left w:val="nil"/>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结转</w:t>
            </w:r>
          </w:p>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结余</w:t>
            </w:r>
          </w:p>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率</w:t>
            </w:r>
          </w:p>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（4）</w:t>
            </w:r>
          </w:p>
        </w:tc>
        <w:tc>
          <w:tcPr>
            <w:tcW w:w="875" w:type="pct"/>
            <w:gridSpan w:val="2"/>
            <w:tcBorders>
              <w:top w:val="single" w:sz="4" w:space="0" w:color="auto"/>
              <w:left w:val="nil"/>
              <w:bottom w:val="single" w:sz="4" w:space="0" w:color="auto"/>
              <w:right w:val="single" w:sz="4" w:space="0" w:color="000000"/>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3</w:t>
            </w:r>
            <w:r>
              <w:rPr>
                <w:rFonts w:ascii="宋体" w:hAnsi="宋体" w:cs="宋体"/>
                <w:color w:val="000000"/>
                <w:kern w:val="0"/>
                <w:sz w:val="20"/>
                <w:szCs w:val="20"/>
              </w:rPr>
              <w:t>%</w:t>
            </w:r>
          </w:p>
        </w:tc>
        <w:tc>
          <w:tcPr>
            <w:tcW w:w="324" w:type="pct"/>
            <w:tcBorders>
              <w:top w:val="nil"/>
              <w:left w:val="nil"/>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3.33</w:t>
            </w:r>
            <w:r>
              <w:rPr>
                <w:rFonts w:ascii="宋体" w:hAnsi="宋体" w:cs="宋体"/>
                <w:color w:val="000000"/>
                <w:kern w:val="0"/>
                <w:sz w:val="20"/>
                <w:szCs w:val="20"/>
              </w:rPr>
              <w:t>%</w:t>
            </w:r>
          </w:p>
        </w:tc>
        <w:tc>
          <w:tcPr>
            <w:tcW w:w="250" w:type="pct"/>
            <w:tcBorders>
              <w:top w:val="nil"/>
              <w:left w:val="nil"/>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629" w:type="pct"/>
            <w:tcBorders>
              <w:top w:val="nil"/>
              <w:left w:val="nil"/>
              <w:bottom w:val="single" w:sz="4" w:space="0" w:color="auto"/>
              <w:right w:val="nil"/>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000" w:type="pct"/>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结转结余率=结转结余总额/支出预算数×100%。</w:t>
            </w:r>
          </w:p>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结转结余总额：部门（单位）本年度的结转资金与结余资金之和。</w:t>
            </w:r>
          </w:p>
        </w:tc>
        <w:tc>
          <w:tcPr>
            <w:tcW w:w="1281" w:type="pct"/>
            <w:tcBorders>
              <w:top w:val="single" w:sz="4" w:space="0" w:color="auto"/>
              <w:left w:val="nil"/>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w:t>
            </w:r>
            <w:r>
              <w:rPr>
                <w:rFonts w:ascii="宋体" w:hAnsi="宋体" w:cs="宋体" w:hint="eastAsia"/>
                <w:color w:val="000000"/>
                <w:kern w:val="0"/>
                <w:sz w:val="18"/>
                <w:szCs w:val="18"/>
              </w:rPr>
              <w:lastRenderedPageBreak/>
              <w:t>虑。）</w:t>
            </w:r>
          </w:p>
        </w:tc>
      </w:tr>
      <w:tr w:rsidR="00C026BE">
        <w:trPr>
          <w:trHeight w:val="1111"/>
        </w:trPr>
        <w:tc>
          <w:tcPr>
            <w:tcW w:w="287" w:type="pct"/>
            <w:vMerge/>
            <w:tcBorders>
              <w:top w:val="nil"/>
              <w:left w:val="single" w:sz="4" w:space="0" w:color="auto"/>
              <w:bottom w:val="single" w:sz="4" w:space="0" w:color="000000"/>
              <w:right w:val="single" w:sz="4" w:space="0" w:color="auto"/>
            </w:tcBorders>
            <w:vAlign w:val="center"/>
          </w:tcPr>
          <w:p w:rsidR="00C026BE" w:rsidRDefault="00C026BE" w:rsidP="00DB197B">
            <w:pPr>
              <w:widowControl/>
              <w:ind w:firstLine="400"/>
              <w:jc w:val="left"/>
              <w:rPr>
                <w:rFonts w:ascii="宋体" w:hAnsi="宋体" w:cs="宋体"/>
                <w:color w:val="000000"/>
                <w:kern w:val="0"/>
                <w:sz w:val="20"/>
                <w:szCs w:val="20"/>
              </w:rPr>
            </w:pPr>
          </w:p>
        </w:tc>
        <w:tc>
          <w:tcPr>
            <w:tcW w:w="350" w:type="pct"/>
            <w:tcBorders>
              <w:top w:val="nil"/>
              <w:left w:val="nil"/>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部门预决算差异率</w:t>
            </w:r>
          </w:p>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（4）</w:t>
            </w:r>
          </w:p>
        </w:tc>
        <w:tc>
          <w:tcPr>
            <w:tcW w:w="875" w:type="pct"/>
            <w:gridSpan w:val="2"/>
            <w:tcBorders>
              <w:top w:val="single" w:sz="4" w:space="0" w:color="auto"/>
              <w:left w:val="nil"/>
              <w:bottom w:val="single" w:sz="4" w:space="0" w:color="auto"/>
              <w:right w:val="nil"/>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3</w:t>
            </w:r>
            <w:r>
              <w:rPr>
                <w:rFonts w:ascii="宋体" w:hAnsi="宋体" w:cs="宋体"/>
                <w:color w:val="000000"/>
                <w:kern w:val="0"/>
                <w:sz w:val="20"/>
                <w:szCs w:val="20"/>
              </w:rPr>
              <w:t>%</w:t>
            </w:r>
          </w:p>
        </w:tc>
        <w:tc>
          <w:tcPr>
            <w:tcW w:w="324" w:type="pct"/>
            <w:tcBorders>
              <w:top w:val="nil"/>
              <w:left w:val="single" w:sz="4" w:space="0" w:color="auto"/>
              <w:bottom w:val="single" w:sz="4" w:space="0" w:color="auto"/>
              <w:right w:val="single" w:sz="4" w:space="0" w:color="auto"/>
            </w:tcBorders>
            <w:vAlign w:val="center"/>
          </w:tcPr>
          <w:p w:rsidR="00C026BE" w:rsidRDefault="00A434D2" w:rsidP="00D449E0">
            <w:pPr>
              <w:widowControl/>
              <w:rPr>
                <w:rFonts w:ascii="宋体" w:hAnsi="宋体" w:cs="宋体"/>
                <w:color w:val="000000"/>
                <w:kern w:val="0"/>
                <w:sz w:val="20"/>
                <w:szCs w:val="20"/>
              </w:rPr>
            </w:pPr>
            <w:r>
              <w:rPr>
                <w:rFonts w:ascii="宋体" w:hAnsi="宋体" w:cs="宋体" w:hint="eastAsia"/>
                <w:color w:val="000000"/>
                <w:kern w:val="0"/>
                <w:sz w:val="20"/>
                <w:szCs w:val="20"/>
              </w:rPr>
              <w:t>10.14</w:t>
            </w:r>
            <w:r>
              <w:rPr>
                <w:rFonts w:ascii="宋体" w:hAnsi="宋体" w:cs="宋体"/>
                <w:color w:val="000000"/>
                <w:kern w:val="0"/>
                <w:sz w:val="20"/>
                <w:szCs w:val="20"/>
              </w:rPr>
              <w:t>%</w:t>
            </w:r>
          </w:p>
        </w:tc>
        <w:tc>
          <w:tcPr>
            <w:tcW w:w="250" w:type="pct"/>
            <w:tcBorders>
              <w:top w:val="nil"/>
              <w:left w:val="nil"/>
              <w:bottom w:val="single" w:sz="4" w:space="0" w:color="auto"/>
              <w:right w:val="single" w:sz="4" w:space="0" w:color="auto"/>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629" w:type="pct"/>
            <w:tcBorders>
              <w:top w:val="nil"/>
              <w:left w:val="nil"/>
              <w:bottom w:val="single" w:sz="4" w:space="0" w:color="auto"/>
              <w:right w:val="nil"/>
            </w:tcBorders>
            <w:vAlign w:val="center"/>
          </w:tcPr>
          <w:p w:rsidR="00C026BE" w:rsidRDefault="00A434D2" w:rsidP="00DB197B">
            <w:pPr>
              <w:widowControl/>
              <w:ind w:firstLine="400"/>
              <w:jc w:val="center"/>
              <w:rPr>
                <w:rFonts w:ascii="宋体" w:hAnsi="宋体" w:cs="宋体"/>
                <w:color w:val="000000"/>
                <w:kern w:val="0"/>
                <w:sz w:val="20"/>
                <w:szCs w:val="20"/>
              </w:rPr>
            </w:pPr>
            <w:r>
              <w:rPr>
                <w:rFonts w:ascii="宋体" w:hAnsi="宋体" w:cs="宋体"/>
                <w:color w:val="000000"/>
                <w:kern w:val="0"/>
                <w:sz w:val="20"/>
                <w:szCs w:val="20"/>
              </w:rPr>
              <w:t>4</w:t>
            </w:r>
          </w:p>
        </w:tc>
        <w:tc>
          <w:tcPr>
            <w:tcW w:w="1000" w:type="pct"/>
            <w:tcBorders>
              <w:top w:val="nil"/>
              <w:left w:val="single" w:sz="4" w:space="0" w:color="auto"/>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通过年度部门决算与年初部门预算对比，对部门的年度支出情况进行考核，衡量部门预算的约束力。</w:t>
            </w:r>
          </w:p>
        </w:tc>
        <w:tc>
          <w:tcPr>
            <w:tcW w:w="1281" w:type="pct"/>
            <w:tcBorders>
              <w:top w:val="nil"/>
              <w:left w:val="nil"/>
              <w:bottom w:val="single" w:sz="4" w:space="0" w:color="auto"/>
              <w:right w:val="single" w:sz="4" w:space="0" w:color="auto"/>
            </w:tcBorders>
            <w:vAlign w:val="center"/>
          </w:tcPr>
          <w:p w:rsidR="00C026BE" w:rsidRDefault="00A434D2" w:rsidP="00DB197B">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部门预决算差异率高于市级平均差异率（28.3%）的，每高出10%（含），扣0.4分，扣完为止。</w:t>
            </w:r>
          </w:p>
        </w:tc>
      </w:tr>
      <w:tr w:rsidR="00C026BE">
        <w:trPr>
          <w:trHeight w:val="404"/>
        </w:trPr>
        <w:tc>
          <w:tcPr>
            <w:tcW w:w="1838" w:type="pct"/>
            <w:gridSpan w:val="5"/>
            <w:tcBorders>
              <w:top w:val="single" w:sz="4" w:space="0" w:color="auto"/>
              <w:left w:val="single" w:sz="4" w:space="0" w:color="auto"/>
              <w:bottom w:val="single" w:sz="4" w:space="0" w:color="auto"/>
              <w:right w:val="single" w:sz="4" w:space="0" w:color="auto"/>
            </w:tcBorders>
            <w:vAlign w:val="center"/>
          </w:tcPr>
          <w:p w:rsidR="00C026BE" w:rsidRDefault="00A434D2" w:rsidP="00DB197B">
            <w:pPr>
              <w:widowControl/>
              <w:ind w:firstLine="402"/>
              <w:jc w:val="center"/>
              <w:rPr>
                <w:rFonts w:asciiTheme="minorEastAsia" w:eastAsiaTheme="minorEastAsia" w:hAnsiTheme="minorEastAsia" w:cs="宋体"/>
                <w:b/>
                <w:color w:val="000000"/>
                <w:kern w:val="0"/>
                <w:sz w:val="20"/>
                <w:szCs w:val="20"/>
              </w:rPr>
            </w:pPr>
            <w:r>
              <w:rPr>
                <w:rFonts w:asciiTheme="minorEastAsia" w:eastAsiaTheme="minorEastAsia" w:hAnsiTheme="minorEastAsia" w:cs="宋体" w:hint="eastAsia"/>
                <w:b/>
                <w:color w:val="000000"/>
                <w:kern w:val="0"/>
                <w:sz w:val="20"/>
                <w:szCs w:val="20"/>
              </w:rPr>
              <w:t>合计</w:t>
            </w:r>
          </w:p>
        </w:tc>
        <w:tc>
          <w:tcPr>
            <w:tcW w:w="250" w:type="pct"/>
            <w:tcBorders>
              <w:top w:val="nil"/>
              <w:left w:val="nil"/>
              <w:bottom w:val="single" w:sz="4" w:space="0" w:color="auto"/>
              <w:right w:val="single" w:sz="4" w:space="0" w:color="auto"/>
            </w:tcBorders>
            <w:vAlign w:val="center"/>
          </w:tcPr>
          <w:p w:rsidR="00C026BE" w:rsidRDefault="00A434D2" w:rsidP="00D449E0">
            <w:pPr>
              <w:widowControl/>
              <w:rPr>
                <w:rFonts w:asciiTheme="minorEastAsia" w:eastAsiaTheme="minorEastAsia" w:hAnsiTheme="minorEastAsia" w:cs="宋体"/>
                <w:b/>
                <w:color w:val="000000"/>
                <w:kern w:val="0"/>
                <w:sz w:val="20"/>
                <w:szCs w:val="20"/>
              </w:rPr>
            </w:pPr>
            <w:r>
              <w:rPr>
                <w:rFonts w:asciiTheme="minorEastAsia" w:eastAsiaTheme="minorEastAsia" w:hAnsiTheme="minorEastAsia" w:cs="宋体" w:hint="eastAsia"/>
                <w:b/>
                <w:color w:val="000000"/>
                <w:kern w:val="0"/>
                <w:sz w:val="20"/>
                <w:szCs w:val="20"/>
              </w:rPr>
              <w:t>100</w:t>
            </w:r>
          </w:p>
        </w:tc>
        <w:tc>
          <w:tcPr>
            <w:tcW w:w="629" w:type="pct"/>
            <w:tcBorders>
              <w:top w:val="nil"/>
              <w:left w:val="nil"/>
              <w:bottom w:val="single" w:sz="4" w:space="0" w:color="auto"/>
              <w:right w:val="nil"/>
            </w:tcBorders>
            <w:vAlign w:val="center"/>
          </w:tcPr>
          <w:p w:rsidR="00C026BE" w:rsidRDefault="00A434D2" w:rsidP="00DB197B">
            <w:pPr>
              <w:widowControl/>
              <w:ind w:firstLine="402"/>
              <w:jc w:val="center"/>
              <w:rPr>
                <w:rFonts w:asciiTheme="minorEastAsia" w:eastAsiaTheme="minorEastAsia" w:hAnsiTheme="minorEastAsia" w:cs="宋体"/>
                <w:b/>
                <w:color w:val="000000"/>
                <w:kern w:val="0"/>
                <w:sz w:val="20"/>
                <w:szCs w:val="20"/>
              </w:rPr>
            </w:pPr>
            <w:r>
              <w:rPr>
                <w:rFonts w:asciiTheme="minorEastAsia" w:eastAsiaTheme="minorEastAsia" w:hAnsiTheme="minorEastAsia" w:cs="宋体" w:hint="eastAsia"/>
                <w:b/>
                <w:color w:val="000000"/>
                <w:kern w:val="0"/>
                <w:sz w:val="20"/>
                <w:szCs w:val="20"/>
              </w:rPr>
              <w:t>92.83</w:t>
            </w:r>
          </w:p>
        </w:tc>
        <w:tc>
          <w:tcPr>
            <w:tcW w:w="2282" w:type="pct"/>
            <w:gridSpan w:val="2"/>
            <w:tcBorders>
              <w:top w:val="single" w:sz="4" w:space="0" w:color="auto"/>
              <w:left w:val="single" w:sz="4" w:space="0" w:color="auto"/>
              <w:bottom w:val="single" w:sz="4" w:space="0" w:color="auto"/>
              <w:right w:val="single" w:sz="4" w:space="0" w:color="000000"/>
            </w:tcBorders>
            <w:vAlign w:val="center"/>
          </w:tcPr>
          <w:p w:rsidR="00C026BE" w:rsidRDefault="00A434D2" w:rsidP="00DB197B">
            <w:pPr>
              <w:widowControl/>
              <w:ind w:firstLine="402"/>
              <w:jc w:val="center"/>
              <w:rPr>
                <w:rFonts w:asciiTheme="minorEastAsia" w:eastAsiaTheme="minorEastAsia" w:hAnsiTheme="minorEastAsia" w:cs="宋体"/>
                <w:b/>
                <w:color w:val="000000"/>
                <w:kern w:val="0"/>
                <w:sz w:val="20"/>
                <w:szCs w:val="20"/>
              </w:rPr>
            </w:pPr>
            <w:r>
              <w:rPr>
                <w:rFonts w:asciiTheme="minorEastAsia" w:eastAsiaTheme="minorEastAsia" w:hAnsiTheme="minorEastAsia" w:cs="宋体" w:hint="eastAsia"/>
                <w:b/>
                <w:color w:val="000000"/>
                <w:kern w:val="0"/>
                <w:sz w:val="20"/>
                <w:szCs w:val="20"/>
              </w:rPr>
              <w:t xml:space="preserve">　</w:t>
            </w:r>
          </w:p>
        </w:tc>
      </w:tr>
    </w:tbl>
    <w:p w:rsidR="00C026BE" w:rsidRDefault="00C026BE">
      <w:pPr>
        <w:ind w:firstLineChars="200" w:firstLine="640"/>
        <w:rPr>
          <w:rFonts w:ascii="仿宋_GB2312" w:eastAsia="仿宋_GB2312"/>
          <w:sz w:val="32"/>
          <w:szCs w:val="32"/>
        </w:rPr>
      </w:pPr>
    </w:p>
    <w:sectPr w:rsidR="00C026BE" w:rsidSect="00C026BE">
      <w:pgSz w:w="16838" w:h="11906" w:orient="landscape"/>
      <w:pgMar w:top="1797" w:right="1440" w:bottom="1797" w:left="144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BDF" w:rsidRDefault="00602BDF" w:rsidP="00C026BE">
      <w:r>
        <w:separator/>
      </w:r>
    </w:p>
    <w:p w:rsidR="00602BDF" w:rsidRDefault="00602BDF"/>
    <w:p w:rsidR="00602BDF" w:rsidRDefault="00602BDF" w:rsidP="00DB197B"/>
    <w:p w:rsidR="00602BDF" w:rsidRDefault="00602BDF" w:rsidP="00DB197B"/>
    <w:p w:rsidR="00602BDF" w:rsidRDefault="00602BDF" w:rsidP="00715640"/>
    <w:p w:rsidR="00602BDF" w:rsidRDefault="00602BDF" w:rsidP="00C15F8B"/>
    <w:p w:rsidR="00602BDF" w:rsidRDefault="00602BDF" w:rsidP="00C15F8B"/>
    <w:p w:rsidR="00602BDF" w:rsidRDefault="00602BDF" w:rsidP="00C15F8B"/>
  </w:endnote>
  <w:endnote w:type="continuationSeparator" w:id="1">
    <w:p w:rsidR="00602BDF" w:rsidRDefault="00602BDF" w:rsidP="00C026BE">
      <w:r>
        <w:continuationSeparator/>
      </w:r>
    </w:p>
    <w:p w:rsidR="00602BDF" w:rsidRDefault="00602BDF"/>
    <w:p w:rsidR="00602BDF" w:rsidRDefault="00602BDF" w:rsidP="00DB197B"/>
    <w:p w:rsidR="00602BDF" w:rsidRDefault="00602BDF" w:rsidP="00DB197B"/>
    <w:p w:rsidR="00602BDF" w:rsidRDefault="00602BDF" w:rsidP="00715640"/>
    <w:p w:rsidR="00602BDF" w:rsidRDefault="00602BDF" w:rsidP="00C15F8B"/>
    <w:p w:rsidR="00602BDF" w:rsidRDefault="00602BDF" w:rsidP="00C15F8B"/>
    <w:p w:rsidR="00602BDF" w:rsidRDefault="00602BDF" w:rsidP="00C15F8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微软雅黑"/>
    <w:charset w:val="86"/>
    <w:family w:val="modern"/>
    <w:pitch w:val="default"/>
    <w:sig w:usb0="00000000"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801"/>
    </w:sdtPr>
    <w:sdtContent>
      <w:p w:rsidR="00C026BE" w:rsidRDefault="00356341">
        <w:pPr>
          <w:pStyle w:val="aa"/>
          <w:jc w:val="center"/>
        </w:pPr>
        <w:r>
          <w:rPr>
            <w:rFonts w:ascii="宋体" w:hAnsi="宋体"/>
            <w:sz w:val="28"/>
            <w:szCs w:val="28"/>
          </w:rPr>
          <w:fldChar w:fldCharType="begin"/>
        </w:r>
        <w:r w:rsidR="00A434D2">
          <w:rPr>
            <w:rFonts w:ascii="宋体" w:hAnsi="宋体"/>
            <w:sz w:val="28"/>
            <w:szCs w:val="28"/>
          </w:rPr>
          <w:instrText>PAGE   \* MERGEFORMAT</w:instrText>
        </w:r>
        <w:r>
          <w:rPr>
            <w:rFonts w:ascii="宋体" w:hAnsi="宋体"/>
            <w:sz w:val="28"/>
            <w:szCs w:val="28"/>
          </w:rPr>
          <w:fldChar w:fldCharType="separate"/>
        </w:r>
        <w:r w:rsidR="00824845" w:rsidRPr="00824845">
          <w:rPr>
            <w:rFonts w:ascii="宋体" w:hAnsi="宋体"/>
            <w:noProof/>
            <w:sz w:val="28"/>
            <w:szCs w:val="28"/>
            <w:lang w:val="zh-CN"/>
          </w:rPr>
          <w:t>9</w:t>
        </w:r>
        <w:r>
          <w:rPr>
            <w:rFonts w:ascii="宋体" w:hAnsi="宋体"/>
            <w:sz w:val="28"/>
            <w:szCs w:val="28"/>
          </w:rPr>
          <w:fldChar w:fldCharType="end"/>
        </w:r>
      </w:p>
    </w:sdtContent>
  </w:sdt>
  <w:p w:rsidR="00C026BE" w:rsidRDefault="00C026B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BDF" w:rsidRDefault="00602BDF" w:rsidP="00C026BE">
      <w:r>
        <w:separator/>
      </w:r>
    </w:p>
    <w:p w:rsidR="00602BDF" w:rsidRDefault="00602BDF"/>
    <w:p w:rsidR="00602BDF" w:rsidRDefault="00602BDF" w:rsidP="00DB197B"/>
    <w:p w:rsidR="00602BDF" w:rsidRDefault="00602BDF" w:rsidP="00DB197B"/>
    <w:p w:rsidR="00602BDF" w:rsidRDefault="00602BDF" w:rsidP="00715640"/>
    <w:p w:rsidR="00602BDF" w:rsidRDefault="00602BDF" w:rsidP="00C15F8B"/>
    <w:p w:rsidR="00602BDF" w:rsidRDefault="00602BDF" w:rsidP="00C15F8B"/>
    <w:p w:rsidR="00602BDF" w:rsidRDefault="00602BDF" w:rsidP="00C15F8B"/>
  </w:footnote>
  <w:footnote w:type="continuationSeparator" w:id="1">
    <w:p w:rsidR="00602BDF" w:rsidRDefault="00602BDF" w:rsidP="00C026BE">
      <w:r>
        <w:continuationSeparator/>
      </w:r>
    </w:p>
    <w:p w:rsidR="00602BDF" w:rsidRDefault="00602BDF"/>
    <w:p w:rsidR="00602BDF" w:rsidRDefault="00602BDF" w:rsidP="00DB197B"/>
    <w:p w:rsidR="00602BDF" w:rsidRDefault="00602BDF" w:rsidP="00DB197B"/>
    <w:p w:rsidR="00602BDF" w:rsidRDefault="00602BDF" w:rsidP="00715640"/>
    <w:p w:rsidR="00602BDF" w:rsidRDefault="00602BDF" w:rsidP="00C15F8B"/>
    <w:p w:rsidR="00602BDF" w:rsidRDefault="00602BDF" w:rsidP="00C15F8B"/>
    <w:p w:rsidR="00602BDF" w:rsidRDefault="00602BDF" w:rsidP="00C15F8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742AD7"/>
    <w:multiLevelType w:val="multilevel"/>
    <w:tmpl w:val="5B742AD7"/>
    <w:lvl w:ilvl="0">
      <w:start w:val="1"/>
      <w:numFmt w:val="chineseCountingThousand"/>
      <w:suff w:val="nothing"/>
      <w:lvlText w:val="第%1章"/>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jkyZmNhZmMwYTRkMzdjNDc0ZDBiODA4ZTNmNjg2YzYifQ=="/>
  </w:docVars>
  <w:rsids>
    <w:rsidRoot w:val="50B81F77"/>
    <w:rsid w:val="0001571F"/>
    <w:rsid w:val="00024B7C"/>
    <w:rsid w:val="000343D5"/>
    <w:rsid w:val="00061132"/>
    <w:rsid w:val="00077C5F"/>
    <w:rsid w:val="00077DF0"/>
    <w:rsid w:val="00080E50"/>
    <w:rsid w:val="00097644"/>
    <w:rsid w:val="000A05CA"/>
    <w:rsid w:val="000B37EA"/>
    <w:rsid w:val="000B768F"/>
    <w:rsid w:val="000B7C3F"/>
    <w:rsid w:val="000C13B2"/>
    <w:rsid w:val="000C5A25"/>
    <w:rsid w:val="000C72DC"/>
    <w:rsid w:val="000E5EE7"/>
    <w:rsid w:val="000E6B49"/>
    <w:rsid w:val="000F55E9"/>
    <w:rsid w:val="00104BB7"/>
    <w:rsid w:val="001065B1"/>
    <w:rsid w:val="001345FE"/>
    <w:rsid w:val="00143F5C"/>
    <w:rsid w:val="00154105"/>
    <w:rsid w:val="001673CC"/>
    <w:rsid w:val="00170175"/>
    <w:rsid w:val="001A7A7A"/>
    <w:rsid w:val="001F5078"/>
    <w:rsid w:val="00212B44"/>
    <w:rsid w:val="00220E6A"/>
    <w:rsid w:val="00223AA1"/>
    <w:rsid w:val="00225388"/>
    <w:rsid w:val="0023203C"/>
    <w:rsid w:val="00240CEB"/>
    <w:rsid w:val="00243EC4"/>
    <w:rsid w:val="00244D43"/>
    <w:rsid w:val="00245E8F"/>
    <w:rsid w:val="00246DE0"/>
    <w:rsid w:val="0025027E"/>
    <w:rsid w:val="00250534"/>
    <w:rsid w:val="002557C6"/>
    <w:rsid w:val="00262901"/>
    <w:rsid w:val="00265291"/>
    <w:rsid w:val="00265A0E"/>
    <w:rsid w:val="002711E6"/>
    <w:rsid w:val="0027134D"/>
    <w:rsid w:val="002857DF"/>
    <w:rsid w:val="0029611F"/>
    <w:rsid w:val="002A49E6"/>
    <w:rsid w:val="002B1957"/>
    <w:rsid w:val="002B6C59"/>
    <w:rsid w:val="002D211B"/>
    <w:rsid w:val="002E4EF9"/>
    <w:rsid w:val="002F5126"/>
    <w:rsid w:val="00301AB4"/>
    <w:rsid w:val="003300EC"/>
    <w:rsid w:val="00334E41"/>
    <w:rsid w:val="00336085"/>
    <w:rsid w:val="00347A0C"/>
    <w:rsid w:val="0035539D"/>
    <w:rsid w:val="00356341"/>
    <w:rsid w:val="0038515F"/>
    <w:rsid w:val="0039116C"/>
    <w:rsid w:val="003A13DB"/>
    <w:rsid w:val="003A46D5"/>
    <w:rsid w:val="003A7A9A"/>
    <w:rsid w:val="003B36B0"/>
    <w:rsid w:val="003B6123"/>
    <w:rsid w:val="003C105A"/>
    <w:rsid w:val="003D3D14"/>
    <w:rsid w:val="003D4086"/>
    <w:rsid w:val="003D7E32"/>
    <w:rsid w:val="003E4B0C"/>
    <w:rsid w:val="003F1BCD"/>
    <w:rsid w:val="004069DD"/>
    <w:rsid w:val="00410A79"/>
    <w:rsid w:val="004138AC"/>
    <w:rsid w:val="00416CF0"/>
    <w:rsid w:val="004200A4"/>
    <w:rsid w:val="0042385A"/>
    <w:rsid w:val="00447205"/>
    <w:rsid w:val="00466793"/>
    <w:rsid w:val="004A28B4"/>
    <w:rsid w:val="004B0BD6"/>
    <w:rsid w:val="004E0E1A"/>
    <w:rsid w:val="004E1638"/>
    <w:rsid w:val="004F67AA"/>
    <w:rsid w:val="00503897"/>
    <w:rsid w:val="00551F06"/>
    <w:rsid w:val="00563E3D"/>
    <w:rsid w:val="00571275"/>
    <w:rsid w:val="0057198E"/>
    <w:rsid w:val="0058466E"/>
    <w:rsid w:val="00592F97"/>
    <w:rsid w:val="005B4E8F"/>
    <w:rsid w:val="005C1A43"/>
    <w:rsid w:val="005C6962"/>
    <w:rsid w:val="005D12E6"/>
    <w:rsid w:val="005D191B"/>
    <w:rsid w:val="005E2798"/>
    <w:rsid w:val="005F06CD"/>
    <w:rsid w:val="00602BDF"/>
    <w:rsid w:val="0060457D"/>
    <w:rsid w:val="006137BB"/>
    <w:rsid w:val="00621379"/>
    <w:rsid w:val="00622798"/>
    <w:rsid w:val="006245BC"/>
    <w:rsid w:val="0063758F"/>
    <w:rsid w:val="006417AD"/>
    <w:rsid w:val="00645FB7"/>
    <w:rsid w:val="0064711C"/>
    <w:rsid w:val="00660D62"/>
    <w:rsid w:val="0066139A"/>
    <w:rsid w:val="006624A6"/>
    <w:rsid w:val="0066683C"/>
    <w:rsid w:val="00666CE2"/>
    <w:rsid w:val="006717EE"/>
    <w:rsid w:val="0067403D"/>
    <w:rsid w:val="00680338"/>
    <w:rsid w:val="006851B6"/>
    <w:rsid w:val="00685F43"/>
    <w:rsid w:val="006862E7"/>
    <w:rsid w:val="006865E1"/>
    <w:rsid w:val="006A5CB6"/>
    <w:rsid w:val="006A6A3A"/>
    <w:rsid w:val="006B1508"/>
    <w:rsid w:val="006C1238"/>
    <w:rsid w:val="006C2106"/>
    <w:rsid w:val="006D6FAC"/>
    <w:rsid w:val="006D711A"/>
    <w:rsid w:val="006F2B56"/>
    <w:rsid w:val="006F594C"/>
    <w:rsid w:val="00706E0A"/>
    <w:rsid w:val="00707B7F"/>
    <w:rsid w:val="00715640"/>
    <w:rsid w:val="00725CD3"/>
    <w:rsid w:val="0072731D"/>
    <w:rsid w:val="0074611E"/>
    <w:rsid w:val="00764B09"/>
    <w:rsid w:val="00766626"/>
    <w:rsid w:val="0077196A"/>
    <w:rsid w:val="00784B92"/>
    <w:rsid w:val="007B255C"/>
    <w:rsid w:val="007B34F2"/>
    <w:rsid w:val="007C3060"/>
    <w:rsid w:val="007C3755"/>
    <w:rsid w:val="007C377D"/>
    <w:rsid w:val="007D0DC9"/>
    <w:rsid w:val="007E3357"/>
    <w:rsid w:val="007E3539"/>
    <w:rsid w:val="007F65CC"/>
    <w:rsid w:val="00806527"/>
    <w:rsid w:val="0082167E"/>
    <w:rsid w:val="00824845"/>
    <w:rsid w:val="00833739"/>
    <w:rsid w:val="00833A5E"/>
    <w:rsid w:val="00852FF7"/>
    <w:rsid w:val="0088734D"/>
    <w:rsid w:val="00891324"/>
    <w:rsid w:val="008A01A8"/>
    <w:rsid w:val="008B45C0"/>
    <w:rsid w:val="008B6A2D"/>
    <w:rsid w:val="008D1C6B"/>
    <w:rsid w:val="008D57FA"/>
    <w:rsid w:val="008E5090"/>
    <w:rsid w:val="008E6BB9"/>
    <w:rsid w:val="008F129B"/>
    <w:rsid w:val="008F5437"/>
    <w:rsid w:val="0093165B"/>
    <w:rsid w:val="00931EF6"/>
    <w:rsid w:val="00947BAF"/>
    <w:rsid w:val="0096124E"/>
    <w:rsid w:val="00965889"/>
    <w:rsid w:val="009677AC"/>
    <w:rsid w:val="009706F4"/>
    <w:rsid w:val="009722DD"/>
    <w:rsid w:val="00986798"/>
    <w:rsid w:val="00990030"/>
    <w:rsid w:val="009972A8"/>
    <w:rsid w:val="009D5FCB"/>
    <w:rsid w:val="00A15061"/>
    <w:rsid w:val="00A276E1"/>
    <w:rsid w:val="00A27D9F"/>
    <w:rsid w:val="00A3204B"/>
    <w:rsid w:val="00A434D2"/>
    <w:rsid w:val="00A55B91"/>
    <w:rsid w:val="00A7016B"/>
    <w:rsid w:val="00A723D8"/>
    <w:rsid w:val="00A80DD4"/>
    <w:rsid w:val="00AA18CE"/>
    <w:rsid w:val="00AA7ACF"/>
    <w:rsid w:val="00AB59E0"/>
    <w:rsid w:val="00AB7AC9"/>
    <w:rsid w:val="00AE6AE0"/>
    <w:rsid w:val="00B13811"/>
    <w:rsid w:val="00B22E82"/>
    <w:rsid w:val="00B23A40"/>
    <w:rsid w:val="00B36E25"/>
    <w:rsid w:val="00B41013"/>
    <w:rsid w:val="00B52D5F"/>
    <w:rsid w:val="00B65F15"/>
    <w:rsid w:val="00B67AD7"/>
    <w:rsid w:val="00B764EC"/>
    <w:rsid w:val="00B8324E"/>
    <w:rsid w:val="00B94CA5"/>
    <w:rsid w:val="00BA7A84"/>
    <w:rsid w:val="00BC3850"/>
    <w:rsid w:val="00BD28AD"/>
    <w:rsid w:val="00BD3100"/>
    <w:rsid w:val="00BE176D"/>
    <w:rsid w:val="00BE2F97"/>
    <w:rsid w:val="00BE76B7"/>
    <w:rsid w:val="00BF19DF"/>
    <w:rsid w:val="00C026BE"/>
    <w:rsid w:val="00C079C7"/>
    <w:rsid w:val="00C1272C"/>
    <w:rsid w:val="00C136CA"/>
    <w:rsid w:val="00C15F8B"/>
    <w:rsid w:val="00C21492"/>
    <w:rsid w:val="00C264B0"/>
    <w:rsid w:val="00C50E07"/>
    <w:rsid w:val="00C530A4"/>
    <w:rsid w:val="00C70971"/>
    <w:rsid w:val="00C85118"/>
    <w:rsid w:val="00CB0FD2"/>
    <w:rsid w:val="00CB7591"/>
    <w:rsid w:val="00CD4643"/>
    <w:rsid w:val="00CD70BB"/>
    <w:rsid w:val="00CF522A"/>
    <w:rsid w:val="00D05BB1"/>
    <w:rsid w:val="00D207A2"/>
    <w:rsid w:val="00D20802"/>
    <w:rsid w:val="00D238D7"/>
    <w:rsid w:val="00D3788D"/>
    <w:rsid w:val="00D379EC"/>
    <w:rsid w:val="00D414D9"/>
    <w:rsid w:val="00D449E0"/>
    <w:rsid w:val="00D45C31"/>
    <w:rsid w:val="00D61959"/>
    <w:rsid w:val="00D61DF6"/>
    <w:rsid w:val="00D702CA"/>
    <w:rsid w:val="00D7432D"/>
    <w:rsid w:val="00D91C43"/>
    <w:rsid w:val="00D92AB0"/>
    <w:rsid w:val="00DB197B"/>
    <w:rsid w:val="00DD4018"/>
    <w:rsid w:val="00E175D6"/>
    <w:rsid w:val="00E22C82"/>
    <w:rsid w:val="00E335FF"/>
    <w:rsid w:val="00E4110D"/>
    <w:rsid w:val="00E46E12"/>
    <w:rsid w:val="00E51F8E"/>
    <w:rsid w:val="00E63AE8"/>
    <w:rsid w:val="00E97569"/>
    <w:rsid w:val="00EB1364"/>
    <w:rsid w:val="00EB2CA5"/>
    <w:rsid w:val="00EB3CF4"/>
    <w:rsid w:val="00EB4A82"/>
    <w:rsid w:val="00EB715A"/>
    <w:rsid w:val="00EC1383"/>
    <w:rsid w:val="00EC4ACD"/>
    <w:rsid w:val="00F012F1"/>
    <w:rsid w:val="00F04E85"/>
    <w:rsid w:val="00F1510C"/>
    <w:rsid w:val="00F159AB"/>
    <w:rsid w:val="00F16FE5"/>
    <w:rsid w:val="00F201C2"/>
    <w:rsid w:val="00F34246"/>
    <w:rsid w:val="00F347B4"/>
    <w:rsid w:val="00F40159"/>
    <w:rsid w:val="00F4279F"/>
    <w:rsid w:val="00F51FA0"/>
    <w:rsid w:val="00F62410"/>
    <w:rsid w:val="00F70D5D"/>
    <w:rsid w:val="00F75FE5"/>
    <w:rsid w:val="00F84DA4"/>
    <w:rsid w:val="00F85EC4"/>
    <w:rsid w:val="00F90140"/>
    <w:rsid w:val="00FB55E9"/>
    <w:rsid w:val="00FB5CF8"/>
    <w:rsid w:val="00FD11F7"/>
    <w:rsid w:val="00FD1D14"/>
    <w:rsid w:val="00FD7709"/>
    <w:rsid w:val="00FE4AA5"/>
    <w:rsid w:val="00FE6A00"/>
    <w:rsid w:val="00FF124B"/>
    <w:rsid w:val="00FF53B0"/>
    <w:rsid w:val="014823B5"/>
    <w:rsid w:val="01881C61"/>
    <w:rsid w:val="02502973"/>
    <w:rsid w:val="02A16CBD"/>
    <w:rsid w:val="030A1EBA"/>
    <w:rsid w:val="0330303F"/>
    <w:rsid w:val="03E557F1"/>
    <w:rsid w:val="05EC7475"/>
    <w:rsid w:val="060B7F37"/>
    <w:rsid w:val="064447C8"/>
    <w:rsid w:val="06C613A4"/>
    <w:rsid w:val="071C03BE"/>
    <w:rsid w:val="0821042B"/>
    <w:rsid w:val="08A56EF9"/>
    <w:rsid w:val="0A042043"/>
    <w:rsid w:val="0A5A2327"/>
    <w:rsid w:val="0B10563F"/>
    <w:rsid w:val="0B845EE1"/>
    <w:rsid w:val="0D8462D2"/>
    <w:rsid w:val="0D864FAE"/>
    <w:rsid w:val="0D984ECC"/>
    <w:rsid w:val="0E664144"/>
    <w:rsid w:val="0F4C5447"/>
    <w:rsid w:val="0F625791"/>
    <w:rsid w:val="0FFB3CB9"/>
    <w:rsid w:val="10AF2C82"/>
    <w:rsid w:val="11151690"/>
    <w:rsid w:val="11D23CCC"/>
    <w:rsid w:val="124F1731"/>
    <w:rsid w:val="14122739"/>
    <w:rsid w:val="14C44D32"/>
    <w:rsid w:val="15AF5132"/>
    <w:rsid w:val="15B34F99"/>
    <w:rsid w:val="15DA3F64"/>
    <w:rsid w:val="164D7660"/>
    <w:rsid w:val="167C1998"/>
    <w:rsid w:val="16D96D94"/>
    <w:rsid w:val="16E22085"/>
    <w:rsid w:val="17A646CE"/>
    <w:rsid w:val="18FC6D04"/>
    <w:rsid w:val="195F2692"/>
    <w:rsid w:val="19AA0461"/>
    <w:rsid w:val="1B4A1EFB"/>
    <w:rsid w:val="1B8608F1"/>
    <w:rsid w:val="1B894534"/>
    <w:rsid w:val="1BC1139B"/>
    <w:rsid w:val="1C441B74"/>
    <w:rsid w:val="1CBA0FA6"/>
    <w:rsid w:val="1CC10249"/>
    <w:rsid w:val="1D2049D2"/>
    <w:rsid w:val="1E1F4823"/>
    <w:rsid w:val="1E313FB3"/>
    <w:rsid w:val="1E3540BB"/>
    <w:rsid w:val="1E8B615F"/>
    <w:rsid w:val="1EB71A80"/>
    <w:rsid w:val="1ED95739"/>
    <w:rsid w:val="1F77153E"/>
    <w:rsid w:val="1F926C26"/>
    <w:rsid w:val="1FA02F90"/>
    <w:rsid w:val="21515666"/>
    <w:rsid w:val="217575A6"/>
    <w:rsid w:val="21C3177B"/>
    <w:rsid w:val="235B35F1"/>
    <w:rsid w:val="24401F96"/>
    <w:rsid w:val="246F652F"/>
    <w:rsid w:val="276E6F72"/>
    <w:rsid w:val="28453634"/>
    <w:rsid w:val="2A63024B"/>
    <w:rsid w:val="2B714393"/>
    <w:rsid w:val="2B877489"/>
    <w:rsid w:val="2BF84857"/>
    <w:rsid w:val="2CAC0B01"/>
    <w:rsid w:val="2D113431"/>
    <w:rsid w:val="2DE50D31"/>
    <w:rsid w:val="2E3B62B3"/>
    <w:rsid w:val="2E9D1E16"/>
    <w:rsid w:val="2ECF331B"/>
    <w:rsid w:val="2ED45055"/>
    <w:rsid w:val="2EFA7FF7"/>
    <w:rsid w:val="2F2844FF"/>
    <w:rsid w:val="2F6F324E"/>
    <w:rsid w:val="2FF264CA"/>
    <w:rsid w:val="2FF65D0E"/>
    <w:rsid w:val="308A5ADE"/>
    <w:rsid w:val="313C55A7"/>
    <w:rsid w:val="31963EAA"/>
    <w:rsid w:val="31BD680C"/>
    <w:rsid w:val="31BE463D"/>
    <w:rsid w:val="31CF41A3"/>
    <w:rsid w:val="323C07B1"/>
    <w:rsid w:val="32680122"/>
    <w:rsid w:val="331A0154"/>
    <w:rsid w:val="33423D93"/>
    <w:rsid w:val="3369319B"/>
    <w:rsid w:val="3381680B"/>
    <w:rsid w:val="33CA0710"/>
    <w:rsid w:val="342860EE"/>
    <w:rsid w:val="352E7D40"/>
    <w:rsid w:val="35626AB6"/>
    <w:rsid w:val="35810AB0"/>
    <w:rsid w:val="36106535"/>
    <w:rsid w:val="36531ABF"/>
    <w:rsid w:val="36FD1717"/>
    <w:rsid w:val="37712166"/>
    <w:rsid w:val="386572B7"/>
    <w:rsid w:val="391051D8"/>
    <w:rsid w:val="39414E65"/>
    <w:rsid w:val="39783C80"/>
    <w:rsid w:val="39B87823"/>
    <w:rsid w:val="3BC5471D"/>
    <w:rsid w:val="3BCA57DA"/>
    <w:rsid w:val="3C0276E9"/>
    <w:rsid w:val="3C435511"/>
    <w:rsid w:val="3CA11700"/>
    <w:rsid w:val="3D260FCF"/>
    <w:rsid w:val="3DD671C7"/>
    <w:rsid w:val="3DED4354"/>
    <w:rsid w:val="3E414700"/>
    <w:rsid w:val="400B3158"/>
    <w:rsid w:val="40621D3A"/>
    <w:rsid w:val="40D24DE9"/>
    <w:rsid w:val="41D33381"/>
    <w:rsid w:val="42034FC8"/>
    <w:rsid w:val="42A35D7B"/>
    <w:rsid w:val="42A82053"/>
    <w:rsid w:val="43D02240"/>
    <w:rsid w:val="44693459"/>
    <w:rsid w:val="44AB315B"/>
    <w:rsid w:val="456E7D4F"/>
    <w:rsid w:val="457222A0"/>
    <w:rsid w:val="45943BE9"/>
    <w:rsid w:val="471D19C3"/>
    <w:rsid w:val="472B4068"/>
    <w:rsid w:val="474428FA"/>
    <w:rsid w:val="47E52BD3"/>
    <w:rsid w:val="482164EA"/>
    <w:rsid w:val="491C5E3D"/>
    <w:rsid w:val="4936721E"/>
    <w:rsid w:val="4AFE13C7"/>
    <w:rsid w:val="4C7B3413"/>
    <w:rsid w:val="4C96280B"/>
    <w:rsid w:val="4CA77E00"/>
    <w:rsid w:val="4DEA15B9"/>
    <w:rsid w:val="4E1C29D4"/>
    <w:rsid w:val="4F275BC9"/>
    <w:rsid w:val="505D700F"/>
    <w:rsid w:val="507C59AC"/>
    <w:rsid w:val="50B81F77"/>
    <w:rsid w:val="5174583F"/>
    <w:rsid w:val="520E7E19"/>
    <w:rsid w:val="52A756C1"/>
    <w:rsid w:val="52C918B9"/>
    <w:rsid w:val="540F1011"/>
    <w:rsid w:val="545D5EF6"/>
    <w:rsid w:val="54C43C63"/>
    <w:rsid w:val="54D9517B"/>
    <w:rsid w:val="55564A1D"/>
    <w:rsid w:val="560D4785"/>
    <w:rsid w:val="56104CB4"/>
    <w:rsid w:val="561646CF"/>
    <w:rsid w:val="57172DEE"/>
    <w:rsid w:val="57EE37CB"/>
    <w:rsid w:val="58520B65"/>
    <w:rsid w:val="596908C2"/>
    <w:rsid w:val="5B596A04"/>
    <w:rsid w:val="5BFE17A4"/>
    <w:rsid w:val="5C1850F2"/>
    <w:rsid w:val="5C8E78C0"/>
    <w:rsid w:val="5CF633A1"/>
    <w:rsid w:val="5E341674"/>
    <w:rsid w:val="5EE95D45"/>
    <w:rsid w:val="5FD96933"/>
    <w:rsid w:val="60A307F7"/>
    <w:rsid w:val="621C2B4B"/>
    <w:rsid w:val="62B72874"/>
    <w:rsid w:val="64AA5A05"/>
    <w:rsid w:val="651E0E4B"/>
    <w:rsid w:val="6635713E"/>
    <w:rsid w:val="66D659BE"/>
    <w:rsid w:val="67106834"/>
    <w:rsid w:val="671E1113"/>
    <w:rsid w:val="675D1C3B"/>
    <w:rsid w:val="67AA53C7"/>
    <w:rsid w:val="67B7694A"/>
    <w:rsid w:val="67EA4FED"/>
    <w:rsid w:val="69185A3F"/>
    <w:rsid w:val="6940454A"/>
    <w:rsid w:val="69C02731"/>
    <w:rsid w:val="69C737F3"/>
    <w:rsid w:val="6AA152B6"/>
    <w:rsid w:val="6ABF1273"/>
    <w:rsid w:val="6AC33EA4"/>
    <w:rsid w:val="6AFF244E"/>
    <w:rsid w:val="6B477836"/>
    <w:rsid w:val="6B7A7AE3"/>
    <w:rsid w:val="6BFA44F8"/>
    <w:rsid w:val="6C2D19BE"/>
    <w:rsid w:val="6C362DBD"/>
    <w:rsid w:val="6C5353B7"/>
    <w:rsid w:val="6DEF3809"/>
    <w:rsid w:val="6E2F3E63"/>
    <w:rsid w:val="6F0C68A4"/>
    <w:rsid w:val="6F651C35"/>
    <w:rsid w:val="6F9306DC"/>
    <w:rsid w:val="6FC6089A"/>
    <w:rsid w:val="70563EEF"/>
    <w:rsid w:val="70934B20"/>
    <w:rsid w:val="70A1163F"/>
    <w:rsid w:val="71594505"/>
    <w:rsid w:val="7299758C"/>
    <w:rsid w:val="730A75B3"/>
    <w:rsid w:val="755157DC"/>
    <w:rsid w:val="7718641E"/>
    <w:rsid w:val="77366C1A"/>
    <w:rsid w:val="78117CC5"/>
    <w:rsid w:val="79852DE6"/>
    <w:rsid w:val="799A6034"/>
    <w:rsid w:val="7A2A50F4"/>
    <w:rsid w:val="7A7A3098"/>
    <w:rsid w:val="7B844D87"/>
    <w:rsid w:val="7C2B2981"/>
    <w:rsid w:val="7C4F6616"/>
    <w:rsid w:val="7CBB531D"/>
    <w:rsid w:val="7CC77E2B"/>
    <w:rsid w:val="7EC11FCF"/>
    <w:rsid w:val="7F890545"/>
    <w:rsid w:val="7F901E03"/>
    <w:rsid w:val="7FC87A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semiHidden="1" w:uiPriority="9" w:qFormat="1"/>
    <w:lsdException w:name="heading 3" w:semiHidden="1"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unhideWhenUsed="0"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semiHidden="1" w:unhideWhenUsed="0" w:qFormat="1"/>
    <w:lsdException w:name="Body Text Indent" w:unhideWhenUsed="0" w:qFormat="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unhideWhenUsed="0" w:qFormat="1"/>
    <w:lsdException w:name="Note Heading" w:semiHidden="1"/>
    <w:lsdException w:name="Body Text 2" w:semiHidden="1"/>
    <w:lsdException w:name="Body Text 3" w:semiHidden="1"/>
    <w:lsdException w:name="Body Text Indent 2" w:semiHidden="1"/>
    <w:lsdException w:name="Body Text Indent 3" w:semiHidden="1"/>
    <w:lsdException w:name="Block Text" w:unhideWhenUsed="0" w:qFormat="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nhideWhenUsed="0"/>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99" w:unhideWhenUsed="0" w:qFormat="1"/>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next w:val="a0"/>
    <w:autoRedefine/>
    <w:qFormat/>
    <w:rsid w:val="00C026BE"/>
    <w:pPr>
      <w:widowControl w:val="0"/>
      <w:jc w:val="both"/>
    </w:pPr>
    <w:rPr>
      <w:kern w:val="2"/>
      <w:sz w:val="21"/>
      <w:szCs w:val="24"/>
    </w:rPr>
  </w:style>
  <w:style w:type="paragraph" w:styleId="1">
    <w:name w:val="heading 1"/>
    <w:basedOn w:val="a"/>
    <w:next w:val="a"/>
    <w:link w:val="1Char"/>
    <w:autoRedefine/>
    <w:qFormat/>
    <w:rsid w:val="00C026BE"/>
    <w:pPr>
      <w:keepNext/>
      <w:keepLines/>
      <w:spacing w:before="340" w:after="330" w:line="578" w:lineRule="auto"/>
      <w:outlineLvl w:val="0"/>
    </w:pPr>
    <w:rPr>
      <w:b/>
      <w:bCs/>
      <w:kern w:val="44"/>
      <w:sz w:val="44"/>
      <w:szCs w:val="44"/>
    </w:rPr>
  </w:style>
  <w:style w:type="paragraph" w:styleId="2">
    <w:name w:val="heading 2"/>
    <w:basedOn w:val="a"/>
    <w:next w:val="a"/>
    <w:autoRedefine/>
    <w:uiPriority w:val="9"/>
    <w:semiHidden/>
    <w:unhideWhenUsed/>
    <w:qFormat/>
    <w:rsid w:val="00C026B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autoRedefine/>
    <w:qFormat/>
    <w:rsid w:val="00C026BE"/>
    <w:pPr>
      <w:keepNext/>
      <w:keepLines/>
      <w:numPr>
        <w:ilvl w:val="3"/>
        <w:numId w:val="1"/>
      </w:numPr>
      <w:spacing w:before="280" w:after="290" w:line="374" w:lineRule="auto"/>
      <w:outlineLvl w:val="3"/>
    </w:pPr>
    <w:rPr>
      <w:rFonts w:ascii="Arial" w:eastAsia="黑体" w:hAnsi="Arial"/>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4"/>
    <w:autoRedefine/>
    <w:qFormat/>
    <w:rsid w:val="00C026BE"/>
    <w:pPr>
      <w:spacing w:before="240" w:after="60"/>
      <w:jc w:val="center"/>
      <w:outlineLvl w:val="0"/>
    </w:pPr>
    <w:rPr>
      <w:rFonts w:ascii="Cambria" w:hAnsi="Cambria"/>
      <w:b/>
      <w:bCs/>
      <w:sz w:val="32"/>
      <w:szCs w:val="32"/>
    </w:rPr>
  </w:style>
  <w:style w:type="paragraph" w:styleId="a4">
    <w:name w:val="Body Text Indent"/>
    <w:basedOn w:val="a"/>
    <w:next w:val="a"/>
    <w:autoRedefine/>
    <w:qFormat/>
    <w:rsid w:val="00C026BE"/>
    <w:pPr>
      <w:spacing w:line="540" w:lineRule="exact"/>
      <w:ind w:firstLineChars="200" w:firstLine="640"/>
    </w:pPr>
    <w:rPr>
      <w:rFonts w:ascii="仿宋_GB2312" w:eastAsia="仿宋_GB2312"/>
      <w:sz w:val="32"/>
    </w:rPr>
  </w:style>
  <w:style w:type="paragraph" w:styleId="a5">
    <w:name w:val="Normal Indent"/>
    <w:basedOn w:val="a"/>
    <w:autoRedefine/>
    <w:qFormat/>
    <w:rsid w:val="00C026BE"/>
    <w:pPr>
      <w:ind w:firstLineChars="200" w:firstLine="200"/>
    </w:pPr>
  </w:style>
  <w:style w:type="paragraph" w:styleId="a6">
    <w:name w:val="annotation text"/>
    <w:basedOn w:val="a"/>
    <w:link w:val="Char"/>
    <w:autoRedefine/>
    <w:qFormat/>
    <w:rsid w:val="00C026BE"/>
    <w:pPr>
      <w:jc w:val="left"/>
    </w:pPr>
  </w:style>
  <w:style w:type="paragraph" w:styleId="a7">
    <w:name w:val="Body Text"/>
    <w:basedOn w:val="a"/>
    <w:autoRedefine/>
    <w:semiHidden/>
    <w:qFormat/>
    <w:rsid w:val="00C026BE"/>
    <w:rPr>
      <w:rFonts w:ascii="Arial" w:eastAsia="Arial" w:hAnsi="Arial" w:cs="Arial"/>
      <w:szCs w:val="21"/>
      <w:lang w:eastAsia="en-US"/>
    </w:rPr>
  </w:style>
  <w:style w:type="paragraph" w:styleId="a8">
    <w:name w:val="Block Text"/>
    <w:basedOn w:val="a"/>
    <w:autoRedefine/>
    <w:qFormat/>
    <w:rsid w:val="00C026BE"/>
    <w:pPr>
      <w:spacing w:after="120"/>
      <w:ind w:leftChars="700" w:left="1440" w:rightChars="700" w:right="1440"/>
    </w:pPr>
  </w:style>
  <w:style w:type="paragraph" w:styleId="3">
    <w:name w:val="toc 3"/>
    <w:basedOn w:val="a"/>
    <w:next w:val="a"/>
    <w:autoRedefine/>
    <w:uiPriority w:val="39"/>
    <w:unhideWhenUsed/>
    <w:qFormat/>
    <w:rsid w:val="00C026BE"/>
    <w:pPr>
      <w:widowControl/>
      <w:spacing w:after="100" w:line="259" w:lineRule="auto"/>
      <w:ind w:left="440"/>
      <w:jc w:val="left"/>
    </w:pPr>
    <w:rPr>
      <w:rFonts w:asciiTheme="minorHAnsi" w:eastAsiaTheme="minorEastAsia" w:hAnsiTheme="minorHAnsi"/>
      <w:kern w:val="0"/>
      <w:sz w:val="22"/>
      <w:szCs w:val="22"/>
    </w:rPr>
  </w:style>
  <w:style w:type="paragraph" w:styleId="a9">
    <w:name w:val="Balloon Text"/>
    <w:basedOn w:val="a"/>
    <w:link w:val="Char0"/>
    <w:autoRedefine/>
    <w:qFormat/>
    <w:rsid w:val="00C026BE"/>
    <w:rPr>
      <w:sz w:val="18"/>
      <w:szCs w:val="18"/>
    </w:rPr>
  </w:style>
  <w:style w:type="paragraph" w:styleId="aa">
    <w:name w:val="footer"/>
    <w:basedOn w:val="a"/>
    <w:link w:val="Char1"/>
    <w:autoRedefine/>
    <w:uiPriority w:val="99"/>
    <w:qFormat/>
    <w:rsid w:val="00C026BE"/>
    <w:pPr>
      <w:tabs>
        <w:tab w:val="center" w:pos="4153"/>
        <w:tab w:val="right" w:pos="8306"/>
      </w:tabs>
      <w:snapToGrid w:val="0"/>
      <w:jc w:val="left"/>
    </w:pPr>
    <w:rPr>
      <w:sz w:val="18"/>
      <w:szCs w:val="20"/>
    </w:rPr>
  </w:style>
  <w:style w:type="paragraph" w:styleId="ab">
    <w:name w:val="header"/>
    <w:basedOn w:val="a"/>
    <w:link w:val="Char2"/>
    <w:autoRedefine/>
    <w:qFormat/>
    <w:rsid w:val="00C026BE"/>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rsid w:val="00C026BE"/>
    <w:pPr>
      <w:widowControl/>
      <w:spacing w:after="100" w:line="259" w:lineRule="auto"/>
      <w:jc w:val="left"/>
    </w:pPr>
    <w:rPr>
      <w:rFonts w:asciiTheme="minorHAnsi" w:eastAsiaTheme="minorEastAsia" w:hAnsiTheme="minorHAnsi"/>
      <w:kern w:val="0"/>
      <w:sz w:val="22"/>
      <w:szCs w:val="22"/>
    </w:rPr>
  </w:style>
  <w:style w:type="paragraph" w:styleId="20">
    <w:name w:val="toc 2"/>
    <w:basedOn w:val="a"/>
    <w:next w:val="a"/>
    <w:autoRedefine/>
    <w:uiPriority w:val="39"/>
    <w:unhideWhenUsed/>
    <w:qFormat/>
    <w:rsid w:val="00C026BE"/>
    <w:pPr>
      <w:widowControl/>
      <w:spacing w:after="100" w:line="259" w:lineRule="auto"/>
      <w:ind w:left="220"/>
      <w:jc w:val="left"/>
    </w:pPr>
    <w:rPr>
      <w:rFonts w:asciiTheme="minorHAnsi" w:eastAsiaTheme="minorEastAsia" w:hAnsiTheme="minorHAnsi"/>
      <w:kern w:val="0"/>
      <w:sz w:val="22"/>
      <w:szCs w:val="22"/>
    </w:rPr>
  </w:style>
  <w:style w:type="paragraph" w:styleId="ac">
    <w:name w:val="Normal (Web)"/>
    <w:basedOn w:val="a"/>
    <w:autoRedefine/>
    <w:qFormat/>
    <w:rsid w:val="00C026BE"/>
    <w:pPr>
      <w:spacing w:beforeAutospacing="1" w:afterAutospacing="1"/>
      <w:jc w:val="left"/>
    </w:pPr>
    <w:rPr>
      <w:kern w:val="0"/>
      <w:sz w:val="24"/>
    </w:rPr>
  </w:style>
  <w:style w:type="paragraph" w:styleId="ad">
    <w:name w:val="annotation subject"/>
    <w:basedOn w:val="a6"/>
    <w:next w:val="a6"/>
    <w:link w:val="Char3"/>
    <w:autoRedefine/>
    <w:qFormat/>
    <w:rsid w:val="00C026BE"/>
    <w:rPr>
      <w:b/>
      <w:bCs/>
    </w:rPr>
  </w:style>
  <w:style w:type="paragraph" w:styleId="21">
    <w:name w:val="Body Text First Indent 2"/>
    <w:basedOn w:val="a4"/>
    <w:autoRedefine/>
    <w:qFormat/>
    <w:rsid w:val="00C026BE"/>
    <w:pPr>
      <w:spacing w:after="120" w:line="240" w:lineRule="auto"/>
      <w:ind w:leftChars="200" w:left="420" w:firstLine="420"/>
    </w:pPr>
    <w:rPr>
      <w:sz w:val="21"/>
    </w:rPr>
  </w:style>
  <w:style w:type="character" w:styleId="ae">
    <w:name w:val="Hyperlink"/>
    <w:basedOn w:val="a1"/>
    <w:autoRedefine/>
    <w:uiPriority w:val="99"/>
    <w:unhideWhenUsed/>
    <w:qFormat/>
    <w:rsid w:val="00C026BE"/>
    <w:rPr>
      <w:color w:val="0563C1" w:themeColor="hyperlink"/>
      <w:u w:val="single"/>
    </w:rPr>
  </w:style>
  <w:style w:type="character" w:styleId="af">
    <w:name w:val="annotation reference"/>
    <w:basedOn w:val="a1"/>
    <w:autoRedefine/>
    <w:qFormat/>
    <w:rsid w:val="00C026BE"/>
    <w:rPr>
      <w:sz w:val="21"/>
      <w:szCs w:val="21"/>
    </w:rPr>
  </w:style>
  <w:style w:type="character" w:customStyle="1" w:styleId="Char2">
    <w:name w:val="页眉 Char"/>
    <w:basedOn w:val="a1"/>
    <w:link w:val="ab"/>
    <w:autoRedefine/>
    <w:qFormat/>
    <w:rsid w:val="00C026BE"/>
    <w:rPr>
      <w:rFonts w:ascii="Times New Roman" w:eastAsia="宋体" w:hAnsi="Times New Roman" w:cs="Times New Roman"/>
      <w:kern w:val="2"/>
      <w:sz w:val="18"/>
      <w:szCs w:val="18"/>
    </w:rPr>
  </w:style>
  <w:style w:type="paragraph" w:styleId="af0">
    <w:name w:val="List Paragraph"/>
    <w:basedOn w:val="a"/>
    <w:autoRedefine/>
    <w:uiPriority w:val="99"/>
    <w:qFormat/>
    <w:rsid w:val="00C026BE"/>
    <w:pPr>
      <w:ind w:firstLineChars="200" w:firstLine="420"/>
    </w:pPr>
  </w:style>
  <w:style w:type="paragraph" w:customStyle="1" w:styleId="11">
    <w:name w:val="修订1"/>
    <w:autoRedefine/>
    <w:hidden/>
    <w:uiPriority w:val="99"/>
    <w:semiHidden/>
    <w:qFormat/>
    <w:rsid w:val="00C026BE"/>
    <w:rPr>
      <w:kern w:val="2"/>
      <w:sz w:val="21"/>
      <w:szCs w:val="24"/>
    </w:rPr>
  </w:style>
  <w:style w:type="character" w:customStyle="1" w:styleId="1Char">
    <w:name w:val="标题 1 Char"/>
    <w:basedOn w:val="a1"/>
    <w:link w:val="1"/>
    <w:autoRedefine/>
    <w:qFormat/>
    <w:rsid w:val="00C026BE"/>
    <w:rPr>
      <w:b/>
      <w:bCs/>
      <w:kern w:val="44"/>
      <w:sz w:val="44"/>
      <w:szCs w:val="44"/>
    </w:rPr>
  </w:style>
  <w:style w:type="paragraph" w:customStyle="1" w:styleId="TOC1">
    <w:name w:val="TOC 标题1"/>
    <w:basedOn w:val="1"/>
    <w:next w:val="a"/>
    <w:autoRedefine/>
    <w:uiPriority w:val="39"/>
    <w:unhideWhenUsed/>
    <w:qFormat/>
    <w:rsid w:val="00C026B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font31">
    <w:name w:val="font31"/>
    <w:basedOn w:val="a1"/>
    <w:autoRedefine/>
    <w:qFormat/>
    <w:rsid w:val="00C026BE"/>
    <w:rPr>
      <w:rFonts w:ascii="仿宋_GB2312" w:eastAsia="仿宋_GB2312" w:cs="仿宋_GB2312" w:hint="eastAsia"/>
      <w:color w:val="0070C0"/>
      <w:sz w:val="22"/>
      <w:szCs w:val="22"/>
      <w:u w:val="none"/>
    </w:rPr>
  </w:style>
  <w:style w:type="paragraph" w:customStyle="1" w:styleId="22">
    <w:name w:val="修订2"/>
    <w:autoRedefine/>
    <w:hidden/>
    <w:uiPriority w:val="99"/>
    <w:semiHidden/>
    <w:qFormat/>
    <w:rsid w:val="00C026BE"/>
    <w:rPr>
      <w:kern w:val="2"/>
      <w:sz w:val="21"/>
      <w:szCs w:val="24"/>
    </w:rPr>
  </w:style>
  <w:style w:type="character" w:customStyle="1" w:styleId="Char">
    <w:name w:val="批注文字 Char"/>
    <w:basedOn w:val="a1"/>
    <w:link w:val="a6"/>
    <w:autoRedefine/>
    <w:qFormat/>
    <w:rsid w:val="00C026BE"/>
    <w:rPr>
      <w:kern w:val="2"/>
      <w:sz w:val="21"/>
      <w:szCs w:val="24"/>
    </w:rPr>
  </w:style>
  <w:style w:type="character" w:customStyle="1" w:styleId="Char3">
    <w:name w:val="批注主题 Char"/>
    <w:basedOn w:val="Char"/>
    <w:link w:val="ad"/>
    <w:autoRedefine/>
    <w:qFormat/>
    <w:rsid w:val="00C026BE"/>
    <w:rPr>
      <w:b/>
      <w:bCs/>
      <w:kern w:val="2"/>
      <w:sz w:val="21"/>
      <w:szCs w:val="24"/>
    </w:rPr>
  </w:style>
  <w:style w:type="character" w:customStyle="1" w:styleId="Char1">
    <w:name w:val="页脚 Char"/>
    <w:basedOn w:val="a1"/>
    <w:link w:val="aa"/>
    <w:autoRedefine/>
    <w:uiPriority w:val="99"/>
    <w:qFormat/>
    <w:rsid w:val="00C026BE"/>
    <w:rPr>
      <w:kern w:val="2"/>
      <w:sz w:val="18"/>
    </w:rPr>
  </w:style>
  <w:style w:type="character" w:customStyle="1" w:styleId="Char0">
    <w:name w:val="批注框文本 Char"/>
    <w:basedOn w:val="a1"/>
    <w:link w:val="a9"/>
    <w:autoRedefine/>
    <w:qFormat/>
    <w:rsid w:val="00C026BE"/>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A181B91-7087-47C5-ABCC-D289B4F2014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20</Pages>
  <Words>1553</Words>
  <Characters>8857</Characters>
  <Application>Microsoft Office Word</Application>
  <DocSecurity>0</DocSecurity>
  <Lines>73</Lines>
  <Paragraphs>20</Paragraphs>
  <ScaleCrop>false</ScaleCrop>
  <Company/>
  <LinksUpToDate>false</LinksUpToDate>
  <CharactersWithSpaces>10390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肆月</dc:creator>
  <cp:lastModifiedBy>admin</cp:lastModifiedBy>
  <cp:revision>19</cp:revision>
  <dcterms:created xsi:type="dcterms:W3CDTF">2023-05-24T06:41:00Z</dcterms:created>
  <dcterms:modified xsi:type="dcterms:W3CDTF">2024-09-05T08:13:00Z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83FE16F551B94424BA7EE21FBAEF27BF_13</vt:lpwstr>
  </property>
</Properties>
</file>