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tabs>
          <w:tab w:val="right" w:leader="dot" w:pos="8296"/>
        </w:tabs>
        <w:jc w:val="center"/>
        <w:rPr>
          <w:rFonts w:ascii="Times New Roman Regular" w:hAnsi="Times New Roman Regular" w:eastAsia="方正小标宋简体" w:cs="Times New Roman Regular"/>
          <w:bCs/>
          <w:sz w:val="36"/>
          <w:szCs w:val="44"/>
        </w:rPr>
      </w:pPr>
      <w:bookmarkStart w:id="0" w:name="_Hlk73380187"/>
      <w:r>
        <w:rPr>
          <w:rFonts w:ascii="Times New Roman Regular" w:hAnsi="Times New Roman Regular" w:eastAsia="方正小标宋简体" w:cs="Times New Roman Regular"/>
          <w:bCs/>
          <w:sz w:val="36"/>
          <w:szCs w:val="44"/>
        </w:rPr>
        <w:t>中国国际贸易促进委员会北京市分会</w:t>
      </w:r>
    </w:p>
    <w:p>
      <w:pPr>
        <w:adjustRightInd w:val="0"/>
        <w:snapToGrid w:val="0"/>
        <w:spacing w:line="360" w:lineRule="auto"/>
        <w:jc w:val="center"/>
        <w:rPr>
          <w:rFonts w:ascii="Times New Roman Regular" w:hAnsi="Times New Roman Regular" w:eastAsia="方正小标宋简体" w:cs="Times New Roman Regular"/>
          <w:bCs/>
          <w:sz w:val="36"/>
          <w:szCs w:val="44"/>
        </w:rPr>
      </w:pPr>
      <w:r>
        <w:rPr>
          <w:rFonts w:ascii="Times New Roman Regular" w:hAnsi="Times New Roman Regular" w:eastAsia="方正小标宋简体" w:cs="Times New Roman Regular"/>
          <w:bCs/>
          <w:sz w:val="36"/>
          <w:szCs w:val="44"/>
        </w:rPr>
        <w:t>202</w:t>
      </w:r>
      <w:r>
        <w:rPr>
          <w:rFonts w:hint="default" w:ascii="Times New Roman Regular" w:hAnsi="Times New Roman Regular" w:eastAsia="方正小标宋简体" w:cs="Times New Roman Regular"/>
          <w:bCs/>
          <w:sz w:val="36"/>
          <w:szCs w:val="44"/>
        </w:rPr>
        <w:t>3</w:t>
      </w:r>
      <w:r>
        <w:rPr>
          <w:rFonts w:ascii="Times New Roman Regular" w:hAnsi="Times New Roman Regular" w:eastAsia="方正小标宋简体" w:cs="Times New Roman Regular"/>
          <w:bCs/>
          <w:sz w:val="36"/>
          <w:szCs w:val="44"/>
        </w:rPr>
        <w:t>年</w:t>
      </w:r>
      <w:r>
        <w:rPr>
          <w:rFonts w:hint="default" w:ascii="Times New Roman Regular" w:hAnsi="Times New Roman Regular" w:eastAsia="方正小标宋简体" w:cs="Times New Roman Regular"/>
          <w:bCs/>
          <w:sz w:val="36"/>
          <w:szCs w:val="44"/>
          <w:lang w:val="en-US" w:eastAsia="zh-CN"/>
        </w:rPr>
        <w:t>度</w:t>
      </w:r>
      <w:r>
        <w:rPr>
          <w:rFonts w:ascii="Times New Roman Regular" w:hAnsi="Times New Roman Regular" w:eastAsia="方正小标宋简体" w:cs="Times New Roman Regular"/>
          <w:bCs/>
          <w:sz w:val="36"/>
          <w:szCs w:val="44"/>
        </w:rPr>
        <w:t>部门整体绩效评价报告</w:t>
      </w:r>
      <w:bookmarkEnd w:id="0"/>
    </w:p>
    <w:p>
      <w:pPr>
        <w:adjustRightInd w:val="0"/>
        <w:snapToGrid w:val="0"/>
        <w:spacing w:line="360" w:lineRule="auto"/>
        <w:jc w:val="center"/>
        <w:rPr>
          <w:rFonts w:ascii="Times New Roman Regular" w:hAnsi="Times New Roman Regular" w:eastAsia="方正小标宋简体" w:cs="Times New Roman Regular"/>
          <w:bCs/>
          <w:sz w:val="36"/>
          <w:szCs w:val="44"/>
        </w:rPr>
      </w:pPr>
    </w:p>
    <w:p>
      <w:pPr>
        <w:adjustRightInd w:val="0"/>
        <w:snapToGrid w:val="0"/>
        <w:spacing w:line="600" w:lineRule="exact"/>
        <w:ind w:firstLine="640" w:firstLineChars="200"/>
        <w:outlineLvl w:val="0"/>
        <w:rPr>
          <w:rFonts w:ascii="Times New Roman Regular" w:hAnsi="Times New Roman Regular" w:eastAsia="黑体" w:cs="Times New Roman Regular"/>
          <w:sz w:val="32"/>
          <w:szCs w:val="32"/>
        </w:rPr>
      </w:pPr>
      <w:bookmarkStart w:id="1" w:name="_Toc1013001172"/>
      <w:bookmarkStart w:id="2" w:name="_Toc1828054259"/>
      <w:bookmarkStart w:id="3" w:name="_Toc247092870"/>
      <w:bookmarkStart w:id="4" w:name="_Toc135202286"/>
      <w:r>
        <w:rPr>
          <w:rFonts w:ascii="Times New Roman Regular" w:hAnsi="Times New Roman Regular" w:eastAsia="黑体" w:cs="Times New Roman Regular"/>
          <w:sz w:val="32"/>
          <w:szCs w:val="32"/>
        </w:rPr>
        <w:t>一、</w:t>
      </w:r>
      <w:r>
        <w:rPr>
          <w:rFonts w:ascii="Times New Roman Regular" w:hAnsi="Times New Roman Regular" w:eastAsia="黑体" w:cs="Times New Roman Regular"/>
          <w:kern w:val="0"/>
          <w:sz w:val="32"/>
          <w:szCs w:val="32"/>
        </w:rPr>
        <w:t>部门概况</w:t>
      </w:r>
      <w:bookmarkEnd w:id="1"/>
      <w:bookmarkEnd w:id="2"/>
      <w:bookmarkEnd w:id="3"/>
      <w:bookmarkEnd w:id="4"/>
    </w:p>
    <w:p>
      <w:pPr>
        <w:adjustRightInd w:val="0"/>
        <w:snapToGrid w:val="0"/>
        <w:spacing w:line="600" w:lineRule="exact"/>
        <w:ind w:firstLine="640" w:firstLineChars="200"/>
        <w:outlineLvl w:val="1"/>
        <w:rPr>
          <w:rFonts w:ascii="Times New Roman Regular" w:hAnsi="Times New Roman Regular" w:eastAsia="楷体" w:cs="Times New Roman Regular"/>
          <w:sz w:val="32"/>
          <w:szCs w:val="32"/>
        </w:rPr>
      </w:pPr>
      <w:bookmarkStart w:id="5" w:name="_Toc260344388"/>
      <w:bookmarkStart w:id="6" w:name="_Toc59393384"/>
      <w:bookmarkStart w:id="7" w:name="_Toc1803976439"/>
      <w:bookmarkStart w:id="8" w:name="_Toc135202287"/>
      <w:r>
        <w:rPr>
          <w:rFonts w:ascii="Times New Roman Regular" w:hAnsi="Times New Roman Regular" w:eastAsia="楷体" w:cs="Times New Roman Regular"/>
          <w:sz w:val="32"/>
          <w:szCs w:val="32"/>
        </w:rPr>
        <w:t>（一）机构设置及职责工作任务情况</w:t>
      </w:r>
      <w:bookmarkEnd w:id="5"/>
      <w:bookmarkEnd w:id="6"/>
      <w:bookmarkEnd w:id="7"/>
      <w:bookmarkEnd w:id="8"/>
    </w:p>
    <w:p>
      <w:pPr>
        <w:adjustRightInd w:val="0"/>
        <w:snapToGrid w:val="0"/>
        <w:spacing w:line="560" w:lineRule="exact"/>
        <w:ind w:firstLine="640" w:firstLineChars="200"/>
        <w:rPr>
          <w:rFonts w:ascii="Times New Roman Regular" w:hAnsi="Times New Roman Regular" w:eastAsia="仿宋_GB2312" w:cs="Times New Roman Regular"/>
          <w:bCs/>
          <w:sz w:val="32"/>
          <w:szCs w:val="32"/>
          <w:highlight w:val="none"/>
        </w:rPr>
      </w:pPr>
      <w:bookmarkStart w:id="9" w:name="_Toc72438576"/>
      <w:bookmarkStart w:id="10" w:name="_Toc72438997"/>
      <w:r>
        <w:rPr>
          <w:rFonts w:ascii="Times New Roman Regular" w:hAnsi="Times New Roman Regular" w:eastAsia="仿宋_GB2312" w:cs="Times New Roman Regular"/>
          <w:bCs/>
          <w:sz w:val="32"/>
          <w:szCs w:val="32"/>
          <w:highlight w:val="none"/>
        </w:rPr>
        <w:t>1.</w:t>
      </w:r>
      <w:bookmarkEnd w:id="9"/>
      <w:bookmarkEnd w:id="10"/>
      <w:r>
        <w:rPr>
          <w:rFonts w:ascii="Times New Roman Regular" w:hAnsi="Times New Roman Regular" w:eastAsia="仿宋_GB2312" w:cs="Times New Roman Regular"/>
          <w:bCs/>
          <w:sz w:val="32"/>
          <w:szCs w:val="32"/>
          <w:highlight w:val="none"/>
        </w:rPr>
        <w:t>部门职责、机构设置及人员情况</w:t>
      </w:r>
    </w:p>
    <w:p>
      <w:pPr>
        <w:adjustRightInd w:val="0"/>
        <w:snapToGrid w:val="0"/>
        <w:spacing w:line="560" w:lineRule="exact"/>
        <w:ind w:firstLine="640" w:firstLineChars="200"/>
        <w:rPr>
          <w:rFonts w:ascii="Times New Roman Regular" w:hAnsi="Times New Roman Regular" w:eastAsia="仿宋_GB2312" w:cs="Times New Roman Regular"/>
          <w:bCs/>
          <w:sz w:val="32"/>
          <w:szCs w:val="32"/>
        </w:rPr>
      </w:pPr>
      <w:r>
        <w:rPr>
          <w:rFonts w:ascii="Times New Roman Regular" w:hAnsi="Times New Roman Regular" w:eastAsia="仿宋_GB2312" w:cs="Times New Roman Regular"/>
          <w:bCs/>
          <w:sz w:val="32"/>
          <w:szCs w:val="32"/>
        </w:rPr>
        <w:t>中国国际贸易促进委员会北京市分会（以下简称“北京市贸促会”）是北京市委领导的群团组织和市政府领导同志联系的国际贸易投资促进机构。北京市贸促会贯彻落实党中央国务院关于贸促工作的方针政策、决策部署及北京市委市政府有关工作要求，在履行职责过程中坚持和加强党对贸促工作的集中统一领导。主要职责具体如下：</w:t>
      </w:r>
    </w:p>
    <w:p>
      <w:pPr>
        <w:adjustRightInd w:val="0"/>
        <w:snapToGrid w:val="0"/>
        <w:spacing w:after="156" w:afterLines="50" w:line="600" w:lineRule="exact"/>
        <w:jc w:val="center"/>
        <w:rPr>
          <w:rFonts w:ascii="Times New Roman Regular" w:hAnsi="Times New Roman Regular" w:eastAsia="黑体" w:cs="Times New Roman Regular"/>
          <w:sz w:val="28"/>
          <w:szCs w:val="28"/>
        </w:rPr>
      </w:pPr>
      <w:r>
        <w:rPr>
          <w:rFonts w:ascii="Times New Roman Regular" w:hAnsi="Times New Roman Regular" w:eastAsia="黑体" w:cs="Times New Roman Regular"/>
          <w:sz w:val="28"/>
          <w:szCs w:val="28"/>
        </w:rPr>
        <w:t>表1 北京市贸促会主要职责</w:t>
      </w:r>
    </w:p>
    <w:tbl>
      <w:tblPr>
        <w:tblStyle w:val="17"/>
        <w:tblW w:w="85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3"/>
        <w:gridCol w:w="78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723" w:type="dxa"/>
            <w:shd w:val="clear" w:color="auto" w:fill="auto"/>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Regular" w:hAnsi="Times New Roman Regular" w:cs="Times New Roman Regular"/>
                <w:b/>
                <w:bCs/>
                <w:sz w:val="24"/>
                <w:szCs w:val="24"/>
              </w:rPr>
            </w:pPr>
            <w:r>
              <w:rPr>
                <w:rFonts w:hint="default" w:ascii="Times New Roman Regular" w:hAnsi="Times New Roman Regular" w:cs="Times New Roman Regular"/>
                <w:b/>
                <w:bCs/>
                <w:sz w:val="24"/>
                <w:szCs w:val="24"/>
              </w:rPr>
              <w:t>序号</w:t>
            </w:r>
          </w:p>
        </w:tc>
        <w:tc>
          <w:tcPr>
            <w:tcW w:w="7864" w:type="dxa"/>
            <w:shd w:val="clear" w:color="auto" w:fill="auto"/>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Regular" w:hAnsi="Times New Roman Regular" w:cs="Times New Roman Regular"/>
                <w:b/>
                <w:bCs/>
                <w:sz w:val="24"/>
                <w:szCs w:val="24"/>
              </w:rPr>
            </w:pPr>
            <w:r>
              <w:rPr>
                <w:rFonts w:hint="default" w:ascii="Times New Roman Regular" w:hAnsi="Times New Roman Regular" w:cs="Times New Roman Regular"/>
                <w:b/>
                <w:bCs/>
                <w:sz w:val="24"/>
                <w:szCs w:val="24"/>
              </w:rPr>
              <w:t>部门职责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23" w:type="dxa"/>
            <w:shd w:val="clear" w:color="auto" w:fill="auto"/>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1</w:t>
            </w:r>
          </w:p>
        </w:tc>
        <w:tc>
          <w:tcPr>
            <w:tcW w:w="7864" w:type="dxa"/>
            <w:shd w:val="clear" w:color="auto" w:fill="auto"/>
            <w:vAlign w:val="center"/>
          </w:tcPr>
          <w:p>
            <w:pPr>
              <w:keepNext w:val="0"/>
              <w:keepLines w:val="0"/>
              <w:suppressLineNumbers w:val="0"/>
              <w:adjustRightInd w:val="0"/>
              <w:snapToGrid w:val="0"/>
              <w:spacing w:before="0" w:beforeAutospacing="0" w:after="0" w:afterAutospacing="0"/>
              <w:ind w:left="0" w:right="0"/>
              <w:rPr>
                <w:rFonts w:hint="default" w:ascii="Times New Roman Regular" w:hAnsi="Times New Roman Regular" w:cs="Times New Roman Regular"/>
                <w:sz w:val="24"/>
                <w:szCs w:val="24"/>
                <w:shd w:val="clear" w:color="auto" w:fill="FFFFFF"/>
              </w:rPr>
            </w:pPr>
            <w:r>
              <w:rPr>
                <w:rFonts w:hint="default" w:ascii="Times New Roman Regular" w:hAnsi="Times New Roman Regular" w:cs="Times New Roman Regular"/>
                <w:sz w:val="24"/>
                <w:szCs w:val="24"/>
                <w:shd w:val="clear" w:color="auto" w:fill="FFFFFF"/>
              </w:rPr>
              <w:t>强化政策研究和信息咨询功能，着力提升建言献策水平。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23" w:type="dxa"/>
            <w:shd w:val="clear" w:color="auto" w:fill="auto"/>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2</w:t>
            </w:r>
          </w:p>
        </w:tc>
        <w:tc>
          <w:tcPr>
            <w:tcW w:w="7864" w:type="dxa"/>
            <w:shd w:val="clear" w:color="auto" w:fill="auto"/>
            <w:vAlign w:val="center"/>
          </w:tcPr>
          <w:p>
            <w:pPr>
              <w:keepNext w:val="0"/>
              <w:keepLines w:val="0"/>
              <w:suppressLineNumbers w:val="0"/>
              <w:adjustRightInd w:val="0"/>
              <w:snapToGrid w:val="0"/>
              <w:spacing w:before="0" w:beforeAutospacing="0" w:after="0" w:afterAutospacing="0"/>
              <w:ind w:left="0" w:right="0"/>
              <w:rPr>
                <w:rFonts w:hint="default" w:ascii="Times New Roman Regular" w:hAnsi="Times New Roman Regular" w:cs="Times New Roman Regular"/>
                <w:sz w:val="24"/>
                <w:szCs w:val="24"/>
                <w:shd w:val="clear" w:color="auto" w:fill="FFFFFF"/>
              </w:rPr>
            </w:pPr>
            <w:r>
              <w:rPr>
                <w:rFonts w:hint="default" w:ascii="Times New Roman Regular" w:hAnsi="Times New Roman Regular" w:cs="Times New Roman Regular"/>
                <w:sz w:val="24"/>
                <w:szCs w:val="24"/>
                <w:shd w:val="clear" w:color="auto" w:fill="FFFFFF"/>
              </w:rPr>
              <w:t>加强重大经贸活动策划组织，努力实现政治经济综合效益最大化。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23" w:type="dxa"/>
            <w:shd w:val="clear" w:color="auto" w:fill="auto"/>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3</w:t>
            </w:r>
          </w:p>
        </w:tc>
        <w:tc>
          <w:tcPr>
            <w:tcW w:w="7864" w:type="dxa"/>
            <w:shd w:val="clear" w:color="auto" w:fill="auto"/>
            <w:vAlign w:val="center"/>
          </w:tcPr>
          <w:p>
            <w:pPr>
              <w:keepNext w:val="0"/>
              <w:keepLines w:val="0"/>
              <w:suppressLineNumbers w:val="0"/>
              <w:adjustRightInd w:val="0"/>
              <w:snapToGrid w:val="0"/>
              <w:spacing w:before="0" w:beforeAutospacing="0" w:after="0" w:afterAutospacing="0"/>
              <w:ind w:left="0" w:right="0"/>
              <w:rPr>
                <w:rFonts w:hint="default" w:ascii="Times New Roman Regular" w:hAnsi="Times New Roman Regular" w:cs="Times New Roman Regular"/>
                <w:sz w:val="24"/>
                <w:szCs w:val="24"/>
                <w:shd w:val="clear" w:color="auto" w:fill="FFFFFF"/>
              </w:rPr>
            </w:pPr>
            <w:r>
              <w:rPr>
                <w:rFonts w:hint="default" w:ascii="Times New Roman Regular" w:hAnsi="Times New Roman Regular" w:cs="Times New Roman Regular"/>
                <w:sz w:val="24"/>
                <w:szCs w:val="24"/>
                <w:shd w:val="clear" w:color="auto" w:fill="FFFFFF"/>
              </w:rPr>
              <w:t>创新贸易促进工作，有效推动外贸稳定增长和转型升级。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23" w:type="dxa"/>
            <w:shd w:val="clear" w:color="auto" w:fill="auto"/>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4</w:t>
            </w:r>
          </w:p>
        </w:tc>
        <w:tc>
          <w:tcPr>
            <w:tcW w:w="7864" w:type="dxa"/>
            <w:shd w:val="clear" w:color="auto" w:fill="auto"/>
            <w:vAlign w:val="center"/>
          </w:tcPr>
          <w:p>
            <w:pPr>
              <w:keepNext w:val="0"/>
              <w:keepLines w:val="0"/>
              <w:suppressLineNumbers w:val="0"/>
              <w:adjustRightInd w:val="0"/>
              <w:snapToGrid w:val="0"/>
              <w:spacing w:before="0" w:beforeAutospacing="0" w:after="0" w:afterAutospacing="0"/>
              <w:ind w:left="0" w:right="0"/>
              <w:rPr>
                <w:rFonts w:hint="default" w:ascii="Times New Roman Regular" w:hAnsi="Times New Roman Regular" w:cs="Times New Roman Regular"/>
                <w:sz w:val="24"/>
                <w:szCs w:val="24"/>
                <w:shd w:val="clear" w:color="auto" w:fill="FFFFFF"/>
              </w:rPr>
            </w:pPr>
            <w:r>
              <w:rPr>
                <w:rFonts w:hint="default" w:ascii="Times New Roman Regular" w:hAnsi="Times New Roman Regular" w:cs="Times New Roman Regular"/>
                <w:sz w:val="24"/>
                <w:szCs w:val="24"/>
                <w:shd w:val="clear" w:color="auto" w:fill="FFFFFF"/>
              </w:rPr>
              <w:t>增强投资促进功能，积极推动双向投资协调发展。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23" w:type="dxa"/>
            <w:shd w:val="clear" w:color="auto" w:fill="auto"/>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5</w:t>
            </w:r>
          </w:p>
        </w:tc>
        <w:tc>
          <w:tcPr>
            <w:tcW w:w="7864" w:type="dxa"/>
            <w:shd w:val="clear" w:color="auto" w:fill="auto"/>
            <w:vAlign w:val="center"/>
          </w:tcPr>
          <w:p>
            <w:pPr>
              <w:keepNext w:val="0"/>
              <w:keepLines w:val="0"/>
              <w:suppressLineNumbers w:val="0"/>
              <w:adjustRightInd w:val="0"/>
              <w:snapToGrid w:val="0"/>
              <w:spacing w:before="0" w:beforeAutospacing="0" w:after="0" w:afterAutospacing="0"/>
              <w:ind w:left="0" w:right="0"/>
              <w:rPr>
                <w:rFonts w:hint="default" w:ascii="Times New Roman Regular" w:hAnsi="Times New Roman Regular" w:cs="Times New Roman Regular"/>
                <w:sz w:val="24"/>
                <w:szCs w:val="24"/>
                <w:shd w:val="clear" w:color="auto" w:fill="FFFFFF"/>
              </w:rPr>
            </w:pPr>
            <w:r>
              <w:rPr>
                <w:rFonts w:hint="default" w:ascii="Times New Roman Regular" w:hAnsi="Times New Roman Regular" w:cs="Times New Roman Regular"/>
                <w:sz w:val="24"/>
                <w:szCs w:val="24"/>
                <w:shd w:val="clear" w:color="auto" w:fill="FFFFFF"/>
              </w:rPr>
              <w:t>大力拓展商事法律服务，有力维护企业正当权益。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23" w:type="dxa"/>
            <w:shd w:val="clear" w:color="auto" w:fill="auto"/>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6</w:t>
            </w:r>
          </w:p>
        </w:tc>
        <w:tc>
          <w:tcPr>
            <w:tcW w:w="7864" w:type="dxa"/>
            <w:shd w:val="clear" w:color="auto" w:fill="auto"/>
            <w:vAlign w:val="center"/>
          </w:tcPr>
          <w:p>
            <w:pPr>
              <w:keepNext w:val="0"/>
              <w:keepLines w:val="0"/>
              <w:suppressLineNumbers w:val="0"/>
              <w:adjustRightInd w:val="0"/>
              <w:snapToGrid w:val="0"/>
              <w:spacing w:before="0" w:beforeAutospacing="0" w:after="0" w:afterAutospacing="0"/>
              <w:ind w:left="0" w:right="0"/>
              <w:rPr>
                <w:rFonts w:hint="default" w:ascii="Times New Roman Regular" w:hAnsi="Times New Roman Regular" w:cs="Times New Roman Regular"/>
                <w:sz w:val="24"/>
                <w:szCs w:val="24"/>
                <w:shd w:val="clear" w:color="auto" w:fill="FFFFFF"/>
              </w:rPr>
            </w:pPr>
            <w:r>
              <w:rPr>
                <w:rFonts w:hint="default" w:ascii="Times New Roman Regular" w:hAnsi="Times New Roman Regular" w:cs="Times New Roman Regular"/>
                <w:sz w:val="24"/>
                <w:szCs w:val="24"/>
                <w:shd w:val="clear" w:color="auto" w:fill="FFFFFF"/>
              </w:rPr>
              <w:t>建立健全多双边工商合作机制，积极参与全球经济治理。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23" w:type="dxa"/>
            <w:shd w:val="clear" w:color="auto" w:fill="auto"/>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7</w:t>
            </w:r>
          </w:p>
        </w:tc>
        <w:tc>
          <w:tcPr>
            <w:tcW w:w="7864" w:type="dxa"/>
            <w:shd w:val="clear" w:color="auto" w:fill="auto"/>
            <w:vAlign w:val="center"/>
          </w:tcPr>
          <w:p>
            <w:pPr>
              <w:keepNext w:val="0"/>
              <w:keepLines w:val="0"/>
              <w:suppressLineNumbers w:val="0"/>
              <w:adjustRightInd w:val="0"/>
              <w:snapToGrid w:val="0"/>
              <w:spacing w:before="0" w:beforeAutospacing="0" w:after="0" w:afterAutospacing="0"/>
              <w:ind w:left="0" w:right="0"/>
              <w:rPr>
                <w:rFonts w:hint="default" w:ascii="Times New Roman Regular" w:hAnsi="Times New Roman Regular" w:cs="Times New Roman Regular"/>
                <w:sz w:val="24"/>
                <w:szCs w:val="24"/>
                <w:shd w:val="clear" w:color="auto" w:fill="FFFFFF"/>
              </w:rPr>
            </w:pPr>
            <w:r>
              <w:rPr>
                <w:rFonts w:hint="default" w:ascii="Times New Roman Regular" w:hAnsi="Times New Roman Regular" w:cs="Times New Roman Regular"/>
                <w:sz w:val="24"/>
                <w:szCs w:val="24"/>
                <w:shd w:val="clear" w:color="auto" w:fill="FFFFFF"/>
              </w:rPr>
              <w:t>加强会展促进工作，推动北京会展业做大做强。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23" w:type="dxa"/>
            <w:shd w:val="clear" w:color="auto" w:fill="auto"/>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8</w:t>
            </w:r>
          </w:p>
        </w:tc>
        <w:tc>
          <w:tcPr>
            <w:tcW w:w="7864" w:type="dxa"/>
            <w:shd w:val="clear" w:color="auto" w:fill="auto"/>
            <w:vAlign w:val="center"/>
          </w:tcPr>
          <w:p>
            <w:pPr>
              <w:keepNext w:val="0"/>
              <w:keepLines w:val="0"/>
              <w:suppressLineNumbers w:val="0"/>
              <w:adjustRightInd w:val="0"/>
              <w:snapToGrid w:val="0"/>
              <w:spacing w:before="0" w:beforeAutospacing="0" w:after="0" w:afterAutospacing="0"/>
              <w:ind w:left="0" w:right="0"/>
              <w:rPr>
                <w:rFonts w:hint="default" w:ascii="Times New Roman Regular" w:hAnsi="Times New Roman Regular" w:cs="Times New Roman Regular"/>
                <w:sz w:val="24"/>
                <w:szCs w:val="24"/>
                <w:shd w:val="clear" w:color="auto" w:fill="FFFFFF"/>
              </w:rPr>
            </w:pPr>
            <w:r>
              <w:rPr>
                <w:rFonts w:hint="default" w:ascii="Times New Roman Regular" w:hAnsi="Times New Roman Regular" w:cs="Times New Roman Regular"/>
                <w:sz w:val="24"/>
                <w:szCs w:val="24"/>
                <w:shd w:val="clear" w:color="auto" w:fill="FFFFFF"/>
              </w:rPr>
              <w:t>加快北京国际商会改革发展，全面增强服务会员功能。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23" w:type="dxa"/>
            <w:shd w:val="clear" w:color="auto" w:fill="auto"/>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9</w:t>
            </w:r>
          </w:p>
        </w:tc>
        <w:tc>
          <w:tcPr>
            <w:tcW w:w="7864" w:type="dxa"/>
            <w:shd w:val="clear" w:color="auto" w:fill="auto"/>
            <w:vAlign w:val="center"/>
          </w:tcPr>
          <w:p>
            <w:pPr>
              <w:keepNext w:val="0"/>
              <w:keepLines w:val="0"/>
              <w:suppressLineNumbers w:val="0"/>
              <w:adjustRightInd w:val="0"/>
              <w:snapToGrid w:val="0"/>
              <w:spacing w:before="0" w:beforeAutospacing="0" w:after="0" w:afterAutospacing="0"/>
              <w:ind w:left="0" w:right="0"/>
              <w:rPr>
                <w:rFonts w:hint="default" w:ascii="Times New Roman Regular" w:hAnsi="Times New Roman Regular" w:cs="Times New Roman Regular"/>
                <w:sz w:val="24"/>
                <w:szCs w:val="24"/>
                <w:shd w:val="clear" w:color="auto" w:fill="FFFFFF"/>
              </w:rPr>
            </w:pPr>
            <w:r>
              <w:rPr>
                <w:rFonts w:hint="default" w:ascii="Times New Roman Regular" w:hAnsi="Times New Roman Regular" w:cs="Times New Roman Regular"/>
                <w:sz w:val="24"/>
                <w:szCs w:val="24"/>
                <w:shd w:val="clear" w:color="auto" w:fill="FFFFFF"/>
              </w:rPr>
              <w:t>拓展工作网络，推进贸促工作向基层、向海外延伸。</w:t>
            </w:r>
          </w:p>
        </w:tc>
      </w:tr>
    </w:tbl>
    <w:p>
      <w:pPr>
        <w:adjustRightInd w:val="0"/>
        <w:snapToGrid w:val="0"/>
        <w:spacing w:line="360" w:lineRule="auto"/>
        <w:rPr>
          <w:rFonts w:ascii="Times New Roman Regular" w:hAnsi="Times New Roman Regular" w:cs="Times New Roman Regular"/>
        </w:rPr>
      </w:pPr>
    </w:p>
    <w:p>
      <w:pPr>
        <w:adjustRightInd w:val="0"/>
        <w:snapToGrid w:val="0"/>
        <w:spacing w:line="560" w:lineRule="exact"/>
        <w:ind w:firstLine="640" w:firstLineChars="200"/>
        <w:rPr>
          <w:rFonts w:hint="default" w:ascii="Times New Roman Regular" w:hAnsi="Times New Roman Regular" w:eastAsia="仿宋_GB2312" w:cs="Times New Roman Regular"/>
          <w:bCs/>
          <w:sz w:val="32"/>
          <w:szCs w:val="32"/>
        </w:rPr>
      </w:pPr>
      <w:r>
        <w:rPr>
          <w:rFonts w:hint="default" w:ascii="Times New Roman Regular" w:hAnsi="Times New Roman Regular" w:eastAsia="仿宋_GB2312" w:cs="Times New Roman Regular"/>
          <w:bCs/>
          <w:sz w:val="32"/>
          <w:szCs w:val="32"/>
          <w:lang w:val="en-US" w:eastAsia="zh-CN"/>
        </w:rPr>
        <w:t>北京市贸促会</w:t>
      </w:r>
      <w:r>
        <w:rPr>
          <w:rFonts w:ascii="Times New Roman Regular" w:hAnsi="Times New Roman Regular" w:eastAsia="仿宋_GB2312" w:cs="Times New Roman Regular"/>
          <w:bCs/>
          <w:sz w:val="32"/>
          <w:szCs w:val="32"/>
        </w:rPr>
        <w:t>部门本级（参公管理事业单位）内设11个部室，分别为：办公室、规划发展部、会务部、国际联络部、对外贸易促进部、投资促进部、国际展览部、法律事务部、财务部、人事部、机关党委。下属1个二级预算单位，为北京市贸促会综合事务中心（财政补助事业单位）。202</w:t>
      </w:r>
      <w:r>
        <w:rPr>
          <w:rFonts w:hint="default" w:ascii="Times New Roman Regular" w:hAnsi="Times New Roman Regular" w:eastAsia="仿宋_GB2312" w:cs="Times New Roman Regular"/>
          <w:bCs/>
          <w:sz w:val="32"/>
          <w:szCs w:val="32"/>
        </w:rPr>
        <w:t>3</w:t>
      </w:r>
      <w:r>
        <w:rPr>
          <w:rFonts w:ascii="Times New Roman Regular" w:hAnsi="Times New Roman Regular" w:eastAsia="仿宋_GB2312" w:cs="Times New Roman Regular"/>
          <w:bCs/>
          <w:sz w:val="32"/>
          <w:szCs w:val="32"/>
        </w:rPr>
        <w:t>年，有事业编制9</w:t>
      </w:r>
      <w:r>
        <w:rPr>
          <w:rFonts w:hint="eastAsia" w:ascii="Times New Roman Regular" w:hAnsi="Times New Roman Regular" w:eastAsia="仿宋_GB2312" w:cs="Times New Roman Regular"/>
          <w:bCs/>
          <w:sz w:val="32"/>
          <w:szCs w:val="32"/>
          <w:lang w:val="en-US" w:eastAsia="zh-CN"/>
        </w:rPr>
        <w:t>3</w:t>
      </w:r>
      <w:r>
        <w:rPr>
          <w:rFonts w:ascii="Times New Roman Regular" w:hAnsi="Times New Roman Regular" w:eastAsia="仿宋_GB2312" w:cs="Times New Roman Regular"/>
          <w:bCs/>
          <w:sz w:val="32"/>
          <w:szCs w:val="32"/>
        </w:rPr>
        <w:t>人，实有人数</w:t>
      </w:r>
      <w:r>
        <w:rPr>
          <w:rFonts w:hint="eastAsia" w:ascii="Times New Roman Regular" w:hAnsi="Times New Roman Regular" w:eastAsia="仿宋_GB2312" w:cs="Times New Roman Regular"/>
          <w:bCs/>
          <w:sz w:val="32"/>
          <w:szCs w:val="32"/>
          <w:lang w:val="en-US" w:eastAsia="zh-CN"/>
        </w:rPr>
        <w:t>89</w:t>
      </w:r>
      <w:r>
        <w:rPr>
          <w:rFonts w:ascii="Times New Roman Regular" w:hAnsi="Times New Roman Regular" w:eastAsia="仿宋_GB2312" w:cs="Times New Roman Regular"/>
          <w:bCs/>
          <w:sz w:val="32"/>
          <w:szCs w:val="32"/>
        </w:rPr>
        <w:t>人；其他人员（编外用工）4人</w:t>
      </w:r>
      <w:r>
        <w:rPr>
          <w:rFonts w:hint="default" w:ascii="Times New Roman Regular" w:hAnsi="Times New Roman Regular" w:eastAsia="仿宋_GB2312" w:cs="Times New Roman Regular"/>
          <w:bCs/>
          <w:sz w:val="32"/>
          <w:szCs w:val="32"/>
        </w:rPr>
        <w:t>。</w:t>
      </w:r>
    </w:p>
    <w:p>
      <w:pPr>
        <w:adjustRightInd w:val="0"/>
        <w:snapToGrid w:val="0"/>
        <w:spacing w:line="560" w:lineRule="exact"/>
        <w:ind w:firstLine="640" w:firstLineChars="200"/>
        <w:rPr>
          <w:rFonts w:ascii="Times New Roman Regular" w:hAnsi="Times New Roman Regular" w:eastAsia="仿宋_GB2312" w:cs="Times New Roman Regular"/>
          <w:bCs/>
          <w:sz w:val="32"/>
          <w:szCs w:val="32"/>
          <w:highlight w:val="none"/>
        </w:rPr>
      </w:pPr>
      <w:bookmarkStart w:id="11" w:name="_Toc72438998"/>
      <w:bookmarkStart w:id="12" w:name="_Toc72438577"/>
      <w:r>
        <w:rPr>
          <w:rFonts w:ascii="Times New Roman Regular" w:hAnsi="Times New Roman Regular" w:eastAsia="仿宋_GB2312" w:cs="Times New Roman Regular"/>
          <w:bCs/>
          <w:sz w:val="32"/>
          <w:szCs w:val="32"/>
          <w:highlight w:val="none"/>
        </w:rPr>
        <w:t>2.工作目标及任务</w:t>
      </w:r>
      <w:bookmarkEnd w:id="11"/>
      <w:bookmarkEnd w:id="12"/>
    </w:p>
    <w:p>
      <w:pPr>
        <w:keepNext w:val="0"/>
        <w:keepLines w:val="0"/>
        <w:pageBreakBefore w:val="0"/>
        <w:widowControl/>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Regular" w:hAnsi="Times New Roman Regular" w:eastAsia="仿宋_GB2312" w:cs="Times New Roman Regular"/>
          <w:color w:val="auto"/>
          <w:sz w:val="32"/>
          <w:szCs w:val="32"/>
          <w:highlight w:val="none"/>
          <w:lang w:eastAsia="zh-CN"/>
        </w:rPr>
      </w:pPr>
      <w:r>
        <w:rPr>
          <w:rFonts w:hint="default" w:ascii="Times New Roman Regular" w:hAnsi="Times New Roman Regular" w:eastAsia="仿宋_GB2312" w:cs="Times New Roman Regular"/>
          <w:bCs/>
          <w:sz w:val="32"/>
          <w:szCs w:val="32"/>
        </w:rPr>
        <w:t>北京市贸促会</w:t>
      </w:r>
      <w:r>
        <w:rPr>
          <w:rFonts w:hint="default" w:ascii="Times New Roman Regular" w:hAnsi="Times New Roman Regular" w:eastAsia="仿宋_GB2312" w:cs="Times New Roman Regular"/>
          <w:color w:val="auto"/>
          <w:sz w:val="32"/>
          <w:szCs w:val="32"/>
          <w:highlight w:val="none"/>
          <w:lang w:eastAsia="zh-CN"/>
        </w:rPr>
        <w:t>以习近平新时代中国特色社会主义思想为指导，全面贯彻落实党的二十大和中央经济工作会议精神，深入贯彻习近平总书记对北京一系列重要讲话精神，认真贯彻落实</w:t>
      </w:r>
      <w:r>
        <w:rPr>
          <w:rFonts w:hint="default" w:ascii="Times New Roman Regular" w:hAnsi="Times New Roman Regular" w:eastAsia="仿宋_GB2312" w:cs="Times New Roman Regular"/>
          <w:color w:val="auto"/>
          <w:sz w:val="32"/>
          <w:szCs w:val="32"/>
          <w:highlight w:val="none"/>
          <w:lang w:val="en-US" w:eastAsia="zh-CN"/>
        </w:rPr>
        <w:t>北京市第</w:t>
      </w:r>
      <w:r>
        <w:rPr>
          <w:rFonts w:hint="default" w:ascii="Times New Roman Regular" w:hAnsi="Times New Roman Regular" w:eastAsia="仿宋_GB2312" w:cs="Times New Roman Regular"/>
          <w:color w:val="auto"/>
          <w:sz w:val="32"/>
          <w:szCs w:val="32"/>
          <w:highlight w:val="none"/>
          <w:lang w:eastAsia="zh-CN"/>
        </w:rPr>
        <w:t>十三次党代会、</w:t>
      </w:r>
      <w:r>
        <w:rPr>
          <w:rFonts w:hint="default" w:ascii="Times New Roman Regular" w:hAnsi="Times New Roman Regular" w:eastAsia="仿宋_GB2312" w:cs="Times New Roman Regular"/>
          <w:color w:val="auto"/>
          <w:sz w:val="32"/>
          <w:szCs w:val="32"/>
          <w:highlight w:val="none"/>
          <w:lang w:val="en-US" w:eastAsia="zh-CN"/>
        </w:rPr>
        <w:t>市委十三届二次全会</w:t>
      </w:r>
      <w:r>
        <w:rPr>
          <w:rFonts w:hint="default" w:ascii="Times New Roman Regular" w:hAnsi="Times New Roman Regular" w:eastAsia="仿宋_GB2312" w:cs="Times New Roman Regular"/>
          <w:color w:val="auto"/>
          <w:sz w:val="32"/>
          <w:szCs w:val="32"/>
          <w:highlight w:val="none"/>
          <w:lang w:eastAsia="zh-CN"/>
        </w:rPr>
        <w:t>部署，以新时代首都发展为统领，充分发挥联通政企、融通内外、畅通供需</w:t>
      </w:r>
      <w:r>
        <w:rPr>
          <w:rFonts w:hint="default" w:ascii="Times New Roman Regular" w:hAnsi="Times New Roman Regular" w:eastAsia="仿宋_GB2312" w:cs="Times New Roman Regular"/>
          <w:color w:val="auto"/>
          <w:sz w:val="32"/>
          <w:szCs w:val="32"/>
          <w:highlight w:val="none"/>
          <w:lang w:val="en" w:eastAsia="zh-CN"/>
        </w:rPr>
        <w:t>独特优势</w:t>
      </w:r>
      <w:r>
        <w:rPr>
          <w:rFonts w:hint="default" w:ascii="Times New Roman Regular" w:hAnsi="Times New Roman Regular" w:eastAsia="仿宋_GB2312" w:cs="Times New Roman Regular"/>
          <w:color w:val="auto"/>
          <w:sz w:val="32"/>
          <w:szCs w:val="32"/>
          <w:highlight w:val="none"/>
          <w:lang w:eastAsia="zh-CN"/>
        </w:rPr>
        <w:t>，</w:t>
      </w:r>
      <w:r>
        <w:rPr>
          <w:rFonts w:hint="default" w:ascii="Times New Roman Regular" w:hAnsi="Times New Roman Regular" w:eastAsia="仿宋_GB2312" w:cs="Times New Roman Regular"/>
          <w:color w:val="auto"/>
          <w:sz w:val="32"/>
          <w:szCs w:val="32"/>
          <w:highlight w:val="none"/>
          <w:lang w:val="en-US" w:eastAsia="zh-CN"/>
        </w:rPr>
        <w:t>立足“345”工作格局，从七个方面明确了</w:t>
      </w:r>
      <w:r>
        <w:rPr>
          <w:rFonts w:hint="default" w:ascii="Times New Roman Regular" w:hAnsi="Times New Roman Regular" w:eastAsia="仿宋_GB2312" w:cs="Times New Roman Regular"/>
          <w:bCs/>
          <w:sz w:val="32"/>
          <w:szCs w:val="32"/>
          <w:lang w:val="en-US" w:eastAsia="zh-CN"/>
        </w:rPr>
        <w:t>2023年度</w:t>
      </w:r>
      <w:r>
        <w:rPr>
          <w:rFonts w:hint="default" w:ascii="Times New Roman Regular" w:hAnsi="Times New Roman Regular" w:eastAsia="仿宋_GB2312" w:cs="Times New Roman Regular"/>
          <w:color w:val="auto"/>
          <w:sz w:val="32"/>
          <w:szCs w:val="32"/>
          <w:highlight w:val="none"/>
          <w:lang w:val="en-US" w:eastAsia="zh-CN"/>
        </w:rPr>
        <w:t>重点工作</w:t>
      </w:r>
      <w:r>
        <w:rPr>
          <w:rFonts w:hint="default" w:ascii="Times New Roman Regular" w:hAnsi="Times New Roman Regular" w:eastAsia="仿宋_GB2312" w:cs="Times New Roman Regular"/>
          <w:color w:val="auto"/>
          <w:sz w:val="32"/>
          <w:szCs w:val="32"/>
          <w:highlight w:val="none"/>
          <w:lang w:eastAsia="zh-CN"/>
        </w:rPr>
        <w:t>。</w:t>
      </w:r>
    </w:p>
    <w:p>
      <w:pPr>
        <w:adjustRightInd w:val="0"/>
        <w:snapToGrid w:val="0"/>
        <w:spacing w:after="156" w:afterLines="50" w:line="600" w:lineRule="exact"/>
        <w:jc w:val="center"/>
        <w:rPr>
          <w:rFonts w:ascii="Times New Roman Regular" w:hAnsi="Times New Roman Regular" w:eastAsia="黑体" w:cs="Times New Roman Regular"/>
          <w:sz w:val="28"/>
          <w:szCs w:val="28"/>
          <w:highlight w:val="none"/>
        </w:rPr>
      </w:pPr>
      <w:r>
        <w:rPr>
          <w:rFonts w:ascii="Times New Roman Regular" w:hAnsi="Times New Roman Regular" w:eastAsia="黑体" w:cs="Times New Roman Regular"/>
          <w:sz w:val="28"/>
          <w:szCs w:val="28"/>
          <w:highlight w:val="none"/>
        </w:rPr>
        <w:t>表2 北京市贸促会202</w:t>
      </w:r>
      <w:r>
        <w:rPr>
          <w:rFonts w:hint="default" w:ascii="Times New Roman Regular" w:hAnsi="Times New Roman Regular" w:eastAsia="黑体" w:cs="Times New Roman Regular"/>
          <w:sz w:val="28"/>
          <w:szCs w:val="28"/>
          <w:highlight w:val="none"/>
        </w:rPr>
        <w:t>3</w:t>
      </w:r>
      <w:r>
        <w:rPr>
          <w:rFonts w:ascii="Times New Roman Regular" w:hAnsi="Times New Roman Regular" w:eastAsia="黑体" w:cs="Times New Roman Regular"/>
          <w:sz w:val="28"/>
          <w:szCs w:val="28"/>
          <w:highlight w:val="none"/>
        </w:rPr>
        <w:t>年重点工作安排</w:t>
      </w:r>
    </w:p>
    <w:tbl>
      <w:tblPr>
        <w:tblStyle w:val="17"/>
        <w:tblW w:w="512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4"/>
        <w:gridCol w:w="4822"/>
        <w:gridCol w:w="82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blHeader/>
          <w:jc w:val="center"/>
        </w:trPr>
        <w:tc>
          <w:tcPr>
            <w:tcW w:w="868" w:type="dxa"/>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Regular" w:hAnsi="Times New Roman Regular" w:cs="Times New Roman Regular"/>
                <w:b/>
                <w:bCs/>
                <w:color w:val="000000"/>
                <w:kern w:val="0"/>
              </w:rPr>
            </w:pPr>
            <w:r>
              <w:rPr>
                <w:rFonts w:hint="default" w:ascii="Times New Roman Regular" w:hAnsi="Times New Roman Regular" w:cs="Times New Roman Regular"/>
                <w:b/>
                <w:bCs/>
                <w:color w:val="000000"/>
                <w:kern w:val="0"/>
              </w:rPr>
              <w:t>序号</w:t>
            </w:r>
          </w:p>
        </w:tc>
        <w:tc>
          <w:tcPr>
            <w:tcW w:w="2899" w:type="dxa"/>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Regular" w:hAnsi="Times New Roman Regular" w:cs="Times New Roman Regular"/>
                <w:b/>
                <w:bCs/>
                <w:color w:val="000000"/>
                <w:kern w:val="0"/>
              </w:rPr>
            </w:pPr>
            <w:r>
              <w:rPr>
                <w:rFonts w:hint="default" w:ascii="Times New Roman Regular" w:hAnsi="Times New Roman Regular" w:cs="Times New Roman Regular"/>
                <w:b/>
                <w:bCs/>
                <w:color w:val="000000"/>
                <w:kern w:val="0"/>
                <w:lang w:val="en-US" w:eastAsia="zh-CN"/>
              </w:rPr>
              <w:t>重点</w:t>
            </w:r>
            <w:r>
              <w:rPr>
                <w:rFonts w:hint="default" w:ascii="Times New Roman Regular" w:hAnsi="Times New Roman Regular" w:cs="Times New Roman Regular"/>
                <w:b/>
                <w:bCs/>
                <w:color w:val="000000"/>
                <w:kern w:val="0"/>
              </w:rPr>
              <w:t>工作</w:t>
            </w:r>
          </w:p>
        </w:tc>
        <w:tc>
          <w:tcPr>
            <w:tcW w:w="4965" w:type="dxa"/>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Regular" w:hAnsi="Times New Roman Regular" w:cs="Times New Roman Regular"/>
                <w:b/>
                <w:bCs/>
                <w:color w:val="000000"/>
                <w:kern w:val="0"/>
              </w:rPr>
            </w:pPr>
            <w:r>
              <w:rPr>
                <w:rFonts w:hint="default" w:ascii="Times New Roman Regular" w:hAnsi="Times New Roman Regular" w:cs="Times New Roman Regular"/>
                <w:b/>
                <w:bCs/>
                <w:color w:val="000000"/>
                <w:kern w:val="0"/>
              </w:rPr>
              <w:t>工作内容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9" w:hRule="atLeast"/>
          <w:jc w:val="center"/>
        </w:trPr>
        <w:tc>
          <w:tcPr>
            <w:tcW w:w="868" w:type="dxa"/>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Regular" w:hAnsi="Times New Roman Regular" w:cs="Times New Roman Regular"/>
                <w:color w:val="000000"/>
                <w:kern w:val="0"/>
                <w:highlight w:val="none"/>
              </w:rPr>
            </w:pPr>
            <w:r>
              <w:rPr>
                <w:rFonts w:hint="default" w:ascii="Times New Roman Regular" w:hAnsi="Times New Roman Regular" w:cs="Times New Roman Regular"/>
                <w:color w:val="000000"/>
                <w:kern w:val="0"/>
                <w:highlight w:val="none"/>
              </w:rPr>
              <w:t>1</w:t>
            </w:r>
          </w:p>
        </w:tc>
        <w:tc>
          <w:tcPr>
            <w:tcW w:w="2899" w:type="dxa"/>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Regular" w:hAnsi="Times New Roman Regular" w:cs="Times New Roman Regular"/>
                <w:color w:val="000000"/>
                <w:kern w:val="0"/>
                <w:highlight w:val="none"/>
              </w:rPr>
            </w:pPr>
            <w:r>
              <w:rPr>
                <w:rFonts w:hint="default" w:ascii="Times New Roman Regular" w:hAnsi="Times New Roman Regular" w:cs="Times New Roman Regular"/>
                <w:color w:val="000000"/>
                <w:kern w:val="0"/>
                <w:highlight w:val="none"/>
              </w:rPr>
              <w:t>把学习宣传贯彻党的二十大精神不断引向深入，持续争做首都高水平开放排头兵。</w:t>
            </w:r>
          </w:p>
        </w:tc>
        <w:tc>
          <w:tcPr>
            <w:tcW w:w="4965" w:type="dxa"/>
            <w:shd w:val="clear" w:color="auto" w:fill="auto"/>
            <w:vAlign w:val="center"/>
          </w:tcPr>
          <w:p>
            <w:pPr>
              <w:keepNext w:val="0"/>
              <w:keepLines w:val="0"/>
              <w:widowControl/>
              <w:suppressLineNumbers w:val="0"/>
              <w:spacing w:before="0" w:beforeAutospacing="0" w:after="0" w:afterAutospacing="0"/>
              <w:ind w:left="0" w:right="0"/>
              <w:jc w:val="left"/>
              <w:rPr>
                <w:rFonts w:hint="default" w:ascii="Times New Roman Regular" w:hAnsi="Times New Roman Regular" w:eastAsia="宋体" w:cs="Times New Roman Regular"/>
                <w:color w:val="000000"/>
                <w:kern w:val="0"/>
                <w:highlight w:val="none"/>
                <w:lang w:eastAsia="zh-CN"/>
              </w:rPr>
            </w:pPr>
            <w:r>
              <w:rPr>
                <w:rFonts w:hint="default" w:ascii="Times New Roman Regular" w:hAnsi="Times New Roman Regular" w:cs="Times New Roman Regular"/>
                <w:color w:val="000000"/>
                <w:kern w:val="0"/>
                <w:highlight w:val="none"/>
              </w:rPr>
              <w:t>（1）强化理论武装</w:t>
            </w:r>
            <w:r>
              <w:rPr>
                <w:rFonts w:hint="default" w:ascii="Times New Roman Regular" w:hAnsi="Times New Roman Regular" w:cs="Times New Roman Regular"/>
                <w:color w:val="000000"/>
                <w:kern w:val="0"/>
                <w:highlight w:val="none"/>
                <w:lang w:eastAsia="zh-CN"/>
              </w:rPr>
              <w:t>。</w:t>
            </w:r>
          </w:p>
          <w:p>
            <w:pPr>
              <w:keepNext w:val="0"/>
              <w:keepLines w:val="0"/>
              <w:widowControl/>
              <w:suppressLineNumbers w:val="0"/>
              <w:spacing w:before="0" w:beforeAutospacing="0" w:after="0" w:afterAutospacing="0"/>
              <w:ind w:left="0" w:right="0"/>
              <w:jc w:val="left"/>
              <w:rPr>
                <w:rFonts w:hint="default" w:ascii="Times New Roman Regular" w:hAnsi="Times New Roman Regular" w:eastAsia="宋体" w:cs="Times New Roman Regular"/>
                <w:color w:val="000000"/>
                <w:kern w:val="0"/>
                <w:highlight w:val="none"/>
                <w:lang w:eastAsia="zh-CN"/>
              </w:rPr>
            </w:pPr>
            <w:r>
              <w:rPr>
                <w:rFonts w:hint="default" w:ascii="Times New Roman Regular" w:hAnsi="Times New Roman Regular" w:cs="Times New Roman Regular"/>
                <w:color w:val="000000"/>
                <w:kern w:val="0"/>
                <w:highlight w:val="none"/>
                <w:lang w:eastAsia="zh-CN"/>
              </w:rPr>
              <w:t>（</w:t>
            </w:r>
            <w:r>
              <w:rPr>
                <w:rFonts w:hint="default" w:ascii="Times New Roman Regular" w:hAnsi="Times New Roman Regular" w:cs="Times New Roman Regular"/>
                <w:color w:val="000000"/>
                <w:kern w:val="0"/>
                <w:highlight w:val="none"/>
                <w:lang w:val="en-US" w:eastAsia="zh-CN"/>
              </w:rPr>
              <w:t>2）</w:t>
            </w:r>
            <w:r>
              <w:rPr>
                <w:rFonts w:hint="default" w:ascii="Times New Roman Regular" w:hAnsi="Times New Roman Regular" w:cs="Times New Roman Regular"/>
                <w:color w:val="000000"/>
                <w:kern w:val="0"/>
                <w:highlight w:val="none"/>
              </w:rPr>
              <w:t>创新学习形式</w:t>
            </w:r>
            <w:r>
              <w:rPr>
                <w:rFonts w:hint="default" w:ascii="Times New Roman Regular" w:hAnsi="Times New Roman Regular" w:cs="Times New Roman Regular"/>
                <w:color w:val="000000"/>
                <w:kern w:val="0"/>
                <w:highlight w:val="none"/>
                <w:lang w:eastAsia="zh-CN"/>
              </w:rPr>
              <w:t>。</w:t>
            </w:r>
          </w:p>
          <w:p>
            <w:pPr>
              <w:keepNext w:val="0"/>
              <w:keepLines w:val="0"/>
              <w:widowControl/>
              <w:suppressLineNumbers w:val="0"/>
              <w:spacing w:before="0" w:beforeAutospacing="0" w:after="0" w:afterAutospacing="0"/>
              <w:ind w:left="0" w:right="0"/>
              <w:jc w:val="left"/>
              <w:rPr>
                <w:rFonts w:hint="default" w:ascii="Times New Roman Regular" w:hAnsi="Times New Roman Regular" w:cs="Times New Roman Regular"/>
                <w:color w:val="000000"/>
                <w:kern w:val="0"/>
                <w:highlight w:val="none"/>
              </w:rPr>
            </w:pPr>
            <w:r>
              <w:rPr>
                <w:rFonts w:hint="default" w:ascii="Times New Roman Regular" w:hAnsi="Times New Roman Regular" w:cs="Times New Roman Regular"/>
                <w:color w:val="000000"/>
                <w:kern w:val="0"/>
                <w:highlight w:val="none"/>
                <w:lang w:eastAsia="zh-CN"/>
              </w:rPr>
              <w:t>（</w:t>
            </w:r>
            <w:r>
              <w:rPr>
                <w:rFonts w:hint="default" w:ascii="Times New Roman Regular" w:hAnsi="Times New Roman Regular" w:cs="Times New Roman Regular"/>
                <w:color w:val="000000"/>
                <w:kern w:val="0"/>
                <w:highlight w:val="none"/>
                <w:lang w:val="en-US" w:eastAsia="zh-CN"/>
              </w:rPr>
              <w:t>3）</w:t>
            </w:r>
            <w:r>
              <w:rPr>
                <w:rFonts w:hint="default" w:ascii="Times New Roman Regular" w:hAnsi="Times New Roman Regular" w:cs="Times New Roman Regular"/>
                <w:color w:val="000000"/>
                <w:kern w:val="0"/>
                <w:highlight w:val="none"/>
              </w:rPr>
              <w:t>深化教育实践活动</w:t>
            </w:r>
            <w:r>
              <w:rPr>
                <w:rFonts w:hint="default" w:ascii="Times New Roman Regular" w:hAnsi="Times New Roman Regular" w:cs="Times New Roman Regular"/>
                <w:color w:val="000000"/>
                <w:kern w:val="0"/>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5" w:hRule="atLeast"/>
          <w:jc w:val="center"/>
        </w:trPr>
        <w:tc>
          <w:tcPr>
            <w:tcW w:w="868" w:type="dxa"/>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Regular" w:hAnsi="Times New Roman Regular" w:cs="Times New Roman Regular"/>
                <w:color w:val="000000"/>
                <w:kern w:val="0"/>
                <w:highlight w:val="none"/>
              </w:rPr>
            </w:pPr>
            <w:r>
              <w:rPr>
                <w:rFonts w:hint="default" w:ascii="Times New Roman Regular" w:hAnsi="Times New Roman Regular" w:cs="Times New Roman Regular"/>
                <w:color w:val="000000"/>
                <w:kern w:val="0"/>
                <w:highlight w:val="none"/>
              </w:rPr>
              <w:t>2</w:t>
            </w:r>
          </w:p>
        </w:tc>
        <w:tc>
          <w:tcPr>
            <w:tcW w:w="2899" w:type="dxa"/>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Regular" w:hAnsi="Times New Roman Regular" w:eastAsia="宋体" w:cs="Times New Roman Regular"/>
                <w:color w:val="000000"/>
                <w:kern w:val="0"/>
                <w:highlight w:val="none"/>
                <w:lang w:eastAsia="zh-CN"/>
              </w:rPr>
            </w:pPr>
            <w:r>
              <w:rPr>
                <w:rFonts w:hint="default" w:ascii="Times New Roman Regular" w:hAnsi="Times New Roman Regular" w:cs="Times New Roman Regular"/>
                <w:color w:val="000000"/>
                <w:kern w:val="0"/>
                <w:highlight w:val="none"/>
              </w:rPr>
              <w:t>全力以赴办好三场重大活动，主动服务和融入新发展格局</w:t>
            </w:r>
            <w:r>
              <w:rPr>
                <w:rFonts w:hint="default" w:ascii="Times New Roman Regular" w:hAnsi="Times New Roman Regular" w:cs="Times New Roman Regular"/>
                <w:color w:val="000000"/>
                <w:kern w:val="0"/>
                <w:highlight w:val="none"/>
                <w:lang w:eastAsia="zh-CN"/>
              </w:rPr>
              <w:t>。</w:t>
            </w:r>
          </w:p>
        </w:tc>
        <w:tc>
          <w:tcPr>
            <w:tcW w:w="4965" w:type="dxa"/>
            <w:shd w:val="clear" w:color="auto" w:fill="auto"/>
            <w:vAlign w:val="center"/>
          </w:tcPr>
          <w:p>
            <w:pPr>
              <w:keepNext w:val="0"/>
              <w:keepLines w:val="0"/>
              <w:widowControl/>
              <w:suppressLineNumbers w:val="0"/>
              <w:spacing w:before="0" w:beforeAutospacing="0" w:after="0" w:afterAutospacing="0"/>
              <w:ind w:left="0" w:right="0"/>
              <w:jc w:val="left"/>
              <w:rPr>
                <w:rFonts w:hint="default" w:ascii="Times New Roman Regular" w:hAnsi="Times New Roman Regular" w:cs="Times New Roman Regular"/>
                <w:color w:val="000000"/>
                <w:kern w:val="0"/>
                <w:highlight w:val="none"/>
              </w:rPr>
            </w:pPr>
            <w:r>
              <w:rPr>
                <w:rFonts w:hint="default" w:ascii="Times New Roman Regular" w:hAnsi="Times New Roman Regular" w:cs="Times New Roman Regular"/>
                <w:color w:val="000000"/>
                <w:kern w:val="0"/>
                <w:highlight w:val="none"/>
              </w:rPr>
              <w:t>（1）首善标准筹办中国—拉美企业家高峰会。</w:t>
            </w:r>
            <w:r>
              <w:rPr>
                <w:rFonts w:hint="default" w:ascii="Times New Roman Regular" w:hAnsi="Times New Roman Regular" w:cs="Times New Roman Regular"/>
                <w:color w:val="000000"/>
                <w:kern w:val="0"/>
                <w:highlight w:val="none"/>
              </w:rPr>
              <w:br w:type="textWrapping"/>
            </w:r>
            <w:r>
              <w:rPr>
                <w:rFonts w:hint="default" w:ascii="Times New Roman Regular" w:hAnsi="Times New Roman Regular" w:cs="Times New Roman Regular"/>
                <w:color w:val="000000"/>
                <w:kern w:val="0"/>
                <w:highlight w:val="none"/>
              </w:rPr>
              <w:t>（2）主动靠前服务保障中国国际服务贸易交易会。</w:t>
            </w:r>
            <w:r>
              <w:rPr>
                <w:rFonts w:hint="default" w:ascii="Times New Roman Regular" w:hAnsi="Times New Roman Regular" w:cs="Times New Roman Regular"/>
                <w:color w:val="000000"/>
                <w:kern w:val="0"/>
                <w:highlight w:val="none"/>
              </w:rPr>
              <w:br w:type="textWrapping"/>
            </w:r>
            <w:r>
              <w:rPr>
                <w:rFonts w:hint="default" w:ascii="Times New Roman Regular" w:hAnsi="Times New Roman Regular" w:cs="Times New Roman Regular"/>
                <w:color w:val="000000"/>
                <w:kern w:val="0"/>
                <w:highlight w:val="none"/>
              </w:rPr>
              <w:t>（3）高水平办好中关村论坛展览（科博会）。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3" w:hRule="atLeast"/>
          <w:jc w:val="center"/>
        </w:trPr>
        <w:tc>
          <w:tcPr>
            <w:tcW w:w="868" w:type="dxa"/>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Regular" w:hAnsi="Times New Roman Regular" w:cs="Times New Roman Regular"/>
                <w:color w:val="000000"/>
                <w:kern w:val="0"/>
                <w:highlight w:val="none"/>
              </w:rPr>
            </w:pPr>
            <w:r>
              <w:rPr>
                <w:rFonts w:hint="default" w:ascii="Times New Roman Regular" w:hAnsi="Times New Roman Regular" w:cs="Times New Roman Regular"/>
                <w:color w:val="000000"/>
                <w:kern w:val="0"/>
                <w:highlight w:val="none"/>
              </w:rPr>
              <w:t>3</w:t>
            </w:r>
          </w:p>
        </w:tc>
        <w:tc>
          <w:tcPr>
            <w:tcW w:w="2899" w:type="dxa"/>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Regular" w:hAnsi="Times New Roman Regular" w:cs="Times New Roman Regular"/>
                <w:color w:val="000000"/>
                <w:kern w:val="0"/>
                <w:highlight w:val="none"/>
              </w:rPr>
            </w:pPr>
            <w:r>
              <w:rPr>
                <w:rFonts w:hint="default" w:ascii="Times New Roman Regular" w:hAnsi="Times New Roman Regular" w:cs="Times New Roman Regular"/>
                <w:color w:val="000000"/>
                <w:kern w:val="0"/>
                <w:highlight w:val="none"/>
              </w:rPr>
              <w:t>聚焦五大领域工作，助力首都高水平对外开放。</w:t>
            </w:r>
          </w:p>
        </w:tc>
        <w:tc>
          <w:tcPr>
            <w:tcW w:w="4965" w:type="dxa"/>
            <w:shd w:val="clear" w:color="auto" w:fill="auto"/>
            <w:vAlign w:val="center"/>
          </w:tcPr>
          <w:p>
            <w:pPr>
              <w:keepNext w:val="0"/>
              <w:keepLines w:val="0"/>
              <w:widowControl/>
              <w:suppressLineNumbers w:val="0"/>
              <w:spacing w:before="0" w:beforeAutospacing="0" w:after="0" w:afterAutospacing="0"/>
              <w:ind w:left="0" w:right="0"/>
              <w:jc w:val="left"/>
              <w:rPr>
                <w:rFonts w:hint="default" w:ascii="Times New Roman Regular" w:hAnsi="Times New Roman Regular" w:eastAsia="宋体" w:cs="Times New Roman Regular"/>
                <w:color w:val="000000"/>
                <w:kern w:val="0"/>
                <w:highlight w:val="none"/>
                <w:lang w:val="en-US" w:eastAsia="zh-CN"/>
              </w:rPr>
            </w:pPr>
            <w:r>
              <w:rPr>
                <w:rFonts w:hint="default" w:ascii="Times New Roman Regular" w:hAnsi="Times New Roman Regular" w:cs="Times New Roman Regular"/>
                <w:color w:val="000000"/>
                <w:kern w:val="0"/>
                <w:highlight w:val="none"/>
              </w:rPr>
              <w:t>（1）强化国际贸易投资促进</w:t>
            </w:r>
            <w:r>
              <w:rPr>
                <w:rFonts w:hint="default" w:ascii="Times New Roman Regular" w:hAnsi="Times New Roman Regular" w:cs="Times New Roman Regular"/>
                <w:color w:val="000000"/>
                <w:kern w:val="0"/>
                <w:highlight w:val="none"/>
                <w:lang w:eastAsia="zh-CN"/>
              </w:rPr>
              <w:t>。</w:t>
            </w:r>
          </w:p>
          <w:p>
            <w:pPr>
              <w:keepNext w:val="0"/>
              <w:keepLines w:val="0"/>
              <w:widowControl/>
              <w:suppressLineNumbers w:val="0"/>
              <w:spacing w:before="0" w:beforeAutospacing="0" w:after="0" w:afterAutospacing="0"/>
              <w:ind w:left="0" w:right="0"/>
              <w:jc w:val="left"/>
              <w:rPr>
                <w:rFonts w:hint="default" w:ascii="Times New Roman Regular" w:hAnsi="Times New Roman Regular" w:eastAsia="宋体" w:cs="Times New Roman Regular"/>
                <w:color w:val="000000"/>
                <w:kern w:val="0"/>
                <w:highlight w:val="none"/>
                <w:lang w:eastAsia="zh-CN"/>
              </w:rPr>
            </w:pPr>
            <w:r>
              <w:rPr>
                <w:rFonts w:hint="default" w:ascii="Times New Roman Regular" w:hAnsi="Times New Roman Regular" w:cs="Times New Roman Regular"/>
                <w:color w:val="000000"/>
                <w:kern w:val="0"/>
                <w:highlight w:val="none"/>
                <w:lang w:eastAsia="zh-CN"/>
              </w:rPr>
              <w:t>（</w:t>
            </w:r>
            <w:r>
              <w:rPr>
                <w:rFonts w:hint="default" w:ascii="Times New Roman Regular" w:hAnsi="Times New Roman Regular" w:cs="Times New Roman Regular"/>
                <w:color w:val="000000"/>
                <w:kern w:val="0"/>
                <w:highlight w:val="none"/>
                <w:lang w:val="en-US" w:eastAsia="zh-CN"/>
              </w:rPr>
              <w:t>2）</w:t>
            </w:r>
            <w:r>
              <w:rPr>
                <w:rFonts w:hint="default" w:ascii="Times New Roman Regular" w:hAnsi="Times New Roman Regular" w:cs="Times New Roman Regular"/>
                <w:color w:val="000000"/>
                <w:kern w:val="0"/>
                <w:highlight w:val="none"/>
              </w:rPr>
              <w:t>拓展国际商事法律服务</w:t>
            </w:r>
            <w:r>
              <w:rPr>
                <w:rFonts w:hint="default" w:ascii="Times New Roman Regular" w:hAnsi="Times New Roman Regular" w:cs="Times New Roman Regular"/>
                <w:color w:val="000000"/>
                <w:kern w:val="0"/>
                <w:highlight w:val="none"/>
                <w:lang w:eastAsia="zh-CN"/>
              </w:rPr>
              <w:t>。</w:t>
            </w:r>
          </w:p>
          <w:p>
            <w:pPr>
              <w:keepNext w:val="0"/>
              <w:keepLines w:val="0"/>
              <w:widowControl/>
              <w:suppressLineNumbers w:val="0"/>
              <w:spacing w:before="0" w:beforeAutospacing="0" w:after="0" w:afterAutospacing="0"/>
              <w:ind w:left="0" w:right="0"/>
              <w:jc w:val="left"/>
              <w:rPr>
                <w:rFonts w:hint="default" w:ascii="Times New Roman Regular" w:hAnsi="Times New Roman Regular" w:eastAsia="宋体" w:cs="Times New Roman Regular"/>
                <w:color w:val="000000"/>
                <w:kern w:val="0"/>
                <w:highlight w:val="none"/>
                <w:lang w:eastAsia="zh-CN"/>
              </w:rPr>
            </w:pPr>
            <w:r>
              <w:rPr>
                <w:rFonts w:hint="default" w:ascii="Times New Roman Regular" w:hAnsi="Times New Roman Regular" w:cs="Times New Roman Regular"/>
                <w:color w:val="000000"/>
                <w:kern w:val="0"/>
                <w:highlight w:val="none"/>
                <w:lang w:eastAsia="zh-CN"/>
              </w:rPr>
              <w:t>（</w:t>
            </w:r>
            <w:r>
              <w:rPr>
                <w:rFonts w:hint="default" w:ascii="Times New Roman Regular" w:hAnsi="Times New Roman Regular" w:cs="Times New Roman Regular"/>
                <w:color w:val="000000"/>
                <w:kern w:val="0"/>
                <w:highlight w:val="none"/>
                <w:lang w:val="en-US" w:eastAsia="zh-CN"/>
              </w:rPr>
              <w:t>3）</w:t>
            </w:r>
            <w:r>
              <w:rPr>
                <w:rFonts w:hint="default" w:ascii="Times New Roman Regular" w:hAnsi="Times New Roman Regular" w:cs="Times New Roman Regular"/>
                <w:color w:val="000000"/>
                <w:kern w:val="0"/>
                <w:highlight w:val="none"/>
              </w:rPr>
              <w:t>加强国际会展业促进</w:t>
            </w:r>
            <w:r>
              <w:rPr>
                <w:rFonts w:hint="default" w:ascii="Times New Roman Regular" w:hAnsi="Times New Roman Regular" w:cs="Times New Roman Regular"/>
                <w:color w:val="000000"/>
                <w:kern w:val="0"/>
                <w:highlight w:val="none"/>
                <w:lang w:eastAsia="zh-CN"/>
              </w:rPr>
              <w:t>。</w:t>
            </w:r>
          </w:p>
          <w:p>
            <w:pPr>
              <w:keepNext w:val="0"/>
              <w:keepLines w:val="0"/>
              <w:widowControl/>
              <w:suppressLineNumbers w:val="0"/>
              <w:spacing w:before="0" w:beforeAutospacing="0" w:after="0" w:afterAutospacing="0"/>
              <w:ind w:left="0" w:right="0"/>
              <w:jc w:val="left"/>
              <w:rPr>
                <w:rFonts w:hint="default" w:ascii="Times New Roman Regular" w:hAnsi="Times New Roman Regular" w:eastAsia="宋体" w:cs="Times New Roman Regular"/>
                <w:color w:val="000000"/>
                <w:kern w:val="0"/>
                <w:highlight w:val="none"/>
                <w:lang w:eastAsia="zh-CN"/>
              </w:rPr>
            </w:pPr>
            <w:r>
              <w:rPr>
                <w:rFonts w:hint="default" w:ascii="Times New Roman Regular" w:hAnsi="Times New Roman Regular" w:cs="Times New Roman Regular"/>
                <w:color w:val="000000"/>
                <w:kern w:val="0"/>
                <w:highlight w:val="none"/>
                <w:lang w:eastAsia="zh-CN"/>
              </w:rPr>
              <w:t>（</w:t>
            </w:r>
            <w:r>
              <w:rPr>
                <w:rFonts w:hint="default" w:ascii="Times New Roman Regular" w:hAnsi="Times New Roman Regular" w:cs="Times New Roman Regular"/>
                <w:color w:val="000000"/>
                <w:kern w:val="0"/>
                <w:highlight w:val="none"/>
                <w:lang w:val="en-US" w:eastAsia="zh-CN"/>
              </w:rPr>
              <w:t>4）</w:t>
            </w:r>
            <w:r>
              <w:rPr>
                <w:rFonts w:hint="default" w:ascii="Times New Roman Regular" w:hAnsi="Times New Roman Regular" w:cs="Times New Roman Regular"/>
                <w:color w:val="000000"/>
                <w:kern w:val="0"/>
                <w:highlight w:val="none"/>
              </w:rPr>
              <w:t>深化国际多双边工商合作</w:t>
            </w:r>
            <w:r>
              <w:rPr>
                <w:rFonts w:hint="default" w:ascii="Times New Roman Regular" w:hAnsi="Times New Roman Regular" w:cs="Times New Roman Regular"/>
                <w:color w:val="000000"/>
                <w:kern w:val="0"/>
                <w:highlight w:val="none"/>
                <w:lang w:eastAsia="zh-CN"/>
              </w:rPr>
              <w:t>。</w:t>
            </w:r>
          </w:p>
          <w:p>
            <w:pPr>
              <w:keepNext w:val="0"/>
              <w:keepLines w:val="0"/>
              <w:widowControl/>
              <w:suppressLineNumbers w:val="0"/>
              <w:spacing w:before="0" w:beforeAutospacing="0" w:after="0" w:afterAutospacing="0"/>
              <w:ind w:left="0" w:right="0"/>
              <w:jc w:val="left"/>
              <w:rPr>
                <w:rFonts w:hint="default" w:ascii="Times New Roman Regular" w:hAnsi="Times New Roman Regular" w:eastAsia="宋体" w:cs="Times New Roman Regular"/>
                <w:color w:val="000000"/>
                <w:kern w:val="0"/>
                <w:highlight w:val="none"/>
                <w:lang w:eastAsia="zh-CN"/>
              </w:rPr>
            </w:pPr>
            <w:r>
              <w:rPr>
                <w:rFonts w:hint="default" w:ascii="Times New Roman Regular" w:hAnsi="Times New Roman Regular" w:cs="Times New Roman Regular"/>
                <w:color w:val="000000"/>
                <w:kern w:val="0"/>
                <w:highlight w:val="none"/>
                <w:lang w:eastAsia="zh-CN"/>
              </w:rPr>
              <w:t>（</w:t>
            </w:r>
            <w:r>
              <w:rPr>
                <w:rFonts w:hint="default" w:ascii="Times New Roman Regular" w:hAnsi="Times New Roman Regular" w:cs="Times New Roman Regular"/>
                <w:color w:val="000000"/>
                <w:kern w:val="0"/>
                <w:highlight w:val="none"/>
                <w:lang w:val="en-US" w:eastAsia="zh-CN"/>
              </w:rPr>
              <w:t>5）</w:t>
            </w:r>
            <w:r>
              <w:rPr>
                <w:rFonts w:hint="default" w:ascii="Times New Roman Regular" w:hAnsi="Times New Roman Regular" w:cs="Times New Roman Regular"/>
                <w:color w:val="000000"/>
                <w:kern w:val="0"/>
                <w:highlight w:val="none"/>
              </w:rPr>
              <w:t>加快国际经贸应用型智库建设</w:t>
            </w:r>
            <w:r>
              <w:rPr>
                <w:rFonts w:hint="default" w:ascii="Times New Roman Regular" w:hAnsi="Times New Roman Regular" w:cs="Times New Roman Regular"/>
                <w:color w:val="000000"/>
                <w:kern w:val="0"/>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jc w:val="center"/>
        </w:trPr>
        <w:tc>
          <w:tcPr>
            <w:tcW w:w="868" w:type="dxa"/>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Regular" w:hAnsi="Times New Roman Regular" w:cs="Times New Roman Regular"/>
                <w:color w:val="000000"/>
                <w:kern w:val="0"/>
                <w:highlight w:val="none"/>
              </w:rPr>
            </w:pPr>
            <w:r>
              <w:rPr>
                <w:rFonts w:hint="eastAsia" w:ascii="Times New Roman Regular" w:hAnsi="Times New Roman Regular" w:cs="Times New Roman Regular"/>
                <w:color w:val="000000"/>
                <w:kern w:val="0"/>
                <w:highlight w:val="none"/>
                <w:lang w:val="en-US" w:eastAsia="zh-CN"/>
              </w:rPr>
              <w:t>4</w:t>
            </w:r>
          </w:p>
        </w:tc>
        <w:tc>
          <w:tcPr>
            <w:tcW w:w="2899" w:type="dxa"/>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Regular" w:hAnsi="Times New Roman Regular" w:eastAsia="宋体" w:cs="Times New Roman Regular"/>
                <w:color w:val="000000"/>
                <w:kern w:val="0"/>
                <w:highlight w:val="none"/>
                <w:lang w:eastAsia="zh-CN"/>
              </w:rPr>
            </w:pPr>
            <w:r>
              <w:rPr>
                <w:rFonts w:hint="default" w:ascii="Times New Roman Regular" w:hAnsi="Times New Roman Regular" w:cs="Times New Roman Regular"/>
                <w:color w:val="000000"/>
                <w:kern w:val="0"/>
                <w:highlight w:val="none"/>
              </w:rPr>
              <w:t>集聚四方资源力量，共谱首都贸促事业发展协奏曲</w:t>
            </w:r>
            <w:r>
              <w:rPr>
                <w:rFonts w:hint="default" w:ascii="Times New Roman Regular" w:hAnsi="Times New Roman Regular" w:cs="Times New Roman Regular"/>
                <w:color w:val="000000"/>
                <w:kern w:val="0"/>
                <w:highlight w:val="none"/>
                <w:lang w:eastAsia="zh-CN"/>
              </w:rPr>
              <w:t>。</w:t>
            </w:r>
          </w:p>
        </w:tc>
        <w:tc>
          <w:tcPr>
            <w:tcW w:w="4965" w:type="dxa"/>
            <w:shd w:val="clear" w:color="auto" w:fill="auto"/>
            <w:vAlign w:val="center"/>
          </w:tcPr>
          <w:p>
            <w:pPr>
              <w:keepNext w:val="0"/>
              <w:keepLines w:val="0"/>
              <w:widowControl/>
              <w:suppressLineNumbers w:val="0"/>
              <w:spacing w:before="0" w:beforeAutospacing="0" w:after="0" w:afterAutospacing="0"/>
              <w:ind w:left="0" w:right="0"/>
              <w:jc w:val="left"/>
              <w:rPr>
                <w:rFonts w:hint="default" w:ascii="Times New Roman Regular" w:hAnsi="Times New Roman Regular" w:eastAsia="宋体" w:cs="Times New Roman Regular"/>
                <w:color w:val="000000"/>
                <w:kern w:val="0"/>
                <w:highlight w:val="none"/>
                <w:lang w:eastAsia="zh-CN"/>
              </w:rPr>
            </w:pPr>
            <w:r>
              <w:rPr>
                <w:rFonts w:hint="default" w:ascii="Times New Roman Regular" w:hAnsi="Times New Roman Regular" w:cs="Times New Roman Regular"/>
                <w:color w:val="000000"/>
                <w:kern w:val="0"/>
                <w:highlight w:val="none"/>
              </w:rPr>
              <w:t>（1）加强贸促系统务实合作</w:t>
            </w:r>
            <w:r>
              <w:rPr>
                <w:rFonts w:hint="default" w:ascii="Times New Roman Regular" w:hAnsi="Times New Roman Regular" w:cs="Times New Roman Regular"/>
                <w:color w:val="000000"/>
                <w:kern w:val="0"/>
                <w:highlight w:val="none"/>
                <w:lang w:eastAsia="zh-CN"/>
              </w:rPr>
              <w:t>。</w:t>
            </w:r>
          </w:p>
          <w:p>
            <w:pPr>
              <w:keepNext w:val="0"/>
              <w:keepLines w:val="0"/>
              <w:widowControl/>
              <w:suppressLineNumbers w:val="0"/>
              <w:spacing w:before="0" w:beforeAutospacing="0" w:after="0" w:afterAutospacing="0"/>
              <w:ind w:left="0" w:right="0"/>
              <w:jc w:val="left"/>
              <w:rPr>
                <w:rFonts w:hint="default" w:ascii="Times New Roman Regular" w:hAnsi="Times New Roman Regular" w:eastAsia="宋体" w:cs="Times New Roman Regular"/>
                <w:color w:val="000000"/>
                <w:kern w:val="0"/>
                <w:highlight w:val="none"/>
                <w:lang w:eastAsia="zh-CN"/>
              </w:rPr>
            </w:pPr>
            <w:r>
              <w:rPr>
                <w:rFonts w:hint="default" w:ascii="Times New Roman Regular" w:hAnsi="Times New Roman Regular" w:cs="Times New Roman Regular"/>
                <w:color w:val="000000"/>
                <w:kern w:val="0"/>
                <w:highlight w:val="none"/>
                <w:lang w:eastAsia="zh-CN"/>
              </w:rPr>
              <w:t>（</w:t>
            </w:r>
            <w:r>
              <w:rPr>
                <w:rFonts w:hint="default" w:ascii="Times New Roman Regular" w:hAnsi="Times New Roman Regular" w:cs="Times New Roman Regular"/>
                <w:color w:val="000000"/>
                <w:kern w:val="0"/>
                <w:highlight w:val="none"/>
                <w:lang w:val="en-US" w:eastAsia="zh-CN"/>
              </w:rPr>
              <w:t>2）</w:t>
            </w:r>
            <w:r>
              <w:rPr>
                <w:rFonts w:hint="default" w:ascii="Times New Roman Regular" w:hAnsi="Times New Roman Regular" w:cs="Times New Roman Regular"/>
                <w:color w:val="000000"/>
                <w:kern w:val="0"/>
                <w:highlight w:val="none"/>
              </w:rPr>
              <w:t>加强全市贸促力量协同发力</w:t>
            </w:r>
            <w:r>
              <w:rPr>
                <w:rFonts w:hint="default" w:ascii="Times New Roman Regular" w:hAnsi="Times New Roman Regular" w:cs="Times New Roman Regular"/>
                <w:color w:val="000000"/>
                <w:kern w:val="0"/>
                <w:highlight w:val="none"/>
                <w:lang w:eastAsia="zh-CN"/>
              </w:rPr>
              <w:t>。</w:t>
            </w:r>
          </w:p>
          <w:p>
            <w:pPr>
              <w:keepNext w:val="0"/>
              <w:keepLines w:val="0"/>
              <w:widowControl/>
              <w:suppressLineNumbers w:val="0"/>
              <w:spacing w:before="0" w:beforeAutospacing="0" w:after="0" w:afterAutospacing="0"/>
              <w:ind w:left="0" w:right="0"/>
              <w:jc w:val="left"/>
              <w:rPr>
                <w:rFonts w:hint="default" w:ascii="Times New Roman Regular" w:hAnsi="Times New Roman Regular" w:eastAsia="宋体" w:cs="Times New Roman Regular"/>
                <w:color w:val="000000"/>
                <w:kern w:val="0"/>
                <w:highlight w:val="none"/>
                <w:lang w:eastAsia="zh-CN"/>
              </w:rPr>
            </w:pPr>
            <w:r>
              <w:rPr>
                <w:rFonts w:hint="default" w:ascii="Times New Roman Regular" w:hAnsi="Times New Roman Regular" w:cs="Times New Roman Regular"/>
                <w:color w:val="000000"/>
                <w:kern w:val="0"/>
                <w:highlight w:val="none"/>
                <w:lang w:eastAsia="zh-CN"/>
              </w:rPr>
              <w:t>（</w:t>
            </w:r>
            <w:r>
              <w:rPr>
                <w:rFonts w:hint="default" w:ascii="Times New Roman Regular" w:hAnsi="Times New Roman Regular" w:cs="Times New Roman Regular"/>
                <w:color w:val="000000"/>
                <w:kern w:val="0"/>
                <w:highlight w:val="none"/>
                <w:lang w:val="en-US" w:eastAsia="zh-CN"/>
              </w:rPr>
              <w:t>3）</w:t>
            </w:r>
            <w:r>
              <w:rPr>
                <w:rFonts w:hint="default" w:ascii="Times New Roman Regular" w:hAnsi="Times New Roman Regular" w:cs="Times New Roman Regular"/>
                <w:color w:val="000000"/>
                <w:kern w:val="0"/>
                <w:highlight w:val="none"/>
              </w:rPr>
              <w:t>加强区级贸促机构建设</w:t>
            </w:r>
            <w:r>
              <w:rPr>
                <w:rFonts w:hint="default" w:ascii="Times New Roman Regular" w:hAnsi="Times New Roman Regular" w:cs="Times New Roman Regular"/>
                <w:color w:val="000000"/>
                <w:kern w:val="0"/>
                <w:highlight w:val="none"/>
                <w:lang w:eastAsia="zh-CN"/>
              </w:rPr>
              <w:t>。</w:t>
            </w:r>
          </w:p>
          <w:p>
            <w:pPr>
              <w:keepNext w:val="0"/>
              <w:keepLines w:val="0"/>
              <w:widowControl/>
              <w:suppressLineNumbers w:val="0"/>
              <w:spacing w:before="0" w:beforeAutospacing="0" w:after="0" w:afterAutospacing="0"/>
              <w:ind w:left="0" w:right="0"/>
              <w:jc w:val="left"/>
              <w:rPr>
                <w:rFonts w:hint="default" w:ascii="Times New Roman Regular" w:hAnsi="Times New Roman Regular" w:cs="Times New Roman Regular"/>
                <w:color w:val="000000"/>
                <w:kern w:val="0"/>
                <w:highlight w:val="none"/>
              </w:rPr>
            </w:pPr>
            <w:r>
              <w:rPr>
                <w:rFonts w:hint="default" w:ascii="Times New Roman Regular" w:hAnsi="Times New Roman Regular" w:cs="Times New Roman Regular"/>
                <w:color w:val="000000"/>
                <w:kern w:val="0"/>
                <w:highlight w:val="none"/>
                <w:lang w:eastAsia="zh-CN"/>
              </w:rPr>
              <w:t>（</w:t>
            </w:r>
            <w:r>
              <w:rPr>
                <w:rFonts w:hint="default" w:ascii="Times New Roman Regular" w:hAnsi="Times New Roman Regular" w:cs="Times New Roman Regular"/>
                <w:color w:val="000000"/>
                <w:kern w:val="0"/>
                <w:highlight w:val="none"/>
                <w:lang w:val="en-US" w:eastAsia="zh-CN"/>
              </w:rPr>
              <w:t>4）</w:t>
            </w:r>
            <w:r>
              <w:rPr>
                <w:rFonts w:hint="default" w:ascii="Times New Roman Regular" w:hAnsi="Times New Roman Regular" w:cs="Times New Roman Regular"/>
                <w:color w:val="000000"/>
                <w:kern w:val="0"/>
                <w:highlight w:val="none"/>
              </w:rPr>
              <w:t>加强社会力量动员参与力度。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868" w:type="dxa"/>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Regular" w:hAnsi="Times New Roman Regular" w:cs="Times New Roman Regular"/>
                <w:color w:val="000000"/>
                <w:kern w:val="0"/>
                <w:highlight w:val="none"/>
              </w:rPr>
            </w:pPr>
            <w:r>
              <w:rPr>
                <w:rFonts w:hint="eastAsia" w:ascii="Times New Roman Regular" w:hAnsi="Times New Roman Regular" w:cs="Times New Roman Regular"/>
                <w:color w:val="000000"/>
                <w:kern w:val="0"/>
                <w:highlight w:val="none"/>
                <w:lang w:val="en-US" w:eastAsia="zh-CN"/>
              </w:rPr>
              <w:t>5</w:t>
            </w:r>
          </w:p>
        </w:tc>
        <w:tc>
          <w:tcPr>
            <w:tcW w:w="2899" w:type="dxa"/>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Regular" w:hAnsi="Times New Roman Regular" w:eastAsia="宋体" w:cs="Times New Roman Regular"/>
                <w:color w:val="000000"/>
                <w:kern w:val="0"/>
                <w:highlight w:val="none"/>
                <w:lang w:eastAsia="zh-CN"/>
              </w:rPr>
            </w:pPr>
            <w:r>
              <w:rPr>
                <w:rFonts w:hint="default" w:ascii="Times New Roman Regular" w:hAnsi="Times New Roman Regular" w:cs="Times New Roman Regular"/>
                <w:color w:val="000000"/>
                <w:kern w:val="0"/>
                <w:highlight w:val="none"/>
              </w:rPr>
              <w:t>打造六维赋能矩阵，推进贸促工作治理体系和治理能力现代化</w:t>
            </w:r>
            <w:r>
              <w:rPr>
                <w:rFonts w:hint="default" w:ascii="Times New Roman Regular" w:hAnsi="Times New Roman Regular" w:cs="Times New Roman Regular"/>
                <w:color w:val="000000"/>
                <w:kern w:val="0"/>
                <w:highlight w:val="none"/>
                <w:lang w:eastAsia="zh-CN"/>
              </w:rPr>
              <w:t>。</w:t>
            </w:r>
          </w:p>
        </w:tc>
        <w:tc>
          <w:tcPr>
            <w:tcW w:w="4965" w:type="dxa"/>
            <w:shd w:val="clear" w:color="auto" w:fill="auto"/>
            <w:vAlign w:val="center"/>
          </w:tcPr>
          <w:p>
            <w:pPr>
              <w:keepNext w:val="0"/>
              <w:keepLines w:val="0"/>
              <w:widowControl/>
              <w:suppressLineNumbers w:val="0"/>
              <w:spacing w:before="0" w:beforeAutospacing="0" w:after="0" w:afterAutospacing="0"/>
              <w:ind w:left="0" w:right="0"/>
              <w:jc w:val="left"/>
              <w:rPr>
                <w:rFonts w:hint="default" w:ascii="Times New Roman Regular" w:hAnsi="Times New Roman Regular" w:eastAsia="宋体" w:cs="Times New Roman Regular"/>
                <w:color w:val="000000"/>
                <w:kern w:val="0"/>
                <w:highlight w:val="none"/>
                <w:lang w:eastAsia="zh-CN"/>
              </w:rPr>
            </w:pPr>
            <w:r>
              <w:rPr>
                <w:rFonts w:hint="default" w:ascii="Times New Roman Regular" w:hAnsi="Times New Roman Regular" w:cs="Times New Roman Regular"/>
                <w:color w:val="000000"/>
                <w:kern w:val="0"/>
                <w:highlight w:val="none"/>
              </w:rPr>
              <w:t>（1）接续深化贸促改革</w:t>
            </w:r>
            <w:r>
              <w:rPr>
                <w:rFonts w:hint="default" w:ascii="Times New Roman Regular" w:hAnsi="Times New Roman Regular" w:cs="Times New Roman Regular"/>
                <w:color w:val="000000"/>
                <w:kern w:val="0"/>
                <w:highlight w:val="none"/>
                <w:lang w:eastAsia="zh-CN"/>
              </w:rPr>
              <w:t>。</w:t>
            </w:r>
          </w:p>
          <w:p>
            <w:pPr>
              <w:keepNext w:val="0"/>
              <w:keepLines w:val="0"/>
              <w:widowControl/>
              <w:suppressLineNumbers w:val="0"/>
              <w:spacing w:before="0" w:beforeAutospacing="0" w:after="0" w:afterAutospacing="0"/>
              <w:ind w:left="0" w:right="0"/>
              <w:jc w:val="left"/>
              <w:rPr>
                <w:rFonts w:hint="default" w:ascii="Times New Roman Regular" w:hAnsi="Times New Roman Regular" w:eastAsia="宋体" w:cs="Times New Roman Regular"/>
                <w:color w:val="000000"/>
                <w:kern w:val="0"/>
                <w:highlight w:val="none"/>
                <w:lang w:eastAsia="zh-CN"/>
              </w:rPr>
            </w:pPr>
            <w:r>
              <w:rPr>
                <w:rFonts w:hint="default" w:ascii="Times New Roman Regular" w:hAnsi="Times New Roman Regular" w:cs="Times New Roman Regular"/>
                <w:color w:val="000000"/>
                <w:kern w:val="0"/>
                <w:highlight w:val="none"/>
                <w:lang w:eastAsia="zh-CN"/>
              </w:rPr>
              <w:t>（</w:t>
            </w:r>
            <w:r>
              <w:rPr>
                <w:rFonts w:hint="default" w:ascii="Times New Roman Regular" w:hAnsi="Times New Roman Regular" w:cs="Times New Roman Regular"/>
                <w:color w:val="000000"/>
                <w:kern w:val="0"/>
                <w:highlight w:val="none"/>
                <w:lang w:val="en-US" w:eastAsia="zh-CN"/>
              </w:rPr>
              <w:t>2）</w:t>
            </w:r>
            <w:r>
              <w:rPr>
                <w:rFonts w:hint="default" w:ascii="Times New Roman Regular" w:hAnsi="Times New Roman Regular" w:cs="Times New Roman Regular"/>
                <w:color w:val="000000"/>
                <w:kern w:val="0"/>
                <w:highlight w:val="none"/>
              </w:rPr>
              <w:t>调查研究之风</w:t>
            </w:r>
            <w:r>
              <w:rPr>
                <w:rFonts w:hint="default" w:ascii="Times New Roman Regular" w:hAnsi="Times New Roman Regular" w:cs="Times New Roman Regular"/>
                <w:color w:val="000000"/>
                <w:kern w:val="0"/>
                <w:highlight w:val="none"/>
                <w:lang w:eastAsia="zh-CN"/>
              </w:rPr>
              <w:t>。</w:t>
            </w:r>
          </w:p>
          <w:p>
            <w:pPr>
              <w:keepNext w:val="0"/>
              <w:keepLines w:val="0"/>
              <w:widowControl/>
              <w:suppressLineNumbers w:val="0"/>
              <w:spacing w:before="0" w:beforeAutospacing="0" w:after="0" w:afterAutospacing="0"/>
              <w:ind w:left="0" w:right="0"/>
              <w:jc w:val="left"/>
              <w:rPr>
                <w:rFonts w:hint="default" w:ascii="Times New Roman Regular" w:hAnsi="Times New Roman Regular" w:eastAsia="宋体" w:cs="Times New Roman Regular"/>
                <w:color w:val="000000"/>
                <w:kern w:val="0"/>
                <w:highlight w:val="none"/>
                <w:lang w:eastAsia="zh-CN"/>
              </w:rPr>
            </w:pPr>
            <w:r>
              <w:rPr>
                <w:rFonts w:hint="default" w:ascii="Times New Roman Regular" w:hAnsi="Times New Roman Regular" w:cs="Times New Roman Regular"/>
                <w:color w:val="000000"/>
                <w:kern w:val="0"/>
                <w:highlight w:val="none"/>
                <w:lang w:eastAsia="zh-CN"/>
              </w:rPr>
              <w:t>（</w:t>
            </w:r>
            <w:r>
              <w:rPr>
                <w:rFonts w:hint="default" w:ascii="Times New Roman Regular" w:hAnsi="Times New Roman Regular" w:cs="Times New Roman Regular"/>
                <w:color w:val="000000"/>
                <w:kern w:val="0"/>
                <w:highlight w:val="none"/>
                <w:lang w:val="en-US" w:eastAsia="zh-CN"/>
              </w:rPr>
              <w:t>3）</w:t>
            </w:r>
            <w:r>
              <w:rPr>
                <w:rFonts w:hint="default" w:ascii="Times New Roman Regular" w:hAnsi="Times New Roman Regular" w:cs="Times New Roman Regular"/>
                <w:color w:val="000000"/>
                <w:kern w:val="0"/>
                <w:highlight w:val="none"/>
              </w:rPr>
              <w:t>大力推进“人才强会”</w:t>
            </w:r>
            <w:r>
              <w:rPr>
                <w:rFonts w:hint="default" w:ascii="Times New Roman Regular" w:hAnsi="Times New Roman Regular" w:cs="Times New Roman Regular"/>
                <w:color w:val="000000"/>
                <w:kern w:val="0"/>
                <w:highlight w:val="none"/>
                <w:lang w:eastAsia="zh-CN"/>
              </w:rPr>
              <w:t>。</w:t>
            </w:r>
          </w:p>
          <w:p>
            <w:pPr>
              <w:keepNext w:val="0"/>
              <w:keepLines w:val="0"/>
              <w:widowControl/>
              <w:suppressLineNumbers w:val="0"/>
              <w:spacing w:before="0" w:beforeAutospacing="0" w:after="0" w:afterAutospacing="0"/>
              <w:ind w:left="0" w:right="0"/>
              <w:jc w:val="left"/>
              <w:rPr>
                <w:rFonts w:hint="default" w:ascii="Times New Roman Regular" w:hAnsi="Times New Roman Regular" w:eastAsia="宋体" w:cs="Times New Roman Regular"/>
                <w:color w:val="000000"/>
                <w:kern w:val="0"/>
                <w:highlight w:val="none"/>
                <w:lang w:eastAsia="zh-CN"/>
              </w:rPr>
            </w:pPr>
            <w:r>
              <w:rPr>
                <w:rFonts w:hint="default" w:ascii="Times New Roman Regular" w:hAnsi="Times New Roman Regular" w:cs="Times New Roman Regular"/>
                <w:color w:val="000000"/>
                <w:kern w:val="0"/>
                <w:highlight w:val="none"/>
                <w:lang w:eastAsia="zh-CN"/>
              </w:rPr>
              <w:t>（</w:t>
            </w:r>
            <w:r>
              <w:rPr>
                <w:rFonts w:hint="default" w:ascii="Times New Roman Regular" w:hAnsi="Times New Roman Regular" w:cs="Times New Roman Regular"/>
                <w:color w:val="000000"/>
                <w:kern w:val="0"/>
                <w:highlight w:val="none"/>
                <w:lang w:val="en-US" w:eastAsia="zh-CN"/>
              </w:rPr>
              <w:t>4）</w:t>
            </w:r>
            <w:r>
              <w:rPr>
                <w:rFonts w:hint="default" w:ascii="Times New Roman Regular" w:hAnsi="Times New Roman Regular" w:cs="Times New Roman Regular"/>
                <w:color w:val="000000"/>
                <w:kern w:val="0"/>
                <w:highlight w:val="none"/>
              </w:rPr>
              <w:t>加快数字化发展步伐</w:t>
            </w:r>
            <w:r>
              <w:rPr>
                <w:rFonts w:hint="default" w:ascii="Times New Roman Regular" w:hAnsi="Times New Roman Regular" w:cs="Times New Roman Regular"/>
                <w:color w:val="000000"/>
                <w:kern w:val="0"/>
                <w:highlight w:val="none"/>
                <w:lang w:eastAsia="zh-CN"/>
              </w:rPr>
              <w:t>。</w:t>
            </w:r>
          </w:p>
          <w:p>
            <w:pPr>
              <w:keepNext w:val="0"/>
              <w:keepLines w:val="0"/>
              <w:widowControl/>
              <w:suppressLineNumbers w:val="0"/>
              <w:spacing w:before="0" w:beforeAutospacing="0" w:after="0" w:afterAutospacing="0"/>
              <w:ind w:left="0" w:right="0"/>
              <w:jc w:val="left"/>
              <w:rPr>
                <w:rFonts w:hint="default" w:ascii="Times New Roman Regular" w:hAnsi="Times New Roman Regular" w:eastAsia="宋体" w:cs="Times New Roman Regular"/>
                <w:color w:val="000000"/>
                <w:kern w:val="0"/>
                <w:highlight w:val="none"/>
                <w:lang w:eastAsia="zh-CN"/>
              </w:rPr>
            </w:pPr>
            <w:r>
              <w:rPr>
                <w:rFonts w:hint="default" w:ascii="Times New Roman Regular" w:hAnsi="Times New Roman Regular" w:cs="Times New Roman Regular"/>
                <w:color w:val="000000"/>
                <w:kern w:val="0"/>
                <w:highlight w:val="none"/>
                <w:lang w:eastAsia="zh-CN"/>
              </w:rPr>
              <w:t>（</w:t>
            </w:r>
            <w:r>
              <w:rPr>
                <w:rFonts w:hint="default" w:ascii="Times New Roman Regular" w:hAnsi="Times New Roman Regular" w:cs="Times New Roman Regular"/>
                <w:color w:val="000000"/>
                <w:kern w:val="0"/>
                <w:highlight w:val="none"/>
                <w:lang w:val="en-US" w:eastAsia="zh-CN"/>
              </w:rPr>
              <w:t>5）</w:t>
            </w:r>
            <w:r>
              <w:rPr>
                <w:rFonts w:hint="default" w:ascii="Times New Roman Regular" w:hAnsi="Times New Roman Regular" w:cs="Times New Roman Regular"/>
                <w:color w:val="000000"/>
                <w:kern w:val="0"/>
                <w:highlight w:val="none"/>
              </w:rPr>
              <w:t>增强贸促声音传播力</w:t>
            </w:r>
            <w:r>
              <w:rPr>
                <w:rFonts w:hint="default" w:ascii="Times New Roman Regular" w:hAnsi="Times New Roman Regular" w:cs="Times New Roman Regular"/>
                <w:color w:val="000000"/>
                <w:kern w:val="0"/>
                <w:highlight w:val="none"/>
                <w:lang w:eastAsia="zh-CN"/>
              </w:rPr>
              <w:t>。</w:t>
            </w:r>
          </w:p>
          <w:p>
            <w:pPr>
              <w:keepNext w:val="0"/>
              <w:keepLines w:val="0"/>
              <w:widowControl/>
              <w:suppressLineNumbers w:val="0"/>
              <w:spacing w:before="0" w:beforeAutospacing="0" w:after="0" w:afterAutospacing="0"/>
              <w:ind w:left="0" w:right="0"/>
              <w:jc w:val="left"/>
              <w:rPr>
                <w:rFonts w:hint="default" w:ascii="Times New Roman Regular" w:hAnsi="Times New Roman Regular" w:eastAsia="宋体" w:cs="Times New Roman Regular"/>
                <w:color w:val="000000"/>
                <w:kern w:val="0"/>
                <w:highlight w:val="none"/>
                <w:lang w:eastAsia="zh-CN"/>
              </w:rPr>
            </w:pPr>
            <w:r>
              <w:rPr>
                <w:rFonts w:hint="default" w:ascii="Times New Roman Regular" w:hAnsi="Times New Roman Regular" w:cs="Times New Roman Regular"/>
                <w:color w:val="000000"/>
                <w:kern w:val="0"/>
                <w:highlight w:val="none"/>
                <w:lang w:eastAsia="zh-CN"/>
              </w:rPr>
              <w:t>（</w:t>
            </w:r>
            <w:r>
              <w:rPr>
                <w:rFonts w:hint="default" w:ascii="Times New Roman Regular" w:hAnsi="Times New Roman Regular" w:cs="Times New Roman Regular"/>
                <w:color w:val="000000"/>
                <w:kern w:val="0"/>
                <w:highlight w:val="none"/>
                <w:lang w:val="en-US" w:eastAsia="zh-CN"/>
              </w:rPr>
              <w:t>6）</w:t>
            </w:r>
            <w:r>
              <w:rPr>
                <w:rFonts w:hint="default" w:ascii="Times New Roman Regular" w:hAnsi="Times New Roman Regular" w:cs="Times New Roman Regular"/>
                <w:color w:val="000000"/>
                <w:kern w:val="0"/>
                <w:highlight w:val="none"/>
              </w:rPr>
              <w:t>强化内部运行管理</w:t>
            </w:r>
            <w:r>
              <w:rPr>
                <w:rFonts w:hint="default" w:ascii="Times New Roman Regular" w:hAnsi="Times New Roman Regular" w:cs="Times New Roman Regular"/>
                <w:color w:val="000000"/>
                <w:kern w:val="0"/>
                <w:highlight w:val="none"/>
                <w:lang w:eastAsia="zh-CN"/>
              </w:rPr>
              <w:t>。</w:t>
            </w:r>
          </w:p>
        </w:tc>
      </w:tr>
    </w:tbl>
    <w:p>
      <w:pPr>
        <w:adjustRightInd w:val="0"/>
        <w:snapToGrid w:val="0"/>
        <w:spacing w:line="560" w:lineRule="exact"/>
        <w:ind w:firstLine="640" w:firstLineChars="200"/>
        <w:outlineLvl w:val="1"/>
        <w:rPr>
          <w:rFonts w:ascii="Times New Roman Regular" w:hAnsi="Times New Roman Regular" w:eastAsia="楷体" w:cs="Times New Roman Regular"/>
          <w:sz w:val="32"/>
          <w:szCs w:val="32"/>
        </w:rPr>
      </w:pPr>
      <w:bookmarkStart w:id="13" w:name="_Toc135202288"/>
      <w:bookmarkStart w:id="14" w:name="_Toc1257881927"/>
      <w:bookmarkStart w:id="15" w:name="_Toc1183940177"/>
      <w:bookmarkStart w:id="16" w:name="_Toc1792192680"/>
      <w:r>
        <w:rPr>
          <w:rFonts w:ascii="Times New Roman Regular" w:hAnsi="Times New Roman Regular" w:eastAsia="楷体" w:cs="Times New Roman Regular"/>
          <w:sz w:val="32"/>
          <w:szCs w:val="32"/>
        </w:rPr>
        <w:t>（二）部门整体绩效目标设立情况</w:t>
      </w:r>
      <w:bookmarkEnd w:id="13"/>
      <w:bookmarkEnd w:id="14"/>
      <w:bookmarkEnd w:id="15"/>
      <w:bookmarkEnd w:id="16"/>
    </w:p>
    <w:p>
      <w:pPr>
        <w:adjustRightInd w:val="0"/>
        <w:snapToGrid w:val="0"/>
        <w:spacing w:line="560" w:lineRule="exact"/>
        <w:ind w:firstLine="640" w:firstLineChars="200"/>
        <w:rPr>
          <w:rFonts w:ascii="Times New Roman Regular" w:hAnsi="Times New Roman Regular" w:eastAsia="仿宋_GB2312" w:cs="Times New Roman Regular"/>
          <w:bCs/>
          <w:sz w:val="32"/>
          <w:szCs w:val="32"/>
        </w:rPr>
      </w:pPr>
      <w:bookmarkStart w:id="17" w:name="_Toc72438579"/>
      <w:bookmarkStart w:id="18" w:name="_Toc72439000"/>
      <w:r>
        <w:rPr>
          <w:rFonts w:ascii="Times New Roman Regular" w:hAnsi="Times New Roman Regular" w:eastAsia="仿宋_GB2312" w:cs="Times New Roman Regular"/>
          <w:bCs/>
          <w:sz w:val="32"/>
          <w:szCs w:val="32"/>
        </w:rPr>
        <w:t>1.绩效目标与职责</w:t>
      </w:r>
      <w:r>
        <w:rPr>
          <w:rFonts w:ascii="Times New Roman Regular" w:hAnsi="Times New Roman Regular" w:eastAsia="仿宋_GB2312" w:cs="Times New Roman Regular"/>
          <w:bCs/>
          <w:sz w:val="32"/>
          <w:szCs w:val="32"/>
          <w:highlight w:val="none"/>
        </w:rPr>
        <w:t>任务匹配性</w:t>
      </w:r>
      <w:bookmarkEnd w:id="17"/>
      <w:bookmarkEnd w:id="18"/>
    </w:p>
    <w:p>
      <w:pPr>
        <w:adjustRightInd w:val="0"/>
        <w:snapToGrid w:val="0"/>
        <w:spacing w:line="560" w:lineRule="exact"/>
        <w:ind w:firstLine="640" w:firstLineChars="200"/>
        <w:rPr>
          <w:rFonts w:ascii="Times New Roman Regular" w:hAnsi="Times New Roman Regular" w:eastAsia="仿宋_GB2312" w:cs="Times New Roman Regular"/>
          <w:sz w:val="32"/>
          <w:szCs w:val="32"/>
          <w:highlight w:val="none"/>
        </w:rPr>
      </w:pPr>
      <w:r>
        <w:rPr>
          <w:rFonts w:hint="default" w:ascii="Times New Roman Regular" w:hAnsi="Times New Roman Regular" w:eastAsia="仿宋_GB2312" w:cs="Times New Roman Regular"/>
          <w:sz w:val="32"/>
          <w:szCs w:val="32"/>
          <w:highlight w:val="none"/>
        </w:rPr>
        <w:t>北京市贸促会2023年部门整体绩效目标围绕部门职能及2023年工作计划设置，部门绩效目标为</w:t>
      </w:r>
      <w:r>
        <w:rPr>
          <w:rFonts w:hint="default" w:ascii="Times New Roman Regular" w:hAnsi="Times New Roman Regular" w:eastAsia="仿宋_GB2312" w:cs="Times New Roman Regular"/>
          <w:sz w:val="32"/>
          <w:szCs w:val="32"/>
          <w:highlight w:val="none"/>
          <w:lang w:eastAsia="zh-CN"/>
        </w:rPr>
        <w:t>：</w:t>
      </w:r>
      <w:r>
        <w:rPr>
          <w:rFonts w:hint="default" w:ascii="Times New Roman Regular" w:hAnsi="Times New Roman Regular" w:eastAsia="仿宋_GB2312" w:cs="Times New Roman Regular"/>
          <w:sz w:val="32"/>
          <w:szCs w:val="32"/>
          <w:highlight w:val="none"/>
        </w:rPr>
        <w:t>举办中关村论坛展览（科博会）；配合我市重大出访交流任务，以推介会和洽谈会为主要形式在外举办1-2场重要经贸活动；参与我市“一带一路”建设有关工作，搭建我会境外投资综合服务平台；推动“京津冀协同发展”国家战略在外经贸领域的务实合作</w:t>
      </w:r>
      <w:r>
        <w:rPr>
          <w:rFonts w:hint="default" w:ascii="Times New Roman Regular" w:hAnsi="Times New Roman Regular" w:eastAsia="仿宋_GB2312" w:cs="Times New Roman Regular"/>
          <w:sz w:val="32"/>
          <w:szCs w:val="32"/>
          <w:highlight w:val="none"/>
          <w:lang w:eastAsia="zh-CN"/>
        </w:rPr>
        <w:t>，</w:t>
      </w:r>
      <w:r>
        <w:rPr>
          <w:rFonts w:hint="default" w:ascii="Times New Roman Regular" w:hAnsi="Times New Roman Regular" w:eastAsia="仿宋_GB2312" w:cs="Times New Roman Regular"/>
          <w:sz w:val="32"/>
          <w:szCs w:val="32"/>
          <w:highlight w:val="none"/>
        </w:rPr>
        <w:t>加强共建三地国际经贸投资专业服务合作平台，完成日常经贸促进活动和对外经贸交流活动。</w:t>
      </w:r>
    </w:p>
    <w:p>
      <w:pPr>
        <w:adjustRightInd w:val="0"/>
        <w:snapToGrid w:val="0"/>
        <w:spacing w:line="560" w:lineRule="exact"/>
        <w:ind w:firstLine="640" w:firstLineChars="200"/>
        <w:rPr>
          <w:rFonts w:hint="default" w:ascii="Times New Roman Regular" w:hAnsi="Times New Roman Regular" w:eastAsia="仿宋_GB2312" w:cs="Times New Roman Regular"/>
          <w:sz w:val="32"/>
          <w:szCs w:val="32"/>
          <w:highlight w:val="none"/>
        </w:rPr>
      </w:pPr>
      <w:r>
        <w:rPr>
          <w:rFonts w:hint="eastAsia" w:ascii="Times New Roman Regular" w:hAnsi="Times New Roman Regular" w:eastAsia="仿宋_GB2312" w:cs="Times New Roman Regular"/>
          <w:sz w:val="32"/>
          <w:szCs w:val="32"/>
          <w:highlight w:val="none"/>
          <w:lang w:val="en-US" w:eastAsia="zh-CN"/>
        </w:rPr>
        <w:t>产出</w:t>
      </w:r>
      <w:r>
        <w:rPr>
          <w:rFonts w:hint="default" w:ascii="Times New Roman Regular" w:hAnsi="Times New Roman Regular" w:eastAsia="仿宋_GB2312" w:cs="Times New Roman Regular"/>
          <w:sz w:val="32"/>
          <w:szCs w:val="32"/>
          <w:highlight w:val="none"/>
        </w:rPr>
        <w:t>指标：</w:t>
      </w:r>
      <w:r>
        <w:rPr>
          <w:rFonts w:hint="default" w:ascii="Times New Roman Regular" w:hAnsi="Times New Roman Regular" w:eastAsia="仿宋_GB2312" w:cs="Times New Roman Regular"/>
          <w:sz w:val="32"/>
          <w:szCs w:val="32"/>
          <w:highlight w:val="none"/>
          <w:lang w:val="en-US" w:eastAsia="zh-CN"/>
        </w:rPr>
        <w:t>组织实施展会=1场；组织培训</w:t>
      </w:r>
      <w:r>
        <w:rPr>
          <w:rFonts w:hint="eastAsia" w:ascii="Times New Roman Regular" w:hAnsi="Times New Roman Regular" w:eastAsia="仿宋_GB2312" w:cs="Times New Roman Regular"/>
          <w:sz w:val="32"/>
          <w:szCs w:val="32"/>
          <w:highlight w:val="none"/>
          <w:lang w:val="en-US" w:eastAsia="zh-CN"/>
        </w:rPr>
        <w:t>≥</w:t>
      </w:r>
      <w:r>
        <w:rPr>
          <w:rFonts w:hint="default" w:ascii="Times New Roman Regular" w:hAnsi="Times New Roman Regular" w:eastAsia="仿宋_GB2312" w:cs="Times New Roman Regular"/>
          <w:sz w:val="32"/>
          <w:szCs w:val="32"/>
          <w:highlight w:val="none"/>
          <w:lang w:val="en-US" w:eastAsia="zh-CN"/>
        </w:rPr>
        <w:t>6次</w:t>
      </w:r>
      <w:r>
        <w:rPr>
          <w:rFonts w:hint="default" w:ascii="Times New Roman Regular" w:hAnsi="Times New Roman Regular" w:eastAsia="仿宋_GB2312" w:cs="Times New Roman Regular"/>
          <w:sz w:val="32"/>
          <w:szCs w:val="32"/>
          <w:highlight w:val="none"/>
        </w:rPr>
        <w:t>。</w:t>
      </w:r>
    </w:p>
    <w:p>
      <w:pPr>
        <w:adjustRightInd w:val="0"/>
        <w:snapToGrid w:val="0"/>
        <w:spacing w:line="560" w:lineRule="exact"/>
        <w:ind w:firstLine="640" w:firstLineChars="200"/>
        <w:rPr>
          <w:rFonts w:hint="default" w:ascii="Times New Roman Regular" w:hAnsi="Times New Roman Regular" w:eastAsia="仿宋_GB2312" w:cs="Times New Roman Regular"/>
          <w:sz w:val="32"/>
          <w:szCs w:val="32"/>
          <w:highlight w:val="none"/>
          <w:lang w:val="en-US" w:eastAsia="zh-CN"/>
        </w:rPr>
      </w:pPr>
      <w:r>
        <w:rPr>
          <w:rFonts w:hint="eastAsia" w:ascii="Times New Roman Regular" w:hAnsi="Times New Roman Regular" w:eastAsia="仿宋_GB2312" w:cs="Times New Roman Regular"/>
          <w:sz w:val="32"/>
          <w:szCs w:val="32"/>
          <w:highlight w:val="none"/>
          <w:lang w:val="en-US" w:eastAsia="zh-CN"/>
        </w:rPr>
        <w:t>效果指标：</w:t>
      </w:r>
      <w:r>
        <w:rPr>
          <w:rFonts w:hint="default" w:ascii="Times New Roman Regular" w:hAnsi="Times New Roman Regular" w:eastAsia="仿宋_GB2312" w:cs="Times New Roman Regular"/>
          <w:sz w:val="32"/>
          <w:szCs w:val="32"/>
          <w:highlight w:val="none"/>
          <w:lang w:val="en-US" w:eastAsia="zh-CN"/>
        </w:rPr>
        <w:t>活动场次</w:t>
      </w:r>
      <w:r>
        <w:rPr>
          <w:rFonts w:hint="eastAsia" w:ascii="Times New Roman Regular" w:hAnsi="Times New Roman Regular" w:eastAsia="仿宋_GB2312" w:cs="Times New Roman Regular"/>
          <w:sz w:val="32"/>
          <w:szCs w:val="32"/>
          <w:highlight w:val="none"/>
          <w:lang w:val="en-US" w:eastAsia="zh-CN"/>
        </w:rPr>
        <w:t>≥</w:t>
      </w:r>
      <w:r>
        <w:rPr>
          <w:rFonts w:hint="default" w:ascii="Times New Roman Regular" w:hAnsi="Times New Roman Regular" w:eastAsia="仿宋_GB2312" w:cs="Times New Roman Regular"/>
          <w:sz w:val="32"/>
          <w:szCs w:val="32"/>
          <w:highlight w:val="none"/>
          <w:lang w:val="en-US" w:eastAsia="zh-CN"/>
        </w:rPr>
        <w:t>5场</w:t>
      </w:r>
      <w:r>
        <w:rPr>
          <w:rFonts w:hint="eastAsia" w:ascii="Times New Roman Regular" w:hAnsi="Times New Roman Regular" w:eastAsia="仿宋_GB2312" w:cs="Times New Roman Regular"/>
          <w:sz w:val="32"/>
          <w:szCs w:val="32"/>
          <w:highlight w:val="none"/>
          <w:lang w:val="en-US" w:eastAsia="zh-CN"/>
        </w:rPr>
        <w:t>。</w:t>
      </w:r>
    </w:p>
    <w:p>
      <w:pPr>
        <w:adjustRightInd w:val="0"/>
        <w:snapToGrid w:val="0"/>
        <w:spacing w:line="560" w:lineRule="exact"/>
        <w:ind w:firstLine="640" w:firstLineChars="200"/>
        <w:rPr>
          <w:rFonts w:ascii="Times New Roman Regular" w:hAnsi="Times New Roman Regular" w:eastAsia="仿宋_GB2312" w:cs="Times New Roman Regular"/>
          <w:bCs/>
          <w:sz w:val="32"/>
          <w:szCs w:val="32"/>
          <w:highlight w:val="none"/>
        </w:rPr>
      </w:pPr>
      <w:bookmarkStart w:id="19" w:name="_Toc72439001"/>
      <w:bookmarkStart w:id="20" w:name="_Toc72438580"/>
      <w:r>
        <w:rPr>
          <w:rFonts w:ascii="Times New Roman Regular" w:hAnsi="Times New Roman Regular" w:eastAsia="仿宋_GB2312" w:cs="Times New Roman Regular"/>
          <w:bCs/>
          <w:sz w:val="32"/>
          <w:szCs w:val="32"/>
          <w:highlight w:val="none"/>
        </w:rPr>
        <w:t>2.绩效目标设置合理性</w:t>
      </w:r>
      <w:bookmarkEnd w:id="19"/>
      <w:bookmarkEnd w:id="20"/>
    </w:p>
    <w:p>
      <w:pPr>
        <w:adjustRightInd w:val="0"/>
        <w:snapToGrid w:val="0"/>
        <w:spacing w:line="560" w:lineRule="exact"/>
        <w:ind w:firstLine="640" w:firstLineChars="200"/>
        <w:rPr>
          <w:rFonts w:ascii="Times New Roman Regular" w:hAnsi="Times New Roman Regular" w:eastAsia="仿宋_GB2312" w:cs="Times New Roman Regular"/>
          <w:sz w:val="32"/>
          <w:szCs w:val="32"/>
          <w:highlight w:val="none"/>
        </w:rPr>
      </w:pPr>
      <w:r>
        <w:rPr>
          <w:rFonts w:ascii="Times New Roman Regular" w:hAnsi="Times New Roman Regular" w:eastAsia="仿宋_GB2312" w:cs="Times New Roman Regular"/>
          <w:sz w:val="32"/>
          <w:szCs w:val="32"/>
          <w:highlight w:val="none"/>
        </w:rPr>
        <w:t>北京市贸促会</w:t>
      </w:r>
      <w:r>
        <w:rPr>
          <w:rFonts w:ascii="Times New Roman Regular" w:hAnsi="Times New Roman Regular" w:eastAsia="仿宋_GB2312" w:cs="Times New Roman Regular"/>
          <w:bCs/>
          <w:sz w:val="32"/>
          <w:szCs w:val="32"/>
          <w:highlight w:val="none"/>
        </w:rPr>
        <w:t>部门整体绩效</w:t>
      </w:r>
      <w:r>
        <w:rPr>
          <w:rFonts w:ascii="Times New Roman Regular" w:hAnsi="Times New Roman Regular" w:eastAsia="仿宋_GB2312" w:cs="Times New Roman Regular"/>
          <w:sz w:val="32"/>
          <w:szCs w:val="32"/>
          <w:highlight w:val="none"/>
        </w:rPr>
        <w:t>目标</w:t>
      </w:r>
      <w:r>
        <w:rPr>
          <w:rFonts w:hint="default" w:ascii="Times New Roman Regular" w:hAnsi="Times New Roman Regular" w:eastAsia="仿宋_GB2312" w:cs="Times New Roman Regular"/>
          <w:sz w:val="32"/>
          <w:szCs w:val="32"/>
          <w:highlight w:val="none"/>
          <w:lang w:val="en-US" w:eastAsia="zh-CN"/>
        </w:rPr>
        <w:t>与2023年重点工作内容之间缺乏有效衔接，例如，未体现“</w:t>
      </w:r>
      <w:r>
        <w:rPr>
          <w:rFonts w:hint="default" w:ascii="Times New Roman Regular" w:hAnsi="Times New Roman Regular" w:eastAsia="仿宋_GB2312" w:cs="Times New Roman Regular"/>
          <w:color w:val="auto"/>
          <w:kern w:val="2"/>
          <w:sz w:val="32"/>
          <w:szCs w:val="32"/>
          <w:highlight w:val="none"/>
        </w:rPr>
        <w:t>助力首都高水平对外开放</w:t>
      </w:r>
      <w:r>
        <w:rPr>
          <w:rFonts w:hint="default" w:ascii="Times New Roman Regular" w:hAnsi="Times New Roman Regular" w:eastAsia="仿宋_GB2312" w:cs="Times New Roman Regular"/>
          <w:kern w:val="2"/>
          <w:sz w:val="32"/>
          <w:szCs w:val="32"/>
          <w:highlight w:val="none"/>
          <w:lang w:eastAsia="zh-CN"/>
        </w:rPr>
        <w:t>”</w:t>
      </w:r>
      <w:r>
        <w:rPr>
          <w:rFonts w:hint="default" w:ascii="Times New Roman Regular" w:hAnsi="Times New Roman Regular" w:eastAsia="仿宋_GB2312" w:cs="Times New Roman Regular"/>
          <w:kern w:val="2"/>
          <w:sz w:val="32"/>
          <w:szCs w:val="32"/>
          <w:highlight w:val="none"/>
          <w:lang w:val="en-US" w:eastAsia="zh-CN"/>
        </w:rPr>
        <w:t>等重点工作的产出和效益目标；部门整体绩效评价的核心绩效指标缺失，</w:t>
      </w:r>
      <w:r>
        <w:rPr>
          <w:rFonts w:ascii="Times New Roman Regular" w:hAnsi="Times New Roman Regular" w:eastAsia="仿宋_GB2312" w:cs="Times New Roman Regular"/>
          <w:sz w:val="32"/>
          <w:szCs w:val="32"/>
          <w:highlight w:val="none"/>
        </w:rPr>
        <w:t>与绩效目标</w:t>
      </w:r>
      <w:r>
        <w:rPr>
          <w:rFonts w:hint="default" w:ascii="Times New Roman Regular" w:hAnsi="Times New Roman Regular" w:eastAsia="仿宋_GB2312" w:cs="Times New Roman Regular"/>
          <w:sz w:val="32"/>
          <w:szCs w:val="32"/>
          <w:highlight w:val="none"/>
          <w:lang w:val="en-US" w:eastAsia="zh-CN"/>
        </w:rPr>
        <w:t>的</w:t>
      </w:r>
      <w:r>
        <w:rPr>
          <w:rFonts w:ascii="Times New Roman Regular" w:hAnsi="Times New Roman Regular" w:eastAsia="仿宋_GB2312" w:cs="Times New Roman Regular"/>
          <w:sz w:val="32"/>
          <w:szCs w:val="32"/>
          <w:highlight w:val="none"/>
        </w:rPr>
        <w:t>匹配</w:t>
      </w:r>
      <w:r>
        <w:rPr>
          <w:rFonts w:hint="default" w:ascii="Times New Roman Regular" w:hAnsi="Times New Roman Regular" w:eastAsia="仿宋_GB2312" w:cs="Times New Roman Regular"/>
          <w:sz w:val="32"/>
          <w:szCs w:val="32"/>
          <w:highlight w:val="none"/>
          <w:lang w:val="en-US" w:eastAsia="zh-CN"/>
        </w:rPr>
        <w:t>性不足</w:t>
      </w:r>
      <w:r>
        <w:rPr>
          <w:rFonts w:ascii="Times New Roman Regular" w:hAnsi="Times New Roman Regular" w:eastAsia="仿宋_GB2312" w:cs="Times New Roman Regular"/>
          <w:sz w:val="32"/>
          <w:szCs w:val="32"/>
          <w:highlight w:val="none"/>
        </w:rPr>
        <w:t>。</w:t>
      </w:r>
    </w:p>
    <w:p>
      <w:pPr>
        <w:adjustRightInd w:val="0"/>
        <w:snapToGrid w:val="0"/>
        <w:spacing w:line="560" w:lineRule="exact"/>
        <w:ind w:firstLine="640" w:firstLineChars="200"/>
        <w:outlineLvl w:val="0"/>
        <w:rPr>
          <w:rFonts w:ascii="Times New Roman Regular" w:hAnsi="Times New Roman Regular" w:eastAsia="黑体" w:cs="Times New Roman Regular"/>
          <w:sz w:val="32"/>
          <w:szCs w:val="32"/>
        </w:rPr>
      </w:pPr>
      <w:bookmarkStart w:id="21" w:name="_Toc2046565384"/>
      <w:bookmarkStart w:id="22" w:name="_Toc1392526021"/>
      <w:bookmarkStart w:id="23" w:name="_Toc135202289"/>
      <w:bookmarkStart w:id="24" w:name="_Toc776739938"/>
      <w:r>
        <w:rPr>
          <w:rFonts w:ascii="Times New Roman Regular" w:hAnsi="Times New Roman Regular" w:eastAsia="黑体" w:cs="Times New Roman Regular"/>
          <w:sz w:val="32"/>
          <w:szCs w:val="32"/>
        </w:rPr>
        <w:t>二、当年预算执行情况</w:t>
      </w:r>
      <w:bookmarkEnd w:id="21"/>
      <w:bookmarkEnd w:id="22"/>
      <w:bookmarkEnd w:id="23"/>
      <w:bookmarkEnd w:id="24"/>
    </w:p>
    <w:p>
      <w:pPr>
        <w:adjustRightInd w:val="0"/>
        <w:snapToGrid w:val="0"/>
        <w:spacing w:line="560" w:lineRule="exact"/>
        <w:ind w:firstLine="640" w:firstLineChars="200"/>
        <w:rPr>
          <w:rFonts w:hint="default" w:ascii="Times New Roman Regular" w:hAnsi="Times New Roman Regular" w:eastAsia="仿宋_GB2312" w:cs="Times New Roman Regular"/>
          <w:sz w:val="32"/>
          <w:szCs w:val="32"/>
        </w:rPr>
      </w:pPr>
      <w:r>
        <w:rPr>
          <w:rFonts w:ascii="Times New Roman Regular" w:hAnsi="Times New Roman Regular" w:eastAsia="仿宋_GB2312" w:cs="Times New Roman Regular"/>
          <w:sz w:val="32"/>
          <w:szCs w:val="32"/>
        </w:rPr>
        <w:t>北京市贸促会202</w:t>
      </w:r>
      <w:r>
        <w:rPr>
          <w:rFonts w:hint="default" w:ascii="Times New Roman Regular" w:hAnsi="Times New Roman Regular" w:eastAsia="仿宋_GB2312" w:cs="Times New Roman Regular"/>
          <w:sz w:val="32"/>
          <w:szCs w:val="32"/>
        </w:rPr>
        <w:t>3</w:t>
      </w:r>
      <w:r>
        <w:rPr>
          <w:rFonts w:ascii="Times New Roman Regular" w:hAnsi="Times New Roman Regular" w:eastAsia="仿宋_GB2312" w:cs="Times New Roman Regular"/>
          <w:sz w:val="32"/>
          <w:szCs w:val="32"/>
        </w:rPr>
        <w:t>年全年</w:t>
      </w:r>
      <w:r>
        <w:rPr>
          <w:rFonts w:hint="default" w:ascii="Times New Roman Regular" w:hAnsi="Times New Roman Regular" w:eastAsia="仿宋_GB2312" w:cs="Times New Roman Regular"/>
          <w:sz w:val="32"/>
          <w:szCs w:val="32"/>
        </w:rPr>
        <w:t>支出</w:t>
      </w:r>
      <w:r>
        <w:rPr>
          <w:rFonts w:ascii="Times New Roman Regular" w:hAnsi="Times New Roman Regular" w:eastAsia="仿宋_GB2312" w:cs="Times New Roman Regular"/>
          <w:sz w:val="32"/>
          <w:szCs w:val="32"/>
        </w:rPr>
        <w:t>预算数</w:t>
      </w:r>
      <w:r>
        <w:rPr>
          <w:rFonts w:hint="eastAsia" w:ascii="Times New Roman Regular" w:hAnsi="Times New Roman Regular" w:eastAsia="仿宋_GB2312" w:cs="Times New Roman Regular"/>
          <w:sz w:val="32"/>
          <w:szCs w:val="32"/>
        </w:rPr>
        <w:t>13138.56</w:t>
      </w:r>
      <w:r>
        <w:rPr>
          <w:rFonts w:ascii="Times New Roman Regular" w:hAnsi="Times New Roman Regular" w:eastAsia="仿宋_GB2312" w:cs="Times New Roman Regular"/>
          <w:sz w:val="32"/>
          <w:szCs w:val="32"/>
        </w:rPr>
        <w:t>万元，其中，基本支出预算数</w:t>
      </w:r>
      <w:r>
        <w:rPr>
          <w:rFonts w:hint="eastAsia" w:ascii="Times New Roman Regular" w:hAnsi="Times New Roman Regular" w:eastAsia="仿宋_GB2312" w:cs="Times New Roman Regular"/>
          <w:sz w:val="32"/>
          <w:szCs w:val="32"/>
        </w:rPr>
        <w:t>3953.83</w:t>
      </w:r>
      <w:r>
        <w:rPr>
          <w:rFonts w:ascii="Times New Roman Regular" w:hAnsi="Times New Roman Regular" w:eastAsia="仿宋_GB2312" w:cs="Times New Roman Regular"/>
          <w:sz w:val="32"/>
          <w:szCs w:val="32"/>
        </w:rPr>
        <w:t>万元，项目支出预算数</w:t>
      </w:r>
      <w:r>
        <w:rPr>
          <w:rFonts w:hint="default" w:ascii="Times New Roman Regular" w:hAnsi="Times New Roman Regular" w:eastAsia="仿宋_GB2312" w:cs="Times New Roman Regular"/>
          <w:sz w:val="32"/>
          <w:szCs w:val="32"/>
        </w:rPr>
        <w:t>9184.73</w:t>
      </w:r>
      <w:r>
        <w:rPr>
          <w:rFonts w:ascii="Times New Roman Regular" w:hAnsi="Times New Roman Regular" w:eastAsia="仿宋_GB2312" w:cs="Times New Roman Regular"/>
          <w:sz w:val="32"/>
          <w:szCs w:val="32"/>
        </w:rPr>
        <w:t>万元。截至202</w:t>
      </w:r>
      <w:r>
        <w:rPr>
          <w:rFonts w:hint="default" w:ascii="Times New Roman Regular" w:hAnsi="Times New Roman Regular" w:eastAsia="仿宋_GB2312" w:cs="Times New Roman Regular"/>
          <w:sz w:val="32"/>
          <w:szCs w:val="32"/>
          <w:lang w:eastAsia="zh"/>
        </w:rPr>
        <w:t>3</w:t>
      </w:r>
      <w:r>
        <w:rPr>
          <w:rFonts w:ascii="Times New Roman Regular" w:hAnsi="Times New Roman Regular" w:eastAsia="仿宋_GB2312" w:cs="Times New Roman Regular"/>
          <w:sz w:val="32"/>
          <w:szCs w:val="32"/>
        </w:rPr>
        <w:t>年12月31日，总体支出</w:t>
      </w:r>
      <w:r>
        <w:rPr>
          <w:rFonts w:hint="default" w:ascii="Times New Roman Regular" w:hAnsi="Times New Roman Regular" w:eastAsia="仿宋_GB2312" w:cs="Times New Roman Regular"/>
          <w:sz w:val="32"/>
          <w:szCs w:val="32"/>
        </w:rPr>
        <w:t>13053.44</w:t>
      </w:r>
      <w:r>
        <w:rPr>
          <w:rFonts w:ascii="Times New Roman Regular" w:hAnsi="Times New Roman Regular" w:eastAsia="仿宋_GB2312" w:cs="Times New Roman Regular"/>
          <w:sz w:val="32"/>
          <w:szCs w:val="32"/>
        </w:rPr>
        <w:t>万元，其中，基本支出3933</w:t>
      </w:r>
      <w:r>
        <w:rPr>
          <w:rFonts w:hint="default" w:ascii="Times New Roman Regular" w:hAnsi="Times New Roman Regular" w:eastAsia="仿宋_GB2312" w:cs="Times New Roman Regular"/>
          <w:sz w:val="32"/>
          <w:szCs w:val="32"/>
        </w:rPr>
        <w:t>.</w:t>
      </w:r>
      <w:r>
        <w:rPr>
          <w:rFonts w:ascii="Times New Roman Regular" w:hAnsi="Times New Roman Regular" w:eastAsia="仿宋_GB2312" w:cs="Times New Roman Regular"/>
          <w:sz w:val="32"/>
          <w:szCs w:val="32"/>
        </w:rPr>
        <w:t>0</w:t>
      </w:r>
      <w:r>
        <w:rPr>
          <w:rFonts w:hint="default" w:ascii="Times New Roman Regular" w:hAnsi="Times New Roman Regular" w:eastAsia="仿宋_GB2312" w:cs="Times New Roman Regular"/>
          <w:sz w:val="32"/>
          <w:szCs w:val="32"/>
        </w:rPr>
        <w:t>4</w:t>
      </w:r>
      <w:r>
        <w:rPr>
          <w:rFonts w:ascii="Times New Roman Regular" w:hAnsi="Times New Roman Regular" w:eastAsia="仿宋_GB2312" w:cs="Times New Roman Regular"/>
          <w:sz w:val="32"/>
          <w:szCs w:val="32"/>
        </w:rPr>
        <w:t>万元，项目支出9120</w:t>
      </w:r>
      <w:r>
        <w:rPr>
          <w:rFonts w:hint="default" w:ascii="Times New Roman Regular" w:hAnsi="Times New Roman Regular" w:eastAsia="仿宋_GB2312" w:cs="Times New Roman Regular"/>
          <w:sz w:val="32"/>
          <w:szCs w:val="32"/>
        </w:rPr>
        <w:t>.</w:t>
      </w:r>
      <w:r>
        <w:rPr>
          <w:rFonts w:ascii="Times New Roman Regular" w:hAnsi="Times New Roman Regular" w:eastAsia="仿宋_GB2312" w:cs="Times New Roman Regular"/>
          <w:sz w:val="32"/>
          <w:szCs w:val="32"/>
        </w:rPr>
        <w:t>40万元，年末结转和结余</w:t>
      </w:r>
      <w:r>
        <w:rPr>
          <w:rFonts w:hint="eastAsia" w:ascii="Times New Roman Regular" w:hAnsi="Times New Roman Regular" w:eastAsia="仿宋_GB2312" w:cs="Times New Roman Regular"/>
          <w:sz w:val="32"/>
          <w:szCs w:val="32"/>
        </w:rPr>
        <w:t>85.12</w:t>
      </w:r>
      <w:r>
        <w:rPr>
          <w:rFonts w:ascii="Times New Roman Regular" w:hAnsi="Times New Roman Regular" w:eastAsia="仿宋_GB2312" w:cs="Times New Roman Regular"/>
          <w:sz w:val="32"/>
          <w:szCs w:val="32"/>
        </w:rPr>
        <w:t>万元，预算执行率为</w:t>
      </w:r>
      <w:r>
        <w:rPr>
          <w:rFonts w:hint="eastAsia" w:ascii="Times New Roman Regular" w:hAnsi="Times New Roman Regular" w:eastAsia="仿宋_GB2312" w:cs="Times New Roman Regular"/>
          <w:sz w:val="32"/>
          <w:szCs w:val="32"/>
        </w:rPr>
        <w:t>99.35%</w:t>
      </w:r>
      <w:r>
        <w:rPr>
          <w:rFonts w:ascii="Times New Roman Regular" w:hAnsi="Times New Roman Regular" w:eastAsia="仿宋_GB2312" w:cs="Times New Roman Regular"/>
          <w:sz w:val="32"/>
          <w:szCs w:val="32"/>
        </w:rPr>
        <w:t>。</w:t>
      </w:r>
    </w:p>
    <w:p>
      <w:pPr>
        <w:adjustRightInd w:val="0"/>
        <w:snapToGrid w:val="0"/>
        <w:spacing w:after="156" w:afterLines="50" w:line="600" w:lineRule="exact"/>
        <w:jc w:val="center"/>
        <w:rPr>
          <w:rFonts w:ascii="Times New Roman Regular" w:hAnsi="Times New Roman Regular" w:eastAsia="黑体" w:cs="Times New Roman Regular"/>
          <w:sz w:val="28"/>
          <w:szCs w:val="28"/>
          <w:highlight w:val="none"/>
        </w:rPr>
      </w:pPr>
      <w:r>
        <w:rPr>
          <w:rFonts w:ascii="Times New Roman Regular" w:hAnsi="Times New Roman Regular" w:eastAsia="黑体" w:cs="Times New Roman Regular"/>
          <w:sz w:val="28"/>
          <w:szCs w:val="28"/>
          <w:highlight w:val="none"/>
        </w:rPr>
        <w:t>表3 北京市贸促会202</w:t>
      </w:r>
      <w:r>
        <w:rPr>
          <w:rFonts w:hint="default" w:ascii="Times New Roman Regular" w:hAnsi="Times New Roman Regular" w:eastAsia="黑体" w:cs="Times New Roman Regular"/>
          <w:sz w:val="28"/>
          <w:szCs w:val="28"/>
          <w:highlight w:val="none"/>
          <w:lang w:val="en-US" w:eastAsia="zh-CN"/>
        </w:rPr>
        <w:t>3</w:t>
      </w:r>
      <w:r>
        <w:rPr>
          <w:rFonts w:ascii="Times New Roman Regular" w:hAnsi="Times New Roman Regular" w:eastAsia="黑体" w:cs="Times New Roman Regular"/>
          <w:sz w:val="28"/>
          <w:szCs w:val="28"/>
          <w:highlight w:val="none"/>
        </w:rPr>
        <w:t>年部门预算执行情况表</w:t>
      </w:r>
    </w:p>
    <w:p>
      <w:pPr>
        <w:adjustRightInd w:val="0"/>
        <w:snapToGrid w:val="0"/>
        <w:jc w:val="right"/>
        <w:rPr>
          <w:rFonts w:ascii="Times New Roman Regular" w:hAnsi="Times New Roman Regular" w:eastAsia="黑体" w:cs="Times New Roman Regular"/>
          <w:sz w:val="24"/>
          <w:szCs w:val="24"/>
        </w:rPr>
      </w:pPr>
      <w:r>
        <w:rPr>
          <w:rFonts w:ascii="Times New Roman Regular" w:hAnsi="Times New Roman Regular" w:cs="Times New Roman Regular"/>
          <w:sz w:val="24"/>
          <w:szCs w:val="24"/>
        </w:rPr>
        <w:t>单位：万元</w:t>
      </w:r>
    </w:p>
    <w:tbl>
      <w:tblPr>
        <w:tblStyle w:val="1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05"/>
        <w:gridCol w:w="2681"/>
        <w:gridCol w:w="2665"/>
        <w:gridCol w:w="2665"/>
        <w:gridCol w:w="2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2110" w:type="dxa"/>
            <w:shd w:val="clear" w:color="000000" w:fill="D0CECE"/>
            <w:vAlign w:val="center"/>
          </w:tcPr>
          <w:p>
            <w:pPr>
              <w:keepNext w:val="0"/>
              <w:keepLines w:val="0"/>
              <w:widowControl/>
              <w:suppressLineNumbers w:val="0"/>
              <w:spacing w:before="0" w:beforeAutospacing="0" w:after="0" w:afterAutospacing="0"/>
              <w:ind w:left="0" w:right="0"/>
              <w:jc w:val="center"/>
              <w:rPr>
                <w:rFonts w:hint="default" w:ascii="Times New Roman Regular" w:hAnsi="Times New Roman Regular" w:cs="Times New Roman Regular"/>
                <w:b/>
                <w:bCs/>
                <w:color w:val="000000"/>
                <w:kern w:val="0"/>
                <w:sz w:val="24"/>
                <w:szCs w:val="24"/>
              </w:rPr>
            </w:pPr>
            <w:r>
              <w:rPr>
                <w:rFonts w:hint="default" w:ascii="Times New Roman Regular" w:hAnsi="Times New Roman Regular" w:cs="Times New Roman Regular"/>
                <w:b/>
                <w:bCs/>
                <w:color w:val="000000"/>
                <w:kern w:val="0"/>
                <w:sz w:val="24"/>
                <w:szCs w:val="24"/>
              </w:rPr>
              <w:t>类别</w:t>
            </w:r>
          </w:p>
        </w:tc>
        <w:tc>
          <w:tcPr>
            <w:tcW w:w="1569" w:type="dxa"/>
            <w:shd w:val="clear" w:color="000000" w:fill="D0CECE"/>
            <w:vAlign w:val="center"/>
          </w:tcPr>
          <w:p>
            <w:pPr>
              <w:keepNext w:val="0"/>
              <w:keepLines w:val="0"/>
              <w:widowControl/>
              <w:suppressLineNumbers w:val="0"/>
              <w:spacing w:before="0" w:beforeAutospacing="0" w:after="0" w:afterAutospacing="0"/>
              <w:ind w:left="0" w:right="0"/>
              <w:jc w:val="center"/>
              <w:rPr>
                <w:rFonts w:hint="default" w:ascii="Times New Roman Regular" w:hAnsi="Times New Roman Regular" w:cs="Times New Roman Regular"/>
                <w:b/>
                <w:bCs/>
                <w:color w:val="000000"/>
                <w:kern w:val="0"/>
                <w:sz w:val="24"/>
                <w:szCs w:val="24"/>
              </w:rPr>
            </w:pPr>
            <w:r>
              <w:rPr>
                <w:rFonts w:hint="default" w:ascii="Times New Roman Regular" w:hAnsi="Times New Roman Regular" w:cs="Times New Roman Regular"/>
                <w:b/>
                <w:bCs/>
                <w:color w:val="000000"/>
                <w:kern w:val="0"/>
                <w:sz w:val="24"/>
                <w:szCs w:val="24"/>
              </w:rPr>
              <w:t>年初预算数</w:t>
            </w:r>
          </w:p>
        </w:tc>
        <w:tc>
          <w:tcPr>
            <w:tcW w:w="1560" w:type="dxa"/>
            <w:shd w:val="clear" w:color="000000" w:fill="D0CECE"/>
            <w:vAlign w:val="center"/>
          </w:tcPr>
          <w:p>
            <w:pPr>
              <w:keepNext w:val="0"/>
              <w:keepLines w:val="0"/>
              <w:widowControl/>
              <w:suppressLineNumbers w:val="0"/>
              <w:spacing w:before="0" w:beforeAutospacing="0" w:after="0" w:afterAutospacing="0"/>
              <w:ind w:left="0" w:right="0"/>
              <w:jc w:val="center"/>
              <w:rPr>
                <w:rFonts w:hint="default" w:ascii="Times New Roman Regular" w:hAnsi="Times New Roman Regular" w:cs="Times New Roman Regular"/>
                <w:b/>
                <w:bCs/>
                <w:color w:val="000000"/>
                <w:kern w:val="0"/>
                <w:sz w:val="24"/>
                <w:szCs w:val="24"/>
              </w:rPr>
            </w:pPr>
            <w:r>
              <w:rPr>
                <w:rFonts w:hint="default" w:ascii="Times New Roman Regular" w:hAnsi="Times New Roman Regular" w:cs="Times New Roman Regular"/>
                <w:b/>
                <w:bCs/>
                <w:color w:val="000000"/>
                <w:kern w:val="0"/>
                <w:sz w:val="24"/>
                <w:szCs w:val="24"/>
              </w:rPr>
              <w:t>全年预算数</w:t>
            </w:r>
          </w:p>
        </w:tc>
        <w:tc>
          <w:tcPr>
            <w:tcW w:w="1560" w:type="dxa"/>
            <w:shd w:val="clear" w:color="000000" w:fill="D0CECE"/>
            <w:vAlign w:val="center"/>
          </w:tcPr>
          <w:p>
            <w:pPr>
              <w:keepNext w:val="0"/>
              <w:keepLines w:val="0"/>
              <w:widowControl/>
              <w:suppressLineNumbers w:val="0"/>
              <w:spacing w:before="0" w:beforeAutospacing="0" w:after="0" w:afterAutospacing="0"/>
              <w:ind w:left="0" w:right="0"/>
              <w:jc w:val="center"/>
              <w:rPr>
                <w:rFonts w:hint="default" w:ascii="Times New Roman Regular" w:hAnsi="Times New Roman Regular" w:cs="Times New Roman Regular"/>
                <w:b/>
                <w:bCs/>
                <w:color w:val="000000"/>
                <w:kern w:val="0"/>
                <w:sz w:val="24"/>
                <w:szCs w:val="24"/>
              </w:rPr>
            </w:pPr>
            <w:r>
              <w:rPr>
                <w:rFonts w:hint="default" w:ascii="Times New Roman Regular" w:hAnsi="Times New Roman Regular" w:cs="Times New Roman Regular"/>
                <w:b/>
                <w:bCs/>
                <w:color w:val="000000"/>
                <w:kern w:val="0"/>
                <w:sz w:val="24"/>
                <w:szCs w:val="24"/>
              </w:rPr>
              <w:t>决算数</w:t>
            </w:r>
          </w:p>
        </w:tc>
        <w:tc>
          <w:tcPr>
            <w:tcW w:w="1497" w:type="dxa"/>
            <w:shd w:val="clear" w:color="000000" w:fill="D0CECE"/>
            <w:vAlign w:val="center"/>
          </w:tcPr>
          <w:p>
            <w:pPr>
              <w:keepNext w:val="0"/>
              <w:keepLines w:val="0"/>
              <w:widowControl/>
              <w:suppressLineNumbers w:val="0"/>
              <w:spacing w:before="0" w:beforeAutospacing="0" w:after="0" w:afterAutospacing="0"/>
              <w:ind w:left="0" w:right="0"/>
              <w:jc w:val="center"/>
              <w:rPr>
                <w:rFonts w:hint="default" w:ascii="Times New Roman Regular" w:hAnsi="Times New Roman Regular" w:cs="Times New Roman Regular"/>
                <w:b/>
                <w:bCs/>
                <w:color w:val="000000"/>
                <w:kern w:val="0"/>
                <w:sz w:val="24"/>
                <w:szCs w:val="24"/>
              </w:rPr>
            </w:pPr>
            <w:r>
              <w:rPr>
                <w:rFonts w:hint="default" w:ascii="Times New Roman Regular" w:hAnsi="Times New Roman Regular" w:cs="Times New Roman Regular"/>
                <w:b/>
                <w:bCs/>
                <w:color w:val="000000"/>
                <w:kern w:val="0"/>
                <w:sz w:val="24"/>
                <w:szCs w:val="24"/>
              </w:rPr>
              <w:t>预算执行率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110" w:type="dxa"/>
            <w:shd w:val="clear" w:color="auto" w:fill="auto"/>
            <w:vAlign w:val="center"/>
          </w:tcPr>
          <w:p>
            <w:pPr>
              <w:keepNext w:val="0"/>
              <w:keepLines w:val="0"/>
              <w:widowControl/>
              <w:suppressLineNumbers w:val="0"/>
              <w:spacing w:before="0" w:beforeAutospacing="0" w:after="0" w:afterAutospacing="0"/>
              <w:ind w:left="0" w:right="0"/>
              <w:jc w:val="left"/>
              <w:rPr>
                <w:rFonts w:hint="default" w:ascii="Times New Roman Regular" w:hAnsi="Times New Roman Regular" w:cs="Times New Roman Regular"/>
                <w:color w:val="000000"/>
                <w:kern w:val="0"/>
                <w:sz w:val="24"/>
                <w:szCs w:val="24"/>
              </w:rPr>
            </w:pPr>
            <w:r>
              <w:rPr>
                <w:rFonts w:hint="default" w:ascii="Times New Roman Regular" w:hAnsi="Times New Roman Regular" w:cs="Times New Roman Regular"/>
                <w:color w:val="000000"/>
                <w:kern w:val="0"/>
                <w:sz w:val="24"/>
                <w:szCs w:val="24"/>
              </w:rPr>
              <w:t>基本支出</w:t>
            </w:r>
          </w:p>
        </w:tc>
        <w:tc>
          <w:tcPr>
            <w:tcW w:w="1569" w:type="dxa"/>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Times New Roman Regular" w:hAnsi="Times New Roman Regular" w:cs="Times New Roman Regular"/>
                <w:b w:val="0"/>
                <w:bCs w:val="0"/>
                <w:color w:val="auto"/>
                <w:kern w:val="0"/>
                <w:sz w:val="24"/>
                <w:szCs w:val="24"/>
              </w:rPr>
            </w:pPr>
            <w:r>
              <w:rPr>
                <w:rFonts w:hint="default" w:ascii="Times New Roman Regular" w:hAnsi="Times New Roman Regular" w:eastAsia="Times New Roman Regular" w:cs="Times New Roman Regular"/>
                <w:i w:val="0"/>
                <w:iCs w:val="0"/>
                <w:color w:val="000000"/>
                <w:kern w:val="0"/>
                <w:sz w:val="24"/>
                <w:szCs w:val="24"/>
                <w:u w:val="none"/>
                <w:lang w:val="en-US" w:eastAsia="zh-CN" w:bidi="ar"/>
              </w:rPr>
              <w:t xml:space="preserve">3673.94 </w:t>
            </w:r>
          </w:p>
        </w:tc>
        <w:tc>
          <w:tcPr>
            <w:tcW w:w="1560" w:type="dxa"/>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Times New Roman Regular" w:hAnsi="Times New Roman Regular" w:cs="Times New Roman Regular"/>
                <w:b w:val="0"/>
                <w:bCs w:val="0"/>
                <w:color w:val="auto"/>
                <w:kern w:val="0"/>
                <w:sz w:val="24"/>
                <w:szCs w:val="24"/>
              </w:rPr>
            </w:pPr>
            <w:r>
              <w:rPr>
                <w:rFonts w:hint="default" w:ascii="Times New Roman Regular" w:hAnsi="Times New Roman Regular" w:eastAsia="Times New Roman Regular" w:cs="Times New Roman Regular"/>
                <w:i w:val="0"/>
                <w:iCs w:val="0"/>
                <w:color w:val="000000"/>
                <w:kern w:val="0"/>
                <w:sz w:val="24"/>
                <w:szCs w:val="24"/>
                <w:u w:val="none"/>
                <w:lang w:val="en-US" w:eastAsia="zh-CN" w:bidi="ar"/>
              </w:rPr>
              <w:t xml:space="preserve">3953.83 </w:t>
            </w:r>
          </w:p>
        </w:tc>
        <w:tc>
          <w:tcPr>
            <w:tcW w:w="1560" w:type="dxa"/>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Times New Roman Regular" w:hAnsi="Times New Roman Regular" w:cs="Times New Roman Regular"/>
                <w:b w:val="0"/>
                <w:bCs w:val="0"/>
                <w:color w:val="auto"/>
                <w:kern w:val="0"/>
                <w:sz w:val="24"/>
                <w:szCs w:val="24"/>
              </w:rPr>
            </w:pPr>
            <w:r>
              <w:rPr>
                <w:rFonts w:hint="default" w:ascii="Times New Roman Regular" w:hAnsi="Times New Roman Regular" w:eastAsia="Times New Roman Regular" w:cs="Times New Roman Regular"/>
                <w:i w:val="0"/>
                <w:iCs w:val="0"/>
                <w:color w:val="000000"/>
                <w:kern w:val="0"/>
                <w:sz w:val="24"/>
                <w:szCs w:val="24"/>
                <w:u w:val="none"/>
                <w:lang w:val="en-US" w:eastAsia="zh-CN" w:bidi="ar"/>
              </w:rPr>
              <w:t xml:space="preserve">3933.04 </w:t>
            </w:r>
          </w:p>
        </w:tc>
        <w:tc>
          <w:tcPr>
            <w:tcW w:w="1497" w:type="dxa"/>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Regular" w:hAnsi="Times New Roman Regular" w:cs="Times New Roman Regular"/>
                <w:b w:val="0"/>
                <w:bCs w:val="0"/>
                <w:color w:val="auto"/>
                <w:kern w:val="0"/>
                <w:sz w:val="24"/>
                <w:szCs w:val="24"/>
              </w:rPr>
            </w:pPr>
            <w:r>
              <w:rPr>
                <w:rFonts w:hint="default" w:ascii="Times New Roman Regular" w:hAnsi="Times New Roman Regular" w:eastAsia="Times New Roman Regular" w:cs="Times New Roman Regular"/>
                <w:i w:val="0"/>
                <w:iCs w:val="0"/>
                <w:color w:val="auto"/>
                <w:kern w:val="0"/>
                <w:sz w:val="24"/>
                <w:szCs w:val="24"/>
                <w:u w:val="none"/>
                <w:lang w:val="en-US" w:eastAsia="zh-CN" w:bidi="ar"/>
              </w:rPr>
              <w:t>99.47%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110" w:type="dxa"/>
            <w:shd w:val="clear" w:color="auto" w:fill="auto"/>
            <w:vAlign w:val="center"/>
          </w:tcPr>
          <w:p>
            <w:pPr>
              <w:keepNext w:val="0"/>
              <w:keepLines w:val="0"/>
              <w:widowControl/>
              <w:suppressLineNumbers w:val="0"/>
              <w:spacing w:before="0" w:beforeAutospacing="0" w:after="0" w:afterAutospacing="0"/>
              <w:ind w:left="0" w:right="0" w:firstLine="240" w:firstLineChars="100"/>
              <w:jc w:val="left"/>
              <w:rPr>
                <w:rFonts w:hint="default" w:ascii="Times New Roman Regular" w:hAnsi="Times New Roman Regular" w:cs="Times New Roman Regular"/>
                <w:color w:val="000000"/>
                <w:kern w:val="0"/>
                <w:sz w:val="24"/>
                <w:szCs w:val="24"/>
              </w:rPr>
            </w:pPr>
            <w:r>
              <w:rPr>
                <w:rFonts w:hint="default" w:ascii="Times New Roman Regular" w:hAnsi="Times New Roman Regular" w:cs="Times New Roman Regular"/>
                <w:color w:val="000000"/>
                <w:kern w:val="0"/>
                <w:sz w:val="24"/>
                <w:szCs w:val="24"/>
              </w:rPr>
              <w:t>人员经费</w:t>
            </w:r>
          </w:p>
        </w:tc>
        <w:tc>
          <w:tcPr>
            <w:tcW w:w="1569" w:type="dxa"/>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Times New Roman Regular" w:hAnsi="Times New Roman Regular" w:cs="Times New Roman Regular"/>
                <w:b w:val="0"/>
                <w:bCs w:val="0"/>
                <w:color w:val="auto"/>
                <w:kern w:val="0"/>
                <w:sz w:val="24"/>
                <w:szCs w:val="24"/>
              </w:rPr>
            </w:pPr>
            <w:r>
              <w:rPr>
                <w:rFonts w:hint="default" w:ascii="Times New Roman Regular" w:hAnsi="Times New Roman Regular" w:eastAsia="Times New Roman Regular" w:cs="Times New Roman Regular"/>
                <w:i w:val="0"/>
                <w:iCs w:val="0"/>
                <w:color w:val="000000"/>
                <w:kern w:val="0"/>
                <w:sz w:val="24"/>
                <w:szCs w:val="24"/>
                <w:u w:val="none"/>
                <w:lang w:val="en-US" w:eastAsia="zh-CN" w:bidi="ar"/>
              </w:rPr>
              <w:t xml:space="preserve">3314.94 </w:t>
            </w:r>
          </w:p>
        </w:tc>
        <w:tc>
          <w:tcPr>
            <w:tcW w:w="1560" w:type="dxa"/>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Times New Roman Regular" w:hAnsi="Times New Roman Regular" w:cs="Times New Roman Regular"/>
                <w:b w:val="0"/>
                <w:bCs w:val="0"/>
                <w:color w:val="auto"/>
                <w:kern w:val="0"/>
                <w:sz w:val="24"/>
                <w:szCs w:val="24"/>
              </w:rPr>
            </w:pPr>
            <w:r>
              <w:rPr>
                <w:rFonts w:hint="default" w:ascii="Times New Roman Regular" w:hAnsi="Times New Roman Regular" w:eastAsia="Times New Roman Regular" w:cs="Times New Roman Regular"/>
                <w:i w:val="0"/>
                <w:iCs w:val="0"/>
                <w:color w:val="000000"/>
                <w:kern w:val="0"/>
                <w:sz w:val="24"/>
                <w:szCs w:val="24"/>
                <w:u w:val="none"/>
                <w:lang w:val="en-US" w:eastAsia="zh-CN" w:bidi="ar"/>
              </w:rPr>
              <w:t xml:space="preserve">3623.39 </w:t>
            </w:r>
          </w:p>
        </w:tc>
        <w:tc>
          <w:tcPr>
            <w:tcW w:w="1560" w:type="dxa"/>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Times New Roman Regular" w:hAnsi="Times New Roman Regular" w:cs="Times New Roman Regular"/>
                <w:b w:val="0"/>
                <w:bCs w:val="0"/>
                <w:color w:val="auto"/>
                <w:kern w:val="0"/>
                <w:sz w:val="24"/>
                <w:szCs w:val="24"/>
              </w:rPr>
            </w:pPr>
            <w:r>
              <w:rPr>
                <w:rFonts w:hint="default" w:ascii="Times New Roman Regular" w:hAnsi="Times New Roman Regular" w:eastAsia="Times New Roman Regular" w:cs="Times New Roman Regular"/>
                <w:i w:val="0"/>
                <w:iCs w:val="0"/>
                <w:color w:val="000000"/>
                <w:kern w:val="0"/>
                <w:sz w:val="24"/>
                <w:szCs w:val="24"/>
                <w:u w:val="none"/>
                <w:lang w:val="en-US" w:eastAsia="zh-CN" w:bidi="ar"/>
              </w:rPr>
              <w:t xml:space="preserve">3617.40 </w:t>
            </w:r>
          </w:p>
        </w:tc>
        <w:tc>
          <w:tcPr>
            <w:tcW w:w="1497" w:type="dxa"/>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Regular" w:hAnsi="Times New Roman Regular" w:cs="Times New Roman Regular"/>
                <w:b w:val="0"/>
                <w:bCs w:val="0"/>
                <w:color w:val="auto"/>
                <w:kern w:val="0"/>
                <w:sz w:val="24"/>
                <w:szCs w:val="24"/>
              </w:rPr>
            </w:pPr>
            <w:r>
              <w:rPr>
                <w:rFonts w:hint="default" w:ascii="Times New Roman Regular" w:hAnsi="Times New Roman Regular" w:eastAsia="Times New Roman Regular" w:cs="Times New Roman Regular"/>
                <w:i w:val="0"/>
                <w:iCs w:val="0"/>
                <w:color w:val="auto"/>
                <w:kern w:val="0"/>
                <w:sz w:val="24"/>
                <w:szCs w:val="24"/>
                <w:u w:val="none"/>
                <w:lang w:val="en-US" w:eastAsia="zh-CN" w:bidi="ar"/>
              </w:rPr>
              <w:t>99.83%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110" w:type="dxa"/>
            <w:shd w:val="clear" w:color="auto" w:fill="auto"/>
            <w:vAlign w:val="center"/>
          </w:tcPr>
          <w:p>
            <w:pPr>
              <w:keepNext w:val="0"/>
              <w:keepLines w:val="0"/>
              <w:widowControl/>
              <w:suppressLineNumbers w:val="0"/>
              <w:spacing w:before="0" w:beforeAutospacing="0" w:after="0" w:afterAutospacing="0"/>
              <w:ind w:left="0" w:right="0" w:firstLine="240" w:firstLineChars="100"/>
              <w:jc w:val="left"/>
              <w:rPr>
                <w:rFonts w:hint="default" w:ascii="Times New Roman Regular" w:hAnsi="Times New Roman Regular" w:cs="Times New Roman Regular"/>
                <w:color w:val="000000"/>
                <w:kern w:val="0"/>
                <w:sz w:val="24"/>
                <w:szCs w:val="24"/>
              </w:rPr>
            </w:pPr>
            <w:r>
              <w:rPr>
                <w:rFonts w:hint="default" w:ascii="Times New Roman Regular" w:hAnsi="Times New Roman Regular" w:cs="Times New Roman Regular"/>
                <w:color w:val="000000"/>
                <w:kern w:val="0"/>
                <w:sz w:val="24"/>
                <w:szCs w:val="24"/>
              </w:rPr>
              <w:t>公用经费</w:t>
            </w:r>
          </w:p>
        </w:tc>
        <w:tc>
          <w:tcPr>
            <w:tcW w:w="1569" w:type="dxa"/>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Times New Roman Regular" w:hAnsi="Times New Roman Regular" w:cs="Times New Roman Regular"/>
                <w:b w:val="0"/>
                <w:bCs w:val="0"/>
                <w:color w:val="auto"/>
                <w:kern w:val="0"/>
                <w:sz w:val="24"/>
                <w:szCs w:val="24"/>
                <w:highlight w:val="none"/>
                <w:lang w:val="en-US"/>
              </w:rPr>
            </w:pPr>
            <w:r>
              <w:rPr>
                <w:rFonts w:hint="default" w:ascii="Times New Roman Regular" w:hAnsi="Times New Roman Regular" w:eastAsia="Times New Roman Regular" w:cs="Times New Roman Regular"/>
                <w:i w:val="0"/>
                <w:iCs w:val="0"/>
                <w:color w:val="000000"/>
                <w:kern w:val="0"/>
                <w:sz w:val="24"/>
                <w:szCs w:val="24"/>
                <w:u w:val="none"/>
                <w:lang w:val="en-US" w:eastAsia="zh-CN" w:bidi="ar"/>
              </w:rPr>
              <w:t xml:space="preserve">359.00 </w:t>
            </w:r>
          </w:p>
        </w:tc>
        <w:tc>
          <w:tcPr>
            <w:tcW w:w="1560" w:type="dxa"/>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Times New Roman Regular" w:hAnsi="Times New Roman Regular" w:cs="Times New Roman Regular"/>
                <w:b w:val="0"/>
                <w:bCs w:val="0"/>
                <w:color w:val="auto"/>
                <w:kern w:val="0"/>
                <w:sz w:val="24"/>
                <w:szCs w:val="24"/>
                <w:highlight w:val="none"/>
              </w:rPr>
            </w:pPr>
            <w:r>
              <w:rPr>
                <w:rFonts w:hint="default" w:ascii="Times New Roman Regular" w:hAnsi="Times New Roman Regular" w:eastAsia="Times New Roman Regular" w:cs="Times New Roman Regular"/>
                <w:i w:val="0"/>
                <w:iCs w:val="0"/>
                <w:color w:val="000000"/>
                <w:kern w:val="0"/>
                <w:sz w:val="24"/>
                <w:szCs w:val="24"/>
                <w:u w:val="none"/>
                <w:lang w:val="en-US" w:eastAsia="zh-CN" w:bidi="ar"/>
              </w:rPr>
              <w:t xml:space="preserve">330.44 </w:t>
            </w:r>
          </w:p>
        </w:tc>
        <w:tc>
          <w:tcPr>
            <w:tcW w:w="1560" w:type="dxa"/>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Times New Roman Regular" w:hAnsi="Times New Roman Regular" w:cs="Times New Roman Regular"/>
                <w:b w:val="0"/>
                <w:bCs w:val="0"/>
                <w:color w:val="auto"/>
                <w:kern w:val="0"/>
                <w:sz w:val="24"/>
                <w:szCs w:val="24"/>
                <w:highlight w:val="none"/>
              </w:rPr>
            </w:pPr>
            <w:r>
              <w:rPr>
                <w:rFonts w:hint="default" w:ascii="Times New Roman Regular" w:hAnsi="Times New Roman Regular" w:eastAsia="Times New Roman Regular" w:cs="Times New Roman Regular"/>
                <w:i w:val="0"/>
                <w:iCs w:val="0"/>
                <w:color w:val="000000"/>
                <w:kern w:val="0"/>
                <w:sz w:val="24"/>
                <w:szCs w:val="24"/>
                <w:u w:val="none"/>
                <w:lang w:val="en-US" w:eastAsia="zh-CN" w:bidi="ar"/>
              </w:rPr>
              <w:t xml:space="preserve">315.64 </w:t>
            </w:r>
          </w:p>
        </w:tc>
        <w:tc>
          <w:tcPr>
            <w:tcW w:w="1497" w:type="dxa"/>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Regular" w:hAnsi="Times New Roman Regular" w:cs="Times New Roman Regular"/>
                <w:b w:val="0"/>
                <w:bCs w:val="0"/>
                <w:color w:val="auto"/>
                <w:kern w:val="0"/>
                <w:sz w:val="24"/>
                <w:szCs w:val="24"/>
                <w:highlight w:val="none"/>
              </w:rPr>
            </w:pPr>
            <w:r>
              <w:rPr>
                <w:rFonts w:hint="default" w:ascii="Times New Roman Regular" w:hAnsi="Times New Roman Regular" w:eastAsia="Times New Roman Regular" w:cs="Times New Roman Regular"/>
                <w:i w:val="0"/>
                <w:iCs w:val="0"/>
                <w:color w:val="auto"/>
                <w:kern w:val="0"/>
                <w:sz w:val="24"/>
                <w:szCs w:val="24"/>
                <w:u w:val="none"/>
                <w:lang w:val="en-US" w:eastAsia="zh-CN" w:bidi="ar"/>
              </w:rPr>
              <w:t>95.52%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110" w:type="dxa"/>
            <w:shd w:val="clear" w:color="auto" w:fill="auto"/>
            <w:vAlign w:val="center"/>
          </w:tcPr>
          <w:p>
            <w:pPr>
              <w:keepNext w:val="0"/>
              <w:keepLines w:val="0"/>
              <w:widowControl/>
              <w:suppressLineNumbers w:val="0"/>
              <w:spacing w:before="0" w:beforeAutospacing="0" w:after="0" w:afterAutospacing="0"/>
              <w:ind w:left="0" w:right="0"/>
              <w:jc w:val="left"/>
              <w:rPr>
                <w:rFonts w:hint="default" w:ascii="Times New Roman Regular" w:hAnsi="Times New Roman Regular" w:cs="Times New Roman Regular"/>
                <w:color w:val="000000"/>
                <w:kern w:val="0"/>
                <w:sz w:val="24"/>
                <w:szCs w:val="24"/>
              </w:rPr>
            </w:pPr>
            <w:r>
              <w:rPr>
                <w:rFonts w:hint="default" w:ascii="Times New Roman Regular" w:hAnsi="Times New Roman Regular" w:cs="Times New Roman Regular"/>
                <w:color w:val="000000"/>
                <w:kern w:val="0"/>
                <w:sz w:val="24"/>
                <w:szCs w:val="24"/>
              </w:rPr>
              <w:t>项目支出</w:t>
            </w:r>
          </w:p>
        </w:tc>
        <w:tc>
          <w:tcPr>
            <w:tcW w:w="1569" w:type="dxa"/>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Times New Roman Regular" w:hAnsi="Times New Roman Regular" w:cs="Times New Roman Regular"/>
                <w:b w:val="0"/>
                <w:bCs w:val="0"/>
                <w:color w:val="auto"/>
                <w:kern w:val="0"/>
                <w:sz w:val="24"/>
                <w:szCs w:val="24"/>
              </w:rPr>
            </w:pPr>
            <w:r>
              <w:rPr>
                <w:rFonts w:hint="default" w:ascii="Times New Roman Regular" w:hAnsi="Times New Roman Regular" w:eastAsia="Times New Roman Regular" w:cs="Times New Roman Regular"/>
                <w:i w:val="0"/>
                <w:iCs w:val="0"/>
                <w:color w:val="000000"/>
                <w:kern w:val="0"/>
                <w:sz w:val="24"/>
                <w:szCs w:val="24"/>
                <w:u w:val="none"/>
                <w:lang w:val="en-US" w:eastAsia="zh-CN" w:bidi="ar"/>
              </w:rPr>
              <w:t xml:space="preserve">6516.86 </w:t>
            </w:r>
          </w:p>
        </w:tc>
        <w:tc>
          <w:tcPr>
            <w:tcW w:w="1560" w:type="dxa"/>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Times New Roman Regular" w:hAnsi="Times New Roman Regular" w:cs="Times New Roman Regular"/>
                <w:b w:val="0"/>
                <w:bCs w:val="0"/>
                <w:color w:val="auto"/>
                <w:kern w:val="0"/>
                <w:sz w:val="24"/>
                <w:szCs w:val="24"/>
              </w:rPr>
            </w:pPr>
            <w:r>
              <w:rPr>
                <w:rFonts w:hint="default" w:ascii="Times New Roman Regular" w:hAnsi="Times New Roman Regular" w:eastAsia="Times New Roman Regular" w:cs="Times New Roman Regular"/>
                <w:i w:val="0"/>
                <w:iCs w:val="0"/>
                <w:color w:val="000000"/>
                <w:kern w:val="0"/>
                <w:sz w:val="24"/>
                <w:szCs w:val="24"/>
                <w:u w:val="none"/>
                <w:lang w:val="en-US" w:eastAsia="zh-CN" w:bidi="ar"/>
              </w:rPr>
              <w:t xml:space="preserve">9184.73 </w:t>
            </w:r>
          </w:p>
        </w:tc>
        <w:tc>
          <w:tcPr>
            <w:tcW w:w="1560" w:type="dxa"/>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Times New Roman Regular" w:hAnsi="Times New Roman Regular" w:cs="Times New Roman Regular"/>
                <w:b w:val="0"/>
                <w:bCs w:val="0"/>
                <w:color w:val="auto"/>
                <w:kern w:val="0"/>
                <w:sz w:val="24"/>
                <w:szCs w:val="24"/>
              </w:rPr>
            </w:pPr>
            <w:r>
              <w:rPr>
                <w:rFonts w:hint="default" w:ascii="Times New Roman Regular" w:hAnsi="Times New Roman Regular" w:eastAsia="Times New Roman Regular" w:cs="Times New Roman Regular"/>
                <w:i w:val="0"/>
                <w:iCs w:val="0"/>
                <w:color w:val="000000"/>
                <w:kern w:val="0"/>
                <w:sz w:val="24"/>
                <w:szCs w:val="24"/>
                <w:u w:val="none"/>
                <w:lang w:val="en-US" w:eastAsia="zh-CN" w:bidi="ar"/>
              </w:rPr>
              <w:t xml:space="preserve">9120.40 </w:t>
            </w:r>
          </w:p>
        </w:tc>
        <w:tc>
          <w:tcPr>
            <w:tcW w:w="1497" w:type="dxa"/>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Regular" w:hAnsi="Times New Roman Regular" w:cs="Times New Roman Regular"/>
                <w:b w:val="0"/>
                <w:bCs w:val="0"/>
                <w:color w:val="auto"/>
                <w:kern w:val="0"/>
                <w:sz w:val="24"/>
                <w:szCs w:val="24"/>
              </w:rPr>
            </w:pPr>
            <w:r>
              <w:rPr>
                <w:rFonts w:hint="default" w:ascii="Times New Roman Regular" w:hAnsi="Times New Roman Regular" w:eastAsia="Times New Roman Regular" w:cs="Times New Roman Regular"/>
                <w:i w:val="0"/>
                <w:iCs w:val="0"/>
                <w:color w:val="auto"/>
                <w:kern w:val="0"/>
                <w:sz w:val="24"/>
                <w:szCs w:val="24"/>
                <w:u w:val="none"/>
                <w:lang w:val="en-US" w:eastAsia="zh-CN" w:bidi="ar"/>
              </w:rPr>
              <w:t>99.30%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110" w:type="dxa"/>
            <w:shd w:val="clear" w:color="auto" w:fill="auto"/>
            <w:vAlign w:val="center"/>
          </w:tcPr>
          <w:p>
            <w:pPr>
              <w:keepNext w:val="0"/>
              <w:keepLines w:val="0"/>
              <w:widowControl/>
              <w:suppressLineNumbers w:val="0"/>
              <w:spacing w:before="0" w:beforeAutospacing="0" w:after="0" w:afterAutospacing="0"/>
              <w:ind w:left="0" w:right="0"/>
              <w:jc w:val="left"/>
              <w:rPr>
                <w:rFonts w:hint="default" w:ascii="Times New Roman Regular" w:hAnsi="Times New Roman Regular" w:cs="Times New Roman Regular"/>
                <w:color w:val="000000"/>
                <w:kern w:val="0"/>
                <w:sz w:val="24"/>
                <w:szCs w:val="24"/>
                <w:highlight w:val="none"/>
              </w:rPr>
            </w:pPr>
            <w:r>
              <w:rPr>
                <w:rFonts w:hint="default" w:ascii="Times New Roman Regular" w:hAnsi="Times New Roman Regular" w:cs="Times New Roman Regular"/>
                <w:color w:val="000000"/>
                <w:kern w:val="0"/>
                <w:sz w:val="24"/>
                <w:szCs w:val="24"/>
                <w:highlight w:val="none"/>
              </w:rPr>
              <w:t>其他支出</w:t>
            </w:r>
          </w:p>
        </w:tc>
        <w:tc>
          <w:tcPr>
            <w:tcW w:w="1569" w:type="dxa"/>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Times New Roman Regular" w:hAnsi="Times New Roman Regular" w:cs="Times New Roman Regular"/>
                <w:b w:val="0"/>
                <w:bCs w:val="0"/>
                <w:color w:val="auto"/>
                <w:kern w:val="0"/>
                <w:sz w:val="24"/>
                <w:szCs w:val="24"/>
                <w:highlight w:val="none"/>
              </w:rPr>
            </w:pPr>
            <w:r>
              <w:rPr>
                <w:rFonts w:hint="default" w:ascii="Times New Roman Regular" w:hAnsi="Times New Roman Regular" w:eastAsia="Times New Roman Regular" w:cs="Times New Roman Regular"/>
                <w:i w:val="0"/>
                <w:iCs w:val="0"/>
                <w:color w:val="000000"/>
                <w:kern w:val="0"/>
                <w:sz w:val="24"/>
                <w:szCs w:val="24"/>
                <w:u w:val="none"/>
                <w:lang w:val="en-US" w:eastAsia="zh-CN" w:bidi="ar"/>
              </w:rPr>
              <w:t xml:space="preserve">0.00 </w:t>
            </w:r>
          </w:p>
        </w:tc>
        <w:tc>
          <w:tcPr>
            <w:tcW w:w="1560" w:type="dxa"/>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Times New Roman Regular" w:hAnsi="Times New Roman Regular" w:cs="Times New Roman Regular"/>
                <w:b w:val="0"/>
                <w:bCs w:val="0"/>
                <w:color w:val="auto"/>
                <w:kern w:val="0"/>
                <w:sz w:val="24"/>
                <w:szCs w:val="24"/>
                <w:highlight w:val="none"/>
              </w:rPr>
            </w:pPr>
            <w:r>
              <w:rPr>
                <w:rFonts w:hint="default" w:ascii="Times New Roman Regular" w:hAnsi="Times New Roman Regular" w:eastAsia="Times New Roman Regular" w:cs="Times New Roman Regular"/>
                <w:i w:val="0"/>
                <w:iCs w:val="0"/>
                <w:color w:val="000000"/>
                <w:kern w:val="0"/>
                <w:sz w:val="24"/>
                <w:szCs w:val="24"/>
                <w:u w:val="none"/>
                <w:lang w:val="en-US" w:eastAsia="zh-CN" w:bidi="ar"/>
              </w:rPr>
              <w:t xml:space="preserve">0.00 </w:t>
            </w:r>
          </w:p>
        </w:tc>
        <w:tc>
          <w:tcPr>
            <w:tcW w:w="1560" w:type="dxa"/>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Times New Roman Regular" w:hAnsi="Times New Roman Regular" w:cs="Times New Roman Regular"/>
                <w:b w:val="0"/>
                <w:bCs w:val="0"/>
                <w:color w:val="auto"/>
                <w:kern w:val="0"/>
                <w:sz w:val="24"/>
                <w:szCs w:val="24"/>
                <w:highlight w:val="none"/>
              </w:rPr>
            </w:pPr>
            <w:r>
              <w:rPr>
                <w:rFonts w:hint="default" w:ascii="Times New Roman Regular" w:hAnsi="Times New Roman Regular" w:eastAsia="Times New Roman Regular" w:cs="Times New Roman Regular"/>
                <w:i w:val="0"/>
                <w:iCs w:val="0"/>
                <w:color w:val="000000"/>
                <w:kern w:val="0"/>
                <w:sz w:val="24"/>
                <w:szCs w:val="24"/>
                <w:u w:val="none"/>
                <w:lang w:val="en-US" w:eastAsia="zh-CN" w:bidi="ar"/>
              </w:rPr>
              <w:t xml:space="preserve">0.00 </w:t>
            </w:r>
          </w:p>
        </w:tc>
        <w:tc>
          <w:tcPr>
            <w:tcW w:w="1497" w:type="dxa"/>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Regular" w:hAnsi="Times New Roman Regular" w:cs="Times New Roman Regular"/>
                <w:b w:val="0"/>
                <w:bCs w:val="0"/>
                <w:color w:val="auto"/>
                <w:kern w:val="0"/>
                <w:sz w:val="24"/>
                <w:szCs w:val="24"/>
                <w:highlight w:val="none"/>
              </w:rPr>
            </w:pPr>
            <w:r>
              <w:rPr>
                <w:rFonts w:hint="default" w:ascii="Times New Roman Regular" w:hAnsi="Times New Roman Regular" w:eastAsia="Times New Roman Regular" w:cs="Times New Roman Regular"/>
                <w:i w:val="0"/>
                <w:iCs w:val="0"/>
                <w:color w:val="auto"/>
                <w:kern w:val="0"/>
                <w:sz w:val="24"/>
                <w:szCs w:val="24"/>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110" w:type="dxa"/>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Regular" w:hAnsi="Times New Roman Regular" w:cs="Times New Roman Regular"/>
                <w:b/>
                <w:bCs/>
                <w:color w:val="000000"/>
                <w:kern w:val="0"/>
                <w:sz w:val="24"/>
                <w:szCs w:val="24"/>
              </w:rPr>
            </w:pPr>
            <w:r>
              <w:rPr>
                <w:rFonts w:hint="default" w:ascii="Times New Roman Regular" w:hAnsi="Times New Roman Regular" w:cs="Times New Roman Regular"/>
                <w:b/>
                <w:bCs/>
                <w:color w:val="000000"/>
                <w:kern w:val="0"/>
                <w:sz w:val="24"/>
                <w:szCs w:val="24"/>
              </w:rPr>
              <w:t>本年支出合计</w:t>
            </w:r>
          </w:p>
        </w:tc>
        <w:tc>
          <w:tcPr>
            <w:tcW w:w="1569" w:type="dxa"/>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Times New Roman Regular" w:hAnsi="Times New Roman Regular" w:cs="Times New Roman Regular"/>
                <w:b w:val="0"/>
                <w:bCs w:val="0"/>
                <w:color w:val="auto"/>
                <w:kern w:val="0"/>
                <w:sz w:val="24"/>
                <w:szCs w:val="24"/>
              </w:rPr>
            </w:pPr>
            <w:r>
              <w:rPr>
                <w:rFonts w:hint="default" w:ascii="Times New Roman Regular" w:hAnsi="Times New Roman Regular" w:eastAsia="Times New Roman Regular" w:cs="Times New Roman Regular"/>
                <w:i w:val="0"/>
                <w:iCs w:val="0"/>
                <w:color w:val="000000"/>
                <w:kern w:val="0"/>
                <w:sz w:val="24"/>
                <w:szCs w:val="24"/>
                <w:u w:val="none"/>
                <w:lang w:val="en-US" w:eastAsia="zh-CN" w:bidi="ar"/>
              </w:rPr>
              <w:t xml:space="preserve">10190.80 </w:t>
            </w:r>
          </w:p>
        </w:tc>
        <w:tc>
          <w:tcPr>
            <w:tcW w:w="1560" w:type="dxa"/>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Times New Roman Regular" w:hAnsi="Times New Roman Regular" w:cs="Times New Roman Regular"/>
                <w:b w:val="0"/>
                <w:bCs w:val="0"/>
                <w:color w:val="auto"/>
                <w:kern w:val="0"/>
                <w:sz w:val="24"/>
                <w:szCs w:val="24"/>
              </w:rPr>
            </w:pPr>
            <w:r>
              <w:rPr>
                <w:rFonts w:hint="default" w:ascii="Times New Roman Regular" w:hAnsi="Times New Roman Regular" w:eastAsia="Times New Roman Regular" w:cs="Times New Roman Regular"/>
                <w:i w:val="0"/>
                <w:iCs w:val="0"/>
                <w:color w:val="000000"/>
                <w:kern w:val="0"/>
                <w:sz w:val="24"/>
                <w:szCs w:val="24"/>
                <w:u w:val="none"/>
                <w:lang w:val="en-US" w:eastAsia="zh-CN" w:bidi="ar"/>
              </w:rPr>
              <w:t xml:space="preserve">13138.56 </w:t>
            </w:r>
          </w:p>
        </w:tc>
        <w:tc>
          <w:tcPr>
            <w:tcW w:w="1560" w:type="dxa"/>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Times New Roman Regular" w:hAnsi="Times New Roman Regular" w:cs="Times New Roman Regular"/>
                <w:b w:val="0"/>
                <w:bCs w:val="0"/>
                <w:color w:val="auto"/>
                <w:kern w:val="0"/>
                <w:sz w:val="24"/>
                <w:szCs w:val="24"/>
              </w:rPr>
            </w:pPr>
            <w:r>
              <w:rPr>
                <w:rFonts w:hint="default" w:ascii="Times New Roman Regular" w:hAnsi="Times New Roman Regular" w:eastAsia="Times New Roman Regular" w:cs="Times New Roman Regular"/>
                <w:i w:val="0"/>
                <w:iCs w:val="0"/>
                <w:color w:val="000000"/>
                <w:kern w:val="0"/>
                <w:sz w:val="24"/>
                <w:szCs w:val="24"/>
                <w:u w:val="none"/>
                <w:lang w:val="en-US" w:eastAsia="zh-CN" w:bidi="ar"/>
              </w:rPr>
              <w:t xml:space="preserve">13053.44 </w:t>
            </w:r>
          </w:p>
        </w:tc>
        <w:tc>
          <w:tcPr>
            <w:tcW w:w="1497" w:type="dxa"/>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Regular" w:hAnsi="Times New Roman Regular" w:cs="Times New Roman Regular"/>
                <w:b w:val="0"/>
                <w:bCs w:val="0"/>
                <w:color w:val="auto"/>
                <w:kern w:val="0"/>
                <w:sz w:val="24"/>
                <w:szCs w:val="24"/>
              </w:rPr>
            </w:pPr>
            <w:r>
              <w:rPr>
                <w:rFonts w:hint="default" w:ascii="Times New Roman Regular" w:hAnsi="Times New Roman Regular" w:eastAsia="Times New Roman Regular" w:cs="Times New Roman Regular"/>
                <w:i w:val="0"/>
                <w:iCs w:val="0"/>
                <w:color w:val="auto"/>
                <w:kern w:val="0"/>
                <w:sz w:val="24"/>
                <w:szCs w:val="24"/>
                <w:u w:val="none"/>
                <w:lang w:val="en-US" w:eastAsia="zh-CN" w:bidi="ar"/>
              </w:rPr>
              <w:t>99.35%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110" w:type="dxa"/>
            <w:shd w:val="clear" w:color="auto" w:fill="auto"/>
            <w:vAlign w:val="center"/>
          </w:tcPr>
          <w:p>
            <w:pPr>
              <w:keepNext w:val="0"/>
              <w:keepLines w:val="0"/>
              <w:widowControl/>
              <w:suppressLineNumbers w:val="0"/>
              <w:spacing w:before="0" w:beforeAutospacing="0" w:after="0" w:afterAutospacing="0"/>
              <w:ind w:left="0" w:right="0"/>
              <w:jc w:val="left"/>
              <w:rPr>
                <w:rFonts w:hint="default" w:ascii="Times New Roman Regular" w:hAnsi="Times New Roman Regular" w:cs="Times New Roman Regular"/>
                <w:color w:val="000000"/>
                <w:kern w:val="0"/>
                <w:sz w:val="24"/>
                <w:szCs w:val="24"/>
              </w:rPr>
            </w:pPr>
            <w:r>
              <w:rPr>
                <w:rFonts w:hint="default" w:ascii="Times New Roman Regular" w:hAnsi="Times New Roman Regular" w:cs="Times New Roman Regular"/>
                <w:color w:val="000000"/>
                <w:kern w:val="0"/>
                <w:sz w:val="24"/>
                <w:szCs w:val="24"/>
              </w:rPr>
              <w:t>年末结转和结余</w:t>
            </w:r>
          </w:p>
        </w:tc>
        <w:tc>
          <w:tcPr>
            <w:tcW w:w="1569" w:type="dxa"/>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Times New Roman Regular" w:hAnsi="Times New Roman Regular" w:cs="Times New Roman Regular"/>
                <w:b w:val="0"/>
                <w:bCs w:val="0"/>
                <w:color w:val="auto"/>
                <w:kern w:val="0"/>
                <w:sz w:val="24"/>
                <w:szCs w:val="24"/>
              </w:rPr>
            </w:pPr>
            <w:r>
              <w:rPr>
                <w:rFonts w:hint="default" w:ascii="Times New Roman Regular" w:hAnsi="Times New Roman Regular" w:eastAsia="Times New Roman Regular" w:cs="Times New Roman Regular"/>
                <w:i w:val="0"/>
                <w:iCs w:val="0"/>
                <w:color w:val="000000"/>
                <w:kern w:val="0"/>
                <w:sz w:val="24"/>
                <w:szCs w:val="24"/>
                <w:u w:val="none"/>
                <w:lang w:val="en-US" w:eastAsia="zh-CN" w:bidi="ar"/>
              </w:rPr>
              <w:t xml:space="preserve">0.00 </w:t>
            </w:r>
          </w:p>
        </w:tc>
        <w:tc>
          <w:tcPr>
            <w:tcW w:w="1560" w:type="dxa"/>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Times New Roman Regular" w:hAnsi="Times New Roman Regular" w:cs="Times New Roman Regular"/>
                <w:b w:val="0"/>
                <w:bCs w:val="0"/>
                <w:color w:val="auto"/>
                <w:kern w:val="0"/>
                <w:sz w:val="24"/>
                <w:szCs w:val="24"/>
              </w:rPr>
            </w:pPr>
            <w:r>
              <w:rPr>
                <w:rFonts w:hint="default" w:ascii="Times New Roman Regular" w:hAnsi="Times New Roman Regular" w:eastAsia="Times New Roman Regular" w:cs="Times New Roman Regular"/>
                <w:i w:val="0"/>
                <w:iCs w:val="0"/>
                <w:color w:val="000000"/>
                <w:kern w:val="0"/>
                <w:sz w:val="24"/>
                <w:szCs w:val="24"/>
                <w:u w:val="none"/>
                <w:lang w:val="en-US" w:eastAsia="zh-CN" w:bidi="ar"/>
              </w:rPr>
              <w:t xml:space="preserve">0.00 </w:t>
            </w:r>
          </w:p>
        </w:tc>
        <w:tc>
          <w:tcPr>
            <w:tcW w:w="1560" w:type="dxa"/>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Times New Roman Regular" w:hAnsi="Times New Roman Regular" w:cs="Times New Roman Regular"/>
                <w:b w:val="0"/>
                <w:bCs w:val="0"/>
                <w:color w:val="auto"/>
                <w:kern w:val="0"/>
                <w:sz w:val="24"/>
                <w:szCs w:val="24"/>
                <w:highlight w:val="yellow"/>
              </w:rPr>
            </w:pPr>
            <w:r>
              <w:rPr>
                <w:rFonts w:hint="default" w:ascii="Times New Roman Regular" w:hAnsi="Times New Roman Regular" w:eastAsia="Times New Roman Regular" w:cs="Times New Roman Regular"/>
                <w:i w:val="0"/>
                <w:iCs w:val="0"/>
                <w:color w:val="auto"/>
                <w:kern w:val="0"/>
                <w:sz w:val="24"/>
                <w:szCs w:val="24"/>
                <w:u w:val="none"/>
                <w:lang w:val="en-US" w:eastAsia="zh-CN" w:bidi="ar"/>
              </w:rPr>
              <w:t xml:space="preserve">85.12 </w:t>
            </w:r>
          </w:p>
        </w:tc>
        <w:tc>
          <w:tcPr>
            <w:tcW w:w="1497" w:type="dxa"/>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Regular" w:hAnsi="Times New Roman Regular" w:cs="Times New Roman Regular"/>
                <w:b w:val="0"/>
                <w:bCs w:val="0"/>
                <w:color w:val="auto"/>
                <w:kern w:val="0"/>
                <w:sz w:val="24"/>
                <w:szCs w:val="24"/>
                <w:highlight w:val="yellow"/>
              </w:rPr>
            </w:pPr>
            <w:r>
              <w:rPr>
                <w:rFonts w:hint="default" w:ascii="Times New Roman Regular" w:hAnsi="Times New Roman Regular" w:eastAsia="Times New Roman Regular" w:cs="Times New Roman Regular"/>
                <w:i w:val="0"/>
                <w:iCs w:val="0"/>
                <w:color w:val="auto"/>
                <w:kern w:val="0"/>
                <w:sz w:val="24"/>
                <w:szCs w:val="24"/>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110" w:type="dxa"/>
            <w:shd w:val="clear" w:color="auto" w:fill="auto"/>
            <w:vAlign w:val="center"/>
          </w:tcPr>
          <w:p>
            <w:pPr>
              <w:keepNext w:val="0"/>
              <w:keepLines w:val="0"/>
              <w:widowControl/>
              <w:suppressLineNumbers w:val="0"/>
              <w:spacing w:before="0" w:beforeAutospacing="0" w:after="0" w:afterAutospacing="0"/>
              <w:ind w:left="0" w:right="0"/>
              <w:jc w:val="center"/>
              <w:rPr>
                <w:rFonts w:hint="default" w:ascii="Times New Roman Regular" w:hAnsi="Times New Roman Regular" w:cs="Times New Roman Regular"/>
                <w:b/>
                <w:bCs/>
                <w:kern w:val="0"/>
                <w:sz w:val="24"/>
                <w:szCs w:val="24"/>
              </w:rPr>
            </w:pPr>
            <w:r>
              <w:rPr>
                <w:rFonts w:hint="default" w:ascii="Times New Roman Regular" w:hAnsi="Times New Roman Regular" w:cs="Times New Roman Regular"/>
                <w:b/>
                <w:bCs/>
                <w:kern w:val="0"/>
                <w:sz w:val="24"/>
                <w:szCs w:val="24"/>
              </w:rPr>
              <w:t>总计</w:t>
            </w:r>
          </w:p>
        </w:tc>
        <w:tc>
          <w:tcPr>
            <w:tcW w:w="1569" w:type="dxa"/>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Times New Roman Regular" w:hAnsi="Times New Roman Regular" w:cs="Times New Roman Regular"/>
                <w:b w:val="0"/>
                <w:bCs w:val="0"/>
                <w:color w:val="auto"/>
                <w:kern w:val="0"/>
                <w:sz w:val="24"/>
                <w:szCs w:val="24"/>
              </w:rPr>
            </w:pPr>
            <w:r>
              <w:rPr>
                <w:rFonts w:hint="default" w:ascii="Times New Roman Regular" w:hAnsi="Times New Roman Regular" w:eastAsia="Times New Roman Regular" w:cs="Times New Roman Regular"/>
                <w:i w:val="0"/>
                <w:iCs w:val="0"/>
                <w:color w:val="000000"/>
                <w:kern w:val="0"/>
                <w:sz w:val="24"/>
                <w:szCs w:val="24"/>
                <w:u w:val="none"/>
                <w:lang w:val="en-US" w:eastAsia="zh-CN" w:bidi="ar"/>
              </w:rPr>
              <w:t xml:space="preserve">10190.80 </w:t>
            </w:r>
          </w:p>
        </w:tc>
        <w:tc>
          <w:tcPr>
            <w:tcW w:w="1560" w:type="dxa"/>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Times New Roman Regular" w:hAnsi="Times New Roman Regular" w:cs="Times New Roman Regular"/>
                <w:b w:val="0"/>
                <w:bCs w:val="0"/>
                <w:color w:val="auto"/>
                <w:kern w:val="0"/>
                <w:sz w:val="24"/>
                <w:szCs w:val="24"/>
              </w:rPr>
            </w:pPr>
            <w:r>
              <w:rPr>
                <w:rFonts w:hint="default" w:ascii="Times New Roman Regular" w:hAnsi="Times New Roman Regular" w:eastAsia="Times New Roman Regular" w:cs="Times New Roman Regular"/>
                <w:i w:val="0"/>
                <w:iCs w:val="0"/>
                <w:color w:val="000000"/>
                <w:kern w:val="0"/>
                <w:sz w:val="24"/>
                <w:szCs w:val="24"/>
                <w:u w:val="none"/>
                <w:lang w:val="en-US" w:eastAsia="zh-CN" w:bidi="ar"/>
              </w:rPr>
              <w:t xml:space="preserve">13138.56 </w:t>
            </w:r>
          </w:p>
        </w:tc>
        <w:tc>
          <w:tcPr>
            <w:tcW w:w="1560" w:type="dxa"/>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Times New Roman Regular" w:hAnsi="Times New Roman Regular" w:cs="Times New Roman Regular"/>
                <w:b w:val="0"/>
                <w:bCs w:val="0"/>
                <w:color w:val="auto"/>
                <w:kern w:val="0"/>
                <w:sz w:val="24"/>
                <w:szCs w:val="24"/>
              </w:rPr>
            </w:pPr>
            <w:r>
              <w:rPr>
                <w:rFonts w:hint="default" w:ascii="Times New Roman Regular" w:hAnsi="Times New Roman Regular" w:eastAsia="Times New Roman Regular" w:cs="Times New Roman Regular"/>
                <w:i w:val="0"/>
                <w:iCs w:val="0"/>
                <w:color w:val="000000"/>
                <w:kern w:val="0"/>
                <w:sz w:val="24"/>
                <w:szCs w:val="24"/>
                <w:u w:val="none"/>
                <w:lang w:val="en-US" w:eastAsia="zh-CN" w:bidi="ar"/>
              </w:rPr>
              <w:t xml:space="preserve">13138.56 </w:t>
            </w:r>
          </w:p>
        </w:tc>
        <w:tc>
          <w:tcPr>
            <w:tcW w:w="1497" w:type="dxa"/>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Regular" w:hAnsi="Times New Roman Regular" w:cs="Times New Roman Regular"/>
                <w:b w:val="0"/>
                <w:bCs w:val="0"/>
                <w:color w:val="auto"/>
                <w:kern w:val="0"/>
                <w:sz w:val="24"/>
                <w:szCs w:val="24"/>
              </w:rPr>
            </w:pPr>
            <w:r>
              <w:rPr>
                <w:rFonts w:hint="default" w:ascii="Times New Roman Regular" w:hAnsi="Times New Roman Regular" w:eastAsia="Times New Roman Regular" w:cs="Times New Roman Regular"/>
                <w:i w:val="0"/>
                <w:iCs w:val="0"/>
                <w:color w:val="auto"/>
                <w:kern w:val="0"/>
                <w:sz w:val="24"/>
                <w:szCs w:val="24"/>
                <w:u w:val="none"/>
                <w:lang w:val="en-US" w:eastAsia="zh-CN" w:bidi="ar"/>
              </w:rPr>
              <w:t>—</w:t>
            </w:r>
          </w:p>
        </w:tc>
      </w:tr>
    </w:tbl>
    <w:p>
      <w:pPr>
        <w:keepNext/>
        <w:adjustRightInd w:val="0"/>
        <w:snapToGrid w:val="0"/>
        <w:spacing w:line="560" w:lineRule="exact"/>
        <w:ind w:firstLine="640" w:firstLineChars="200"/>
        <w:outlineLvl w:val="0"/>
        <w:rPr>
          <w:rFonts w:hint="default" w:ascii="Times New Roman Regular" w:hAnsi="Times New Roman Regular" w:eastAsia="黑体" w:cs="Times New Roman Regular"/>
          <w:sz w:val="32"/>
          <w:szCs w:val="32"/>
          <w:lang w:val="en-US" w:eastAsia="zh-CN"/>
        </w:rPr>
      </w:pPr>
      <w:bookmarkStart w:id="25" w:name="_Toc378834889"/>
      <w:bookmarkStart w:id="26" w:name="_Toc135202290"/>
      <w:bookmarkStart w:id="27" w:name="_Toc908049941"/>
      <w:bookmarkStart w:id="28" w:name="_Toc115047853"/>
      <w:r>
        <w:rPr>
          <w:rFonts w:ascii="Times New Roman Regular" w:hAnsi="Times New Roman Regular" w:eastAsia="黑体" w:cs="Times New Roman Regular"/>
          <w:sz w:val="32"/>
          <w:szCs w:val="32"/>
        </w:rPr>
        <w:t>三、整体绩效目标实现情况</w:t>
      </w:r>
      <w:bookmarkEnd w:id="25"/>
      <w:bookmarkEnd w:id="26"/>
      <w:bookmarkEnd w:id="27"/>
      <w:bookmarkEnd w:id="28"/>
    </w:p>
    <w:p>
      <w:pPr>
        <w:adjustRightInd w:val="0"/>
        <w:snapToGrid w:val="0"/>
        <w:spacing w:line="560" w:lineRule="exact"/>
        <w:ind w:firstLine="640" w:firstLineChars="200"/>
        <w:outlineLvl w:val="1"/>
        <w:rPr>
          <w:rFonts w:ascii="Times New Roman Regular" w:hAnsi="Times New Roman Regular" w:eastAsia="楷体" w:cs="Times New Roman Regular"/>
          <w:sz w:val="32"/>
          <w:szCs w:val="32"/>
        </w:rPr>
      </w:pPr>
      <w:bookmarkStart w:id="29" w:name="_Toc873983071"/>
      <w:bookmarkStart w:id="30" w:name="_Toc1576562805"/>
      <w:bookmarkStart w:id="31" w:name="_Toc1936449715"/>
      <w:r>
        <w:rPr>
          <w:rFonts w:ascii="Times New Roman Regular" w:hAnsi="Times New Roman Regular" w:eastAsia="楷体" w:cs="Times New Roman Regular"/>
          <w:sz w:val="32"/>
          <w:szCs w:val="32"/>
        </w:rPr>
        <w:t>（一）产出完成情况分析</w:t>
      </w:r>
      <w:bookmarkEnd w:id="29"/>
      <w:bookmarkEnd w:id="30"/>
      <w:bookmarkEnd w:id="31"/>
    </w:p>
    <w:p>
      <w:pPr>
        <w:adjustRightInd w:val="0"/>
        <w:snapToGrid w:val="0"/>
        <w:spacing w:line="560" w:lineRule="exact"/>
        <w:ind w:firstLine="640" w:firstLineChars="200"/>
        <w:rPr>
          <w:rFonts w:hint="default" w:ascii="Times New Roman Regular" w:hAnsi="Times New Roman Regular" w:eastAsia="仿宋_GB2312" w:cs="Times New Roman Regular"/>
          <w:sz w:val="32"/>
          <w:szCs w:val="32"/>
          <w:highlight w:val="none"/>
          <w:lang w:val="en-US" w:eastAsia="zh-CN"/>
        </w:rPr>
      </w:pPr>
      <w:r>
        <w:rPr>
          <w:rFonts w:hint="default" w:ascii="Times New Roman Regular" w:hAnsi="Times New Roman Regular" w:eastAsia="仿宋_GB2312" w:cs="Times New Roman Regular"/>
          <w:sz w:val="32"/>
          <w:szCs w:val="32"/>
          <w:highlight w:val="none"/>
          <w:lang w:val="en-US" w:eastAsia="zh-CN"/>
        </w:rPr>
        <w:t>北京市贸促会2023年部门整体绩效目标产出实现情况较好，具体如下：</w:t>
      </w:r>
    </w:p>
    <w:p>
      <w:pPr>
        <w:pStyle w:val="16"/>
        <w:spacing w:line="560" w:lineRule="exact"/>
        <w:rPr>
          <w:rFonts w:hint="default" w:ascii="Times New Roman Regular" w:hAnsi="Times New Roman Regular" w:cs="Times New Roman Regular"/>
        </w:rPr>
      </w:pPr>
      <w:r>
        <w:rPr>
          <w:rFonts w:hint="default" w:ascii="Times New Roman Regular" w:hAnsi="Times New Roman Regular" w:cs="Times New Roman Regular"/>
        </w:rPr>
        <w:t>1.组织开展中关村论坛展览（科博会）。2023年北京市贸促会锚定国际科技创新中心功能定位，组织开展了中关村论坛展览（科博会），有来自23个国家和地区的650余家企业参展，配套举办了数字经济、人工智能、科技金融等8场推介活动，国际化率达到25%，充分展示了新技术、新产业、新业态、新模式，彰显全球科技创新与交流合作丰硕成果。</w:t>
      </w:r>
    </w:p>
    <w:p>
      <w:pPr>
        <w:pStyle w:val="16"/>
        <w:spacing w:line="560" w:lineRule="exact"/>
        <w:rPr>
          <w:rFonts w:hint="default" w:ascii="Times New Roman Regular" w:hAnsi="Times New Roman Regular" w:cs="Times New Roman Regular"/>
        </w:rPr>
      </w:pPr>
      <w:r>
        <w:rPr>
          <w:rFonts w:hint="default" w:ascii="Times New Roman Regular" w:hAnsi="Times New Roman Regular" w:cs="Times New Roman Regular"/>
        </w:rPr>
        <w:t>2.超额完成全年培训工作目标。为服务企业，北京市贸促会2023年通过“首都国际经贸大讲堂”统筹全会经贸培训活动，建立培训工作标准化流程，深化与政府部门、贸促系统、专业服务机构、境内外商协会合作，精选“一带一路”建设、国别贸易投资环境、数字经济、国际消费中心城市建设、绿色低碳、民营经济发展等重点热点主题，多渠道推广培训项目，连续开展培训活动35场，惠及万余人次。此外，为切实提升“京字号”企业海外经营御险能力，为100余家企业举办合规培训，并设立了北京市第一家企业合规师培训示范基地。</w:t>
      </w:r>
    </w:p>
    <w:p>
      <w:pPr>
        <w:adjustRightInd w:val="0"/>
        <w:snapToGrid w:val="0"/>
        <w:spacing w:line="560" w:lineRule="exact"/>
        <w:ind w:firstLine="640" w:firstLineChars="200"/>
        <w:outlineLvl w:val="1"/>
        <w:rPr>
          <w:rFonts w:ascii="Times New Roman Regular" w:hAnsi="Times New Roman Regular" w:eastAsia="楷体" w:cs="Times New Roman Regular"/>
          <w:sz w:val="32"/>
          <w:szCs w:val="32"/>
        </w:rPr>
      </w:pPr>
      <w:bookmarkStart w:id="32" w:name="_Toc1637826949"/>
      <w:bookmarkStart w:id="33" w:name="_Toc245328817"/>
      <w:bookmarkStart w:id="34" w:name="_Toc795689720"/>
      <w:r>
        <w:rPr>
          <w:rFonts w:ascii="Times New Roman Regular" w:hAnsi="Times New Roman Regular" w:eastAsia="楷体" w:cs="Times New Roman Regular"/>
          <w:sz w:val="32"/>
          <w:szCs w:val="32"/>
        </w:rPr>
        <w:t>（二）效果实现情况分析</w:t>
      </w:r>
      <w:bookmarkEnd w:id="32"/>
      <w:bookmarkEnd w:id="33"/>
      <w:bookmarkEnd w:id="34"/>
    </w:p>
    <w:p>
      <w:pPr>
        <w:pStyle w:val="16"/>
        <w:numPr>
          <w:ilvl w:val="-1"/>
          <w:numId w:val="0"/>
        </w:numPr>
        <w:adjustRightInd w:val="0"/>
        <w:snapToGrid w:val="0"/>
        <w:spacing w:line="560" w:lineRule="exact"/>
        <w:ind w:firstLine="624" w:firstLineChars="200"/>
        <w:rPr>
          <w:rFonts w:hint="default" w:ascii="Times New Roman Regular" w:hAnsi="Times New Roman Regular" w:cs="Times New Roman Regular"/>
        </w:rPr>
      </w:pPr>
      <w:r>
        <w:rPr>
          <w:rFonts w:hint="default" w:ascii="Times New Roman Regular" w:hAnsi="Times New Roman Regular" w:cs="Times New Roman Regular"/>
        </w:rPr>
        <w:t>北京市贸促会202</w:t>
      </w:r>
      <w:r>
        <w:rPr>
          <w:rFonts w:hint="default" w:ascii="Times New Roman Regular" w:hAnsi="Times New Roman Regular" w:cs="Times New Roman Regular"/>
          <w:lang w:val="en-US" w:eastAsia="zh-CN"/>
        </w:rPr>
        <w:t>3</w:t>
      </w:r>
      <w:r>
        <w:rPr>
          <w:rFonts w:hint="default" w:ascii="Times New Roman Regular" w:hAnsi="Times New Roman Regular" w:cs="Times New Roman Regular"/>
        </w:rPr>
        <w:t>年部门整体绩效目标效果实现情况良好，具体如下：</w:t>
      </w:r>
    </w:p>
    <w:p>
      <w:pPr>
        <w:pStyle w:val="16"/>
        <w:numPr>
          <w:ilvl w:val="0"/>
          <w:numId w:val="1"/>
        </w:numPr>
        <w:spacing w:line="560" w:lineRule="exact"/>
        <w:ind w:firstLine="640"/>
        <w:rPr>
          <w:rFonts w:hint="default" w:ascii="Times New Roman Regular" w:hAnsi="Times New Roman Regular" w:cs="Times New Roman Regular"/>
          <w:b w:val="0"/>
          <w:bCs w:val="0"/>
          <w:color w:val="auto"/>
          <w:sz w:val="32"/>
          <w:szCs w:val="32"/>
          <w:highlight w:val="none"/>
          <w:lang w:val="en-US" w:eastAsia="zh-CN"/>
        </w:rPr>
      </w:pPr>
      <w:r>
        <w:rPr>
          <w:rFonts w:hint="default" w:ascii="Times New Roman Regular" w:hAnsi="Times New Roman Regular" w:cs="Times New Roman Regular"/>
          <w:color w:val="auto"/>
          <w:szCs w:val="32"/>
          <w:highlight w:val="none"/>
          <w:lang w:val="en-US" w:eastAsia="zh-CN"/>
        </w:rPr>
        <w:t>完成了</w:t>
      </w:r>
      <w:r>
        <w:rPr>
          <w:rFonts w:hint="eastAsia" w:ascii="Times New Roman Regular" w:hAnsi="Times New Roman Regular" w:cs="Times New Roman Regular"/>
          <w:color w:val="auto"/>
          <w:szCs w:val="32"/>
          <w:highlight w:val="none"/>
          <w:lang w:val="en-US" w:eastAsia="zh-CN"/>
        </w:rPr>
        <w:t>“</w:t>
      </w:r>
      <w:r>
        <w:rPr>
          <w:rFonts w:hint="default" w:ascii="Times New Roman Regular" w:hAnsi="Times New Roman Regular" w:cs="Times New Roman Regular"/>
          <w:color w:val="auto"/>
          <w:szCs w:val="32"/>
          <w:highlight w:val="none"/>
          <w:lang w:val="en-US" w:eastAsia="zh-CN"/>
        </w:rPr>
        <w:t>举办多场商贸事务活动</w:t>
      </w:r>
      <w:r>
        <w:rPr>
          <w:rFonts w:hint="eastAsia" w:ascii="Times New Roman Regular" w:hAnsi="Times New Roman Regular" w:cs="Times New Roman Regular"/>
          <w:color w:val="auto"/>
          <w:szCs w:val="32"/>
          <w:highlight w:val="none"/>
          <w:lang w:val="en-US" w:eastAsia="zh-CN"/>
        </w:rPr>
        <w:t>”</w:t>
      </w:r>
      <w:r>
        <w:rPr>
          <w:rFonts w:hint="default" w:ascii="Times New Roman Regular" w:hAnsi="Times New Roman Regular" w:cs="Times New Roman Regular"/>
          <w:color w:val="auto"/>
          <w:szCs w:val="32"/>
          <w:highlight w:val="none"/>
          <w:lang w:val="en-US" w:eastAsia="zh-CN"/>
        </w:rPr>
        <w:t>的绩效目标</w:t>
      </w:r>
      <w:r>
        <w:rPr>
          <w:rFonts w:hint="default" w:ascii="Times New Roman Regular" w:hAnsi="Times New Roman Regular" w:cs="Times New Roman Regular"/>
          <w:color w:val="auto"/>
          <w:szCs w:val="32"/>
          <w:highlight w:val="none"/>
          <w:lang w:eastAsia="zh-CN"/>
        </w:rPr>
        <w:t>。</w:t>
      </w:r>
    </w:p>
    <w:p>
      <w:pPr>
        <w:pStyle w:val="16"/>
        <w:numPr>
          <w:ilvl w:val="-1"/>
          <w:numId w:val="0"/>
        </w:numPr>
        <w:spacing w:line="560" w:lineRule="exact"/>
        <w:ind w:leftChars="0" w:firstLine="624" w:firstLineChars="200"/>
        <w:rPr>
          <w:rFonts w:hint="default" w:ascii="Times New Roman Regular" w:hAnsi="Times New Roman Regular" w:cs="Times New Roman Regular"/>
          <w:b w:val="0"/>
          <w:bCs w:val="0"/>
          <w:color w:val="auto"/>
          <w:sz w:val="32"/>
          <w:szCs w:val="32"/>
          <w:highlight w:val="none"/>
          <w:lang w:val="en-US" w:eastAsia="zh-CN"/>
        </w:rPr>
      </w:pPr>
      <w:r>
        <w:rPr>
          <w:rFonts w:hint="default" w:ascii="Times New Roman Regular" w:hAnsi="Times New Roman Regular" w:cs="Times New Roman Regular"/>
          <w:color w:val="auto"/>
          <w:szCs w:val="32"/>
          <w:highlight w:val="none"/>
          <w:lang w:val="en-US" w:eastAsia="zh-CN"/>
        </w:rPr>
        <w:t>北京市贸促会2023年</w:t>
      </w:r>
      <w:r>
        <w:rPr>
          <w:rFonts w:hint="default" w:ascii="Times New Roman Regular" w:hAnsi="Times New Roman Regular" w:cs="Times New Roman Regular"/>
          <w:b w:val="0"/>
          <w:bCs w:val="0"/>
          <w:color w:val="auto"/>
          <w:sz w:val="32"/>
          <w:szCs w:val="32"/>
          <w:highlight w:val="none"/>
          <w:lang w:val="en-US" w:eastAsia="zh-CN"/>
        </w:rPr>
        <w:t>举办了第十六届中国-拉美企业家高峰会、2023京津冀产学研推介交流会</w:t>
      </w:r>
      <w:r>
        <w:rPr>
          <w:rFonts w:hint="default" w:ascii="Times New Roman Regular" w:hAnsi="Times New Roman Regular" w:cs="Times New Roman Regular"/>
          <w:b w:val="0"/>
          <w:bCs w:val="0"/>
          <w:color w:val="auto"/>
          <w:sz w:val="32"/>
          <w:szCs w:val="32"/>
          <w:lang w:val="en-US" w:eastAsia="zh-CN"/>
        </w:rPr>
        <w:t>、</w:t>
      </w:r>
      <w:r>
        <w:rPr>
          <w:rFonts w:hint="default" w:ascii="Times New Roman Regular" w:hAnsi="Times New Roman Regular" w:eastAsia="仿宋_GB2312" w:cs="Times New Roman Regular"/>
          <w:color w:val="auto"/>
          <w:sz w:val="32"/>
          <w:szCs w:val="32"/>
          <w:lang w:val="en-US" w:eastAsia="zh-CN"/>
        </w:rPr>
        <w:t>北京</w:t>
      </w:r>
      <w:r>
        <w:rPr>
          <w:rFonts w:hint="default" w:ascii="Times New Roman Regular" w:hAnsi="Times New Roman Regular" w:cs="Times New Roman Regular"/>
          <w:color w:val="auto"/>
          <w:sz w:val="32"/>
          <w:szCs w:val="32"/>
          <w:lang w:val="en-US" w:eastAsia="zh-CN"/>
        </w:rPr>
        <w:t>—</w:t>
      </w:r>
      <w:r>
        <w:rPr>
          <w:rFonts w:hint="default" w:ascii="Times New Roman Regular" w:hAnsi="Times New Roman Regular" w:eastAsia="仿宋_GB2312" w:cs="Times New Roman Regular"/>
          <w:color w:val="auto"/>
          <w:sz w:val="32"/>
          <w:szCs w:val="32"/>
          <w:lang w:val="en-US" w:eastAsia="zh-CN"/>
        </w:rPr>
        <w:t>中东投资贸易推介会</w:t>
      </w:r>
      <w:r>
        <w:rPr>
          <w:rFonts w:hint="default" w:ascii="Times New Roman Regular" w:hAnsi="Times New Roman Regular" w:cs="Times New Roman Regular"/>
          <w:color w:val="auto"/>
          <w:sz w:val="32"/>
          <w:szCs w:val="32"/>
          <w:lang w:val="en-US" w:eastAsia="zh-CN"/>
        </w:rPr>
        <w:t>、</w:t>
      </w:r>
      <w:r>
        <w:rPr>
          <w:rFonts w:hint="default" w:ascii="Times New Roman Regular" w:hAnsi="Times New Roman Regular" w:eastAsia="仿宋_GB2312" w:cs="Times New Roman Regular"/>
          <w:color w:val="auto"/>
          <w:sz w:val="32"/>
          <w:szCs w:val="32"/>
          <w:lang w:val="en-US" w:eastAsia="zh-CN"/>
        </w:rPr>
        <w:t>北京—阿根廷经贸合作推介洽谈会</w:t>
      </w:r>
      <w:r>
        <w:rPr>
          <w:rFonts w:hint="default" w:ascii="Times New Roman Regular" w:hAnsi="Times New Roman Regular" w:cs="Times New Roman Regular"/>
          <w:color w:val="auto"/>
          <w:sz w:val="32"/>
          <w:szCs w:val="32"/>
          <w:lang w:val="en-US" w:eastAsia="zh-CN"/>
        </w:rPr>
        <w:t>、</w:t>
      </w:r>
      <w:r>
        <w:rPr>
          <w:rFonts w:hint="default" w:ascii="Times New Roman Regular" w:hAnsi="Times New Roman Regular" w:eastAsia="仿宋_GB2312" w:cs="Times New Roman Regular"/>
          <w:color w:val="auto"/>
          <w:sz w:val="32"/>
          <w:szCs w:val="32"/>
          <w:lang w:val="en-US" w:eastAsia="zh-CN"/>
        </w:rPr>
        <w:t>北京—智利经贸合作推介洽谈会</w:t>
      </w:r>
      <w:r>
        <w:rPr>
          <w:rFonts w:hint="default" w:ascii="Times New Roman Regular" w:hAnsi="Times New Roman Regular" w:cs="Times New Roman Regular"/>
          <w:color w:val="auto"/>
          <w:sz w:val="32"/>
          <w:szCs w:val="32"/>
          <w:lang w:val="en-US" w:eastAsia="zh-CN"/>
        </w:rPr>
        <w:t>、</w:t>
      </w:r>
      <w:r>
        <w:rPr>
          <w:rFonts w:hint="default" w:ascii="Times New Roman Regular" w:hAnsi="Times New Roman Regular" w:eastAsia="仿宋_GB2312" w:cs="Times New Roman Regular"/>
          <w:color w:val="auto"/>
          <w:sz w:val="32"/>
          <w:szCs w:val="32"/>
          <w:lang w:val="en-US" w:eastAsia="zh-CN"/>
        </w:rPr>
        <w:t>双向投资高峰论坛</w:t>
      </w:r>
      <w:r>
        <w:rPr>
          <w:rFonts w:hint="default" w:ascii="Times New Roman Regular" w:hAnsi="Times New Roman Regular" w:cs="Times New Roman Regular"/>
          <w:color w:val="auto"/>
          <w:sz w:val="32"/>
          <w:szCs w:val="32"/>
          <w:lang w:val="en-US" w:eastAsia="zh-CN"/>
        </w:rPr>
        <w:t>等</w:t>
      </w:r>
      <w:r>
        <w:rPr>
          <w:rFonts w:hint="eastAsia" w:ascii="Times New Roman Regular" w:hAnsi="Times New Roman Regular" w:cs="Times New Roman Regular"/>
          <w:color w:val="auto"/>
          <w:sz w:val="32"/>
          <w:szCs w:val="32"/>
          <w:lang w:val="en-US" w:eastAsia="zh-CN"/>
        </w:rPr>
        <w:t>6</w:t>
      </w:r>
      <w:r>
        <w:rPr>
          <w:rFonts w:hint="default" w:ascii="Times New Roman Regular" w:hAnsi="Times New Roman Regular" w:cs="Times New Roman Regular"/>
          <w:color w:val="auto"/>
          <w:sz w:val="32"/>
          <w:szCs w:val="32"/>
          <w:lang w:val="en-US" w:eastAsia="zh-CN"/>
        </w:rPr>
        <w:t>场商贸事务活动，并</w:t>
      </w:r>
      <w:r>
        <w:rPr>
          <w:rFonts w:hint="default" w:ascii="Times New Roman Regular" w:hAnsi="Times New Roman Regular" w:eastAsia="仿宋_GB2312" w:cs="Times New Roman Regular"/>
          <w:b w:val="0"/>
          <w:bCs w:val="0"/>
          <w:color w:val="auto"/>
          <w:sz w:val="32"/>
          <w:szCs w:val="32"/>
          <w:lang w:val="en-US" w:eastAsia="zh-CN"/>
        </w:rPr>
        <w:t>联合13家境外经贸机构启动</w:t>
      </w:r>
      <w:r>
        <w:rPr>
          <w:rFonts w:hint="default" w:ascii="Times New Roman Regular" w:hAnsi="Times New Roman Regular" w:cs="Times New Roman Regular"/>
          <w:b w:val="0"/>
          <w:bCs w:val="0"/>
          <w:color w:val="auto"/>
          <w:sz w:val="32"/>
          <w:szCs w:val="32"/>
          <w:lang w:val="en-US" w:eastAsia="zh-CN"/>
        </w:rPr>
        <w:t>了</w:t>
      </w:r>
      <w:r>
        <w:rPr>
          <w:rFonts w:hint="default" w:ascii="Times New Roman Regular" w:hAnsi="Times New Roman Regular" w:eastAsia="仿宋_GB2312" w:cs="Times New Roman Regular"/>
          <w:b w:val="0"/>
          <w:bCs w:val="0"/>
          <w:color w:val="auto"/>
          <w:sz w:val="32"/>
          <w:szCs w:val="32"/>
          <w:lang w:val="en-US" w:eastAsia="zh-CN"/>
        </w:rPr>
        <w:t>“联通世界 投资北京 共享未来”系列活动</w:t>
      </w:r>
      <w:r>
        <w:rPr>
          <w:rFonts w:hint="default" w:ascii="Times New Roman Regular" w:hAnsi="Times New Roman Regular" w:cs="Times New Roman Regular"/>
          <w:b w:val="0"/>
          <w:bCs w:val="0"/>
          <w:color w:val="auto"/>
          <w:sz w:val="32"/>
          <w:szCs w:val="32"/>
          <w:lang w:val="en-US" w:eastAsia="zh-CN"/>
        </w:rPr>
        <w:t>，为服务国家重大战略、推动首都高水平对外开放、推进国际工商合作等作出了重要贡献。</w:t>
      </w:r>
    </w:p>
    <w:p>
      <w:pPr>
        <w:pStyle w:val="16"/>
        <w:numPr>
          <w:ilvl w:val="0"/>
          <w:numId w:val="1"/>
        </w:numPr>
        <w:spacing w:line="560" w:lineRule="exact"/>
        <w:ind w:firstLine="624" w:firstLineChars="200"/>
        <w:rPr>
          <w:rFonts w:hint="default" w:ascii="Times New Roman Regular" w:hAnsi="Times New Roman Regular" w:cs="Times New Roman Regular"/>
          <w:color w:val="auto"/>
          <w:szCs w:val="32"/>
          <w:highlight w:val="none"/>
          <w:lang w:val="en-US" w:eastAsia="zh-CN"/>
        </w:rPr>
      </w:pPr>
      <w:r>
        <w:rPr>
          <w:rFonts w:hint="default" w:ascii="Times New Roman Regular" w:hAnsi="Times New Roman Regular" w:cs="Times New Roman Regular"/>
          <w:color w:val="auto"/>
          <w:szCs w:val="32"/>
          <w:highlight w:val="none"/>
          <w:lang w:val="en-US" w:eastAsia="zh-CN"/>
        </w:rPr>
        <w:t>在服务国家重大战略方面实现新突破。</w:t>
      </w:r>
    </w:p>
    <w:p>
      <w:pPr>
        <w:pStyle w:val="16"/>
        <w:numPr>
          <w:ilvl w:val="-1"/>
          <w:numId w:val="0"/>
        </w:numPr>
        <w:spacing w:line="560" w:lineRule="exact"/>
        <w:ind w:firstLine="624" w:firstLineChars="200"/>
        <w:rPr>
          <w:rFonts w:hint="default" w:ascii="Times New Roman Regular" w:hAnsi="Times New Roman Regular" w:cs="Times New Roman Regular"/>
          <w:color w:val="auto"/>
          <w:szCs w:val="32"/>
          <w:highlight w:val="none"/>
          <w:lang w:val="en-US" w:eastAsia="zh-CN"/>
        </w:rPr>
      </w:pPr>
      <w:r>
        <w:rPr>
          <w:rFonts w:hint="default" w:ascii="Times New Roman Regular" w:hAnsi="Times New Roman Regular" w:cs="Times New Roman Regular"/>
          <w:color w:val="auto"/>
          <w:szCs w:val="32"/>
          <w:highlight w:val="none"/>
          <w:lang w:val="en-US" w:eastAsia="zh-CN"/>
        </w:rPr>
        <w:t>一是为构建携手共进的中拉命运共同体贡献了“北京力量”。第十六届中国—拉美企业家高峰会发布了《中国—拉美和加勒比工商界合作北京倡议》《中拉互联互通指数报告（2023）》，在数字经济、农业经贸、文化旅游和绿色经济等多个领域深化了中拉务实合作、促进了双向贸易投资。二是推动了京津冀贸易投资促进协同发展。北京市贸促会发起签署《京津冀贸易投资促进协同发展行动方案》，共同推动了三地贸促系统在会展经济、商法服务等8大领域深化协同合作，携手举办了“京津冀国际贸易投资洽谈会”系列活动。</w:t>
      </w:r>
    </w:p>
    <w:p>
      <w:pPr>
        <w:pStyle w:val="16"/>
        <w:numPr>
          <w:ilvl w:val="0"/>
          <w:numId w:val="1"/>
        </w:numPr>
        <w:spacing w:line="560" w:lineRule="exact"/>
        <w:ind w:firstLine="624" w:firstLineChars="200"/>
        <w:rPr>
          <w:rFonts w:hint="default" w:ascii="Times New Roman Regular" w:hAnsi="Times New Roman Regular" w:cs="Times New Roman Regular"/>
          <w:color w:val="auto"/>
          <w:szCs w:val="32"/>
          <w:highlight w:val="none"/>
          <w:lang w:val="en-US" w:eastAsia="zh-CN"/>
        </w:rPr>
      </w:pPr>
      <w:r>
        <w:rPr>
          <w:rFonts w:hint="default" w:ascii="Times New Roman Regular" w:hAnsi="Times New Roman Regular" w:cs="Times New Roman Regular"/>
          <w:color w:val="auto"/>
          <w:szCs w:val="32"/>
          <w:highlight w:val="none"/>
          <w:lang w:val="en-US" w:eastAsia="zh-CN"/>
        </w:rPr>
        <w:t>在推动首都高水平对外开放方面取得新成效。</w:t>
      </w:r>
    </w:p>
    <w:p>
      <w:pPr>
        <w:pStyle w:val="16"/>
        <w:numPr>
          <w:ilvl w:val="-1"/>
          <w:numId w:val="0"/>
        </w:numPr>
        <w:spacing w:line="560" w:lineRule="exact"/>
        <w:ind w:firstLine="624" w:firstLineChars="200"/>
        <w:rPr>
          <w:rFonts w:hint="default" w:ascii="Times New Roman Regular" w:hAnsi="Times New Roman Regular" w:cs="Times New Roman Regular"/>
          <w:color w:val="auto"/>
          <w:szCs w:val="32"/>
          <w:highlight w:val="none"/>
          <w:lang w:val="en-US" w:eastAsia="zh-CN"/>
        </w:rPr>
      </w:pPr>
      <w:r>
        <w:rPr>
          <w:rFonts w:hint="default" w:ascii="Times New Roman Regular" w:hAnsi="Times New Roman Regular" w:cs="Times New Roman Regular"/>
          <w:color w:val="auto"/>
          <w:szCs w:val="32"/>
          <w:highlight w:val="none"/>
          <w:lang w:val="en-US" w:eastAsia="zh-CN"/>
        </w:rPr>
        <w:t>一是扎实有效服务“两区”建设。加大片区组团境外推介，赴中东、拉美、欧洲，宣介“两区”政策环境，开展招商引资。联合13家境外经贸机构启动“联通世界 投资北京 共享未来”系列活动，走进西城、丰台、房山等区举办专场招商推介，主动对接中德产业园、中关村综合保税区、中法新能源与新材料协作产业园等重点园区，定制策划“数智·重塑未来”等主题推介活动。二是北京市市长国际企业家顾问会议形成新的联席会议、建议落实、高层交流、日常服务4项工作机制；新增美国标普、法国赛峰、德国默克、英国德勤4家顾问单位，协助安排市领导会见顾问或顾问单位高层，组织“知名跨国企业青海行”活动，牵头召开国际顾问会联席会议，实现与顾问单位沟通更密、服务更实、合作更广。</w:t>
      </w:r>
    </w:p>
    <w:p>
      <w:pPr>
        <w:pStyle w:val="16"/>
        <w:numPr>
          <w:ilvl w:val="0"/>
          <w:numId w:val="1"/>
        </w:numPr>
        <w:spacing w:line="560" w:lineRule="exact"/>
        <w:ind w:firstLine="624" w:firstLineChars="200"/>
        <w:rPr>
          <w:rFonts w:hint="default" w:ascii="Times New Roman Regular" w:hAnsi="Times New Roman Regular" w:cs="Times New Roman Regular"/>
          <w:color w:val="auto"/>
          <w:szCs w:val="32"/>
          <w:highlight w:val="none"/>
          <w:lang w:val="en-US" w:eastAsia="zh-CN"/>
        </w:rPr>
      </w:pPr>
      <w:r>
        <w:rPr>
          <w:rFonts w:hint="default" w:ascii="Times New Roman Regular" w:hAnsi="Times New Roman Regular" w:cs="Times New Roman Regular"/>
          <w:color w:val="auto"/>
          <w:szCs w:val="32"/>
          <w:highlight w:val="none"/>
          <w:lang w:val="en-US" w:eastAsia="zh-CN"/>
        </w:rPr>
        <w:t>国际工商合作范围扩大，贸易投资促进效果明显。</w:t>
      </w:r>
    </w:p>
    <w:p>
      <w:pPr>
        <w:pStyle w:val="16"/>
        <w:numPr>
          <w:ilvl w:val="-1"/>
          <w:numId w:val="0"/>
        </w:numPr>
        <w:spacing w:line="560" w:lineRule="exact"/>
        <w:ind w:firstLine="624" w:firstLineChars="200"/>
        <w:rPr>
          <w:rFonts w:hint="default" w:ascii="Times New Roman Regular" w:hAnsi="Times New Roman Regular" w:cs="Times New Roman Regular"/>
          <w:color w:val="auto"/>
          <w:szCs w:val="32"/>
          <w:highlight w:val="none"/>
          <w:lang w:val="en-US" w:eastAsia="zh-CN"/>
        </w:rPr>
      </w:pPr>
      <w:r>
        <w:rPr>
          <w:rFonts w:hint="default" w:ascii="Times New Roman Regular" w:hAnsi="Times New Roman Regular" w:cs="Times New Roman Regular"/>
          <w:color w:val="auto"/>
          <w:szCs w:val="32"/>
          <w:highlight w:val="none"/>
          <w:lang w:val="en-US" w:eastAsia="zh-CN"/>
        </w:rPr>
        <w:t>一是进一步推动了北京市与阿拉伯国家的贸易投资合作，在服贸会期间举办2023年北京-中东投资贸易推介会，与沙特—中国商务理事会共同主办“沙特-北京投资贸易洽谈会”，50多家沙特企业与北京市70余家高新科技企业深入洽谈，达成多项合作共识。二是推开北京与拉美机遇之窗，圆满举办“北京—阿根廷经贸合作推介洽谈会”和“北京—智利经贸合作推介洽谈会”，在拉美地区掀起一轮“北京热”。三是</w:t>
      </w:r>
      <w:r>
        <w:rPr>
          <w:rFonts w:hint="default" w:ascii="Times New Roman Regular" w:hAnsi="Times New Roman Regular" w:eastAsia="仿宋_GB2312" w:cs="Times New Roman Regular"/>
          <w:b w:val="0"/>
          <w:bCs w:val="0"/>
          <w:color w:val="auto"/>
          <w:sz w:val="32"/>
          <w:szCs w:val="32"/>
          <w:highlight w:val="none"/>
          <w:lang w:val="en-US" w:eastAsia="zh-CN"/>
        </w:rPr>
        <w:t>与蒙古乌兰巴托商会、阿联酋中国商会、沙特-中国商务理事会、阿根廷亚太商会、波兰华沙工商会、智利出口促进总局、智利圣地亚哥商会、特立尼达和多巴哥投资促进局、澳门贸易投资促进局签署</w:t>
      </w:r>
      <w:r>
        <w:rPr>
          <w:rFonts w:hint="default" w:ascii="Times New Roman Regular" w:hAnsi="Times New Roman Regular" w:cs="Times New Roman Regular"/>
          <w:b w:val="0"/>
          <w:bCs w:val="0"/>
          <w:color w:val="auto"/>
          <w:sz w:val="32"/>
          <w:szCs w:val="32"/>
          <w:highlight w:val="none"/>
          <w:lang w:val="en-US" w:eastAsia="zh-CN"/>
        </w:rPr>
        <w:t>了</w:t>
      </w:r>
      <w:r>
        <w:rPr>
          <w:rFonts w:hint="default" w:ascii="Times New Roman Regular" w:hAnsi="Times New Roman Regular" w:eastAsia="仿宋_GB2312" w:cs="Times New Roman Regular"/>
          <w:b w:val="0"/>
          <w:bCs w:val="0"/>
          <w:color w:val="auto"/>
          <w:sz w:val="32"/>
          <w:szCs w:val="32"/>
          <w:highlight w:val="none"/>
          <w:lang w:val="en-US" w:eastAsia="zh-CN"/>
        </w:rPr>
        <w:t>友好合作协议</w:t>
      </w:r>
      <w:r>
        <w:rPr>
          <w:rFonts w:hint="default" w:ascii="Times New Roman Regular" w:hAnsi="Times New Roman Regular" w:cs="Times New Roman Regular"/>
          <w:color w:val="auto"/>
          <w:sz w:val="32"/>
          <w:szCs w:val="32"/>
          <w:highlight w:val="none"/>
          <w:lang w:val="en-US" w:eastAsia="zh-CN"/>
        </w:rPr>
        <w:t>。四是</w:t>
      </w:r>
      <w:r>
        <w:rPr>
          <w:rFonts w:hint="default" w:ascii="Times New Roman Regular" w:hAnsi="Times New Roman Regular" w:eastAsia="仿宋_GB2312" w:cs="Times New Roman Regular"/>
          <w:color w:val="auto"/>
          <w:sz w:val="32"/>
          <w:szCs w:val="32"/>
          <w:highlight w:val="none"/>
          <w:lang w:val="en-US" w:eastAsia="zh-CN"/>
        </w:rPr>
        <w:t>聚焦“一带一路”投资促进，举办双向投资高峰论坛，突出重点产业园区，组织7场平行洽谈推介，通过专业化对接服务，达成20个项目意向合作。</w:t>
      </w:r>
      <w:r>
        <w:rPr>
          <w:rFonts w:hint="default" w:ascii="Times New Roman Regular" w:hAnsi="Times New Roman Regular" w:cs="Times New Roman Regular"/>
          <w:color w:val="auto"/>
          <w:sz w:val="32"/>
          <w:szCs w:val="32"/>
          <w:highlight w:val="none"/>
          <w:lang w:val="en-US" w:eastAsia="zh-CN"/>
        </w:rPr>
        <w:t>五是</w:t>
      </w:r>
      <w:r>
        <w:rPr>
          <w:rFonts w:hint="default" w:ascii="Times New Roman Regular" w:hAnsi="Times New Roman Regular" w:eastAsia="仿宋_GB2312" w:cs="Times New Roman Regular"/>
          <w:color w:val="auto"/>
          <w:kern w:val="2"/>
          <w:sz w:val="32"/>
          <w:szCs w:val="32"/>
          <w:highlight w:val="none"/>
          <w:lang w:val="en-US" w:eastAsia="zh-CN" w:bidi="ar-SA"/>
        </w:rPr>
        <w:t>加强与国际展览业协会（UFI）等行业国际组织和品牌活动组织机构交流合作</w:t>
      </w:r>
      <w:r>
        <w:rPr>
          <w:rFonts w:hint="default" w:ascii="Times New Roman Regular" w:hAnsi="Times New Roman Regular" w:cs="Times New Roman Regular"/>
          <w:color w:val="auto"/>
          <w:kern w:val="2"/>
          <w:sz w:val="32"/>
          <w:szCs w:val="32"/>
          <w:highlight w:val="none"/>
          <w:lang w:val="en-US" w:eastAsia="zh-CN" w:bidi="ar-SA"/>
        </w:rPr>
        <w:t>，</w:t>
      </w:r>
      <w:r>
        <w:rPr>
          <w:rFonts w:hint="default" w:ascii="Times New Roman Regular" w:hAnsi="Times New Roman Regular" w:eastAsia="仿宋_GB2312" w:cs="Times New Roman Regular"/>
          <w:color w:val="auto"/>
          <w:kern w:val="2"/>
          <w:sz w:val="32"/>
          <w:szCs w:val="32"/>
          <w:highlight w:val="none"/>
          <w:lang w:val="en-US" w:eastAsia="zh-CN" w:bidi="ar-SA"/>
        </w:rPr>
        <w:t>开拓</w:t>
      </w:r>
      <w:r>
        <w:rPr>
          <w:rFonts w:hint="default" w:ascii="Times New Roman Regular" w:hAnsi="Times New Roman Regular" w:cs="Times New Roman Regular"/>
          <w:color w:val="auto"/>
          <w:kern w:val="2"/>
          <w:sz w:val="32"/>
          <w:szCs w:val="32"/>
          <w:highlight w:val="none"/>
          <w:lang w:val="en-US" w:eastAsia="zh-CN" w:bidi="ar-SA"/>
        </w:rPr>
        <w:t>了</w:t>
      </w:r>
      <w:r>
        <w:rPr>
          <w:rFonts w:hint="default" w:ascii="Times New Roman Regular" w:hAnsi="Times New Roman Regular" w:eastAsia="仿宋_GB2312" w:cs="Times New Roman Regular"/>
          <w:color w:val="auto"/>
          <w:kern w:val="2"/>
          <w:sz w:val="32"/>
          <w:szCs w:val="32"/>
          <w:highlight w:val="none"/>
          <w:lang w:val="en-US" w:eastAsia="zh-CN" w:bidi="ar-SA"/>
        </w:rPr>
        <w:t>澳门及葡语国家市场，</w:t>
      </w:r>
      <w:r>
        <w:rPr>
          <w:rFonts w:hint="default" w:ascii="Times New Roman Regular" w:hAnsi="Times New Roman Regular" w:eastAsia="仿宋_GB2312" w:cs="Times New Roman Regular"/>
          <w:b w:val="0"/>
          <w:bCs w:val="0"/>
          <w:color w:val="auto"/>
          <w:spacing w:val="-4"/>
          <w:kern w:val="2"/>
          <w:sz w:val="32"/>
          <w:szCs w:val="32"/>
          <w:highlight w:val="none"/>
          <w:lang w:val="en-US" w:eastAsia="zh-CN" w:bidi="ar-SA"/>
        </w:rPr>
        <w:t>支持举办</w:t>
      </w:r>
      <w:r>
        <w:rPr>
          <w:rFonts w:hint="default" w:ascii="Times New Roman Regular" w:hAnsi="Times New Roman Regular" w:cs="Times New Roman Regular"/>
          <w:b w:val="0"/>
          <w:bCs w:val="0"/>
          <w:color w:val="auto"/>
          <w:spacing w:val="-4"/>
          <w:kern w:val="2"/>
          <w:sz w:val="32"/>
          <w:szCs w:val="32"/>
          <w:highlight w:val="none"/>
          <w:lang w:val="en-US" w:eastAsia="zh-CN" w:bidi="ar-SA"/>
        </w:rPr>
        <w:t>了</w:t>
      </w:r>
      <w:r>
        <w:rPr>
          <w:rFonts w:hint="default" w:ascii="Times New Roman Regular" w:hAnsi="Times New Roman Regular" w:eastAsia="仿宋_GB2312" w:cs="Times New Roman Regular"/>
          <w:b w:val="0"/>
          <w:bCs w:val="0"/>
          <w:color w:val="auto"/>
          <w:spacing w:val="-4"/>
          <w:kern w:val="2"/>
          <w:sz w:val="32"/>
          <w:szCs w:val="32"/>
          <w:highlight w:val="none"/>
          <w:lang w:val="en-US" w:eastAsia="zh-CN" w:bidi="ar-SA"/>
        </w:rPr>
        <w:t>中国制冷展等多项国际性商业展览</w:t>
      </w:r>
      <w:r>
        <w:rPr>
          <w:rFonts w:hint="default" w:ascii="Times New Roman Regular" w:hAnsi="Times New Roman Regular" w:cs="Times New Roman Regular"/>
          <w:b w:val="0"/>
          <w:bCs w:val="0"/>
          <w:color w:val="auto"/>
          <w:spacing w:val="-4"/>
          <w:kern w:val="2"/>
          <w:sz w:val="32"/>
          <w:szCs w:val="32"/>
          <w:highlight w:val="none"/>
          <w:lang w:val="en-US" w:eastAsia="zh-CN" w:bidi="ar-SA"/>
        </w:rPr>
        <w:t>。</w:t>
      </w:r>
    </w:p>
    <w:p>
      <w:pPr>
        <w:pStyle w:val="16"/>
        <w:numPr>
          <w:ilvl w:val="0"/>
          <w:numId w:val="1"/>
        </w:numPr>
        <w:spacing w:line="560" w:lineRule="exact"/>
        <w:ind w:firstLine="624" w:firstLineChars="200"/>
        <w:rPr>
          <w:rFonts w:hint="default" w:ascii="Times New Roman Regular" w:hAnsi="Times New Roman Regular" w:cs="Times New Roman Regular"/>
          <w:color w:val="auto"/>
          <w:szCs w:val="32"/>
          <w:highlight w:val="none"/>
          <w:lang w:val="en-US" w:eastAsia="zh-CN"/>
        </w:rPr>
      </w:pPr>
      <w:r>
        <w:rPr>
          <w:rFonts w:hint="default" w:ascii="Times New Roman Regular" w:hAnsi="Times New Roman Regular" w:cs="Times New Roman Regular"/>
          <w:color w:val="auto"/>
          <w:szCs w:val="32"/>
          <w:highlight w:val="none"/>
          <w:lang w:val="en-US" w:eastAsia="zh-CN"/>
        </w:rPr>
        <w:t>运行管理机制不断完善，服务能力进一步提升。</w:t>
      </w:r>
    </w:p>
    <w:p>
      <w:pPr>
        <w:pStyle w:val="16"/>
        <w:adjustRightInd w:val="0"/>
        <w:snapToGrid w:val="0"/>
        <w:spacing w:line="560" w:lineRule="exact"/>
        <w:ind w:firstLine="624" w:firstLineChars="200"/>
        <w:rPr>
          <w:rFonts w:hint="default" w:ascii="Times New Roman Regular" w:hAnsi="Times New Roman Regular" w:cs="Times New Roman Regular"/>
          <w:color w:val="auto"/>
          <w:sz w:val="32"/>
          <w:szCs w:val="32"/>
          <w:lang w:val="en-US" w:eastAsia="zh-CN"/>
        </w:rPr>
      </w:pPr>
      <w:r>
        <w:rPr>
          <w:rFonts w:hint="default" w:ascii="Times New Roman Regular" w:hAnsi="Times New Roman Regular" w:cs="Times New Roman Regular"/>
          <w:color w:val="auto"/>
          <w:szCs w:val="32"/>
          <w:highlight w:val="none"/>
          <w:lang w:val="en-US" w:eastAsia="zh-CN"/>
        </w:rPr>
        <w:t>一是贸易活动更加便利化。北京市贸促会深化国际商事认证服务，全面推广全程网办、快递办、在线导办等便利化措施，编写国际商事认证服务“百问百答”，帮助企业用好用足政策红利，全年服务注册企业950余家，累计签发原产地证书、出具商事证明书、代办领事认证2.7万余份，较去年同期增长17.3%。二是国际商事法律服务逐步升级。</w:t>
      </w:r>
      <w:r>
        <w:rPr>
          <w:rFonts w:hint="default" w:ascii="Times New Roman Regular" w:hAnsi="Times New Roman Regular" w:eastAsia="仿宋_GB2312" w:cs="Times New Roman Regular"/>
          <w:b w:val="0"/>
          <w:bCs w:val="0"/>
          <w:color w:val="auto"/>
          <w:spacing w:val="-4"/>
          <w:kern w:val="2"/>
          <w:sz w:val="32"/>
          <w:szCs w:val="32"/>
          <w:lang w:val="en-US" w:eastAsia="zh-CN" w:bidi="ar-SA"/>
        </w:rPr>
        <w:t>持续完善经贸摩擦预警体系，新增海淀、大兴2家经贸摩擦预警点，全年发布经贸预警等法律资讯近300期，联合市高院及知名律所开发“一号海外法”原创信息产品31期。积极推动商事调解工作，促进多元化商事纠纷解决机制建设，为蒙古乌兰巴托商会、尼泊尔驻华使馆、智利水果协会及外国企业反映的商事纠纷和法律问题提供咨询意见，对接专业机构。</w:t>
      </w:r>
      <w:r>
        <w:rPr>
          <w:rFonts w:hint="default" w:ascii="Times New Roman Regular" w:hAnsi="Times New Roman Regular" w:cs="Times New Roman Regular"/>
          <w:b w:val="0"/>
          <w:bCs w:val="0"/>
          <w:color w:val="auto"/>
          <w:spacing w:val="-4"/>
          <w:kern w:val="2"/>
          <w:sz w:val="32"/>
          <w:szCs w:val="32"/>
          <w:lang w:val="en-US" w:eastAsia="zh-CN" w:bidi="ar-SA"/>
        </w:rPr>
        <w:t>同时，</w:t>
      </w:r>
      <w:r>
        <w:rPr>
          <w:rFonts w:hint="default" w:ascii="Times New Roman Regular" w:hAnsi="Times New Roman Regular" w:eastAsia="仿宋_GB2312" w:cs="Times New Roman Regular"/>
          <w:b w:val="0"/>
          <w:bCs w:val="0"/>
          <w:color w:val="auto"/>
          <w:spacing w:val="-4"/>
          <w:kern w:val="2"/>
          <w:sz w:val="32"/>
          <w:szCs w:val="32"/>
          <w:lang w:val="en-US" w:eastAsia="zh-CN" w:bidi="ar-SA"/>
        </w:rPr>
        <w:t>促进企业合规体系建设，设立北京市第一家企业合规师培训示范基地，切实提升“京字号”企业海外经营御险能力。</w:t>
      </w:r>
      <w:r>
        <w:rPr>
          <w:rFonts w:hint="default" w:ascii="Times New Roman Regular" w:hAnsi="Times New Roman Regular" w:cs="Times New Roman Regular"/>
          <w:b w:val="0"/>
          <w:bCs w:val="0"/>
          <w:color w:val="auto"/>
          <w:spacing w:val="-4"/>
          <w:kern w:val="2"/>
          <w:sz w:val="32"/>
          <w:szCs w:val="32"/>
          <w:lang w:val="en-US" w:eastAsia="zh-CN" w:bidi="ar-SA"/>
        </w:rPr>
        <w:t>三是贸促系统合力持续增强，基层贸促组织渐具规模。</w:t>
      </w:r>
      <w:r>
        <w:rPr>
          <w:rFonts w:hint="default" w:ascii="Times New Roman Regular" w:hAnsi="Times New Roman Regular" w:eastAsia="仿宋_GB2312" w:cs="Times New Roman Regular"/>
          <w:color w:val="auto"/>
          <w:kern w:val="2"/>
          <w:sz w:val="32"/>
          <w:szCs w:val="32"/>
          <w:highlight w:val="none"/>
          <w:lang w:val="en-US" w:eastAsia="zh-CN" w:bidi="ar-SA"/>
        </w:rPr>
        <w:t>积极对接用好各类机制平台</w:t>
      </w:r>
      <w:r>
        <w:rPr>
          <w:rFonts w:hint="default" w:ascii="Times New Roman Regular" w:hAnsi="Times New Roman Regular" w:cs="Times New Roman Regular"/>
          <w:color w:val="auto"/>
          <w:kern w:val="2"/>
          <w:sz w:val="32"/>
          <w:szCs w:val="32"/>
          <w:highlight w:val="none"/>
          <w:lang w:val="en-US" w:eastAsia="zh-CN" w:bidi="ar-SA"/>
        </w:rPr>
        <w:t>，</w:t>
      </w:r>
      <w:r>
        <w:rPr>
          <w:rFonts w:hint="default" w:ascii="Times New Roman Regular" w:hAnsi="Times New Roman Regular" w:eastAsia="仿宋_GB2312" w:cs="Times New Roman Regular"/>
          <w:color w:val="auto"/>
          <w:kern w:val="2"/>
          <w:sz w:val="32"/>
          <w:szCs w:val="32"/>
          <w:highlight w:val="none"/>
          <w:lang w:val="en-US" w:eastAsia="zh-CN" w:bidi="ar-SA"/>
        </w:rPr>
        <w:t>加强与兄弟贸促会互动合作，与福州国际商会签署合作协议，</w:t>
      </w:r>
      <w:r>
        <w:rPr>
          <w:rFonts w:hint="default" w:ascii="Times New Roman Regular" w:hAnsi="Times New Roman Regular" w:eastAsia="仿宋_GB2312" w:cs="Times New Roman Regular"/>
          <w:color w:val="auto"/>
          <w:sz w:val="32"/>
          <w:szCs w:val="32"/>
          <w:lang w:val="en-US" w:eastAsia="zh-CN"/>
        </w:rPr>
        <w:t>落实京蒙、京青、京沈等合作机制</w:t>
      </w:r>
      <w:r>
        <w:rPr>
          <w:rFonts w:hint="default" w:ascii="Times New Roman Regular" w:hAnsi="Times New Roman Regular" w:cs="Times New Roman Regular"/>
          <w:color w:val="auto"/>
          <w:sz w:val="32"/>
          <w:szCs w:val="32"/>
          <w:lang w:val="en-US" w:eastAsia="zh-CN"/>
        </w:rPr>
        <w:t>；坚持全市贸促工作“一盘棋”，加快推进区级贸促机构实体化进程，</w:t>
      </w:r>
      <w:r>
        <w:rPr>
          <w:rFonts w:hint="default" w:ascii="Times New Roman Regular" w:hAnsi="Times New Roman Regular" w:eastAsia="仿宋_GB2312" w:cs="Times New Roman Regular"/>
          <w:color w:val="auto"/>
          <w:kern w:val="2"/>
          <w:sz w:val="32"/>
          <w:szCs w:val="32"/>
          <w:highlight w:val="none"/>
          <w:lang w:val="en-US" w:eastAsia="zh-CN" w:bidi="ar-SA"/>
        </w:rPr>
        <w:t>创新</w:t>
      </w:r>
      <w:r>
        <w:rPr>
          <w:rFonts w:hint="default" w:ascii="Times New Roman Regular" w:hAnsi="Times New Roman Regular" w:eastAsia="仿宋_GB2312" w:cs="Times New Roman Regular"/>
          <w:b w:val="0"/>
          <w:bCs w:val="0"/>
          <w:color w:val="auto"/>
          <w:sz w:val="32"/>
          <w:szCs w:val="32"/>
          <w:lang w:val="en-US" w:eastAsia="zh-CN"/>
        </w:rPr>
        <w:t>搭建“一区一合作平台”</w:t>
      </w:r>
      <w:r>
        <w:rPr>
          <w:rFonts w:hint="default" w:ascii="Times New Roman Regular" w:hAnsi="Times New Roman Regular" w:eastAsia="仿宋_GB2312" w:cs="Times New Roman Regular"/>
          <w:color w:val="auto"/>
          <w:kern w:val="2"/>
          <w:sz w:val="32"/>
          <w:szCs w:val="32"/>
          <w:highlight w:val="none"/>
          <w:lang w:val="en-US" w:eastAsia="zh-CN" w:bidi="ar-SA"/>
        </w:rPr>
        <w:t>，带领区级贸促会特色化、差异化发展</w:t>
      </w:r>
      <w:r>
        <w:rPr>
          <w:rFonts w:hint="default" w:ascii="Times New Roman Regular" w:hAnsi="Times New Roman Regular" w:cs="Times New Roman Regular"/>
          <w:color w:val="auto"/>
          <w:sz w:val="32"/>
          <w:szCs w:val="32"/>
          <w:lang w:val="en-US" w:eastAsia="zh-CN"/>
        </w:rPr>
        <w:t>。四是智库建设取得突破性进展。充分发挥北京国际经济贸易学会平台载体作用，与首都经济贸易大学等高校开展战略合作，吸纳70余名政经学研专家力量，为智库建设提供专业支撑。2023年被市委办公厅评为信息工作进步较大单位，在“两区”信息工作中位列市级部门第二。</w:t>
      </w:r>
    </w:p>
    <w:p>
      <w:pPr>
        <w:pStyle w:val="16"/>
        <w:adjustRightInd w:val="0"/>
        <w:snapToGrid w:val="0"/>
        <w:spacing w:line="560" w:lineRule="exact"/>
        <w:ind w:firstLine="624" w:firstLineChars="200"/>
        <w:rPr>
          <w:rFonts w:hint="default" w:ascii="Times New Roman Regular" w:hAnsi="Times New Roman Regular" w:cs="Times New Roman Regular"/>
          <w:color w:val="auto"/>
          <w:sz w:val="32"/>
          <w:szCs w:val="32"/>
          <w:highlight w:val="none"/>
          <w:lang w:val="en-US" w:eastAsia="zh-CN"/>
        </w:rPr>
      </w:pPr>
      <w:r>
        <w:rPr>
          <w:rFonts w:hint="default" w:ascii="Times New Roman Regular" w:hAnsi="Times New Roman Regular" w:cs="Times New Roman Regular"/>
          <w:color w:val="auto"/>
          <w:sz w:val="32"/>
          <w:szCs w:val="32"/>
          <w:highlight w:val="none"/>
          <w:lang w:val="en-US" w:eastAsia="zh-CN"/>
        </w:rPr>
        <w:t>总体来看，部门整体绩效目标完成情况较好，其中，培训工作实际完成情况远超预期目标，下一年度将进一步提升年度工作计划和预期绩效目标的指导性、约束性。</w:t>
      </w:r>
    </w:p>
    <w:p>
      <w:pPr>
        <w:adjustRightInd w:val="0"/>
        <w:snapToGrid w:val="0"/>
        <w:spacing w:line="560" w:lineRule="exact"/>
        <w:ind w:firstLine="640" w:firstLineChars="200"/>
        <w:outlineLvl w:val="0"/>
        <w:rPr>
          <w:rFonts w:ascii="Times New Roman Regular" w:hAnsi="Times New Roman Regular" w:eastAsia="黑体" w:cs="Times New Roman Regular"/>
          <w:sz w:val="32"/>
          <w:szCs w:val="32"/>
        </w:rPr>
      </w:pPr>
      <w:bookmarkStart w:id="35" w:name="_Toc776454171"/>
      <w:bookmarkStart w:id="36" w:name="_Toc72825079"/>
      <w:bookmarkStart w:id="37" w:name="_Toc512144597"/>
      <w:bookmarkStart w:id="38" w:name="_Toc135202291"/>
      <w:r>
        <w:rPr>
          <w:rFonts w:ascii="Times New Roman Regular" w:hAnsi="Times New Roman Regular" w:eastAsia="黑体" w:cs="Times New Roman Regular"/>
          <w:sz w:val="32"/>
          <w:szCs w:val="32"/>
        </w:rPr>
        <w:t>四、预算管理情况分析</w:t>
      </w:r>
      <w:bookmarkEnd w:id="35"/>
      <w:bookmarkEnd w:id="36"/>
      <w:bookmarkEnd w:id="37"/>
      <w:bookmarkEnd w:id="38"/>
    </w:p>
    <w:p>
      <w:pPr>
        <w:adjustRightInd w:val="0"/>
        <w:snapToGrid w:val="0"/>
        <w:spacing w:line="560" w:lineRule="exact"/>
        <w:ind w:firstLine="640" w:firstLineChars="200"/>
        <w:outlineLvl w:val="1"/>
        <w:rPr>
          <w:rFonts w:ascii="Times New Roman Regular" w:hAnsi="Times New Roman Regular" w:eastAsia="楷体" w:cs="Times New Roman Regular"/>
          <w:sz w:val="32"/>
          <w:szCs w:val="32"/>
        </w:rPr>
      </w:pPr>
      <w:bookmarkStart w:id="39" w:name="_Toc2052907610"/>
      <w:bookmarkStart w:id="40" w:name="_Toc1754612825"/>
      <w:bookmarkStart w:id="41" w:name="_Toc135202292"/>
      <w:bookmarkStart w:id="42" w:name="_Toc499784603"/>
      <w:r>
        <w:rPr>
          <w:rFonts w:ascii="Times New Roman Regular" w:hAnsi="Times New Roman Regular" w:eastAsia="楷体" w:cs="Times New Roman Regular"/>
          <w:sz w:val="32"/>
          <w:szCs w:val="32"/>
        </w:rPr>
        <w:t>（一）财务管理</w:t>
      </w:r>
      <w:bookmarkEnd w:id="39"/>
      <w:bookmarkEnd w:id="40"/>
      <w:bookmarkEnd w:id="41"/>
      <w:bookmarkEnd w:id="42"/>
    </w:p>
    <w:p>
      <w:pPr>
        <w:adjustRightInd w:val="0"/>
        <w:snapToGrid w:val="0"/>
        <w:spacing w:line="560" w:lineRule="exact"/>
        <w:ind w:firstLine="640" w:firstLineChars="200"/>
        <w:rPr>
          <w:rFonts w:ascii="Times New Roman Regular" w:hAnsi="Times New Roman Regular" w:eastAsia="仿宋_GB2312" w:cs="Times New Roman Regular"/>
          <w:sz w:val="32"/>
          <w:szCs w:val="32"/>
        </w:rPr>
      </w:pPr>
      <w:bookmarkStart w:id="43" w:name="_Toc72439014"/>
      <w:bookmarkStart w:id="44" w:name="_Toc72438593"/>
      <w:r>
        <w:rPr>
          <w:rFonts w:ascii="Times New Roman Regular" w:hAnsi="Times New Roman Regular" w:eastAsia="仿宋_GB2312" w:cs="Times New Roman Regular"/>
          <w:sz w:val="32"/>
          <w:szCs w:val="32"/>
        </w:rPr>
        <w:t>1.财务管理制度健全性</w:t>
      </w:r>
      <w:bookmarkEnd w:id="43"/>
      <w:bookmarkEnd w:id="44"/>
    </w:p>
    <w:p>
      <w:pPr>
        <w:adjustRightInd w:val="0"/>
        <w:snapToGrid w:val="0"/>
        <w:spacing w:line="560" w:lineRule="exact"/>
        <w:ind w:firstLine="640" w:firstLineChars="200"/>
        <w:rPr>
          <w:rFonts w:ascii="Times New Roman Regular" w:hAnsi="Times New Roman Regular" w:eastAsia="仿宋_GB2312" w:cs="Times New Roman Regular"/>
          <w:sz w:val="32"/>
          <w:szCs w:val="32"/>
        </w:rPr>
      </w:pPr>
      <w:r>
        <w:rPr>
          <w:rFonts w:hint="default" w:ascii="Times New Roman Regular" w:hAnsi="Times New Roman Regular" w:eastAsia="仿宋_GB2312" w:cs="Times New Roman Regular"/>
          <w:sz w:val="32"/>
          <w:szCs w:val="32"/>
          <w:lang w:val="en-US" w:eastAsia="zh-CN"/>
        </w:rPr>
        <w:t>为进一步加强财务管理、预算管理、资产管理，规范各项财务收支行为，提高资金的使用效益，确保资产的安全性、准确性，提高资产的利用率和效能，</w:t>
      </w:r>
      <w:r>
        <w:rPr>
          <w:rFonts w:ascii="Times New Roman Regular" w:hAnsi="Times New Roman Regular" w:eastAsia="仿宋_GB2312" w:cs="Times New Roman Regular"/>
          <w:sz w:val="32"/>
          <w:szCs w:val="32"/>
        </w:rPr>
        <w:t>北京市贸促会</w:t>
      </w:r>
      <w:r>
        <w:rPr>
          <w:rFonts w:hint="default" w:ascii="Times New Roman Regular" w:hAnsi="Times New Roman Regular" w:eastAsia="仿宋_GB2312" w:cs="Times New Roman Regular"/>
          <w:sz w:val="32"/>
          <w:szCs w:val="32"/>
          <w:lang w:val="en-US" w:eastAsia="zh-CN"/>
        </w:rPr>
        <w:t>2023年根据财政部及北京市财政局相关要求，依据中央和北京市相关管理制度、管理办法，结合北京市贸促会实际情况，修订并印发了</w:t>
      </w:r>
      <w:r>
        <w:rPr>
          <w:rFonts w:ascii="Times New Roman Regular" w:hAnsi="Times New Roman Regular" w:eastAsia="仿宋_GB2312" w:cs="Times New Roman Regular"/>
          <w:sz w:val="32"/>
          <w:szCs w:val="32"/>
        </w:rPr>
        <w:t>《北京市贸促会财务管理制度》《北京市贸促会预算管理制度》《北京市贸促会账销案存资产管理暂行办法》《北京市贸促会专项经费管理暂行办法》</w:t>
      </w:r>
      <w:r>
        <w:rPr>
          <w:rFonts w:hint="default" w:ascii="Times New Roman Regular" w:hAnsi="Times New Roman Regular" w:eastAsia="仿宋_GB2312" w:cs="Times New Roman Regular"/>
          <w:sz w:val="32"/>
          <w:szCs w:val="32"/>
        </w:rPr>
        <w:t>《北京市贸促会内部财务信息公开工作管理办法》《北京市贸促会政府采购</w:t>
      </w:r>
      <w:r>
        <w:rPr>
          <w:rFonts w:hint="default" w:ascii="Times New Roman Regular" w:hAnsi="Times New Roman Regular" w:eastAsia="仿宋_GB2312" w:cs="Times New Roman Regular"/>
          <w:sz w:val="32"/>
          <w:szCs w:val="32"/>
          <w:lang w:val="en-US" w:eastAsia="zh-CN"/>
        </w:rPr>
        <w:t>制度</w:t>
      </w:r>
      <w:r>
        <w:rPr>
          <w:rFonts w:hint="default" w:ascii="Times New Roman Regular" w:hAnsi="Times New Roman Regular" w:eastAsia="仿宋_GB2312" w:cs="Times New Roman Regular"/>
          <w:sz w:val="32"/>
          <w:szCs w:val="32"/>
        </w:rPr>
        <w:t>》</w:t>
      </w:r>
      <w:r>
        <w:rPr>
          <w:rFonts w:hint="default" w:ascii="Times New Roman Regular" w:hAnsi="Times New Roman Regular" w:eastAsia="仿宋_GB2312" w:cs="Times New Roman Regular"/>
          <w:sz w:val="32"/>
          <w:szCs w:val="32"/>
          <w:lang w:eastAsia="zh-CN"/>
        </w:rPr>
        <w:t>《</w:t>
      </w:r>
      <w:r>
        <w:rPr>
          <w:rFonts w:hint="default" w:ascii="Times New Roman Regular" w:hAnsi="Times New Roman Regular" w:eastAsia="仿宋_GB2312" w:cs="Times New Roman Regular"/>
          <w:sz w:val="32"/>
          <w:szCs w:val="32"/>
          <w:lang w:val="en-US" w:eastAsia="zh-CN"/>
        </w:rPr>
        <w:t>北京市贸促会非政府采购项目工作管理办法》</w:t>
      </w:r>
      <w:r>
        <w:rPr>
          <w:rFonts w:ascii="Times New Roman Regular" w:hAnsi="Times New Roman Regular" w:eastAsia="仿宋_GB2312" w:cs="Times New Roman Regular"/>
          <w:sz w:val="32"/>
          <w:szCs w:val="32"/>
        </w:rPr>
        <w:t>等</w:t>
      </w:r>
      <w:r>
        <w:rPr>
          <w:rFonts w:hint="default" w:ascii="Times New Roman Regular" w:hAnsi="Times New Roman Regular" w:eastAsia="仿宋_GB2312" w:cs="Times New Roman Regular"/>
          <w:sz w:val="32"/>
          <w:szCs w:val="32"/>
        </w:rPr>
        <w:t>多</w:t>
      </w:r>
      <w:r>
        <w:rPr>
          <w:rFonts w:ascii="Times New Roman Regular" w:hAnsi="Times New Roman Regular" w:eastAsia="仿宋_GB2312" w:cs="Times New Roman Regular"/>
          <w:sz w:val="32"/>
          <w:szCs w:val="32"/>
        </w:rPr>
        <w:t>项财务管理制度，为内部财务管理工作提供较好的制度支撑，财务管理制度较为健全。</w:t>
      </w:r>
    </w:p>
    <w:p>
      <w:pPr>
        <w:adjustRightInd w:val="0"/>
        <w:snapToGrid w:val="0"/>
        <w:spacing w:line="560" w:lineRule="exact"/>
        <w:ind w:firstLine="640" w:firstLineChars="200"/>
        <w:rPr>
          <w:rFonts w:ascii="Times New Roman Regular" w:hAnsi="Times New Roman Regular" w:eastAsia="仿宋_GB2312" w:cs="Times New Roman Regular"/>
          <w:sz w:val="32"/>
          <w:szCs w:val="32"/>
          <w:highlight w:val="none"/>
        </w:rPr>
      </w:pPr>
      <w:bookmarkStart w:id="45" w:name="_Toc72439015"/>
      <w:bookmarkStart w:id="46" w:name="_Toc72438594"/>
      <w:r>
        <w:rPr>
          <w:rFonts w:ascii="Times New Roman Regular" w:hAnsi="Times New Roman Regular" w:eastAsia="仿宋_GB2312" w:cs="Times New Roman Regular"/>
          <w:sz w:val="32"/>
          <w:szCs w:val="32"/>
          <w:highlight w:val="none"/>
        </w:rPr>
        <w:t>2.资金使用合规和安全性</w:t>
      </w:r>
      <w:bookmarkEnd w:id="45"/>
      <w:bookmarkEnd w:id="46"/>
    </w:p>
    <w:p>
      <w:pPr>
        <w:adjustRightInd w:val="0"/>
        <w:snapToGrid w:val="0"/>
        <w:spacing w:line="560" w:lineRule="exact"/>
        <w:ind w:firstLine="640" w:firstLineChars="200"/>
        <w:rPr>
          <w:rFonts w:ascii="Times New Roman Regular" w:hAnsi="Times New Roman Regular" w:eastAsia="仿宋_GB2312" w:cs="Times New Roman Regular"/>
          <w:sz w:val="32"/>
          <w:szCs w:val="32"/>
          <w:highlight w:val="none"/>
        </w:rPr>
      </w:pPr>
      <w:r>
        <w:rPr>
          <w:rFonts w:ascii="Times New Roman Regular" w:hAnsi="Times New Roman Regular" w:eastAsia="仿宋_GB2312" w:cs="Times New Roman Regular"/>
          <w:sz w:val="32"/>
          <w:szCs w:val="32"/>
          <w:highlight w:val="none"/>
        </w:rPr>
        <w:t>北京市贸促会严格按照《北京市贸促会财务管理制度》《北京市贸促会预算管理制度》等财务管理制度对资金使用进行管理，</w:t>
      </w:r>
      <w:r>
        <w:rPr>
          <w:rFonts w:hint="default" w:ascii="Times New Roman Regular" w:hAnsi="Times New Roman Regular" w:eastAsia="仿宋_GB2312" w:cs="Times New Roman Regular"/>
          <w:sz w:val="32"/>
          <w:szCs w:val="32"/>
          <w:highlight w:val="none"/>
          <w:lang w:val="en-US" w:eastAsia="zh-CN"/>
        </w:rPr>
        <w:t>对专项</w:t>
      </w:r>
      <w:r>
        <w:rPr>
          <w:rFonts w:ascii="Times New Roman Regular" w:hAnsi="Times New Roman Regular" w:eastAsia="仿宋_GB2312" w:cs="Times New Roman Regular"/>
          <w:sz w:val="32"/>
          <w:szCs w:val="32"/>
          <w:highlight w:val="none"/>
        </w:rPr>
        <w:t>资金实施专户核算、统一管理</w:t>
      </w:r>
      <w:r>
        <w:rPr>
          <w:rFonts w:hint="default" w:ascii="Times New Roman Regular" w:hAnsi="Times New Roman Regular" w:eastAsia="仿宋_GB2312" w:cs="Times New Roman Regular"/>
          <w:sz w:val="32"/>
          <w:szCs w:val="32"/>
          <w:highlight w:val="none"/>
          <w:lang w:eastAsia="zh-CN"/>
        </w:rPr>
        <w:t>，</w:t>
      </w:r>
      <w:r>
        <w:rPr>
          <w:rFonts w:ascii="Times New Roman Regular" w:hAnsi="Times New Roman Regular" w:eastAsia="仿宋_GB2312" w:cs="Times New Roman Regular"/>
          <w:sz w:val="32"/>
          <w:szCs w:val="32"/>
          <w:highlight w:val="none"/>
        </w:rPr>
        <w:t>对项目资金进行单独建账、独立核算</w:t>
      </w:r>
      <w:r>
        <w:rPr>
          <w:rFonts w:hint="default" w:ascii="Times New Roman Regular" w:hAnsi="Times New Roman Regular" w:eastAsia="仿宋_GB2312" w:cs="Times New Roman Regular"/>
          <w:sz w:val="32"/>
          <w:szCs w:val="32"/>
          <w:highlight w:val="none"/>
          <w:lang w:eastAsia="zh-CN"/>
        </w:rPr>
        <w:t>。</w:t>
      </w:r>
      <w:r>
        <w:rPr>
          <w:rFonts w:ascii="Times New Roman Regular" w:hAnsi="Times New Roman Regular" w:eastAsia="仿宋_GB2312" w:cs="Times New Roman Regular"/>
          <w:sz w:val="32"/>
          <w:szCs w:val="32"/>
          <w:highlight w:val="none"/>
        </w:rPr>
        <w:t>评价未发现截留、挤占、挪用、虚列支出等情况，资金使用合规性较好。</w:t>
      </w:r>
    </w:p>
    <w:p>
      <w:pPr>
        <w:adjustRightInd w:val="0"/>
        <w:snapToGrid w:val="0"/>
        <w:spacing w:line="560" w:lineRule="exact"/>
        <w:ind w:firstLine="640" w:firstLineChars="200"/>
        <w:rPr>
          <w:rFonts w:ascii="Times New Roman Regular" w:hAnsi="Times New Roman Regular" w:eastAsia="仿宋_GB2312" w:cs="Times New Roman Regular"/>
          <w:sz w:val="32"/>
          <w:szCs w:val="32"/>
        </w:rPr>
      </w:pPr>
      <w:r>
        <w:rPr>
          <w:rFonts w:ascii="Times New Roman Regular" w:hAnsi="Times New Roman Regular" w:eastAsia="仿宋_GB2312" w:cs="Times New Roman Regular"/>
          <w:sz w:val="32"/>
          <w:szCs w:val="32"/>
        </w:rPr>
        <w:t>3.会计基础信息完善性</w:t>
      </w:r>
    </w:p>
    <w:p>
      <w:pPr>
        <w:adjustRightInd w:val="0"/>
        <w:snapToGrid w:val="0"/>
        <w:spacing w:line="560" w:lineRule="exact"/>
        <w:ind w:firstLine="640" w:firstLineChars="200"/>
        <w:rPr>
          <w:rFonts w:ascii="Times New Roman Regular" w:hAnsi="Times New Roman Regular" w:eastAsia="仿宋_GB2312" w:cs="Times New Roman Regular"/>
          <w:sz w:val="32"/>
          <w:szCs w:val="32"/>
        </w:rPr>
      </w:pPr>
      <w:r>
        <w:rPr>
          <w:rFonts w:ascii="Times New Roman Regular" w:hAnsi="Times New Roman Regular" w:eastAsia="仿宋_GB2312" w:cs="Times New Roman Regular"/>
          <w:sz w:val="32"/>
          <w:szCs w:val="32"/>
        </w:rPr>
        <w:t>北京市贸促会严格按照相关财务管理制度对会计信息进行管理，</w:t>
      </w:r>
      <w:r>
        <w:rPr>
          <w:rFonts w:hint="default" w:ascii="Times New Roman Regular" w:hAnsi="Times New Roman Regular" w:eastAsia="仿宋_GB2312" w:cs="Times New Roman Regular"/>
          <w:sz w:val="32"/>
          <w:szCs w:val="32"/>
        </w:rPr>
        <w:t>本次绩效评价过程中，</w:t>
      </w:r>
      <w:r>
        <w:rPr>
          <w:rFonts w:ascii="Times New Roman Regular" w:hAnsi="Times New Roman Regular" w:eastAsia="仿宋_GB2312" w:cs="Times New Roman Regular"/>
          <w:sz w:val="32"/>
          <w:szCs w:val="32"/>
        </w:rPr>
        <w:t>涉及的部门决算报表、会计记账凭证等基础数据信息和会计信息资料较为完整</w:t>
      </w:r>
      <w:r>
        <w:rPr>
          <w:rFonts w:hint="default" w:ascii="Times New Roman Regular" w:hAnsi="Times New Roman Regular" w:eastAsia="仿宋_GB2312" w:cs="Times New Roman Regular"/>
          <w:sz w:val="32"/>
          <w:szCs w:val="32"/>
        </w:rPr>
        <w:t>，</w:t>
      </w:r>
      <w:r>
        <w:rPr>
          <w:rFonts w:ascii="Times New Roman Regular" w:hAnsi="Times New Roman Regular" w:eastAsia="仿宋_GB2312" w:cs="Times New Roman Regular"/>
          <w:sz w:val="32"/>
          <w:szCs w:val="32"/>
        </w:rPr>
        <w:t>未发现基础数据、会计资料不准确、不真实的情况</w:t>
      </w:r>
      <w:r>
        <w:rPr>
          <w:rFonts w:hint="default" w:ascii="Times New Roman Regular" w:hAnsi="Times New Roman Regular" w:eastAsia="仿宋_GB2312" w:cs="Times New Roman Regular"/>
          <w:sz w:val="32"/>
          <w:szCs w:val="32"/>
        </w:rPr>
        <w:t>，</w:t>
      </w:r>
      <w:r>
        <w:rPr>
          <w:rFonts w:ascii="Times New Roman Regular" w:hAnsi="Times New Roman Regular" w:eastAsia="仿宋_GB2312" w:cs="Times New Roman Regular"/>
          <w:sz w:val="32"/>
          <w:szCs w:val="32"/>
        </w:rPr>
        <w:t>会计基础信息对预算管理工作能够起到支撑作用。</w:t>
      </w:r>
    </w:p>
    <w:p>
      <w:pPr>
        <w:adjustRightInd w:val="0"/>
        <w:snapToGrid w:val="0"/>
        <w:spacing w:line="560" w:lineRule="exact"/>
        <w:ind w:firstLine="640" w:firstLineChars="200"/>
        <w:outlineLvl w:val="1"/>
        <w:rPr>
          <w:rFonts w:ascii="Times New Roman Regular" w:hAnsi="Times New Roman Regular" w:eastAsia="楷体" w:cs="Times New Roman Regular"/>
          <w:sz w:val="32"/>
          <w:szCs w:val="32"/>
        </w:rPr>
      </w:pPr>
      <w:bookmarkStart w:id="47" w:name="_Toc1745928568"/>
      <w:bookmarkStart w:id="48" w:name="_Toc135202293"/>
      <w:bookmarkStart w:id="49" w:name="_Toc1071279204"/>
      <w:bookmarkStart w:id="50" w:name="_Toc532309171"/>
      <w:r>
        <w:rPr>
          <w:rFonts w:ascii="Times New Roman Regular" w:hAnsi="Times New Roman Regular" w:eastAsia="楷体" w:cs="Times New Roman Regular"/>
          <w:sz w:val="32"/>
          <w:szCs w:val="32"/>
        </w:rPr>
        <w:t>（二）资产管理</w:t>
      </w:r>
      <w:bookmarkEnd w:id="47"/>
      <w:bookmarkEnd w:id="48"/>
      <w:bookmarkEnd w:id="49"/>
      <w:bookmarkEnd w:id="50"/>
    </w:p>
    <w:p>
      <w:pPr>
        <w:keepNext w:val="0"/>
        <w:keepLines w:val="0"/>
        <w:widowControl w:val="0"/>
        <w:suppressLineNumbers w:val="0"/>
        <w:adjustRightInd w:val="0"/>
        <w:snapToGrid w:val="0"/>
        <w:spacing w:before="0" w:beforeAutospacing="0" w:after="0" w:afterAutospacing="0" w:line="560" w:lineRule="exact"/>
        <w:ind w:left="0" w:right="0" w:firstLine="640" w:firstLineChars="200"/>
        <w:jc w:val="both"/>
        <w:rPr>
          <w:rFonts w:hint="default" w:ascii="Times New Roman Regular" w:hAnsi="Times New Roman Regular" w:eastAsia="宋体" w:cs="Times New Roman Regular"/>
          <w:kern w:val="2"/>
          <w:sz w:val="32"/>
          <w:szCs w:val="32"/>
          <w:highlight w:val="yellow"/>
          <w:lang w:val="en-US" w:eastAsia="zh-CN"/>
        </w:rPr>
      </w:pPr>
      <w:r>
        <w:rPr>
          <w:rFonts w:hint="default" w:ascii="Times New Roman Regular" w:hAnsi="Times New Roman Regular" w:eastAsia="仿宋_GB2312" w:cs="Times New Roman Regular"/>
          <w:color w:val="auto"/>
          <w:kern w:val="2"/>
          <w:sz w:val="32"/>
          <w:szCs w:val="32"/>
          <w:highlight w:val="none"/>
          <w:lang w:val="en-US" w:eastAsia="zh-CN" w:bidi="ar"/>
        </w:rPr>
        <w:t>北京市贸促会2023年完成了45年来固定资产实物全面清查盘点工作，未发现有严重资产损失和丢失情况，实现了一物一卡一条码管理，提升了固定资产管理的规范性。截至2023年12月31日，北京市贸促会资产总额4970.10万元。其中，货币资金4180.35万元，占资产总额84.11%；固定资产净值275.14万元，占资产总额5.54%；</w:t>
      </w:r>
      <w:r>
        <w:rPr>
          <w:rFonts w:hint="default" w:ascii="Times New Roman Regular" w:hAnsi="Times New Roman Regular" w:eastAsia="仿宋_GB2312" w:cs="Times New Roman Regular"/>
          <w:color w:val="auto"/>
          <w:sz w:val="32"/>
          <w:szCs w:val="32"/>
          <w:highlight w:val="none"/>
          <w:lang w:bidi="ar"/>
        </w:rPr>
        <w:t>无形资产净值34</w:t>
      </w:r>
      <w:r>
        <w:rPr>
          <w:rFonts w:hint="default" w:ascii="Times New Roman Regular" w:hAnsi="Times New Roman Regular" w:eastAsia="仿宋_GB2312" w:cs="Times New Roman Regular"/>
          <w:color w:val="auto"/>
          <w:sz w:val="32"/>
          <w:szCs w:val="32"/>
          <w:highlight w:val="none"/>
          <w:lang w:val="en-US" w:eastAsia="zh-CN" w:bidi="ar"/>
        </w:rPr>
        <w:t>4.</w:t>
      </w:r>
      <w:r>
        <w:rPr>
          <w:rFonts w:hint="default" w:ascii="Times New Roman Regular" w:hAnsi="Times New Roman Regular" w:eastAsia="仿宋_GB2312" w:cs="Times New Roman Regular"/>
          <w:color w:val="auto"/>
          <w:sz w:val="32"/>
          <w:szCs w:val="32"/>
          <w:highlight w:val="none"/>
          <w:lang w:bidi="ar"/>
        </w:rPr>
        <w:t>7</w:t>
      </w:r>
      <w:r>
        <w:rPr>
          <w:rFonts w:hint="default" w:ascii="Times New Roman Regular" w:hAnsi="Times New Roman Regular" w:eastAsia="仿宋_GB2312" w:cs="Times New Roman Regular"/>
          <w:color w:val="auto"/>
          <w:sz w:val="32"/>
          <w:szCs w:val="32"/>
          <w:highlight w:val="none"/>
          <w:lang w:val="en-US" w:eastAsia="zh-CN" w:bidi="ar"/>
        </w:rPr>
        <w:t>8万元，占资产总额6.94%；</w:t>
      </w:r>
      <w:r>
        <w:rPr>
          <w:rFonts w:hint="default" w:ascii="Times New Roman Regular" w:hAnsi="Times New Roman Regular" w:eastAsia="仿宋_GB2312" w:cs="Times New Roman Regular"/>
          <w:color w:val="auto"/>
          <w:kern w:val="2"/>
          <w:sz w:val="32"/>
          <w:szCs w:val="32"/>
          <w:highlight w:val="none"/>
          <w:lang w:val="en-US" w:eastAsia="zh-CN" w:bidi="ar"/>
        </w:rPr>
        <w:t>财政应返还额度85.12万元，占资产总额1.71%；</w:t>
      </w:r>
      <w:r>
        <w:rPr>
          <w:rFonts w:hint="default" w:ascii="Times New Roman Regular" w:hAnsi="Times New Roman Regular" w:eastAsia="仿宋_GB2312" w:cs="Times New Roman Regular"/>
          <w:color w:val="auto"/>
          <w:sz w:val="32"/>
          <w:szCs w:val="32"/>
          <w:highlight w:val="none"/>
          <w:lang w:bidi="ar"/>
        </w:rPr>
        <w:t>其他应收款净额8</w:t>
      </w:r>
      <w:r>
        <w:rPr>
          <w:rFonts w:hint="default" w:ascii="Times New Roman Regular" w:hAnsi="Times New Roman Regular" w:eastAsia="仿宋_GB2312" w:cs="Times New Roman Regular"/>
          <w:color w:val="auto"/>
          <w:sz w:val="32"/>
          <w:szCs w:val="32"/>
          <w:highlight w:val="none"/>
          <w:lang w:val="en-US" w:eastAsia="zh-CN" w:bidi="ar"/>
        </w:rPr>
        <w:t>4.</w:t>
      </w:r>
      <w:r>
        <w:rPr>
          <w:rFonts w:hint="default" w:ascii="Times New Roman Regular" w:hAnsi="Times New Roman Regular" w:eastAsia="仿宋_GB2312" w:cs="Times New Roman Regular"/>
          <w:color w:val="auto"/>
          <w:sz w:val="32"/>
          <w:szCs w:val="32"/>
          <w:highlight w:val="none"/>
          <w:lang w:bidi="ar"/>
        </w:rPr>
        <w:t>7</w:t>
      </w:r>
      <w:r>
        <w:rPr>
          <w:rFonts w:hint="default" w:ascii="Times New Roman Regular" w:hAnsi="Times New Roman Regular" w:eastAsia="仿宋_GB2312" w:cs="Times New Roman Regular"/>
          <w:color w:val="auto"/>
          <w:sz w:val="32"/>
          <w:szCs w:val="32"/>
          <w:highlight w:val="none"/>
          <w:lang w:val="en-US" w:eastAsia="zh-CN" w:bidi="ar"/>
        </w:rPr>
        <w:t>1万元，占资产总额1.70%</w:t>
      </w:r>
      <w:r>
        <w:rPr>
          <w:rFonts w:hint="default" w:ascii="Times New Roman Regular" w:hAnsi="Times New Roman Regular" w:eastAsia="仿宋_GB2312" w:cs="Times New Roman Regular"/>
          <w:color w:val="auto"/>
          <w:kern w:val="2"/>
          <w:sz w:val="32"/>
          <w:szCs w:val="32"/>
          <w:highlight w:val="none"/>
          <w:lang w:val="en-US" w:eastAsia="zh-CN" w:bidi="ar"/>
        </w:rPr>
        <w:t>。</w:t>
      </w:r>
    </w:p>
    <w:p>
      <w:pPr>
        <w:pStyle w:val="16"/>
        <w:ind w:firstLine="0" w:firstLineChars="0"/>
        <w:rPr>
          <w:rFonts w:ascii="Times New Roman Regular" w:hAnsi="Times New Roman Regular" w:cs="Times New Roman Regular"/>
        </w:rPr>
      </w:pPr>
      <w:r>
        <w:rPr>
          <w:rFonts w:hint="eastAsia" w:ascii="Times New Roman Regular" w:hAnsi="Times New Roman Regular" w:cs="Times New Roman Regular"/>
          <w:lang w:val="en-US" w:eastAsia="zh-CN"/>
        </w:rPr>
        <w:t xml:space="preserve">         </w:t>
      </w:r>
      <w:r>
        <w:rPr>
          <w:rFonts w:ascii="Times New Roman Regular" w:hAnsi="Times New Roman Regular" w:cs="Times New Roman Regular"/>
        </w:rPr>
        <w:drawing>
          <wp:inline distT="0" distB="0" distL="114300" distR="114300">
            <wp:extent cx="6648450" cy="2776855"/>
            <wp:effectExtent l="4445" t="4445" r="14605" b="1905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keepNext w:val="0"/>
        <w:keepLines w:val="0"/>
        <w:widowControl w:val="0"/>
        <w:suppressLineNumbers w:val="0"/>
        <w:adjustRightInd w:val="0"/>
        <w:snapToGrid w:val="0"/>
        <w:spacing w:before="0" w:beforeAutospacing="0" w:after="0" w:afterAutospacing="0" w:line="600" w:lineRule="exact"/>
        <w:ind w:left="0" w:right="0"/>
        <w:jc w:val="center"/>
        <w:rPr>
          <w:rFonts w:hint="default" w:ascii="Times New Roman Regular" w:hAnsi="Times New Roman Regular" w:eastAsia="宋体" w:cs="Times New Roman Regular"/>
          <w:kern w:val="2"/>
          <w:sz w:val="28"/>
          <w:szCs w:val="28"/>
        </w:rPr>
      </w:pPr>
      <w:r>
        <w:rPr>
          <w:rFonts w:hint="default" w:ascii="Times New Roman Regular" w:hAnsi="Times New Roman Regular" w:eastAsia="宋体" w:cs="Times New Roman Regular"/>
          <w:kern w:val="2"/>
          <w:sz w:val="28"/>
          <w:szCs w:val="28"/>
          <w:lang w:val="en-US" w:eastAsia="zh-CN" w:bidi="ar"/>
        </w:rPr>
        <w:t>图1 2023年北京市贸促会资产情况图</w:t>
      </w:r>
    </w:p>
    <w:p>
      <w:pPr>
        <w:adjustRightInd w:val="0"/>
        <w:snapToGrid w:val="0"/>
        <w:spacing w:line="560" w:lineRule="exact"/>
        <w:ind w:firstLine="640" w:firstLineChars="200"/>
        <w:outlineLvl w:val="1"/>
        <w:rPr>
          <w:rFonts w:ascii="Times New Roman Regular" w:hAnsi="Times New Roman Regular" w:eastAsia="楷体" w:cs="Times New Roman Regular"/>
          <w:sz w:val="32"/>
          <w:szCs w:val="32"/>
          <w:highlight w:val="none"/>
        </w:rPr>
      </w:pPr>
      <w:bookmarkStart w:id="51" w:name="_Toc103363595"/>
      <w:bookmarkStart w:id="52" w:name="_Toc486685180"/>
      <w:bookmarkStart w:id="53" w:name="_Toc604889768"/>
      <w:bookmarkStart w:id="54" w:name="_Toc135202294"/>
      <w:r>
        <w:rPr>
          <w:rFonts w:ascii="Times New Roman Regular" w:hAnsi="Times New Roman Regular" w:eastAsia="楷体" w:cs="Times New Roman Regular"/>
          <w:sz w:val="32"/>
          <w:szCs w:val="32"/>
          <w:highlight w:val="none"/>
        </w:rPr>
        <w:t>（三）绩效管理</w:t>
      </w:r>
      <w:bookmarkEnd w:id="51"/>
      <w:bookmarkEnd w:id="52"/>
      <w:bookmarkEnd w:id="53"/>
      <w:bookmarkEnd w:id="54"/>
    </w:p>
    <w:p>
      <w:pPr>
        <w:adjustRightInd w:val="0"/>
        <w:snapToGrid w:val="0"/>
        <w:spacing w:line="560" w:lineRule="exact"/>
        <w:ind w:firstLine="640" w:firstLineChars="200"/>
        <w:rPr>
          <w:rFonts w:ascii="Times New Roman Regular" w:hAnsi="Times New Roman Regular" w:eastAsia="仿宋_GB2312" w:cs="Times New Roman Regular"/>
          <w:color w:val="auto"/>
          <w:kern w:val="0"/>
          <w:sz w:val="32"/>
          <w:szCs w:val="32"/>
          <w:highlight w:val="yellow"/>
        </w:rPr>
      </w:pPr>
      <w:r>
        <w:rPr>
          <w:rFonts w:ascii="Times New Roman Regular" w:hAnsi="Times New Roman Regular" w:eastAsia="仿宋_GB2312" w:cs="Times New Roman Regular"/>
          <w:sz w:val="32"/>
          <w:szCs w:val="32"/>
          <w:highlight w:val="none"/>
        </w:rPr>
        <w:t>北京市贸促会</w:t>
      </w:r>
      <w:r>
        <w:rPr>
          <w:rFonts w:ascii="Times New Roman Regular" w:hAnsi="Times New Roman Regular" w:eastAsia="仿宋_GB2312" w:cs="Times New Roman Regular"/>
          <w:b w:val="0"/>
          <w:bCs w:val="0"/>
          <w:sz w:val="32"/>
          <w:szCs w:val="32"/>
          <w:highlight w:val="none"/>
        </w:rPr>
        <w:t>有效落实全过程预算绩效管理</w:t>
      </w:r>
      <w:r>
        <w:rPr>
          <w:rFonts w:hint="default" w:ascii="Times New Roman Regular" w:hAnsi="Times New Roman Regular" w:eastAsia="仿宋_GB2312" w:cs="Times New Roman Regular"/>
          <w:b w:val="0"/>
          <w:bCs w:val="0"/>
          <w:sz w:val="32"/>
          <w:szCs w:val="32"/>
          <w:highlight w:val="none"/>
          <w:lang w:eastAsia="zh-CN"/>
        </w:rPr>
        <w:t>，</w:t>
      </w:r>
      <w:r>
        <w:rPr>
          <w:rFonts w:ascii="Times New Roman Regular" w:hAnsi="Times New Roman Regular" w:eastAsia="仿宋_GB2312" w:cs="Times New Roman Regular"/>
          <w:sz w:val="32"/>
          <w:szCs w:val="32"/>
          <w:highlight w:val="none"/>
        </w:rPr>
        <w:t>按照</w:t>
      </w:r>
      <w:r>
        <w:rPr>
          <w:rFonts w:hint="default" w:ascii="Times New Roman Regular" w:hAnsi="Times New Roman Regular" w:eastAsia="仿宋_GB2312" w:cs="Times New Roman Regular"/>
          <w:sz w:val="32"/>
          <w:szCs w:val="32"/>
          <w:highlight w:val="none"/>
          <w:lang w:val="en-US" w:eastAsia="zh-CN"/>
        </w:rPr>
        <w:t>财政</w:t>
      </w:r>
      <w:r>
        <w:rPr>
          <w:rFonts w:ascii="Times New Roman Regular" w:hAnsi="Times New Roman Regular" w:eastAsia="仿宋_GB2312" w:cs="Times New Roman Regular"/>
          <w:sz w:val="32"/>
          <w:szCs w:val="32"/>
          <w:highlight w:val="none"/>
        </w:rPr>
        <w:t>要求</w:t>
      </w:r>
      <w:r>
        <w:rPr>
          <w:rFonts w:hint="default" w:ascii="Times New Roman Regular" w:hAnsi="Times New Roman Regular" w:eastAsia="仿宋_GB2312" w:cs="Times New Roman Regular"/>
          <w:sz w:val="32"/>
          <w:szCs w:val="32"/>
          <w:highlight w:val="none"/>
          <w:lang w:eastAsia="zh-CN"/>
        </w:rPr>
        <w:t>，</w:t>
      </w:r>
      <w:r>
        <w:rPr>
          <w:rFonts w:hint="default" w:ascii="Times New Roman Regular" w:hAnsi="Times New Roman Regular" w:eastAsia="仿宋_GB2312" w:cs="Times New Roman Regular"/>
          <w:b w:val="0"/>
          <w:bCs w:val="0"/>
          <w:sz w:val="32"/>
          <w:szCs w:val="32"/>
          <w:highlight w:val="none"/>
          <w:lang w:val="en-US" w:eastAsia="zh-CN"/>
        </w:rPr>
        <w:t>部门预算</w:t>
      </w:r>
      <w:r>
        <w:rPr>
          <w:rFonts w:ascii="Times New Roman Regular" w:hAnsi="Times New Roman Regular" w:eastAsia="仿宋_GB2312" w:cs="Times New Roman Regular"/>
          <w:sz w:val="32"/>
          <w:szCs w:val="32"/>
          <w:highlight w:val="none"/>
        </w:rPr>
        <w:t>项目统一填写预算绩效管理一体化系统，进行项目申报，填写绩效目标；对项目实施绩效运行监控，并形成绩效跟踪报告；开展部门预算项目全覆盖绩效自评工作，202</w:t>
      </w:r>
      <w:r>
        <w:rPr>
          <w:rFonts w:hint="default" w:ascii="Times New Roman Regular" w:hAnsi="Times New Roman Regular" w:eastAsia="仿宋_GB2312" w:cs="Times New Roman Regular"/>
          <w:sz w:val="32"/>
          <w:szCs w:val="32"/>
          <w:highlight w:val="none"/>
          <w:lang w:val="en-US" w:eastAsia="zh-CN"/>
        </w:rPr>
        <w:t>3</w:t>
      </w:r>
      <w:r>
        <w:rPr>
          <w:rFonts w:ascii="Times New Roman Regular" w:hAnsi="Times New Roman Regular" w:eastAsia="仿宋_GB2312" w:cs="Times New Roman Regular"/>
          <w:sz w:val="32"/>
          <w:szCs w:val="32"/>
          <w:highlight w:val="none"/>
        </w:rPr>
        <w:t>年对“</w:t>
      </w:r>
      <w:r>
        <w:rPr>
          <w:rFonts w:hint="default" w:ascii="Times New Roman Regular" w:hAnsi="Times New Roman Regular" w:eastAsia="仿宋_GB2312" w:cs="Times New Roman Regular"/>
          <w:sz w:val="32"/>
          <w:szCs w:val="32"/>
          <w:highlight w:val="none"/>
        </w:rPr>
        <w:t>北京市市长国际企业家顾问会议项目</w:t>
      </w:r>
      <w:r>
        <w:rPr>
          <w:rFonts w:ascii="Times New Roman Regular" w:hAnsi="Times New Roman Regular" w:eastAsia="仿宋_GB2312" w:cs="Times New Roman Regular"/>
          <w:sz w:val="32"/>
          <w:szCs w:val="32"/>
          <w:highlight w:val="none"/>
        </w:rPr>
        <w:t>”项目进行重点评价，总结项目预算执行及绩效完成情况的经验与不足。</w:t>
      </w:r>
      <w:r>
        <w:rPr>
          <w:rFonts w:hint="default" w:ascii="Times New Roman Regular" w:hAnsi="Times New Roman Regular" w:eastAsia="仿宋_GB2312" w:cs="Times New Roman Regular"/>
          <w:sz w:val="32"/>
          <w:szCs w:val="32"/>
          <w:highlight w:val="none"/>
          <w:lang w:val="en-US" w:eastAsia="zh-CN"/>
        </w:rPr>
        <w:t>通过全过程预算绩效管理工作，有效提升了部门预算项目绩效目标实现情况，2023年仅“对外交流”项目因年度工作计划调整实际完成情况与预期绩效目标偏离较大，其他项目绩效目标完成情况较好。此外，北京市贸促会积极</w:t>
      </w:r>
      <w:r>
        <w:rPr>
          <w:rFonts w:ascii="Times New Roman Regular" w:hAnsi="Times New Roman Regular" w:eastAsia="仿宋_GB2312" w:cs="Times New Roman Regular"/>
          <w:b w:val="0"/>
          <w:bCs/>
          <w:color w:val="auto"/>
          <w:sz w:val="32"/>
          <w:szCs w:val="32"/>
          <w:highlight w:val="none"/>
        </w:rPr>
        <w:t>探索</w:t>
      </w:r>
      <w:r>
        <w:rPr>
          <w:rFonts w:hint="default" w:ascii="Times New Roman Regular" w:hAnsi="Times New Roman Regular" w:eastAsia="仿宋_GB2312" w:cs="Times New Roman Regular"/>
          <w:b w:val="0"/>
          <w:bCs/>
          <w:color w:val="auto"/>
          <w:sz w:val="32"/>
          <w:szCs w:val="32"/>
          <w:highlight w:val="none"/>
          <w:lang w:val="en-US" w:eastAsia="zh-CN"/>
        </w:rPr>
        <w:t>实施</w:t>
      </w:r>
      <w:r>
        <w:rPr>
          <w:rFonts w:ascii="Times New Roman Regular" w:hAnsi="Times New Roman Regular" w:eastAsia="仿宋_GB2312" w:cs="Times New Roman Regular"/>
          <w:b w:val="0"/>
          <w:bCs/>
          <w:color w:val="auto"/>
          <w:sz w:val="32"/>
          <w:szCs w:val="32"/>
          <w:highlight w:val="none"/>
        </w:rPr>
        <w:t>成本绩效分析工作</w:t>
      </w:r>
      <w:r>
        <w:rPr>
          <w:rFonts w:hint="default" w:ascii="Times New Roman Regular" w:hAnsi="Times New Roman Regular" w:cs="Times New Roman Regular"/>
          <w:lang w:eastAsia="zh-CN"/>
        </w:rPr>
        <w:t>，</w:t>
      </w:r>
      <w:r>
        <w:rPr>
          <w:rFonts w:ascii="Times New Roman Regular" w:hAnsi="Times New Roman Regular" w:eastAsia="仿宋_GB2312" w:cs="Times New Roman Regular"/>
          <w:bCs/>
          <w:color w:val="auto"/>
          <w:sz w:val="32"/>
          <w:szCs w:val="32"/>
          <w:highlight w:val="none"/>
        </w:rPr>
        <w:t>根据市财政局相关要求，对持续开展的“</w:t>
      </w:r>
      <w:r>
        <w:rPr>
          <w:rFonts w:hint="default" w:ascii="Times New Roman Regular" w:hAnsi="Times New Roman Regular" w:eastAsia="仿宋_GB2312" w:cs="Times New Roman Regular"/>
          <w:bCs/>
          <w:color w:val="auto"/>
          <w:sz w:val="32"/>
          <w:szCs w:val="32"/>
          <w:highlight w:val="none"/>
        </w:rPr>
        <w:t>信息化运行维护</w:t>
      </w:r>
      <w:r>
        <w:rPr>
          <w:rFonts w:ascii="Times New Roman Regular" w:hAnsi="Times New Roman Regular" w:eastAsia="仿宋_GB2312" w:cs="Times New Roman Regular"/>
          <w:bCs/>
          <w:color w:val="auto"/>
          <w:sz w:val="32"/>
          <w:szCs w:val="32"/>
          <w:highlight w:val="none"/>
        </w:rPr>
        <w:t>”项目开展成本绩效分析，</w:t>
      </w:r>
      <w:r>
        <w:rPr>
          <w:rFonts w:ascii="Times New Roman Regular" w:hAnsi="Times New Roman Regular" w:eastAsia="仿宋_GB2312" w:cs="Times New Roman Regular"/>
          <w:color w:val="auto"/>
          <w:kern w:val="0"/>
          <w:sz w:val="32"/>
          <w:szCs w:val="32"/>
          <w:highlight w:val="none"/>
        </w:rPr>
        <w:t>摸清影响成本的关键因素和成本变动趋势，为提高项目资金绩效管理和财政支出经济性奠定了基础。</w:t>
      </w:r>
    </w:p>
    <w:p>
      <w:pPr>
        <w:numPr>
          <w:ilvl w:val="0"/>
          <w:numId w:val="2"/>
        </w:numPr>
        <w:adjustRightInd w:val="0"/>
        <w:snapToGrid w:val="0"/>
        <w:spacing w:line="560" w:lineRule="exact"/>
        <w:ind w:firstLine="640" w:firstLineChars="200"/>
        <w:outlineLvl w:val="1"/>
        <w:rPr>
          <w:rFonts w:ascii="Times New Roman Regular" w:hAnsi="Times New Roman Regular" w:eastAsia="楷体" w:cs="Times New Roman Regular"/>
          <w:sz w:val="32"/>
          <w:szCs w:val="32"/>
          <w:highlight w:val="none"/>
        </w:rPr>
      </w:pPr>
      <w:bookmarkStart w:id="55" w:name="_Toc194745878"/>
      <w:bookmarkStart w:id="56" w:name="_Toc2100092484"/>
      <w:bookmarkStart w:id="57" w:name="_Toc2065154389"/>
      <w:bookmarkStart w:id="58" w:name="_Toc135202295"/>
      <w:r>
        <w:rPr>
          <w:rFonts w:ascii="Times New Roman Regular" w:hAnsi="Times New Roman Regular" w:eastAsia="楷体" w:cs="Times New Roman Regular"/>
          <w:sz w:val="32"/>
          <w:szCs w:val="32"/>
        </w:rPr>
        <w:t>结转结余率</w:t>
      </w:r>
      <w:bookmarkEnd w:id="55"/>
      <w:bookmarkEnd w:id="56"/>
      <w:bookmarkEnd w:id="57"/>
      <w:bookmarkEnd w:id="58"/>
    </w:p>
    <w:p>
      <w:pPr>
        <w:adjustRightInd w:val="0"/>
        <w:snapToGrid w:val="0"/>
        <w:spacing w:line="560" w:lineRule="exact"/>
        <w:ind w:firstLine="640" w:firstLineChars="200"/>
        <w:rPr>
          <w:rFonts w:hint="default" w:ascii="Times New Roman Regular" w:hAnsi="Times New Roman Regular" w:eastAsia="仿宋_GB2312" w:cs="Times New Roman Regular"/>
          <w:color w:val="FF0000"/>
          <w:sz w:val="32"/>
          <w:szCs w:val="32"/>
        </w:rPr>
      </w:pPr>
      <w:r>
        <w:rPr>
          <w:rFonts w:ascii="Times New Roman Regular" w:hAnsi="Times New Roman Regular" w:eastAsia="仿宋_GB2312" w:cs="Times New Roman Regular"/>
          <w:sz w:val="32"/>
          <w:szCs w:val="32"/>
          <w:highlight w:val="none"/>
        </w:rPr>
        <w:t>北京市贸促会202</w:t>
      </w:r>
      <w:r>
        <w:rPr>
          <w:rFonts w:hint="default" w:ascii="Times New Roman Regular" w:hAnsi="Times New Roman Regular" w:eastAsia="仿宋_GB2312" w:cs="Times New Roman Regular"/>
          <w:sz w:val="32"/>
          <w:szCs w:val="32"/>
          <w:highlight w:val="none"/>
        </w:rPr>
        <w:t>3</w:t>
      </w:r>
      <w:r>
        <w:rPr>
          <w:rFonts w:ascii="Times New Roman Regular" w:hAnsi="Times New Roman Regular" w:eastAsia="仿宋_GB2312" w:cs="Times New Roman Regular"/>
          <w:sz w:val="32"/>
          <w:szCs w:val="32"/>
          <w:highlight w:val="none"/>
        </w:rPr>
        <w:t>年年末结转结余资金总额为</w:t>
      </w:r>
      <w:r>
        <w:rPr>
          <w:rFonts w:hint="eastAsia" w:ascii="Times New Roman Regular" w:hAnsi="Times New Roman Regular" w:eastAsia="仿宋_GB2312" w:cs="Times New Roman Regular"/>
          <w:sz w:val="32"/>
          <w:szCs w:val="32"/>
          <w:highlight w:val="none"/>
          <w:lang w:eastAsia="zh-CN"/>
        </w:rPr>
        <w:t>8</w:t>
      </w:r>
      <w:r>
        <w:rPr>
          <w:rFonts w:hint="eastAsia" w:ascii="Times New Roman Regular" w:hAnsi="Times New Roman Regular" w:eastAsia="仿宋_GB2312" w:cs="Times New Roman Regular"/>
          <w:sz w:val="32"/>
          <w:szCs w:val="32"/>
          <w:highlight w:val="none"/>
          <w:lang w:val="en-US" w:eastAsia="zh-CN"/>
        </w:rPr>
        <w:t>5.12</w:t>
      </w:r>
      <w:r>
        <w:rPr>
          <w:rFonts w:ascii="Times New Roman Regular" w:hAnsi="Times New Roman Regular" w:eastAsia="仿宋_GB2312" w:cs="Times New Roman Regular"/>
          <w:sz w:val="32"/>
          <w:szCs w:val="32"/>
          <w:highlight w:val="none"/>
        </w:rPr>
        <w:t>万元，全年支出预算数为</w:t>
      </w:r>
      <w:r>
        <w:rPr>
          <w:rFonts w:hint="eastAsia" w:ascii="Times New Roman Regular" w:hAnsi="Times New Roman Regular" w:eastAsia="仿宋_GB2312" w:cs="Times New Roman Regular"/>
          <w:sz w:val="32"/>
          <w:szCs w:val="32"/>
          <w:highlight w:val="none"/>
        </w:rPr>
        <w:t>13138.56</w:t>
      </w:r>
      <w:r>
        <w:rPr>
          <w:rFonts w:ascii="Times New Roman Regular" w:hAnsi="Times New Roman Regular" w:eastAsia="仿宋_GB2312" w:cs="Times New Roman Regular"/>
          <w:sz w:val="32"/>
          <w:szCs w:val="32"/>
          <w:highlight w:val="none"/>
        </w:rPr>
        <w:t>万元，资金结转结余率为</w:t>
      </w:r>
      <w:r>
        <w:rPr>
          <w:rFonts w:hint="eastAsia" w:ascii="Times New Roman Regular" w:hAnsi="Times New Roman Regular" w:eastAsia="仿宋_GB2312" w:cs="Times New Roman Regular"/>
          <w:sz w:val="32"/>
          <w:szCs w:val="32"/>
          <w:highlight w:val="none"/>
          <w:lang w:val="en-US" w:eastAsia="zh-CN"/>
        </w:rPr>
        <w:t>0.65</w:t>
      </w:r>
      <w:r>
        <w:rPr>
          <w:rFonts w:ascii="Times New Roman Regular" w:hAnsi="Times New Roman Regular" w:eastAsia="仿宋_GB2312" w:cs="Times New Roman Regular"/>
          <w:sz w:val="32"/>
          <w:szCs w:val="32"/>
          <w:highlight w:val="none"/>
        </w:rPr>
        <w:t>%，</w:t>
      </w:r>
      <w:r>
        <w:rPr>
          <w:rFonts w:hint="default" w:ascii="Times New Roman Regular" w:hAnsi="Times New Roman Regular" w:eastAsia="仿宋_GB2312" w:cs="Times New Roman Regular"/>
          <w:sz w:val="32"/>
          <w:szCs w:val="32"/>
          <w:lang w:val="en-US" w:eastAsia="zh-CN"/>
        </w:rPr>
        <w:t>低于上一年度部门结转结余率。</w:t>
      </w:r>
    </w:p>
    <w:p>
      <w:pPr>
        <w:numPr>
          <w:ilvl w:val="0"/>
          <w:numId w:val="2"/>
        </w:numPr>
        <w:adjustRightInd w:val="0"/>
        <w:snapToGrid w:val="0"/>
        <w:spacing w:line="560" w:lineRule="exact"/>
        <w:ind w:firstLine="640" w:firstLineChars="200"/>
        <w:outlineLvl w:val="1"/>
        <w:rPr>
          <w:rFonts w:ascii="Times New Roman Regular" w:hAnsi="Times New Roman Regular" w:eastAsia="楷体" w:cs="Times New Roman Regular"/>
          <w:sz w:val="32"/>
          <w:szCs w:val="32"/>
        </w:rPr>
      </w:pPr>
      <w:bookmarkStart w:id="59" w:name="_Toc1419113109"/>
      <w:bookmarkStart w:id="60" w:name="_Toc213156496"/>
      <w:bookmarkStart w:id="61" w:name="_Toc328893518"/>
      <w:bookmarkStart w:id="62" w:name="_Toc135202296"/>
      <w:r>
        <w:rPr>
          <w:rFonts w:ascii="Times New Roman Regular" w:hAnsi="Times New Roman Regular" w:eastAsia="楷体" w:cs="Times New Roman Regular"/>
          <w:sz w:val="32"/>
          <w:szCs w:val="32"/>
        </w:rPr>
        <w:t>部门预决算差异率</w:t>
      </w:r>
      <w:bookmarkEnd w:id="59"/>
      <w:bookmarkEnd w:id="60"/>
      <w:bookmarkEnd w:id="61"/>
      <w:bookmarkEnd w:id="62"/>
    </w:p>
    <w:p>
      <w:pPr>
        <w:adjustRightInd w:val="0"/>
        <w:snapToGrid w:val="0"/>
        <w:spacing w:line="560" w:lineRule="exact"/>
        <w:ind w:firstLine="640" w:firstLineChars="200"/>
        <w:rPr>
          <w:rFonts w:ascii="Times New Roman Regular" w:hAnsi="Times New Roman Regular" w:eastAsia="仿宋_GB2312" w:cs="Times New Roman Regular"/>
          <w:sz w:val="32"/>
          <w:szCs w:val="32"/>
        </w:rPr>
      </w:pPr>
      <w:r>
        <w:rPr>
          <w:rFonts w:ascii="Times New Roman Regular" w:hAnsi="Times New Roman Regular" w:eastAsia="仿宋_GB2312" w:cs="Times New Roman Regular"/>
          <w:sz w:val="32"/>
          <w:szCs w:val="32"/>
        </w:rPr>
        <w:t>北京市贸促会202</w:t>
      </w:r>
      <w:r>
        <w:rPr>
          <w:rFonts w:hint="default" w:ascii="Times New Roman Regular" w:hAnsi="Times New Roman Regular" w:eastAsia="仿宋_GB2312" w:cs="Times New Roman Regular"/>
          <w:sz w:val="32"/>
          <w:szCs w:val="32"/>
          <w:lang w:val="en-US" w:eastAsia="zh-CN"/>
        </w:rPr>
        <w:t>3</w:t>
      </w:r>
      <w:r>
        <w:rPr>
          <w:rFonts w:ascii="Times New Roman Regular" w:hAnsi="Times New Roman Regular" w:eastAsia="仿宋_GB2312" w:cs="Times New Roman Regular"/>
          <w:sz w:val="32"/>
          <w:szCs w:val="32"/>
        </w:rPr>
        <w:t>年年初预算数为10190.80万元，部门年度支出决算数为13053.44万元，部门预决算差异率为</w:t>
      </w:r>
      <w:r>
        <w:rPr>
          <w:rFonts w:hint="default" w:ascii="Times New Roman Regular" w:hAnsi="Times New Roman Regular" w:eastAsia="仿宋_GB2312" w:cs="Times New Roman Regular"/>
          <w:sz w:val="32"/>
          <w:szCs w:val="32"/>
        </w:rPr>
        <w:t>28.09</w:t>
      </w:r>
      <w:r>
        <w:rPr>
          <w:rFonts w:ascii="Times New Roman Regular" w:hAnsi="Times New Roman Regular" w:eastAsia="仿宋_GB2312" w:cs="Times New Roman Regular"/>
          <w:sz w:val="32"/>
          <w:szCs w:val="32"/>
        </w:rPr>
        <w:t>%</w:t>
      </w:r>
      <w:r>
        <w:rPr>
          <w:rFonts w:hint="default" w:ascii="Times New Roman Regular" w:hAnsi="Times New Roman Regular" w:eastAsia="仿宋_GB2312" w:cs="Times New Roman Regular"/>
          <w:sz w:val="32"/>
          <w:szCs w:val="32"/>
          <w:lang w:eastAsia="zh-CN"/>
        </w:rPr>
        <w:t>，</w:t>
      </w:r>
      <w:r>
        <w:rPr>
          <w:rFonts w:hint="default" w:ascii="Times New Roman Regular" w:hAnsi="Times New Roman Regular" w:eastAsia="仿宋_GB2312" w:cs="Times New Roman Regular"/>
          <w:sz w:val="32"/>
          <w:szCs w:val="32"/>
          <w:highlight w:val="none"/>
          <w:lang w:val="en-US" w:eastAsia="zh-CN"/>
        </w:rPr>
        <w:t>低于市级平均差异率</w:t>
      </w:r>
      <w:r>
        <w:rPr>
          <w:rFonts w:ascii="Times New Roman Regular" w:hAnsi="Times New Roman Regular" w:eastAsia="仿宋_GB2312" w:cs="Times New Roman Regular"/>
          <w:sz w:val="32"/>
          <w:szCs w:val="32"/>
          <w:highlight w:val="none"/>
        </w:rPr>
        <w:t>。</w:t>
      </w:r>
    </w:p>
    <w:p>
      <w:pPr>
        <w:keepNext/>
        <w:adjustRightInd w:val="0"/>
        <w:snapToGrid w:val="0"/>
        <w:spacing w:line="560" w:lineRule="exact"/>
        <w:ind w:firstLine="640" w:firstLineChars="200"/>
        <w:jc w:val="left"/>
        <w:outlineLvl w:val="0"/>
        <w:rPr>
          <w:rFonts w:ascii="Times New Roman Regular" w:hAnsi="Times New Roman Regular" w:eastAsia="黑体" w:cs="Times New Roman Regular"/>
          <w:sz w:val="32"/>
          <w:szCs w:val="32"/>
        </w:rPr>
      </w:pPr>
      <w:bookmarkStart w:id="63" w:name="_Toc518505076"/>
      <w:bookmarkStart w:id="64" w:name="_Toc135202297"/>
      <w:bookmarkStart w:id="65" w:name="_Toc90449648"/>
      <w:bookmarkStart w:id="66" w:name="_Toc1080639381"/>
      <w:r>
        <w:rPr>
          <w:rFonts w:ascii="Times New Roman Regular" w:hAnsi="Times New Roman Regular" w:eastAsia="黑体" w:cs="Times New Roman Regular"/>
          <w:sz w:val="32"/>
          <w:szCs w:val="32"/>
        </w:rPr>
        <w:t>五、总体评价结论</w:t>
      </w:r>
      <w:bookmarkEnd w:id="63"/>
      <w:bookmarkEnd w:id="64"/>
      <w:bookmarkEnd w:id="65"/>
      <w:bookmarkEnd w:id="66"/>
    </w:p>
    <w:p>
      <w:pPr>
        <w:adjustRightInd w:val="0"/>
        <w:snapToGrid w:val="0"/>
        <w:spacing w:line="560" w:lineRule="exact"/>
        <w:ind w:firstLine="640" w:firstLineChars="200"/>
        <w:outlineLvl w:val="1"/>
        <w:rPr>
          <w:rFonts w:ascii="Times New Roman Regular" w:hAnsi="Times New Roman Regular" w:eastAsia="楷体" w:cs="Times New Roman Regular"/>
          <w:sz w:val="32"/>
          <w:szCs w:val="32"/>
        </w:rPr>
      </w:pPr>
      <w:bookmarkStart w:id="67" w:name="_Hlk72426764"/>
      <w:bookmarkStart w:id="68" w:name="_Toc1036873788"/>
      <w:bookmarkStart w:id="69" w:name="_Toc1916295507"/>
      <w:bookmarkStart w:id="70" w:name="_Toc135202298"/>
      <w:bookmarkStart w:id="71" w:name="_Toc26172806"/>
      <w:r>
        <w:rPr>
          <w:rFonts w:ascii="Times New Roman Regular" w:hAnsi="Times New Roman Regular" w:eastAsia="楷体" w:cs="Times New Roman Regular"/>
          <w:sz w:val="32"/>
          <w:szCs w:val="32"/>
        </w:rPr>
        <w:t>（一）评价得分情况</w:t>
      </w:r>
      <w:bookmarkEnd w:id="67"/>
      <w:bookmarkEnd w:id="68"/>
      <w:bookmarkEnd w:id="69"/>
      <w:bookmarkEnd w:id="70"/>
      <w:bookmarkEnd w:id="71"/>
    </w:p>
    <w:p>
      <w:pPr>
        <w:pStyle w:val="16"/>
        <w:spacing w:line="560" w:lineRule="exact"/>
        <w:rPr>
          <w:rFonts w:hint="default" w:ascii="Times New Roman Regular" w:hAnsi="Times New Roman Regular" w:cs="Times New Roman Regular"/>
        </w:rPr>
      </w:pPr>
      <w:r>
        <w:rPr>
          <w:rFonts w:hint="default" w:ascii="Times New Roman Regular" w:hAnsi="Times New Roman Regular" w:cs="Times New Roman Regular"/>
        </w:rPr>
        <w:t>202</w:t>
      </w:r>
      <w:r>
        <w:rPr>
          <w:rFonts w:hint="default" w:ascii="Times New Roman Regular" w:hAnsi="Times New Roman Regular" w:cs="Times New Roman Regular"/>
          <w:lang w:val="en-US" w:eastAsia="zh-CN"/>
        </w:rPr>
        <w:t>3</w:t>
      </w:r>
      <w:r>
        <w:rPr>
          <w:rFonts w:hint="default" w:ascii="Times New Roman Regular" w:hAnsi="Times New Roman Regular" w:cs="Times New Roman Regular"/>
        </w:rPr>
        <w:t>年北京市贸促会部门整体绩效评价得分</w:t>
      </w:r>
      <w:r>
        <w:rPr>
          <w:rFonts w:hint="default" w:ascii="Times New Roman Regular" w:hAnsi="Times New Roman Regular" w:cs="Times New Roman Regular"/>
          <w:highlight w:val="none"/>
        </w:rPr>
        <w:t>为</w:t>
      </w:r>
      <w:r>
        <w:rPr>
          <w:rFonts w:hint="default" w:ascii="Times New Roman Regular" w:hAnsi="Times New Roman Regular" w:cs="Times New Roman Regular"/>
          <w:highlight w:val="none"/>
          <w:lang w:val="en-US" w:eastAsia="zh-CN"/>
        </w:rPr>
        <w:t>96.</w:t>
      </w:r>
      <w:r>
        <w:rPr>
          <w:rFonts w:hint="eastAsia" w:ascii="Times New Roman Regular" w:hAnsi="Times New Roman Regular" w:cs="Times New Roman Regular"/>
          <w:highlight w:val="none"/>
          <w:lang w:val="en-US" w:eastAsia="zh-CN"/>
        </w:rPr>
        <w:t>87</w:t>
      </w:r>
      <w:r>
        <w:rPr>
          <w:rFonts w:hint="default" w:ascii="Times New Roman Regular" w:hAnsi="Times New Roman Regular" w:cs="Times New Roman Regular"/>
          <w:highlight w:val="none"/>
        </w:rPr>
        <w:t>分</w:t>
      </w:r>
      <w:r>
        <w:rPr>
          <w:rFonts w:hint="default" w:ascii="Times New Roman Regular" w:hAnsi="Times New Roman Regular" w:cs="Times New Roman Regular"/>
        </w:rPr>
        <w:t>，综合评价等级为</w:t>
      </w:r>
      <w:r>
        <w:rPr>
          <w:rFonts w:hint="default" w:ascii="Times New Roman Regular" w:hAnsi="Times New Roman Regular" w:cs="Times New Roman Regular"/>
          <w:highlight w:val="none"/>
        </w:rPr>
        <w:t>“</w:t>
      </w:r>
      <w:r>
        <w:rPr>
          <w:rFonts w:hint="default" w:ascii="Times New Roman Regular" w:hAnsi="Times New Roman Regular" w:cs="Times New Roman Regular"/>
          <w:highlight w:val="none"/>
          <w:lang w:val="en-US" w:eastAsia="zh-CN"/>
        </w:rPr>
        <w:t>优</w:t>
      </w:r>
      <w:r>
        <w:rPr>
          <w:rFonts w:hint="default" w:ascii="Times New Roman Regular" w:hAnsi="Times New Roman Regular" w:cs="Times New Roman Regular"/>
          <w:highlight w:val="none"/>
        </w:rPr>
        <w:t>”，</w:t>
      </w:r>
      <w:r>
        <w:rPr>
          <w:rFonts w:hint="default" w:ascii="Times New Roman Regular" w:hAnsi="Times New Roman Regular" w:cs="Times New Roman Regular"/>
        </w:rPr>
        <w:t>各一级指标得分情况如下表所示：</w:t>
      </w:r>
    </w:p>
    <w:p>
      <w:pPr>
        <w:keepNext w:val="0"/>
        <w:keepLines w:val="0"/>
        <w:widowControl w:val="0"/>
        <w:suppressLineNumbers w:val="0"/>
        <w:adjustRightInd w:val="0"/>
        <w:snapToGrid w:val="0"/>
        <w:spacing w:before="0" w:beforeAutospacing="0" w:after="0" w:afterAutospacing="0" w:line="600" w:lineRule="exact"/>
        <w:ind w:left="0" w:right="0"/>
        <w:jc w:val="center"/>
        <w:rPr>
          <w:rFonts w:hint="default" w:ascii="Times New Roman Regular" w:hAnsi="Times New Roman Regular" w:eastAsia="黑体" w:cs="Times New Roman Regular"/>
          <w:kern w:val="2"/>
          <w:sz w:val="28"/>
          <w:szCs w:val="28"/>
        </w:rPr>
      </w:pPr>
      <w:r>
        <w:rPr>
          <w:rFonts w:hint="default" w:ascii="Times New Roman Regular" w:hAnsi="Times New Roman Regular" w:eastAsia="黑体" w:cs="Times New Roman Regular"/>
          <w:kern w:val="2"/>
          <w:sz w:val="28"/>
          <w:szCs w:val="28"/>
          <w:lang w:val="en-US" w:eastAsia="zh-CN" w:bidi="ar"/>
        </w:rPr>
        <w:t>表4 2023年北京市贸促会部门整体绩效得分情况表</w:t>
      </w:r>
    </w:p>
    <w:tbl>
      <w:tblPr>
        <w:tblStyle w:val="1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3867"/>
        <w:gridCol w:w="3212"/>
        <w:gridCol w:w="3548"/>
        <w:gridCol w:w="3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82" w:hRule="atLeast"/>
          <w:jc w:val="center"/>
        </w:trPr>
        <w:tc>
          <w:tcPr>
            <w:tcW w:w="23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Regular" w:hAnsi="Times New Roman Regular" w:eastAsia="宋体" w:cs="Times New Roman Regular"/>
                <w:b/>
                <w:bCs/>
                <w:kern w:val="2"/>
                <w:sz w:val="24"/>
                <w:szCs w:val="24"/>
              </w:rPr>
            </w:pPr>
            <w:r>
              <w:rPr>
                <w:rFonts w:hint="default" w:ascii="Times New Roman Regular" w:hAnsi="Times New Roman Regular" w:eastAsia="宋体" w:cs="Times New Roman Regular"/>
                <w:b/>
                <w:bCs/>
                <w:kern w:val="2"/>
                <w:sz w:val="24"/>
                <w:szCs w:val="24"/>
                <w:lang w:val="en-US" w:eastAsia="zh-CN" w:bidi="ar"/>
              </w:rPr>
              <w:t>一级指标</w:t>
            </w:r>
          </w:p>
        </w:tc>
        <w:tc>
          <w:tcPr>
            <w:tcW w:w="193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Regular" w:hAnsi="Times New Roman Regular" w:eastAsia="宋体" w:cs="Times New Roman Regular"/>
                <w:b/>
                <w:bCs/>
                <w:kern w:val="2"/>
                <w:sz w:val="24"/>
                <w:szCs w:val="24"/>
              </w:rPr>
            </w:pPr>
            <w:r>
              <w:rPr>
                <w:rFonts w:hint="default" w:ascii="Times New Roman Regular" w:hAnsi="Times New Roman Regular" w:eastAsia="宋体" w:cs="Times New Roman Regular"/>
                <w:b/>
                <w:bCs/>
                <w:kern w:val="2"/>
                <w:sz w:val="24"/>
                <w:szCs w:val="24"/>
                <w:lang w:val="en-US" w:eastAsia="zh-CN" w:bidi="ar"/>
              </w:rPr>
              <w:t>分值</w:t>
            </w:r>
          </w:p>
        </w:tc>
        <w:tc>
          <w:tcPr>
            <w:tcW w:w="21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Regular" w:hAnsi="Times New Roman Regular" w:eastAsia="宋体" w:cs="Times New Roman Regular"/>
                <w:b/>
                <w:bCs/>
                <w:kern w:val="2"/>
                <w:sz w:val="24"/>
                <w:szCs w:val="24"/>
              </w:rPr>
            </w:pPr>
            <w:r>
              <w:rPr>
                <w:rFonts w:hint="default" w:ascii="Times New Roman Regular" w:hAnsi="Times New Roman Regular" w:eastAsia="宋体" w:cs="Times New Roman Regular"/>
                <w:b/>
                <w:bCs/>
                <w:kern w:val="2"/>
                <w:sz w:val="24"/>
                <w:szCs w:val="24"/>
                <w:lang w:val="en-US" w:eastAsia="zh-CN" w:bidi="ar"/>
              </w:rPr>
              <w:t>得分</w:t>
            </w:r>
          </w:p>
        </w:tc>
        <w:tc>
          <w:tcPr>
            <w:tcW w:w="21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Regular" w:hAnsi="Times New Roman Regular" w:eastAsia="宋体" w:cs="Times New Roman Regular"/>
                <w:b/>
                <w:bCs/>
                <w:kern w:val="2"/>
                <w:sz w:val="24"/>
                <w:szCs w:val="24"/>
              </w:rPr>
            </w:pPr>
            <w:r>
              <w:rPr>
                <w:rFonts w:hint="default" w:ascii="Times New Roman Regular" w:hAnsi="Times New Roman Regular" w:eastAsia="宋体" w:cs="Times New Roman Regular"/>
                <w:b/>
                <w:bCs/>
                <w:kern w:val="2"/>
                <w:sz w:val="24"/>
                <w:szCs w:val="24"/>
                <w:lang w:val="en-US" w:eastAsia="zh-CN" w:bidi="ar"/>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82" w:hRule="atLeast"/>
          <w:jc w:val="center"/>
        </w:trPr>
        <w:tc>
          <w:tcPr>
            <w:tcW w:w="23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Regular" w:hAnsi="Times New Roman Regular" w:eastAsia="宋体" w:cs="Times New Roman Regular"/>
                <w:kern w:val="2"/>
                <w:sz w:val="24"/>
                <w:szCs w:val="24"/>
              </w:rPr>
            </w:pPr>
            <w:r>
              <w:rPr>
                <w:rFonts w:hint="default" w:ascii="Times New Roman Regular" w:hAnsi="Times New Roman Regular" w:eastAsia="宋体" w:cs="Times New Roman Regular"/>
                <w:kern w:val="2"/>
                <w:sz w:val="24"/>
                <w:szCs w:val="24"/>
                <w:lang w:val="en-US" w:eastAsia="zh-CN" w:bidi="ar"/>
              </w:rPr>
              <w:t>当年预算执行情况</w:t>
            </w:r>
          </w:p>
        </w:tc>
        <w:tc>
          <w:tcPr>
            <w:tcW w:w="193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Regular" w:hAnsi="Times New Roman Regular" w:eastAsia="宋体" w:cs="Times New Roman Regular"/>
                <w:kern w:val="2"/>
                <w:sz w:val="24"/>
                <w:szCs w:val="24"/>
                <w:highlight w:val="none"/>
              </w:rPr>
            </w:pPr>
            <w:r>
              <w:rPr>
                <w:rFonts w:hint="default" w:ascii="Times New Roman Regular" w:hAnsi="Times New Roman Regular" w:eastAsia="宋体" w:cs="Times New Roman Regular"/>
                <w:kern w:val="2"/>
                <w:sz w:val="24"/>
                <w:szCs w:val="24"/>
                <w:highlight w:val="none"/>
                <w:lang w:val="en-US" w:eastAsia="zh-CN" w:bidi="ar"/>
              </w:rPr>
              <w:t>20</w:t>
            </w:r>
          </w:p>
        </w:tc>
        <w:tc>
          <w:tcPr>
            <w:tcW w:w="21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Regular" w:hAnsi="Times New Roman Regular" w:eastAsia="宋体" w:cs="Times New Roman Regular"/>
                <w:kern w:val="2"/>
                <w:sz w:val="24"/>
                <w:szCs w:val="24"/>
                <w:highlight w:val="none"/>
                <w:lang w:val="en-US" w:eastAsia="zh-CN"/>
              </w:rPr>
            </w:pPr>
            <w:r>
              <w:rPr>
                <w:rFonts w:hint="default" w:ascii="Times New Roman Regular" w:hAnsi="Times New Roman Regular" w:cs="Times New Roman Regular"/>
                <w:kern w:val="2"/>
                <w:sz w:val="24"/>
                <w:szCs w:val="24"/>
                <w:highlight w:val="none"/>
                <w:lang w:val="en-US" w:eastAsia="zh-CN"/>
              </w:rPr>
              <w:t>19.</w:t>
            </w:r>
            <w:r>
              <w:rPr>
                <w:rFonts w:hint="eastAsia" w:ascii="Times New Roman Regular" w:hAnsi="Times New Roman Regular" w:cs="Times New Roman Regular"/>
                <w:kern w:val="2"/>
                <w:sz w:val="24"/>
                <w:szCs w:val="24"/>
                <w:highlight w:val="none"/>
                <w:lang w:val="en-US" w:eastAsia="zh-CN"/>
              </w:rPr>
              <w:t>87</w:t>
            </w:r>
          </w:p>
        </w:tc>
        <w:tc>
          <w:tcPr>
            <w:tcW w:w="21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Regular" w:hAnsi="Times New Roman Regular" w:eastAsia="宋体" w:cs="Times New Roman Regular"/>
                <w:kern w:val="2"/>
                <w:sz w:val="24"/>
                <w:szCs w:val="24"/>
                <w:highlight w:val="none"/>
                <w:lang w:val="en-US" w:eastAsia="zh-CN"/>
              </w:rPr>
            </w:pPr>
            <w:r>
              <w:rPr>
                <w:rFonts w:hint="eastAsia" w:ascii="Times New Roman Regular" w:hAnsi="Times New Roman Regular" w:cs="Times New Roman Regular"/>
                <w:kern w:val="2"/>
                <w:sz w:val="24"/>
                <w:szCs w:val="24"/>
                <w:highlight w:val="none"/>
                <w:lang w:val="en-US" w:eastAsia="zh-CN"/>
              </w:rPr>
              <w:t>99.35</w:t>
            </w:r>
            <w:r>
              <w:rPr>
                <w:rFonts w:hint="default" w:ascii="Times New Roman Regular" w:hAnsi="Times New Roman Regular" w:cs="Times New Roman Regular"/>
                <w:kern w:val="2"/>
                <w:sz w:val="24"/>
                <w:szCs w:val="24"/>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82" w:hRule="atLeast"/>
          <w:jc w:val="center"/>
        </w:trPr>
        <w:tc>
          <w:tcPr>
            <w:tcW w:w="23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Regular" w:hAnsi="Times New Roman Regular" w:eastAsia="宋体" w:cs="Times New Roman Regular"/>
                <w:kern w:val="2"/>
                <w:sz w:val="24"/>
                <w:szCs w:val="24"/>
              </w:rPr>
            </w:pPr>
            <w:r>
              <w:rPr>
                <w:rFonts w:hint="default" w:ascii="Times New Roman Regular" w:hAnsi="Times New Roman Regular" w:eastAsia="宋体" w:cs="Times New Roman Regular"/>
                <w:kern w:val="2"/>
                <w:sz w:val="24"/>
                <w:szCs w:val="24"/>
                <w:lang w:val="en-US" w:eastAsia="zh-CN" w:bidi="ar"/>
              </w:rPr>
              <w:t>整体绩效目标实现情况</w:t>
            </w:r>
          </w:p>
        </w:tc>
        <w:tc>
          <w:tcPr>
            <w:tcW w:w="193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Regular" w:hAnsi="Times New Roman Regular" w:eastAsia="宋体" w:cs="Times New Roman Regular"/>
                <w:kern w:val="2"/>
                <w:sz w:val="24"/>
                <w:szCs w:val="24"/>
                <w:highlight w:val="none"/>
              </w:rPr>
            </w:pPr>
            <w:r>
              <w:rPr>
                <w:rFonts w:hint="default" w:ascii="Times New Roman Regular" w:hAnsi="Times New Roman Regular" w:eastAsia="宋体" w:cs="Times New Roman Regular"/>
                <w:kern w:val="2"/>
                <w:sz w:val="24"/>
                <w:szCs w:val="24"/>
                <w:highlight w:val="none"/>
                <w:lang w:val="en-US" w:eastAsia="zh-CN" w:bidi="ar"/>
              </w:rPr>
              <w:t>60</w:t>
            </w:r>
          </w:p>
        </w:tc>
        <w:tc>
          <w:tcPr>
            <w:tcW w:w="21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Regular" w:hAnsi="Times New Roman Regular" w:eastAsia="宋体" w:cs="Times New Roman Regular"/>
                <w:kern w:val="2"/>
                <w:sz w:val="24"/>
                <w:szCs w:val="24"/>
                <w:highlight w:val="none"/>
                <w:lang w:val="en-US" w:eastAsia="zh-CN"/>
              </w:rPr>
            </w:pPr>
            <w:r>
              <w:rPr>
                <w:rFonts w:hint="default" w:ascii="Times New Roman Regular" w:hAnsi="Times New Roman Regular" w:cs="Times New Roman Regular"/>
                <w:kern w:val="2"/>
                <w:sz w:val="24"/>
                <w:szCs w:val="24"/>
                <w:highlight w:val="none"/>
                <w:lang w:val="en-US" w:eastAsia="zh-CN"/>
              </w:rPr>
              <w:t>57</w:t>
            </w:r>
          </w:p>
        </w:tc>
        <w:tc>
          <w:tcPr>
            <w:tcW w:w="21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Regular" w:hAnsi="Times New Roman Regular" w:eastAsia="宋体" w:cs="Times New Roman Regular"/>
                <w:kern w:val="2"/>
                <w:sz w:val="24"/>
                <w:szCs w:val="24"/>
                <w:highlight w:val="none"/>
                <w:lang w:val="en-US" w:eastAsia="zh-CN"/>
              </w:rPr>
            </w:pPr>
            <w:r>
              <w:rPr>
                <w:rFonts w:hint="default" w:ascii="Times New Roman Regular" w:hAnsi="Times New Roman Regular" w:cs="Times New Roman Regular"/>
                <w:kern w:val="2"/>
                <w:sz w:val="24"/>
                <w:szCs w:val="24"/>
                <w:highlight w:val="none"/>
                <w:lang w:val="en-US" w:eastAsia="zh-CN"/>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82" w:hRule="atLeast"/>
          <w:jc w:val="center"/>
        </w:trPr>
        <w:tc>
          <w:tcPr>
            <w:tcW w:w="23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Regular" w:hAnsi="Times New Roman Regular" w:eastAsia="宋体" w:cs="Times New Roman Regular"/>
                <w:kern w:val="2"/>
                <w:sz w:val="24"/>
                <w:szCs w:val="24"/>
              </w:rPr>
            </w:pPr>
            <w:r>
              <w:rPr>
                <w:rFonts w:hint="default" w:ascii="Times New Roman Regular" w:hAnsi="Times New Roman Regular" w:eastAsia="宋体" w:cs="Times New Roman Regular"/>
                <w:kern w:val="2"/>
                <w:sz w:val="24"/>
                <w:szCs w:val="24"/>
                <w:lang w:val="en-US" w:eastAsia="zh-CN" w:bidi="ar"/>
              </w:rPr>
              <w:t>预算管理情况</w:t>
            </w:r>
          </w:p>
        </w:tc>
        <w:tc>
          <w:tcPr>
            <w:tcW w:w="193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Regular" w:hAnsi="Times New Roman Regular" w:eastAsia="宋体" w:cs="Times New Roman Regular"/>
                <w:kern w:val="2"/>
                <w:sz w:val="24"/>
                <w:szCs w:val="24"/>
                <w:highlight w:val="none"/>
              </w:rPr>
            </w:pPr>
            <w:r>
              <w:rPr>
                <w:rFonts w:hint="default" w:ascii="Times New Roman Regular" w:hAnsi="Times New Roman Regular" w:eastAsia="宋体" w:cs="Times New Roman Regular"/>
                <w:kern w:val="2"/>
                <w:sz w:val="24"/>
                <w:szCs w:val="24"/>
                <w:highlight w:val="none"/>
                <w:lang w:val="en-US" w:eastAsia="zh-CN" w:bidi="ar"/>
              </w:rPr>
              <w:t>20</w:t>
            </w:r>
          </w:p>
        </w:tc>
        <w:tc>
          <w:tcPr>
            <w:tcW w:w="21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Regular" w:hAnsi="Times New Roman Regular" w:eastAsia="宋体" w:cs="Times New Roman Regular"/>
                <w:kern w:val="2"/>
                <w:sz w:val="24"/>
                <w:szCs w:val="24"/>
                <w:highlight w:val="none"/>
                <w:lang w:val="en-US" w:eastAsia="zh-CN"/>
              </w:rPr>
            </w:pPr>
            <w:r>
              <w:rPr>
                <w:rFonts w:hint="default" w:ascii="Times New Roman Regular" w:hAnsi="Times New Roman Regular" w:cs="Times New Roman Regular"/>
                <w:kern w:val="2"/>
                <w:sz w:val="24"/>
                <w:szCs w:val="24"/>
                <w:highlight w:val="none"/>
                <w:lang w:val="en-US" w:eastAsia="zh-CN"/>
              </w:rPr>
              <w:t>20</w:t>
            </w:r>
          </w:p>
        </w:tc>
        <w:tc>
          <w:tcPr>
            <w:tcW w:w="21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Regular" w:hAnsi="Times New Roman Regular" w:eastAsia="宋体" w:cs="Times New Roman Regular"/>
                <w:kern w:val="2"/>
                <w:sz w:val="24"/>
                <w:szCs w:val="24"/>
                <w:highlight w:val="none"/>
                <w:lang w:val="en-US" w:eastAsia="zh-CN"/>
              </w:rPr>
            </w:pPr>
            <w:r>
              <w:rPr>
                <w:rFonts w:hint="default" w:ascii="Times New Roman Regular" w:hAnsi="Times New Roman Regular" w:cs="Times New Roman Regular"/>
                <w:kern w:val="2"/>
                <w:sz w:val="24"/>
                <w:szCs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82" w:hRule="atLeast"/>
          <w:jc w:val="center"/>
        </w:trPr>
        <w:tc>
          <w:tcPr>
            <w:tcW w:w="23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Regular" w:hAnsi="Times New Roman Regular" w:eastAsia="宋体" w:cs="Times New Roman Regular"/>
                <w:b/>
                <w:bCs/>
                <w:kern w:val="2"/>
                <w:sz w:val="24"/>
                <w:szCs w:val="24"/>
              </w:rPr>
            </w:pPr>
            <w:r>
              <w:rPr>
                <w:rFonts w:hint="default" w:ascii="Times New Roman Regular" w:hAnsi="Times New Roman Regular" w:eastAsia="宋体" w:cs="Times New Roman Regular"/>
                <w:b/>
                <w:bCs/>
                <w:kern w:val="2"/>
                <w:sz w:val="24"/>
                <w:szCs w:val="24"/>
                <w:lang w:val="en-US" w:eastAsia="zh-CN" w:bidi="ar"/>
              </w:rPr>
              <w:t>合计</w:t>
            </w:r>
          </w:p>
        </w:tc>
        <w:tc>
          <w:tcPr>
            <w:tcW w:w="193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Regular" w:hAnsi="Times New Roman Regular" w:eastAsia="宋体" w:cs="Times New Roman Regular"/>
                <w:kern w:val="2"/>
                <w:sz w:val="24"/>
                <w:szCs w:val="24"/>
                <w:highlight w:val="none"/>
              </w:rPr>
            </w:pPr>
            <w:r>
              <w:rPr>
                <w:rFonts w:hint="default" w:ascii="Times New Roman Regular" w:hAnsi="Times New Roman Regular" w:eastAsia="宋体" w:cs="Times New Roman Regular"/>
                <w:kern w:val="2"/>
                <w:sz w:val="24"/>
                <w:szCs w:val="24"/>
                <w:highlight w:val="none"/>
                <w:lang w:val="en-US" w:eastAsia="zh-CN" w:bidi="ar"/>
              </w:rPr>
              <w:t>100</w:t>
            </w:r>
          </w:p>
        </w:tc>
        <w:tc>
          <w:tcPr>
            <w:tcW w:w="21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Regular" w:hAnsi="Times New Roman Regular" w:eastAsia="宋体" w:cs="Times New Roman Regular"/>
                <w:kern w:val="2"/>
                <w:sz w:val="24"/>
                <w:szCs w:val="24"/>
                <w:highlight w:val="none"/>
                <w:lang w:val="en-US" w:eastAsia="zh-CN"/>
              </w:rPr>
            </w:pPr>
            <w:r>
              <w:rPr>
                <w:rFonts w:hint="default" w:ascii="Times New Roman Regular" w:hAnsi="Times New Roman Regular" w:cs="Times New Roman Regular"/>
                <w:kern w:val="2"/>
                <w:sz w:val="24"/>
                <w:szCs w:val="24"/>
                <w:highlight w:val="none"/>
                <w:lang w:val="en-US" w:eastAsia="zh-CN"/>
              </w:rPr>
              <w:t>96.</w:t>
            </w:r>
            <w:r>
              <w:rPr>
                <w:rFonts w:hint="eastAsia" w:ascii="Times New Roman Regular" w:hAnsi="Times New Roman Regular" w:cs="Times New Roman Regular"/>
                <w:kern w:val="2"/>
                <w:sz w:val="24"/>
                <w:szCs w:val="24"/>
                <w:highlight w:val="none"/>
                <w:lang w:val="en-US" w:eastAsia="zh-CN"/>
              </w:rPr>
              <w:t>87</w:t>
            </w:r>
          </w:p>
        </w:tc>
        <w:tc>
          <w:tcPr>
            <w:tcW w:w="21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Regular" w:hAnsi="Times New Roman Regular" w:eastAsia="宋体" w:cs="Times New Roman Regular"/>
                <w:kern w:val="2"/>
                <w:sz w:val="24"/>
                <w:szCs w:val="24"/>
                <w:highlight w:val="yellow"/>
                <w:lang w:val="en-US"/>
              </w:rPr>
            </w:pPr>
            <w:r>
              <w:rPr>
                <w:rFonts w:hint="default" w:ascii="Times New Roman Regular" w:hAnsi="Times New Roman Regular" w:cs="Times New Roman Regular"/>
                <w:kern w:val="2"/>
                <w:sz w:val="24"/>
                <w:szCs w:val="24"/>
                <w:highlight w:val="none"/>
                <w:lang w:val="en-US" w:eastAsia="zh-CN"/>
              </w:rPr>
              <w:t>96.</w:t>
            </w:r>
            <w:r>
              <w:rPr>
                <w:rFonts w:hint="eastAsia" w:ascii="Times New Roman Regular" w:hAnsi="Times New Roman Regular" w:cs="Times New Roman Regular"/>
                <w:kern w:val="2"/>
                <w:sz w:val="24"/>
                <w:szCs w:val="24"/>
                <w:highlight w:val="none"/>
                <w:lang w:val="en-US" w:eastAsia="zh-CN"/>
              </w:rPr>
              <w:t>87</w:t>
            </w:r>
            <w:r>
              <w:rPr>
                <w:rFonts w:hint="default" w:ascii="Times New Roman Regular" w:hAnsi="Times New Roman Regular" w:cs="Times New Roman Regular"/>
                <w:kern w:val="2"/>
                <w:sz w:val="24"/>
                <w:szCs w:val="24"/>
                <w:highlight w:val="none"/>
                <w:lang w:val="en-US" w:eastAsia="zh-CN"/>
              </w:rPr>
              <w:t>%</w:t>
            </w:r>
          </w:p>
        </w:tc>
      </w:tr>
    </w:tbl>
    <w:p>
      <w:pPr>
        <w:adjustRightInd w:val="0"/>
        <w:snapToGrid w:val="0"/>
        <w:spacing w:before="0" w:beforeLines="0" w:line="560" w:lineRule="exact"/>
        <w:ind w:firstLine="640" w:firstLineChars="200"/>
        <w:outlineLvl w:val="1"/>
        <w:rPr>
          <w:rFonts w:ascii="Times New Roman Regular" w:hAnsi="Times New Roman Regular" w:eastAsia="楷体" w:cs="Times New Roman Regular"/>
          <w:sz w:val="32"/>
          <w:szCs w:val="32"/>
        </w:rPr>
      </w:pPr>
      <w:bookmarkStart w:id="72" w:name="_Toc2055443158"/>
      <w:bookmarkStart w:id="73" w:name="_Toc1799686454"/>
      <w:bookmarkStart w:id="74" w:name="_Toc135202299"/>
      <w:bookmarkStart w:id="75" w:name="_Toc1366332090"/>
      <w:r>
        <w:rPr>
          <w:rFonts w:ascii="Times New Roman Regular" w:hAnsi="Times New Roman Regular" w:eastAsia="楷体" w:cs="Times New Roman Regular"/>
          <w:sz w:val="32"/>
          <w:szCs w:val="32"/>
        </w:rPr>
        <w:t>（二）存在的问题及原因分析</w:t>
      </w:r>
      <w:bookmarkEnd w:id="72"/>
      <w:bookmarkEnd w:id="73"/>
      <w:bookmarkEnd w:id="74"/>
      <w:bookmarkEnd w:id="75"/>
    </w:p>
    <w:p>
      <w:pPr>
        <w:adjustRightInd w:val="0"/>
        <w:snapToGrid w:val="0"/>
        <w:spacing w:beforeLines="0" w:line="560" w:lineRule="exact"/>
        <w:ind w:firstLine="640" w:firstLineChars="200"/>
        <w:rPr>
          <w:rFonts w:hint="default" w:ascii="Times New Roman Regular" w:hAnsi="Times New Roman Regular" w:eastAsia="仿宋_GB2312" w:cs="Times New Roman Regular"/>
          <w:b w:val="0"/>
          <w:bCs w:val="0"/>
          <w:kern w:val="2"/>
          <w:sz w:val="32"/>
          <w:szCs w:val="32"/>
          <w:lang w:val="en-US" w:eastAsia="zh-CN" w:bidi="ar"/>
        </w:rPr>
      </w:pPr>
      <w:r>
        <w:rPr>
          <w:rFonts w:hint="default" w:ascii="Times New Roman Regular" w:hAnsi="Times New Roman Regular" w:eastAsia="仿宋_GB2312" w:cs="Times New Roman Regular"/>
          <w:b w:val="0"/>
          <w:bCs w:val="0"/>
          <w:kern w:val="2"/>
          <w:sz w:val="32"/>
          <w:szCs w:val="32"/>
          <w:lang w:val="en-US" w:eastAsia="zh-CN" w:bidi="ar"/>
        </w:rPr>
        <w:t>绩效目标设置的合理性仍需进一步提升，主要体现在：</w:t>
      </w:r>
      <w:r>
        <w:rPr>
          <w:rFonts w:hint="default" w:ascii="Times New Roman Regular" w:hAnsi="Times New Roman Regular" w:eastAsia="仿宋_GB2312" w:cs="Times New Roman Regular"/>
          <w:b/>
          <w:bCs/>
          <w:kern w:val="2"/>
          <w:sz w:val="32"/>
          <w:szCs w:val="32"/>
          <w:lang w:val="en-US" w:eastAsia="zh-CN" w:bidi="ar"/>
        </w:rPr>
        <w:t>一是</w:t>
      </w:r>
      <w:r>
        <w:rPr>
          <w:rFonts w:hint="default" w:ascii="Times New Roman Regular" w:hAnsi="Times New Roman Regular" w:eastAsia="仿宋_GB2312" w:cs="Times New Roman Regular"/>
          <w:b w:val="0"/>
          <w:bCs w:val="0"/>
          <w:kern w:val="2"/>
          <w:sz w:val="32"/>
          <w:szCs w:val="32"/>
          <w:lang w:val="en-US" w:eastAsia="zh-CN" w:bidi="ar"/>
        </w:rPr>
        <w:t>部门整体绩效目标与部门年度工作计划、项目整体绩效目标与项目具体内容的链接不够紧密，个别项目绩效目标未完整呈现预期产出和预期效益情况，</w:t>
      </w:r>
      <w:r>
        <w:rPr>
          <w:rFonts w:hint="default" w:ascii="Times New Roman Regular" w:hAnsi="Times New Roman Regular" w:eastAsia="仿宋_GB2312" w:cs="Times New Roman Regular"/>
          <w:kern w:val="2"/>
          <w:sz w:val="32"/>
          <w:szCs w:val="32"/>
          <w:lang w:val="en-US" w:eastAsia="zh-CN" w:bidi="ar"/>
        </w:rPr>
        <w:t>对项目实施和具体指标分解缺乏指导性。</w:t>
      </w:r>
      <w:r>
        <w:rPr>
          <w:rFonts w:hint="default" w:ascii="Times New Roman Regular" w:hAnsi="Times New Roman Regular" w:eastAsia="仿宋_GB2312" w:cs="Times New Roman Regular"/>
          <w:b/>
          <w:bCs/>
          <w:kern w:val="2"/>
          <w:sz w:val="32"/>
          <w:szCs w:val="32"/>
          <w:lang w:val="en-US" w:eastAsia="zh-CN" w:bidi="ar"/>
        </w:rPr>
        <w:t>二是</w:t>
      </w:r>
      <w:r>
        <w:rPr>
          <w:rFonts w:hint="default" w:ascii="Times New Roman Regular" w:hAnsi="Times New Roman Regular" w:eastAsia="仿宋_GB2312" w:cs="Times New Roman Regular"/>
          <w:b w:val="0"/>
          <w:bCs w:val="0"/>
          <w:kern w:val="2"/>
          <w:sz w:val="32"/>
          <w:szCs w:val="32"/>
          <w:lang w:val="en-US" w:eastAsia="zh-CN" w:bidi="ar"/>
        </w:rPr>
        <w:t>与部门工作或项目内容密切相关的核心绩效指标缺失，且个别项目未设置质量指标，对具体工作的完成质量约束不足。</w:t>
      </w:r>
      <w:r>
        <w:rPr>
          <w:rFonts w:hint="default" w:ascii="Times New Roman Regular" w:hAnsi="Times New Roman Regular" w:eastAsia="仿宋_GB2312" w:cs="Times New Roman Regular"/>
          <w:b/>
          <w:bCs/>
          <w:kern w:val="2"/>
          <w:sz w:val="32"/>
          <w:szCs w:val="32"/>
          <w:lang w:val="en-US" w:eastAsia="zh-CN" w:bidi="ar"/>
        </w:rPr>
        <w:t>三是</w:t>
      </w:r>
      <w:r>
        <w:rPr>
          <w:rFonts w:hint="default" w:ascii="Times New Roman Regular" w:hAnsi="Times New Roman Regular" w:eastAsia="仿宋_GB2312" w:cs="Times New Roman Regular"/>
          <w:b w:val="0"/>
          <w:bCs w:val="0"/>
          <w:kern w:val="2"/>
          <w:sz w:val="32"/>
          <w:szCs w:val="32"/>
          <w:lang w:val="en-US" w:eastAsia="zh-CN" w:bidi="ar"/>
        </w:rPr>
        <w:t>个别指标年度指标值设置偏低，导致实际完成值与指标值偏离较大。</w:t>
      </w:r>
    </w:p>
    <w:p>
      <w:pPr>
        <w:adjustRightInd w:val="0"/>
        <w:snapToGrid w:val="0"/>
        <w:spacing w:beforeLines="0" w:line="560" w:lineRule="exact"/>
        <w:ind w:firstLine="640" w:firstLineChars="200"/>
        <w:outlineLvl w:val="0"/>
        <w:rPr>
          <w:rFonts w:ascii="Times New Roman Regular" w:hAnsi="Times New Roman Regular" w:eastAsia="黑体" w:cs="Times New Roman Regular"/>
          <w:sz w:val="32"/>
          <w:szCs w:val="32"/>
        </w:rPr>
      </w:pPr>
      <w:bookmarkStart w:id="76" w:name="_Toc23064383"/>
      <w:bookmarkStart w:id="77" w:name="_Toc1411210864"/>
      <w:bookmarkStart w:id="78" w:name="_Toc135202300"/>
      <w:bookmarkStart w:id="79" w:name="_Toc900799259"/>
      <w:r>
        <w:rPr>
          <w:rFonts w:ascii="Times New Roman Regular" w:hAnsi="Times New Roman Regular" w:eastAsia="黑体" w:cs="Times New Roman Regular"/>
          <w:sz w:val="32"/>
          <w:szCs w:val="32"/>
        </w:rPr>
        <w:t>六、措施建议</w:t>
      </w:r>
      <w:bookmarkEnd w:id="76"/>
      <w:bookmarkEnd w:id="77"/>
      <w:bookmarkEnd w:id="78"/>
      <w:bookmarkEnd w:id="79"/>
    </w:p>
    <w:p>
      <w:pPr>
        <w:adjustRightInd w:val="0"/>
        <w:snapToGrid w:val="0"/>
        <w:spacing w:beforeLines="0" w:line="560" w:lineRule="exact"/>
        <w:ind w:firstLine="640" w:firstLineChars="200"/>
        <w:outlineLvl w:val="1"/>
        <w:rPr>
          <w:rFonts w:hint="default" w:ascii="Times New Roman Regular" w:hAnsi="Times New Roman Regular" w:eastAsia="仿宋_GB2312" w:cs="Times New Roman Regular"/>
          <w:kern w:val="2"/>
          <w:sz w:val="32"/>
          <w:szCs w:val="32"/>
          <w:lang w:val="en-US" w:eastAsia="zh-CN" w:bidi="ar"/>
        </w:rPr>
      </w:pPr>
      <w:bookmarkStart w:id="80" w:name="_Toc1411593780"/>
      <w:bookmarkStart w:id="81" w:name="_Toc2120918310"/>
      <w:bookmarkStart w:id="82" w:name="_Toc1096028621"/>
      <w:r>
        <w:rPr>
          <w:rFonts w:hint="default" w:ascii="Times New Roman Regular" w:hAnsi="Times New Roman Regular" w:eastAsia="仿宋_GB2312" w:cs="Times New Roman Regular"/>
          <w:kern w:val="2"/>
          <w:sz w:val="32"/>
          <w:szCs w:val="32"/>
          <w:lang w:val="en-US" w:eastAsia="zh-CN" w:bidi="ar"/>
        </w:rPr>
        <w:t>为提升部门整体及各项目绩效目标填报质量，将加强学习培训与内部审核，适时组织开展预算绩效管理培训，强化各部门项目负责人对绩效目标的理解和认识，并借助专家及专业机构力量，在绩效目标填报阶段，对绩效目标填报的科学性、合理性进行审核及指导，提高绩效目标设置的科学性、合理性，有效发挥绩效目标的指导作用和约束作用。</w:t>
      </w:r>
      <w:bookmarkEnd w:id="80"/>
      <w:bookmarkEnd w:id="81"/>
      <w:bookmarkEnd w:id="82"/>
    </w:p>
    <w:p>
      <w:pPr>
        <w:adjustRightInd w:val="0"/>
        <w:snapToGrid w:val="0"/>
        <w:spacing w:beforeLines="0" w:line="560" w:lineRule="exact"/>
        <w:ind w:firstLine="640" w:firstLineChars="200"/>
        <w:outlineLvl w:val="1"/>
        <w:rPr>
          <w:rFonts w:hint="default" w:ascii="Times New Roman Regular" w:hAnsi="Times New Roman Regular" w:eastAsia="仿宋_GB2312" w:cs="Times New Roman Regular"/>
          <w:kern w:val="2"/>
          <w:sz w:val="32"/>
          <w:szCs w:val="32"/>
          <w:lang w:val="en-US" w:eastAsia="zh-CN" w:bidi="ar"/>
        </w:rPr>
      </w:pPr>
    </w:p>
    <w:tbl>
      <w:tblPr>
        <w:tblW w:w="1385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
      <w:tblGrid>
        <w:gridCol w:w="673"/>
        <w:gridCol w:w="914"/>
        <w:gridCol w:w="1064"/>
        <w:gridCol w:w="782"/>
        <w:gridCol w:w="945"/>
        <w:gridCol w:w="705"/>
        <w:gridCol w:w="810"/>
        <w:gridCol w:w="4170"/>
        <w:gridCol w:w="37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13858" w:type="dxa"/>
            <w:gridSpan w:val="9"/>
            <w:tcBorders>
              <w:top w:val="nil"/>
              <w:left w:val="nil"/>
              <w:bottom w:val="nil"/>
              <w:right w:val="nil"/>
            </w:tcBorders>
            <w:shd w:val="clear"/>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0"/>
                <w:szCs w:val="40"/>
                <w:u w:val="none"/>
              </w:rPr>
            </w:pPr>
            <w:r>
              <w:rPr>
                <w:rFonts w:hint="eastAsia" w:ascii="方正小标宋简体" w:hAnsi="方正小标宋简体" w:eastAsia="方正小标宋简体" w:cs="方正小标宋简体"/>
                <w:i w:val="0"/>
                <w:iCs w:val="0"/>
                <w:color w:val="000000"/>
                <w:kern w:val="0"/>
                <w:sz w:val="40"/>
                <w:szCs w:val="40"/>
                <w:u w:val="none"/>
                <w:bdr w:val="none" w:color="auto" w:sz="0" w:space="0"/>
                <w:lang w:val="en-US" w:eastAsia="zh-CN" w:bidi="ar"/>
              </w:rPr>
              <w:t>2023年度部门整体绩效评价指标体系评分表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0" w:hRule="atLeast"/>
        </w:trPr>
        <w:tc>
          <w:tcPr>
            <w:tcW w:w="13858" w:type="dxa"/>
            <w:gridSpan w:val="9"/>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一、当年预算执行情况（20分）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20" w:hRule="atLeast"/>
        </w:trPr>
        <w:tc>
          <w:tcPr>
            <w:tcW w:w="67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一级指标　</w:t>
            </w:r>
          </w:p>
        </w:tc>
        <w:tc>
          <w:tcPr>
            <w:tcW w:w="91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二级指标　</w:t>
            </w:r>
          </w:p>
        </w:tc>
        <w:tc>
          <w:tcPr>
            <w:tcW w:w="10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预算数</w:t>
            </w:r>
            <w:r>
              <w:rPr>
                <w:rFonts w:hint="eastAsia" w:ascii="宋体" w:hAnsi="宋体" w:eastAsia="宋体" w:cs="宋体"/>
                <w:b/>
                <w:bCs/>
                <w:i w:val="0"/>
                <w:iCs w:val="0"/>
                <w:color w:val="000000"/>
                <w:kern w:val="0"/>
                <w:sz w:val="18"/>
                <w:szCs w:val="18"/>
                <w:u w:val="none"/>
                <w:bdr w:val="none" w:color="auto" w:sz="0" w:space="0"/>
                <w:lang w:val="en-US" w:eastAsia="zh-CN" w:bidi="ar"/>
              </w:rPr>
              <w:br w:type="textWrapping"/>
            </w:r>
            <w:r>
              <w:rPr>
                <w:rFonts w:hint="eastAsia" w:ascii="宋体" w:hAnsi="宋体" w:eastAsia="宋体" w:cs="宋体"/>
                <w:b/>
                <w:bCs/>
                <w:i w:val="0"/>
                <w:iCs w:val="0"/>
                <w:color w:val="000000"/>
                <w:kern w:val="0"/>
                <w:sz w:val="18"/>
                <w:szCs w:val="18"/>
                <w:u w:val="none"/>
                <w:bdr w:val="none" w:color="auto" w:sz="0" w:space="0"/>
                <w:lang w:val="en-US" w:eastAsia="zh-CN" w:bidi="ar"/>
              </w:rPr>
              <w:t>（万元）</w:t>
            </w:r>
          </w:p>
        </w:tc>
        <w:tc>
          <w:tcPr>
            <w:tcW w:w="7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执行数</w:t>
            </w:r>
            <w:r>
              <w:rPr>
                <w:rFonts w:hint="eastAsia" w:ascii="宋体" w:hAnsi="宋体" w:eastAsia="宋体" w:cs="宋体"/>
                <w:b/>
                <w:bCs/>
                <w:i w:val="0"/>
                <w:iCs w:val="0"/>
                <w:color w:val="000000"/>
                <w:kern w:val="0"/>
                <w:sz w:val="18"/>
                <w:szCs w:val="18"/>
                <w:u w:val="none"/>
                <w:bdr w:val="none" w:color="auto" w:sz="0" w:space="0"/>
                <w:lang w:val="en-US" w:eastAsia="zh-CN" w:bidi="ar"/>
              </w:rPr>
              <w:br w:type="textWrapping"/>
            </w:r>
            <w:r>
              <w:rPr>
                <w:rFonts w:hint="eastAsia" w:ascii="宋体" w:hAnsi="宋体" w:eastAsia="宋体" w:cs="宋体"/>
                <w:b/>
                <w:bCs/>
                <w:i w:val="0"/>
                <w:iCs w:val="0"/>
                <w:color w:val="000000"/>
                <w:kern w:val="0"/>
                <w:sz w:val="18"/>
                <w:szCs w:val="18"/>
                <w:u w:val="none"/>
                <w:bdr w:val="none" w:color="auto" w:sz="0" w:space="0"/>
                <w:lang w:val="en-US" w:eastAsia="zh-CN" w:bidi="ar"/>
              </w:rPr>
              <w:t>（万元）</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预算执行率</w:t>
            </w:r>
          </w:p>
        </w:tc>
        <w:tc>
          <w:tcPr>
            <w:tcW w:w="7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分值</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得分</w:t>
            </w:r>
          </w:p>
        </w:tc>
        <w:tc>
          <w:tcPr>
            <w:tcW w:w="4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指标解释</w:t>
            </w:r>
          </w:p>
        </w:tc>
        <w:tc>
          <w:tcPr>
            <w:tcW w:w="37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评分标准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20" w:hRule="atLeast"/>
        </w:trPr>
        <w:tc>
          <w:tcPr>
            <w:tcW w:w="673"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当年预算执行情况（20）</w:t>
            </w:r>
          </w:p>
        </w:tc>
        <w:tc>
          <w:tcPr>
            <w:tcW w:w="91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资金总体</w:t>
            </w:r>
          </w:p>
        </w:tc>
        <w:tc>
          <w:tcPr>
            <w:tcW w:w="10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13,138.56</w:t>
            </w:r>
          </w:p>
        </w:tc>
        <w:tc>
          <w:tcPr>
            <w:tcW w:w="7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13,053.44</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99.35%</w:t>
            </w:r>
          </w:p>
        </w:tc>
        <w:tc>
          <w:tcPr>
            <w:tcW w:w="705" w:type="dxa"/>
            <w:vMerge w:val="restar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w:t>
            </w:r>
          </w:p>
        </w:tc>
        <w:tc>
          <w:tcPr>
            <w:tcW w:w="810" w:type="dxa"/>
            <w:vMerge w:val="restar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19.87 </w:t>
            </w:r>
          </w:p>
        </w:tc>
        <w:tc>
          <w:tcPr>
            <w:tcW w:w="417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部门全年执行数与全年预算数的比率。资金总体=基本支出+项目支出+其他</w:t>
            </w:r>
            <w:bookmarkStart w:id="83" w:name="_GoBack"/>
            <w:bookmarkEnd w:id="83"/>
          </w:p>
        </w:tc>
        <w:tc>
          <w:tcPr>
            <w:tcW w:w="379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①得分一档最高不能超过该指标分值上限（20分）。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20" w:hRule="atLeast"/>
        </w:trPr>
        <w:tc>
          <w:tcPr>
            <w:tcW w:w="673"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91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基本支出</w:t>
            </w:r>
          </w:p>
        </w:tc>
        <w:tc>
          <w:tcPr>
            <w:tcW w:w="1064"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3,953.83</w:t>
            </w:r>
          </w:p>
        </w:tc>
        <w:tc>
          <w:tcPr>
            <w:tcW w:w="782"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3,933.04</w:t>
            </w:r>
          </w:p>
        </w:tc>
        <w:tc>
          <w:tcPr>
            <w:tcW w:w="94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705" w:type="dxa"/>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18"/>
                <w:szCs w:val="18"/>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18"/>
                <w:szCs w:val="18"/>
                <w:u w:val="none"/>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18"/>
                <w:szCs w:val="18"/>
                <w:u w:val="none"/>
              </w:rPr>
            </w:pPr>
          </w:p>
        </w:tc>
        <w:tc>
          <w:tcPr>
            <w:tcW w:w="3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20" w:hRule="atLeast"/>
        </w:trPr>
        <w:tc>
          <w:tcPr>
            <w:tcW w:w="673"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91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项目支出</w:t>
            </w:r>
          </w:p>
        </w:tc>
        <w:tc>
          <w:tcPr>
            <w:tcW w:w="1064"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9,184.73</w:t>
            </w:r>
          </w:p>
        </w:tc>
        <w:tc>
          <w:tcPr>
            <w:tcW w:w="782"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9,120.40</w:t>
            </w:r>
          </w:p>
        </w:tc>
        <w:tc>
          <w:tcPr>
            <w:tcW w:w="94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705" w:type="dxa"/>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18"/>
                <w:szCs w:val="18"/>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18"/>
                <w:szCs w:val="18"/>
                <w:u w:val="none"/>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18"/>
                <w:szCs w:val="18"/>
                <w:u w:val="none"/>
              </w:rPr>
            </w:pPr>
          </w:p>
        </w:tc>
        <w:tc>
          <w:tcPr>
            <w:tcW w:w="3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20" w:hRule="atLeast"/>
        </w:trPr>
        <w:tc>
          <w:tcPr>
            <w:tcW w:w="673"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91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其他</w:t>
            </w:r>
          </w:p>
        </w:tc>
        <w:tc>
          <w:tcPr>
            <w:tcW w:w="1064"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0.00</w:t>
            </w:r>
          </w:p>
        </w:tc>
        <w:tc>
          <w:tcPr>
            <w:tcW w:w="782"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0.00</w:t>
            </w:r>
          </w:p>
        </w:tc>
        <w:tc>
          <w:tcPr>
            <w:tcW w:w="94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705" w:type="dxa"/>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18"/>
                <w:szCs w:val="18"/>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18"/>
                <w:szCs w:val="18"/>
                <w:u w:val="none"/>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18"/>
                <w:szCs w:val="18"/>
                <w:u w:val="none"/>
              </w:rPr>
            </w:pPr>
          </w:p>
        </w:tc>
        <w:tc>
          <w:tcPr>
            <w:tcW w:w="3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0" w:hRule="atLeast"/>
        </w:trPr>
        <w:tc>
          <w:tcPr>
            <w:tcW w:w="13858" w:type="dxa"/>
            <w:gridSpan w:val="9"/>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二、整体绩效目标实现情况（60分）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0" w:hRule="atLeast"/>
        </w:trPr>
        <w:tc>
          <w:tcPr>
            <w:tcW w:w="67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一级指标</w:t>
            </w:r>
          </w:p>
        </w:tc>
        <w:tc>
          <w:tcPr>
            <w:tcW w:w="91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二级指标　</w:t>
            </w:r>
          </w:p>
        </w:tc>
        <w:tc>
          <w:tcPr>
            <w:tcW w:w="10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三级指标　</w:t>
            </w:r>
          </w:p>
        </w:tc>
        <w:tc>
          <w:tcPr>
            <w:tcW w:w="7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指标值</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完成值</w:t>
            </w:r>
          </w:p>
        </w:tc>
        <w:tc>
          <w:tcPr>
            <w:tcW w:w="7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分值</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得分</w:t>
            </w:r>
          </w:p>
        </w:tc>
        <w:tc>
          <w:tcPr>
            <w:tcW w:w="4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指标解释</w:t>
            </w:r>
          </w:p>
        </w:tc>
        <w:tc>
          <w:tcPr>
            <w:tcW w:w="37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评分标准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958" w:hRule="atLeast"/>
        </w:trPr>
        <w:tc>
          <w:tcPr>
            <w:tcW w:w="673"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整体绩效目标实现情况（60）</w:t>
            </w:r>
          </w:p>
        </w:tc>
        <w:tc>
          <w:tcPr>
            <w:tcW w:w="914"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产出（30）</w:t>
            </w:r>
          </w:p>
        </w:tc>
        <w:tc>
          <w:tcPr>
            <w:tcW w:w="10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组织实施展会</w:t>
            </w:r>
          </w:p>
        </w:tc>
        <w:tc>
          <w:tcPr>
            <w:tcW w:w="7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=1场</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1场</w:t>
            </w:r>
          </w:p>
        </w:tc>
        <w:tc>
          <w:tcPr>
            <w:tcW w:w="7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15</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15</w:t>
            </w:r>
          </w:p>
        </w:tc>
        <w:tc>
          <w:tcPr>
            <w:tcW w:w="417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Style w:val="43"/>
                <w:bdr w:val="none" w:color="auto" w:sz="0" w:space="0"/>
                <w:lang w:val="en-US" w:eastAsia="zh-CN" w:bidi="ar"/>
              </w:rPr>
              <w:t>产出数量</w:t>
            </w:r>
            <w:r>
              <w:rPr>
                <w:rStyle w:val="44"/>
                <w:bdr w:val="none" w:color="auto" w:sz="0" w:space="0"/>
                <w:lang w:val="en-US" w:eastAsia="zh-CN" w:bidi="ar"/>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Style w:val="43"/>
                <w:bdr w:val="none" w:color="auto" w:sz="0" w:space="0"/>
                <w:lang w:val="en-US" w:eastAsia="zh-CN" w:bidi="ar"/>
              </w:rPr>
              <w:t>产出质量</w:t>
            </w:r>
            <w:r>
              <w:rPr>
                <w:rStyle w:val="44"/>
                <w:bdr w:val="none" w:color="auto" w:sz="0" w:space="0"/>
                <w:lang w:val="en-US" w:eastAsia="zh-CN" w:bidi="ar"/>
              </w:rPr>
              <w:t>：质量达标率=质量达标工作数/实际完成工作数×100%。质量达标工作数：一定时期（年度或规划期）内部门（单位）实际完成工作数中达到部门绩效目标要求（绩效标准值）的工作任务数量。</w:t>
            </w:r>
            <w:r>
              <w:rPr>
                <w:rStyle w:val="43"/>
                <w:bdr w:val="none" w:color="auto" w:sz="0" w:space="0"/>
                <w:lang w:val="en-US" w:eastAsia="zh-CN" w:bidi="ar"/>
              </w:rPr>
              <w:t>产出进度：</w:t>
            </w:r>
            <w:r>
              <w:rPr>
                <w:rStyle w:val="44"/>
                <w:bdr w:val="none" w:color="auto" w:sz="0" w:space="0"/>
                <w:lang w:val="en-US" w:eastAsia="zh-CN" w:bidi="ar"/>
              </w:rPr>
              <w:t>按时完成率=（按时完成工作数/实际完成工作数）×100%。按时完成工作数：部门（单位）按照整体绩效目标确定的时限实际完成的工作任务数量。</w:t>
            </w:r>
            <w:r>
              <w:rPr>
                <w:rStyle w:val="43"/>
                <w:bdr w:val="none" w:color="auto" w:sz="0" w:space="0"/>
                <w:lang w:val="en-US" w:eastAsia="zh-CN" w:bidi="ar"/>
              </w:rPr>
              <w:t>产出成本</w:t>
            </w:r>
            <w:r>
              <w:rPr>
                <w:rStyle w:val="44"/>
                <w:bdr w:val="none" w:color="auto" w:sz="0" w:space="0"/>
                <w:lang w:val="en-US" w:eastAsia="zh-CN" w:bidi="ar"/>
              </w:rPr>
              <w:t>：单位产出相对于上一年度的节约额；②单位产出相对于市场同类产出的节约额；③部门公用经费的控制情况。</w:t>
            </w:r>
          </w:p>
        </w:tc>
        <w:tc>
          <w:tcPr>
            <w:tcW w:w="379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部门根据本单位情况自行确定并选择产出指标，合理确定各项指标权重。可量化的指标按照比率*单项指标分值即为该指标得分。如果不能定量评价，则以定性的方式进行自评。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860" w:hRule="atLeast"/>
        </w:trPr>
        <w:tc>
          <w:tcPr>
            <w:tcW w:w="673"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91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组织培训</w:t>
            </w:r>
          </w:p>
        </w:tc>
        <w:tc>
          <w:tcPr>
            <w:tcW w:w="7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≥6次</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35次</w:t>
            </w:r>
          </w:p>
        </w:tc>
        <w:tc>
          <w:tcPr>
            <w:tcW w:w="7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15</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12</w:t>
            </w:r>
          </w:p>
        </w:tc>
        <w:tc>
          <w:tcPr>
            <w:tcW w:w="417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b/>
                <w:bCs/>
                <w:i w:val="0"/>
                <w:iCs w:val="0"/>
                <w:color w:val="000000"/>
                <w:sz w:val="18"/>
                <w:szCs w:val="18"/>
                <w:u w:val="none"/>
              </w:rPr>
            </w:pPr>
          </w:p>
        </w:tc>
        <w:tc>
          <w:tcPr>
            <w:tcW w:w="3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120" w:hRule="atLeast"/>
        </w:trPr>
        <w:tc>
          <w:tcPr>
            <w:tcW w:w="673"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91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效果（30）</w:t>
            </w:r>
          </w:p>
        </w:tc>
        <w:tc>
          <w:tcPr>
            <w:tcW w:w="10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活动场次</w:t>
            </w:r>
          </w:p>
        </w:tc>
        <w:tc>
          <w:tcPr>
            <w:tcW w:w="782"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≥5场</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6场</w:t>
            </w:r>
          </w:p>
        </w:tc>
        <w:tc>
          <w:tcPr>
            <w:tcW w:w="7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30</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30</w:t>
            </w:r>
          </w:p>
        </w:tc>
        <w:tc>
          <w:tcPr>
            <w:tcW w:w="4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Style w:val="43"/>
                <w:bdr w:val="none" w:color="auto" w:sz="0" w:space="0"/>
                <w:lang w:val="en-US" w:eastAsia="zh-CN" w:bidi="ar"/>
              </w:rPr>
              <w:t>经济效益</w:t>
            </w:r>
            <w:r>
              <w:rPr>
                <w:rStyle w:val="44"/>
                <w:bdr w:val="none" w:color="auto" w:sz="0" w:space="0"/>
                <w:lang w:val="en-US" w:eastAsia="zh-CN" w:bidi="ar"/>
              </w:rPr>
              <w:t>：部门（单位）履行职责对经济发展所带来的直接或间接影响。</w:t>
            </w:r>
            <w:r>
              <w:rPr>
                <w:rStyle w:val="43"/>
                <w:bdr w:val="none" w:color="auto" w:sz="0" w:space="0"/>
                <w:lang w:val="en-US" w:eastAsia="zh-CN" w:bidi="ar"/>
              </w:rPr>
              <w:t>社会效益</w:t>
            </w:r>
            <w:r>
              <w:rPr>
                <w:rStyle w:val="44"/>
                <w:bdr w:val="none" w:color="auto" w:sz="0" w:space="0"/>
                <w:lang w:val="en-US" w:eastAsia="zh-CN" w:bidi="ar"/>
              </w:rPr>
              <w:t>：部门（单位）履行职责对社会发展所带来的直接或间接影响。</w:t>
            </w:r>
            <w:r>
              <w:rPr>
                <w:rStyle w:val="43"/>
                <w:bdr w:val="none" w:color="auto" w:sz="0" w:space="0"/>
                <w:lang w:val="en-US" w:eastAsia="zh-CN" w:bidi="ar"/>
              </w:rPr>
              <w:t>环境效益</w:t>
            </w:r>
            <w:r>
              <w:rPr>
                <w:rStyle w:val="44"/>
                <w:bdr w:val="none" w:color="auto" w:sz="0" w:space="0"/>
                <w:lang w:val="en-US" w:eastAsia="zh-CN" w:bidi="ar"/>
              </w:rPr>
              <w:t>：部门（单位）履行职责对环境所带来的直接或间接影响。</w:t>
            </w:r>
            <w:r>
              <w:rPr>
                <w:rStyle w:val="43"/>
                <w:bdr w:val="none" w:color="auto" w:sz="0" w:space="0"/>
                <w:lang w:val="en-US" w:eastAsia="zh-CN" w:bidi="ar"/>
              </w:rPr>
              <w:t>可持续性影响：</w:t>
            </w:r>
            <w:r>
              <w:rPr>
                <w:rStyle w:val="44"/>
                <w:bdr w:val="none" w:color="auto" w:sz="0" w:space="0"/>
                <w:lang w:val="en-US" w:eastAsia="zh-CN" w:bidi="ar"/>
              </w:rPr>
              <w:t>部门绩效目标实现的长效机制建设情况，部门工作效率提升措施的创新。</w:t>
            </w:r>
            <w:r>
              <w:rPr>
                <w:rStyle w:val="43"/>
                <w:bdr w:val="none" w:color="auto" w:sz="0" w:space="0"/>
                <w:lang w:val="en-US" w:eastAsia="zh-CN" w:bidi="ar"/>
              </w:rPr>
              <w:t>服务对象满意度</w:t>
            </w:r>
            <w:r>
              <w:rPr>
                <w:rStyle w:val="44"/>
                <w:bdr w:val="none" w:color="auto" w:sz="0" w:space="0"/>
                <w:lang w:val="en-US" w:eastAsia="zh-CN" w:bidi="ar"/>
              </w:rPr>
              <w:t>：部门（单位）的服务对象对部门履职效果的满意程度。</w:t>
            </w:r>
          </w:p>
        </w:tc>
        <w:tc>
          <w:tcPr>
            <w:tcW w:w="37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部门根据实际情况选择指标进行填写，并将其细化为相应的个性化指标。对于效益类指标可从受益对象瞄准度、受益广度和受益深度上进行设计分析。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20" w:hRule="atLeast"/>
        </w:trPr>
        <w:tc>
          <w:tcPr>
            <w:tcW w:w="13858" w:type="dxa"/>
            <w:gridSpan w:val="9"/>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三、预算管理情况（20分）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20" w:hRule="atLeast"/>
        </w:trPr>
        <w:tc>
          <w:tcPr>
            <w:tcW w:w="67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一级指标</w:t>
            </w:r>
          </w:p>
        </w:tc>
        <w:tc>
          <w:tcPr>
            <w:tcW w:w="91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二级指标</w:t>
            </w:r>
          </w:p>
        </w:tc>
        <w:tc>
          <w:tcPr>
            <w:tcW w:w="10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三级指标</w:t>
            </w:r>
          </w:p>
        </w:tc>
        <w:tc>
          <w:tcPr>
            <w:tcW w:w="7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指标值</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完成值</w:t>
            </w:r>
          </w:p>
        </w:tc>
        <w:tc>
          <w:tcPr>
            <w:tcW w:w="705"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分值</w:t>
            </w:r>
          </w:p>
        </w:tc>
        <w:tc>
          <w:tcPr>
            <w:tcW w:w="81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得分</w:t>
            </w:r>
          </w:p>
        </w:tc>
        <w:tc>
          <w:tcPr>
            <w:tcW w:w="4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指标解释</w:t>
            </w:r>
          </w:p>
        </w:tc>
        <w:tc>
          <w:tcPr>
            <w:tcW w:w="37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评分标准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75" w:hRule="atLeast"/>
        </w:trPr>
        <w:tc>
          <w:tcPr>
            <w:tcW w:w="673"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预算管理情况（20）</w:t>
            </w:r>
          </w:p>
        </w:tc>
        <w:tc>
          <w:tcPr>
            <w:tcW w:w="914"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财务管理</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10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财务管理制度健全性</w:t>
            </w:r>
          </w:p>
        </w:tc>
        <w:tc>
          <w:tcPr>
            <w:tcW w:w="7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健全</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健全</w:t>
            </w:r>
          </w:p>
        </w:tc>
        <w:tc>
          <w:tcPr>
            <w:tcW w:w="705"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4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Style w:val="43"/>
                <w:bdr w:val="none" w:color="auto" w:sz="0" w:space="0"/>
                <w:lang w:val="en-US" w:eastAsia="zh-CN" w:bidi="ar"/>
              </w:rPr>
              <w:t>财务管理制度健全性:</w:t>
            </w:r>
            <w:r>
              <w:rPr>
                <w:rStyle w:val="44"/>
                <w:bdr w:val="none" w:color="auto" w:sz="0" w:space="0"/>
                <w:lang w:val="en-US" w:eastAsia="zh-CN" w:bidi="ar"/>
              </w:rPr>
              <w:t>部门（单位）为加强财务管理、规范财务行为而制定的管理制度。</w:t>
            </w:r>
          </w:p>
        </w:tc>
        <w:tc>
          <w:tcPr>
            <w:tcW w:w="37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①预算资金管理办法、绩效跟踪管理办法、资产管理办法等各项制度是否健全；②部门内部财务管理制度是否完整、合规；③会计核算制度是否完整、合规。每有一项不合格扣0.5分，扣完为止。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425" w:hRule="atLeast"/>
        </w:trPr>
        <w:tc>
          <w:tcPr>
            <w:tcW w:w="673"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91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资金使用合规性和安全性</w:t>
            </w:r>
          </w:p>
        </w:tc>
        <w:tc>
          <w:tcPr>
            <w:tcW w:w="7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合规、安全</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合规、安全</w:t>
            </w:r>
          </w:p>
        </w:tc>
        <w:tc>
          <w:tcPr>
            <w:tcW w:w="705"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4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Style w:val="43"/>
                <w:bdr w:val="none" w:color="auto" w:sz="0" w:space="0"/>
                <w:lang w:val="en-US" w:eastAsia="zh-CN" w:bidi="ar"/>
              </w:rPr>
              <w:t>资金使用合规性和安全性:</w:t>
            </w:r>
            <w:r>
              <w:rPr>
                <w:rStyle w:val="44"/>
                <w:bdr w:val="none" w:color="auto" w:sz="0" w:space="0"/>
                <w:lang w:val="en-US" w:eastAsia="zh-CN" w:bidi="ar"/>
              </w:rPr>
              <w:t>部门（单位）使用预算资金是否符合相关的预算财务管理制度的规定，是否符合相关规定的开支范围，用以反映考核部门（单位）预算资金的规范运行和安全运行情况。</w:t>
            </w:r>
          </w:p>
        </w:tc>
        <w:tc>
          <w:tcPr>
            <w:tcW w:w="37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5" w:hRule="atLeast"/>
        </w:trPr>
        <w:tc>
          <w:tcPr>
            <w:tcW w:w="673"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91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0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会计基础信息完善性</w:t>
            </w:r>
          </w:p>
        </w:tc>
        <w:tc>
          <w:tcPr>
            <w:tcW w:w="7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完善</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完善</w:t>
            </w:r>
          </w:p>
        </w:tc>
        <w:tc>
          <w:tcPr>
            <w:tcW w:w="705"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4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Style w:val="43"/>
                <w:bdr w:val="none" w:color="auto" w:sz="0" w:space="0"/>
                <w:lang w:val="en-US" w:eastAsia="zh-CN" w:bidi="ar"/>
              </w:rPr>
              <w:t>会计基础信息完善性:</w:t>
            </w:r>
            <w:r>
              <w:rPr>
                <w:rStyle w:val="44"/>
                <w:bdr w:val="none" w:color="auto" w:sz="0" w:space="0"/>
                <w:lang w:val="en-US" w:eastAsia="zh-CN" w:bidi="ar"/>
              </w:rPr>
              <w:t>部门（单位）会计基础信息情况。</w:t>
            </w:r>
          </w:p>
        </w:tc>
        <w:tc>
          <w:tcPr>
            <w:tcW w:w="37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①基础数据信息和会计信息资料是否真实；②基础数据信息和会计信息资料是否完整；③基础数据信息和会计信息资料是否准确。每有一项不合格扣0.5分，扣完为止。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480" w:hRule="atLeast"/>
        </w:trPr>
        <w:tc>
          <w:tcPr>
            <w:tcW w:w="673"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91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资产管理</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10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资产管理规范性</w:t>
            </w:r>
          </w:p>
        </w:tc>
        <w:tc>
          <w:tcPr>
            <w:tcW w:w="7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规范</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规范</w:t>
            </w:r>
          </w:p>
        </w:tc>
        <w:tc>
          <w:tcPr>
            <w:tcW w:w="7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4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Style w:val="43"/>
                <w:bdr w:val="none" w:color="auto" w:sz="0" w:space="0"/>
                <w:lang w:val="en-US" w:eastAsia="zh-CN" w:bidi="ar"/>
              </w:rPr>
              <w:t>资产管理规范性:</w:t>
            </w:r>
            <w:r>
              <w:rPr>
                <w:rStyle w:val="44"/>
                <w:bdr w:val="none" w:color="auto" w:sz="0" w:space="0"/>
                <w:lang w:val="en-US" w:eastAsia="zh-CN" w:bidi="ar"/>
              </w:rPr>
              <w:t>部门（单位）的资产是否保持安全完整，资产配置是否合理，资产使用和资产处理是否规范，用以反映和考核部门（单位）资产管理的整体水平。</w:t>
            </w:r>
          </w:p>
        </w:tc>
        <w:tc>
          <w:tcPr>
            <w:tcW w:w="37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95" w:hRule="atLeast"/>
        </w:trPr>
        <w:tc>
          <w:tcPr>
            <w:tcW w:w="673"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91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绩效管理</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10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绩效管理情况</w:t>
            </w:r>
          </w:p>
        </w:tc>
        <w:tc>
          <w:tcPr>
            <w:tcW w:w="7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有效</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有效</w:t>
            </w:r>
          </w:p>
        </w:tc>
        <w:tc>
          <w:tcPr>
            <w:tcW w:w="7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4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Style w:val="43"/>
                <w:bdr w:val="none" w:color="auto" w:sz="0" w:space="0"/>
                <w:lang w:val="en-US" w:eastAsia="zh-CN" w:bidi="ar"/>
              </w:rPr>
              <w:t>绩效管理情况:</w:t>
            </w:r>
            <w:r>
              <w:rPr>
                <w:rStyle w:val="44"/>
                <w:bdr w:val="none" w:color="auto" w:sz="0" w:space="0"/>
                <w:lang w:val="en-US" w:eastAsia="zh-CN" w:bidi="ar"/>
              </w:rPr>
              <w:t>考核部门（单位）在绩效管理信息的汇总和应用情况。</w:t>
            </w:r>
          </w:p>
        </w:tc>
        <w:tc>
          <w:tcPr>
            <w:tcW w:w="37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①部门（单位）是否及时对绩效信息进行汇总分析整理；②部门（单位）是否对绩效目标偏离情况及时进行矫正。每有一项不合格扣2分。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673"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91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指标　</w:t>
            </w:r>
          </w:p>
        </w:tc>
        <w:tc>
          <w:tcPr>
            <w:tcW w:w="184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2022年</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2023年</w:t>
            </w:r>
          </w:p>
        </w:tc>
        <w:tc>
          <w:tcPr>
            <w:tcW w:w="7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分值</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得分</w:t>
            </w:r>
          </w:p>
        </w:tc>
        <w:tc>
          <w:tcPr>
            <w:tcW w:w="4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指标解释</w:t>
            </w:r>
          </w:p>
        </w:tc>
        <w:tc>
          <w:tcPr>
            <w:tcW w:w="37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评分标准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60" w:hRule="atLeast"/>
        </w:trPr>
        <w:tc>
          <w:tcPr>
            <w:tcW w:w="673"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914"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结转结余率</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1846"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3.24%</w:t>
            </w:r>
          </w:p>
        </w:tc>
        <w:tc>
          <w:tcPr>
            <w:tcW w:w="94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0.65%</w:t>
            </w:r>
          </w:p>
        </w:tc>
        <w:tc>
          <w:tcPr>
            <w:tcW w:w="70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81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4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结转结余率=结转结余总额/支出预算数×100%。</w:t>
            </w:r>
          </w:p>
        </w:tc>
        <w:tc>
          <w:tcPr>
            <w:tcW w:w="379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60" w:hRule="atLeast"/>
        </w:trPr>
        <w:tc>
          <w:tcPr>
            <w:tcW w:w="673"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91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46"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70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4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结转结余总额：部门（单位）本年度的结转资金与结余资金之和。</w:t>
            </w:r>
          </w:p>
        </w:tc>
        <w:tc>
          <w:tcPr>
            <w:tcW w:w="3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80" w:hRule="atLeast"/>
        </w:trPr>
        <w:tc>
          <w:tcPr>
            <w:tcW w:w="673"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91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部门预决算差异率（4）</w:t>
            </w:r>
          </w:p>
        </w:tc>
        <w:tc>
          <w:tcPr>
            <w:tcW w:w="184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28.09%</w:t>
            </w:r>
          </w:p>
        </w:tc>
        <w:tc>
          <w:tcPr>
            <w:tcW w:w="7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4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通过年度部门决算与年初部门预算对比，对部门的年度支出情况进行考核，衡量部门预算的约束力。</w:t>
            </w:r>
          </w:p>
        </w:tc>
        <w:tc>
          <w:tcPr>
            <w:tcW w:w="37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部门预决算差异率高于市级平均差异率（28.3%）的，每高出10%（含），扣0.4分，扣完为止。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4378" w:type="dxa"/>
            <w:gridSpan w:val="5"/>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合计</w:t>
            </w:r>
          </w:p>
        </w:tc>
        <w:tc>
          <w:tcPr>
            <w:tcW w:w="7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100</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 xml:space="preserve">96.87 </w:t>
            </w:r>
          </w:p>
        </w:tc>
        <w:tc>
          <w:tcPr>
            <w:tcW w:w="7965"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b/>
                <w:bCs/>
                <w:i w:val="0"/>
                <w:iCs w:val="0"/>
                <w:color w:val="000000"/>
                <w:sz w:val="18"/>
                <w:szCs w:val="18"/>
                <w:u w:val="none"/>
              </w:rPr>
            </w:pPr>
          </w:p>
        </w:tc>
      </w:tr>
    </w:tbl>
    <w:p>
      <w:pPr>
        <w:adjustRightInd w:val="0"/>
        <w:snapToGrid w:val="0"/>
        <w:spacing w:beforeLines="0" w:line="560" w:lineRule="exact"/>
        <w:ind w:firstLine="640" w:firstLineChars="200"/>
        <w:outlineLvl w:val="1"/>
        <w:rPr>
          <w:rFonts w:hint="default" w:ascii="Times New Roman Regular" w:hAnsi="Times New Roman Regular" w:eastAsia="仿宋_GB2312" w:cs="Times New Roman Regular"/>
          <w:kern w:val="2"/>
          <w:sz w:val="32"/>
          <w:szCs w:val="32"/>
          <w:lang w:val="en-US" w:eastAsia="zh-CN" w:bidi="ar"/>
        </w:rPr>
      </w:pPr>
    </w:p>
    <w:p>
      <w:pPr>
        <w:adjustRightInd w:val="0"/>
        <w:snapToGrid w:val="0"/>
        <w:spacing w:beforeLines="0" w:line="560" w:lineRule="exact"/>
        <w:ind w:firstLine="640" w:firstLineChars="200"/>
        <w:outlineLvl w:val="1"/>
        <w:rPr>
          <w:rFonts w:hint="default" w:ascii="Times New Roman Regular" w:hAnsi="Times New Roman Regular" w:eastAsia="仿宋_GB2312" w:cs="Times New Roman Regular"/>
          <w:kern w:val="2"/>
          <w:sz w:val="32"/>
          <w:szCs w:val="32"/>
          <w:lang w:val="en-US" w:eastAsia="zh-CN" w:bidi="ar"/>
        </w:rPr>
      </w:pPr>
    </w:p>
    <w:p>
      <w:pPr>
        <w:adjustRightInd w:val="0"/>
        <w:snapToGrid w:val="0"/>
        <w:spacing w:beforeLines="0" w:line="560" w:lineRule="exact"/>
        <w:ind w:firstLine="640" w:firstLineChars="200"/>
        <w:outlineLvl w:val="1"/>
        <w:rPr>
          <w:rFonts w:hint="default" w:ascii="Times New Roman Regular" w:hAnsi="Times New Roman Regular" w:eastAsia="仿宋_GB2312" w:cs="Times New Roman Regular"/>
          <w:kern w:val="2"/>
          <w:sz w:val="32"/>
          <w:szCs w:val="32"/>
          <w:lang w:val="en-US" w:eastAsia="zh-CN" w:bidi="ar"/>
        </w:rPr>
      </w:pPr>
    </w:p>
    <w:p>
      <w:pPr>
        <w:adjustRightInd w:val="0"/>
        <w:snapToGrid w:val="0"/>
        <w:spacing w:beforeLines="0" w:line="560" w:lineRule="exact"/>
        <w:ind w:firstLine="640" w:firstLineChars="200"/>
        <w:outlineLvl w:val="1"/>
        <w:rPr>
          <w:rFonts w:hint="default" w:ascii="Times New Roman Regular" w:hAnsi="Times New Roman Regular" w:eastAsia="仿宋_GB2312" w:cs="Times New Roman Regular"/>
          <w:kern w:val="2"/>
          <w:sz w:val="32"/>
          <w:szCs w:val="32"/>
          <w:lang w:val="en-US" w:eastAsia="zh-CN" w:bidi="ar"/>
        </w:rPr>
      </w:pPr>
    </w:p>
    <w:p>
      <w:pPr>
        <w:adjustRightInd w:val="0"/>
        <w:snapToGrid w:val="0"/>
        <w:spacing w:beforeLines="0" w:line="560" w:lineRule="exact"/>
        <w:ind w:firstLine="640" w:firstLineChars="200"/>
        <w:outlineLvl w:val="1"/>
        <w:rPr>
          <w:rFonts w:hint="default" w:ascii="Times New Roman Regular" w:hAnsi="Times New Roman Regular" w:eastAsia="仿宋_GB2312" w:cs="Times New Roman Regular"/>
          <w:kern w:val="2"/>
          <w:sz w:val="32"/>
          <w:szCs w:val="32"/>
          <w:lang w:val="en-US" w:eastAsia="zh-CN" w:bidi="ar"/>
        </w:rPr>
      </w:pPr>
    </w:p>
    <w:p>
      <w:pPr>
        <w:adjustRightInd w:val="0"/>
        <w:snapToGrid w:val="0"/>
        <w:spacing w:beforeLines="0" w:line="560" w:lineRule="exact"/>
        <w:ind w:firstLine="640" w:firstLineChars="200"/>
        <w:outlineLvl w:val="1"/>
        <w:rPr>
          <w:rFonts w:hint="default" w:ascii="Times New Roman Regular" w:hAnsi="Times New Roman Regular" w:eastAsia="仿宋_GB2312" w:cs="Times New Roman Regular"/>
          <w:kern w:val="2"/>
          <w:sz w:val="32"/>
          <w:szCs w:val="32"/>
          <w:lang w:val="en-US" w:eastAsia="zh-CN" w:bidi="ar"/>
        </w:rPr>
      </w:pPr>
    </w:p>
    <w:p>
      <w:pPr>
        <w:adjustRightInd w:val="0"/>
        <w:snapToGrid w:val="0"/>
        <w:spacing w:beforeLines="0" w:line="560" w:lineRule="exact"/>
        <w:ind w:firstLine="640" w:firstLineChars="200"/>
        <w:outlineLvl w:val="1"/>
        <w:rPr>
          <w:rFonts w:hint="default" w:ascii="Times New Roman Regular" w:hAnsi="Times New Roman Regular" w:eastAsia="仿宋_GB2312" w:cs="Times New Roman Regular"/>
          <w:kern w:val="2"/>
          <w:sz w:val="32"/>
          <w:szCs w:val="32"/>
          <w:lang w:val="en-US" w:eastAsia="zh-CN" w:bidi="ar"/>
        </w:rPr>
      </w:pPr>
    </w:p>
    <w:p>
      <w:pPr>
        <w:adjustRightInd w:val="0"/>
        <w:snapToGrid w:val="0"/>
        <w:spacing w:beforeLines="0" w:line="560" w:lineRule="exact"/>
        <w:ind w:firstLine="640" w:firstLineChars="200"/>
        <w:outlineLvl w:val="1"/>
        <w:rPr>
          <w:rFonts w:hint="default" w:ascii="Times New Roman Regular" w:hAnsi="Times New Roman Regular" w:eastAsia="仿宋_GB2312" w:cs="Times New Roman Regular"/>
          <w:kern w:val="2"/>
          <w:sz w:val="32"/>
          <w:szCs w:val="32"/>
          <w:lang w:val="en-US" w:eastAsia="zh-CN" w:bidi="ar"/>
        </w:rPr>
      </w:pPr>
    </w:p>
    <w:p>
      <w:pPr>
        <w:adjustRightInd w:val="0"/>
        <w:snapToGrid w:val="0"/>
        <w:spacing w:beforeLines="0" w:line="560" w:lineRule="exact"/>
        <w:ind w:firstLine="640" w:firstLineChars="200"/>
        <w:outlineLvl w:val="1"/>
        <w:rPr>
          <w:rFonts w:hint="default" w:ascii="Times New Roman Regular" w:hAnsi="Times New Roman Regular" w:eastAsia="仿宋_GB2312" w:cs="Times New Roman Regular"/>
          <w:kern w:val="2"/>
          <w:sz w:val="32"/>
          <w:szCs w:val="32"/>
          <w:lang w:val="en-US" w:eastAsia="zh-CN" w:bidi="ar"/>
        </w:rPr>
      </w:pPr>
    </w:p>
    <w:p>
      <w:pPr>
        <w:adjustRightInd w:val="0"/>
        <w:snapToGrid w:val="0"/>
        <w:spacing w:beforeLines="0" w:line="560" w:lineRule="exact"/>
        <w:ind w:firstLine="640" w:firstLineChars="200"/>
        <w:outlineLvl w:val="1"/>
        <w:rPr>
          <w:rFonts w:hint="default" w:ascii="Times New Roman Regular" w:hAnsi="Times New Roman Regular" w:eastAsia="仿宋_GB2312" w:cs="Times New Roman Regular"/>
          <w:kern w:val="2"/>
          <w:sz w:val="32"/>
          <w:szCs w:val="32"/>
          <w:lang w:val="en-US" w:eastAsia="zh-CN" w:bidi="ar"/>
        </w:rPr>
      </w:pPr>
    </w:p>
    <w:p>
      <w:pPr>
        <w:adjustRightInd w:val="0"/>
        <w:snapToGrid w:val="0"/>
        <w:spacing w:beforeLines="0" w:line="560" w:lineRule="exact"/>
        <w:ind w:firstLine="640" w:firstLineChars="200"/>
        <w:outlineLvl w:val="1"/>
        <w:rPr>
          <w:rFonts w:hint="default" w:ascii="Times New Roman Regular" w:hAnsi="Times New Roman Regular" w:eastAsia="仿宋_GB2312" w:cs="Times New Roman Regular"/>
          <w:kern w:val="2"/>
          <w:sz w:val="32"/>
          <w:szCs w:val="32"/>
          <w:lang w:val="en-US" w:eastAsia="zh-CN" w:bidi="ar"/>
        </w:rPr>
      </w:pPr>
    </w:p>
    <w:p>
      <w:pPr>
        <w:adjustRightInd w:val="0"/>
        <w:snapToGrid w:val="0"/>
        <w:spacing w:beforeLines="0" w:line="560" w:lineRule="exact"/>
        <w:ind w:firstLine="640" w:firstLineChars="200"/>
        <w:outlineLvl w:val="1"/>
        <w:rPr>
          <w:rFonts w:hint="default" w:ascii="Times New Roman Regular" w:hAnsi="Times New Roman Regular" w:eastAsia="仿宋_GB2312" w:cs="Times New Roman Regular"/>
          <w:kern w:val="2"/>
          <w:sz w:val="32"/>
          <w:szCs w:val="32"/>
          <w:lang w:val="en-US" w:eastAsia="zh-CN" w:bidi="ar"/>
        </w:rPr>
      </w:pPr>
    </w:p>
    <w:sectPr>
      <w:headerReference r:id="rId3" w:type="default"/>
      <w:footerReference r:id="rId4" w:type="default"/>
      <w:pgSz w:w="16838" w:h="11906" w:orient="landscape"/>
      <w:pgMar w:top="1800" w:right="1440" w:bottom="1286" w:left="144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Times New Roman Regular">
    <w:altName w:val="Times New Roman"/>
    <w:panose1 w:val="02020603050405020304"/>
    <w:charset w:val="00"/>
    <w:family w:val="auto"/>
    <w:pitch w:val="default"/>
    <w:sig w:usb0="00000000" w:usb1="00000000" w:usb2="00000009" w:usb3="00000000" w:csb0="400001FF" w:csb1="FFFF0000"/>
  </w:font>
  <w:font w:name="方正小标宋简体">
    <w:panose1 w:val="02010601030101010101"/>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mc:AlternateContent>
        <mc:Choice Requires="wps">
          <w:drawing>
            <wp:anchor distT="0" distB="0" distL="114300" distR="114300" simplePos="0" relativeHeight="251659264" behindDoc="0" locked="0" layoutInCell="1" allowOverlap="1">
              <wp:simplePos x="0" y="0"/>
              <wp:positionH relativeFrom="margin">
                <wp:posOffset>2585720</wp:posOffset>
              </wp:positionH>
              <wp:positionV relativeFrom="paragraph">
                <wp:posOffset>-1270</wp:posOffset>
              </wp:positionV>
              <wp:extent cx="313690" cy="1828800"/>
              <wp:effectExtent l="0" t="0" r="3810" b="5080"/>
              <wp:wrapNone/>
              <wp:docPr id="2" name="文本框 2"/>
              <wp:cNvGraphicFramePr/>
              <a:graphic xmlns:a="http://schemas.openxmlformats.org/drawingml/2006/main">
                <a:graphicData uri="http://schemas.microsoft.com/office/word/2010/wordprocessingShape">
                  <wps:wsp>
                    <wps:cNvSpPr txBox="1"/>
                    <wps:spPr>
                      <a:xfrm>
                        <a:off x="0" y="0"/>
                        <a:ext cx="313764"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jc w:val="cente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PAGE   \* MERGEFORMAT</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5</w:t>
                          </w:r>
                          <w:r>
                            <w:rPr>
                              <w:rFonts w:ascii="Times New Roman" w:hAnsi="Times New Roman" w:cs="Times New Roman"/>
                              <w:sz w:val="28"/>
                              <w:szCs w:val="28"/>
                            </w:rP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03.6pt;margin-top:-0.1pt;height:144pt;width:24.7pt;mso-position-horizontal-relative:margin;z-index:251659264;mso-width-relative:page;mso-height-relative:page;" filled="f" stroked="f" coordsize="21600,21600" o:gfxdata="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uYth42QAAAAkBAAAPAAAAAAAAAAEAIAAAACIAAABkcnMvZG93bnJldi54&#10;bWxQSwECFAAUAAAACACHTuJADG5dhDICAABWBAAADgAAAAAAAAABACAAAAAoAQAAZHJzL2Uyb0Rv&#10;Yy54bWxQSwUGAAAAAAYABgBZAQAAzAUAAAAA&#10;">
              <v:fill on="f" focussize="0,0"/>
              <v:stroke on="f" weight="0.5pt"/>
              <v:imagedata o:title=""/>
              <o:lock v:ext="edit" aspectratio="f"/>
              <v:textbox inset="0mm,0mm,0mm,0mm" style="mso-fit-shape-to-text:t;">
                <w:txbxContent>
                  <w:p>
                    <w:pPr>
                      <w:pStyle w:val="9"/>
                      <w:jc w:val="cente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PAGE   \* MERGEFORMAT</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5</w:t>
                    </w:r>
                    <w:r>
                      <w:rPr>
                        <w:rFonts w:ascii="Times New Roman" w:hAnsi="Times New Roman" w:cs="Times New Roman"/>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CDE1E60"/>
    <w:multiLevelType w:val="singleLevel"/>
    <w:tmpl w:val="FCDE1E60"/>
    <w:lvl w:ilvl="0" w:tentative="0">
      <w:start w:val="4"/>
      <w:numFmt w:val="chineseCounting"/>
      <w:suff w:val="nothing"/>
      <w:lvlText w:val="（%1）"/>
      <w:lvlJc w:val="left"/>
      <w:rPr>
        <w:rFonts w:hint="eastAsia"/>
      </w:rPr>
    </w:lvl>
  </w:abstractNum>
  <w:abstractNum w:abstractNumId="1">
    <w:nsid w:val="FDDDDA9A"/>
    <w:multiLevelType w:val="singleLevel"/>
    <w:tmpl w:val="FDDDDA9A"/>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0"/>
  <w:drawingGridHorizontalSpacing w:val="105"/>
  <w:drawingGridVerticalSpacing w:val="156"/>
  <w:displayHorizontalDrawingGridEvery w:val="1"/>
  <w:displayVerticalDrawingGridEvery w:val="1"/>
  <w:noPunctuationKerning w:val="1"/>
  <w:characterSpacingControl w:val="doNotCompres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MwOTU1YjJhM2M1NzFiZjQ4OTg3MmI2MjlhOTA5ZWQifQ=="/>
  </w:docVars>
  <w:rsids>
    <w:rsidRoot w:val="009120B1"/>
    <w:rsid w:val="0005143B"/>
    <w:rsid w:val="00070EC9"/>
    <w:rsid w:val="00074EC7"/>
    <w:rsid w:val="000818BF"/>
    <w:rsid w:val="000841E2"/>
    <w:rsid w:val="00091A90"/>
    <w:rsid w:val="000B6C2C"/>
    <w:rsid w:val="000D36C1"/>
    <w:rsid w:val="000D49AA"/>
    <w:rsid w:val="000D6AE9"/>
    <w:rsid w:val="000E6512"/>
    <w:rsid w:val="000E7D33"/>
    <w:rsid w:val="000F4B4C"/>
    <w:rsid w:val="000F6788"/>
    <w:rsid w:val="00100E00"/>
    <w:rsid w:val="001110AB"/>
    <w:rsid w:val="00123BA5"/>
    <w:rsid w:val="0014042C"/>
    <w:rsid w:val="001478F9"/>
    <w:rsid w:val="00147DA7"/>
    <w:rsid w:val="001513B1"/>
    <w:rsid w:val="001528B1"/>
    <w:rsid w:val="001619C2"/>
    <w:rsid w:val="00164453"/>
    <w:rsid w:val="00195C45"/>
    <w:rsid w:val="001B3F28"/>
    <w:rsid w:val="001C3FE2"/>
    <w:rsid w:val="001D554A"/>
    <w:rsid w:val="001E1D96"/>
    <w:rsid w:val="001F3C9F"/>
    <w:rsid w:val="001F40B5"/>
    <w:rsid w:val="0020205B"/>
    <w:rsid w:val="00211201"/>
    <w:rsid w:val="00211A7D"/>
    <w:rsid w:val="002208F2"/>
    <w:rsid w:val="00223AF7"/>
    <w:rsid w:val="00234C3A"/>
    <w:rsid w:val="00241A28"/>
    <w:rsid w:val="00244E93"/>
    <w:rsid w:val="002650B5"/>
    <w:rsid w:val="00266665"/>
    <w:rsid w:val="00274C31"/>
    <w:rsid w:val="00281D8B"/>
    <w:rsid w:val="00281F0B"/>
    <w:rsid w:val="0029197E"/>
    <w:rsid w:val="00292BF0"/>
    <w:rsid w:val="00292C52"/>
    <w:rsid w:val="002979D1"/>
    <w:rsid w:val="002A3A43"/>
    <w:rsid w:val="002B40B1"/>
    <w:rsid w:val="002B4115"/>
    <w:rsid w:val="002B74FD"/>
    <w:rsid w:val="002B78E9"/>
    <w:rsid w:val="002C74C2"/>
    <w:rsid w:val="002D0A22"/>
    <w:rsid w:val="002D340F"/>
    <w:rsid w:val="002F67CC"/>
    <w:rsid w:val="003117A8"/>
    <w:rsid w:val="00311CB7"/>
    <w:rsid w:val="003246E4"/>
    <w:rsid w:val="003410B6"/>
    <w:rsid w:val="00350918"/>
    <w:rsid w:val="003645D5"/>
    <w:rsid w:val="003653BB"/>
    <w:rsid w:val="00371A2E"/>
    <w:rsid w:val="003869D4"/>
    <w:rsid w:val="0039175D"/>
    <w:rsid w:val="003917F4"/>
    <w:rsid w:val="003A1E24"/>
    <w:rsid w:val="003A1F98"/>
    <w:rsid w:val="003A4278"/>
    <w:rsid w:val="003B10AC"/>
    <w:rsid w:val="003C13CD"/>
    <w:rsid w:val="003D63C3"/>
    <w:rsid w:val="003F1E40"/>
    <w:rsid w:val="00405559"/>
    <w:rsid w:val="004055F2"/>
    <w:rsid w:val="004154B9"/>
    <w:rsid w:val="00423EC7"/>
    <w:rsid w:val="004361C0"/>
    <w:rsid w:val="00446F5B"/>
    <w:rsid w:val="00450EF0"/>
    <w:rsid w:val="004803D3"/>
    <w:rsid w:val="00482700"/>
    <w:rsid w:val="004845CA"/>
    <w:rsid w:val="00493342"/>
    <w:rsid w:val="0049665B"/>
    <w:rsid w:val="004A54B4"/>
    <w:rsid w:val="004A7615"/>
    <w:rsid w:val="004B56C8"/>
    <w:rsid w:val="004D17DB"/>
    <w:rsid w:val="004D614D"/>
    <w:rsid w:val="005015F6"/>
    <w:rsid w:val="0050757D"/>
    <w:rsid w:val="00534F5E"/>
    <w:rsid w:val="00543EA4"/>
    <w:rsid w:val="005547C9"/>
    <w:rsid w:val="00557715"/>
    <w:rsid w:val="00563ED1"/>
    <w:rsid w:val="00575B38"/>
    <w:rsid w:val="0058341D"/>
    <w:rsid w:val="00585768"/>
    <w:rsid w:val="00591A01"/>
    <w:rsid w:val="00596095"/>
    <w:rsid w:val="005963EA"/>
    <w:rsid w:val="005A4F6D"/>
    <w:rsid w:val="005C65E1"/>
    <w:rsid w:val="005D2C58"/>
    <w:rsid w:val="005D5430"/>
    <w:rsid w:val="005D6744"/>
    <w:rsid w:val="005E0992"/>
    <w:rsid w:val="005E141C"/>
    <w:rsid w:val="005E3C26"/>
    <w:rsid w:val="005F1F5A"/>
    <w:rsid w:val="005F6205"/>
    <w:rsid w:val="00601728"/>
    <w:rsid w:val="00612AEE"/>
    <w:rsid w:val="00647D08"/>
    <w:rsid w:val="00651134"/>
    <w:rsid w:val="0066073C"/>
    <w:rsid w:val="006638A7"/>
    <w:rsid w:val="0068328F"/>
    <w:rsid w:val="006A0BD9"/>
    <w:rsid w:val="006A1722"/>
    <w:rsid w:val="006B0629"/>
    <w:rsid w:val="006C7B86"/>
    <w:rsid w:val="006E2CAB"/>
    <w:rsid w:val="006F2206"/>
    <w:rsid w:val="006F51A6"/>
    <w:rsid w:val="007013C6"/>
    <w:rsid w:val="0070298B"/>
    <w:rsid w:val="00705BD7"/>
    <w:rsid w:val="007120E8"/>
    <w:rsid w:val="007213B8"/>
    <w:rsid w:val="00724DD5"/>
    <w:rsid w:val="007302AF"/>
    <w:rsid w:val="00736539"/>
    <w:rsid w:val="00742D20"/>
    <w:rsid w:val="007442C1"/>
    <w:rsid w:val="00745375"/>
    <w:rsid w:val="007469AD"/>
    <w:rsid w:val="007516AB"/>
    <w:rsid w:val="00757E27"/>
    <w:rsid w:val="00767567"/>
    <w:rsid w:val="007732C7"/>
    <w:rsid w:val="00784A36"/>
    <w:rsid w:val="00792AE6"/>
    <w:rsid w:val="007A235D"/>
    <w:rsid w:val="007C465B"/>
    <w:rsid w:val="007C67E9"/>
    <w:rsid w:val="007C7128"/>
    <w:rsid w:val="007D7C3E"/>
    <w:rsid w:val="007E3233"/>
    <w:rsid w:val="007F530D"/>
    <w:rsid w:val="00801782"/>
    <w:rsid w:val="00824388"/>
    <w:rsid w:val="008249CD"/>
    <w:rsid w:val="008327E8"/>
    <w:rsid w:val="00833AB3"/>
    <w:rsid w:val="00834DCD"/>
    <w:rsid w:val="00842201"/>
    <w:rsid w:val="00845541"/>
    <w:rsid w:val="00870677"/>
    <w:rsid w:val="00871AA6"/>
    <w:rsid w:val="008804F4"/>
    <w:rsid w:val="00885D21"/>
    <w:rsid w:val="008B1DAF"/>
    <w:rsid w:val="008B6F4C"/>
    <w:rsid w:val="008B77DE"/>
    <w:rsid w:val="008C0A19"/>
    <w:rsid w:val="008C0A2C"/>
    <w:rsid w:val="008D6610"/>
    <w:rsid w:val="008D6C04"/>
    <w:rsid w:val="008E08D2"/>
    <w:rsid w:val="008E2C04"/>
    <w:rsid w:val="008E496A"/>
    <w:rsid w:val="008F7F00"/>
    <w:rsid w:val="00901ADF"/>
    <w:rsid w:val="00902032"/>
    <w:rsid w:val="00907FB5"/>
    <w:rsid w:val="009120B1"/>
    <w:rsid w:val="00926A11"/>
    <w:rsid w:val="00933FB6"/>
    <w:rsid w:val="00936CE8"/>
    <w:rsid w:val="00961066"/>
    <w:rsid w:val="00963261"/>
    <w:rsid w:val="00963733"/>
    <w:rsid w:val="00996695"/>
    <w:rsid w:val="009D08A6"/>
    <w:rsid w:val="009D2CE2"/>
    <w:rsid w:val="009D4C41"/>
    <w:rsid w:val="009E22B7"/>
    <w:rsid w:val="009F120A"/>
    <w:rsid w:val="00A6732D"/>
    <w:rsid w:val="00A704D0"/>
    <w:rsid w:val="00A7073D"/>
    <w:rsid w:val="00A74019"/>
    <w:rsid w:val="00A75ABD"/>
    <w:rsid w:val="00A7788A"/>
    <w:rsid w:val="00A90034"/>
    <w:rsid w:val="00A90F0C"/>
    <w:rsid w:val="00A911FF"/>
    <w:rsid w:val="00A94CD6"/>
    <w:rsid w:val="00AA2BA0"/>
    <w:rsid w:val="00AA3ACE"/>
    <w:rsid w:val="00AA40A8"/>
    <w:rsid w:val="00AA518E"/>
    <w:rsid w:val="00AD276E"/>
    <w:rsid w:val="00AD2EDA"/>
    <w:rsid w:val="00AD7476"/>
    <w:rsid w:val="00AE1DE6"/>
    <w:rsid w:val="00AE2248"/>
    <w:rsid w:val="00AE4DDF"/>
    <w:rsid w:val="00AF474B"/>
    <w:rsid w:val="00AF70C6"/>
    <w:rsid w:val="00B11F94"/>
    <w:rsid w:val="00B135F8"/>
    <w:rsid w:val="00B15F84"/>
    <w:rsid w:val="00B17580"/>
    <w:rsid w:val="00B23E72"/>
    <w:rsid w:val="00B32A11"/>
    <w:rsid w:val="00B40A90"/>
    <w:rsid w:val="00B410AB"/>
    <w:rsid w:val="00B414D6"/>
    <w:rsid w:val="00B43765"/>
    <w:rsid w:val="00B45E26"/>
    <w:rsid w:val="00B46FAF"/>
    <w:rsid w:val="00B52529"/>
    <w:rsid w:val="00B57E97"/>
    <w:rsid w:val="00B65464"/>
    <w:rsid w:val="00B678AA"/>
    <w:rsid w:val="00B71C49"/>
    <w:rsid w:val="00B74AEC"/>
    <w:rsid w:val="00B82840"/>
    <w:rsid w:val="00BB43ED"/>
    <w:rsid w:val="00BB4CA4"/>
    <w:rsid w:val="00BC51EF"/>
    <w:rsid w:val="00BD2DE0"/>
    <w:rsid w:val="00BD6176"/>
    <w:rsid w:val="00BE1C7D"/>
    <w:rsid w:val="00BE208F"/>
    <w:rsid w:val="00BE5DC4"/>
    <w:rsid w:val="00BF4627"/>
    <w:rsid w:val="00C04406"/>
    <w:rsid w:val="00C11101"/>
    <w:rsid w:val="00C2699C"/>
    <w:rsid w:val="00C31027"/>
    <w:rsid w:val="00C3313E"/>
    <w:rsid w:val="00C35673"/>
    <w:rsid w:val="00C36E72"/>
    <w:rsid w:val="00C453E8"/>
    <w:rsid w:val="00C457AE"/>
    <w:rsid w:val="00C516D2"/>
    <w:rsid w:val="00C60FC3"/>
    <w:rsid w:val="00C6187D"/>
    <w:rsid w:val="00C6555D"/>
    <w:rsid w:val="00C8063C"/>
    <w:rsid w:val="00C873D3"/>
    <w:rsid w:val="00C9294E"/>
    <w:rsid w:val="00C957CE"/>
    <w:rsid w:val="00CA17A0"/>
    <w:rsid w:val="00CB2824"/>
    <w:rsid w:val="00CB5C05"/>
    <w:rsid w:val="00CC7198"/>
    <w:rsid w:val="00CD00C0"/>
    <w:rsid w:val="00CE02C0"/>
    <w:rsid w:val="00CE3FF6"/>
    <w:rsid w:val="00D02141"/>
    <w:rsid w:val="00D2530D"/>
    <w:rsid w:val="00D257E3"/>
    <w:rsid w:val="00D36013"/>
    <w:rsid w:val="00D40689"/>
    <w:rsid w:val="00D45943"/>
    <w:rsid w:val="00D459FA"/>
    <w:rsid w:val="00D46938"/>
    <w:rsid w:val="00D538ED"/>
    <w:rsid w:val="00D55F96"/>
    <w:rsid w:val="00D75B9D"/>
    <w:rsid w:val="00D97EBB"/>
    <w:rsid w:val="00DB13E8"/>
    <w:rsid w:val="00DB4024"/>
    <w:rsid w:val="00DC4D4B"/>
    <w:rsid w:val="00DE4BF9"/>
    <w:rsid w:val="00DE721A"/>
    <w:rsid w:val="00DE7D6A"/>
    <w:rsid w:val="00DF64ED"/>
    <w:rsid w:val="00E13384"/>
    <w:rsid w:val="00E22FC0"/>
    <w:rsid w:val="00E257CD"/>
    <w:rsid w:val="00E30439"/>
    <w:rsid w:val="00E4588E"/>
    <w:rsid w:val="00E568F9"/>
    <w:rsid w:val="00E61D7F"/>
    <w:rsid w:val="00E6532B"/>
    <w:rsid w:val="00E7005F"/>
    <w:rsid w:val="00E73F7E"/>
    <w:rsid w:val="00E76C56"/>
    <w:rsid w:val="00E85AE0"/>
    <w:rsid w:val="00EA6165"/>
    <w:rsid w:val="00EA7161"/>
    <w:rsid w:val="00EB16B8"/>
    <w:rsid w:val="00EB2EEC"/>
    <w:rsid w:val="00EB5EC8"/>
    <w:rsid w:val="00EB685B"/>
    <w:rsid w:val="00EB6E0B"/>
    <w:rsid w:val="00ED04EA"/>
    <w:rsid w:val="00EE0EB0"/>
    <w:rsid w:val="00EF0DB5"/>
    <w:rsid w:val="00EF2B99"/>
    <w:rsid w:val="00F002D6"/>
    <w:rsid w:val="00F07B09"/>
    <w:rsid w:val="00F37D88"/>
    <w:rsid w:val="00F41C50"/>
    <w:rsid w:val="00F4398C"/>
    <w:rsid w:val="00F53749"/>
    <w:rsid w:val="00F60426"/>
    <w:rsid w:val="00F64DC1"/>
    <w:rsid w:val="00F70D10"/>
    <w:rsid w:val="00F86EC6"/>
    <w:rsid w:val="00F92D48"/>
    <w:rsid w:val="00FA149F"/>
    <w:rsid w:val="00FC0355"/>
    <w:rsid w:val="00FC050F"/>
    <w:rsid w:val="00FC1056"/>
    <w:rsid w:val="00FC1709"/>
    <w:rsid w:val="00FD00D3"/>
    <w:rsid w:val="00FE336D"/>
    <w:rsid w:val="00FE661C"/>
    <w:rsid w:val="0B5F619B"/>
    <w:rsid w:val="0B9F17C7"/>
    <w:rsid w:val="0BF409E5"/>
    <w:rsid w:val="0D6356CF"/>
    <w:rsid w:val="0D7A58A6"/>
    <w:rsid w:val="0F51498E"/>
    <w:rsid w:val="0F7BE0DA"/>
    <w:rsid w:val="0FECE4C4"/>
    <w:rsid w:val="0FFE7323"/>
    <w:rsid w:val="0FFF11DA"/>
    <w:rsid w:val="115B545C"/>
    <w:rsid w:val="128E4E74"/>
    <w:rsid w:val="14B26303"/>
    <w:rsid w:val="171F05FA"/>
    <w:rsid w:val="17AE4030"/>
    <w:rsid w:val="17EB8EDC"/>
    <w:rsid w:val="19AFBC19"/>
    <w:rsid w:val="1A6B7379"/>
    <w:rsid w:val="1AEC2A87"/>
    <w:rsid w:val="1B1E4E3E"/>
    <w:rsid w:val="1B7DCD86"/>
    <w:rsid w:val="1BBB3655"/>
    <w:rsid w:val="1BCFF1F5"/>
    <w:rsid w:val="1BFF1C97"/>
    <w:rsid w:val="1DDD925D"/>
    <w:rsid w:val="1DFD57E7"/>
    <w:rsid w:val="1E7CA0B6"/>
    <w:rsid w:val="1EDB3965"/>
    <w:rsid w:val="1F16618C"/>
    <w:rsid w:val="1F368484"/>
    <w:rsid w:val="1F5FA632"/>
    <w:rsid w:val="1F6F312B"/>
    <w:rsid w:val="1FBA0052"/>
    <w:rsid w:val="1FE6D42A"/>
    <w:rsid w:val="1FF42F34"/>
    <w:rsid w:val="1FFF083A"/>
    <w:rsid w:val="1FFF8035"/>
    <w:rsid w:val="202C7E22"/>
    <w:rsid w:val="237D5A40"/>
    <w:rsid w:val="23BC7E42"/>
    <w:rsid w:val="24CF4D83"/>
    <w:rsid w:val="25DE654B"/>
    <w:rsid w:val="25E97FED"/>
    <w:rsid w:val="27B77574"/>
    <w:rsid w:val="27EFA82D"/>
    <w:rsid w:val="29D35F85"/>
    <w:rsid w:val="2B7E170C"/>
    <w:rsid w:val="2BF7FED8"/>
    <w:rsid w:val="2BFF2483"/>
    <w:rsid w:val="2CEEE4AD"/>
    <w:rsid w:val="2D277BB7"/>
    <w:rsid w:val="2DFD2F7E"/>
    <w:rsid w:val="2F739F34"/>
    <w:rsid w:val="2FDF667B"/>
    <w:rsid w:val="2FDFE946"/>
    <w:rsid w:val="2FEDED5F"/>
    <w:rsid w:val="2FFCB634"/>
    <w:rsid w:val="2FFF2CB9"/>
    <w:rsid w:val="2FFF4252"/>
    <w:rsid w:val="31FE0861"/>
    <w:rsid w:val="32FE7411"/>
    <w:rsid w:val="33776426"/>
    <w:rsid w:val="33AA044C"/>
    <w:rsid w:val="34B7D178"/>
    <w:rsid w:val="34DF077B"/>
    <w:rsid w:val="353C0014"/>
    <w:rsid w:val="35AF65EE"/>
    <w:rsid w:val="35DD1ABB"/>
    <w:rsid w:val="35FDD422"/>
    <w:rsid w:val="37571EC5"/>
    <w:rsid w:val="37ADEAE0"/>
    <w:rsid w:val="37BF0699"/>
    <w:rsid w:val="37C94D68"/>
    <w:rsid w:val="37D6904B"/>
    <w:rsid w:val="37D7B6EF"/>
    <w:rsid w:val="37FB9689"/>
    <w:rsid w:val="37FCF733"/>
    <w:rsid w:val="387F5FB0"/>
    <w:rsid w:val="38FF6D61"/>
    <w:rsid w:val="396FCCAC"/>
    <w:rsid w:val="39BD2177"/>
    <w:rsid w:val="39EDD810"/>
    <w:rsid w:val="39EF7DAA"/>
    <w:rsid w:val="39FB9FDC"/>
    <w:rsid w:val="3ABF2F4B"/>
    <w:rsid w:val="3ADC25D1"/>
    <w:rsid w:val="3AFF77AA"/>
    <w:rsid w:val="3B378B5B"/>
    <w:rsid w:val="3B4FC277"/>
    <w:rsid w:val="3B6EC2FC"/>
    <w:rsid w:val="3BB2F26A"/>
    <w:rsid w:val="3BBA3472"/>
    <w:rsid w:val="3BBFBAD1"/>
    <w:rsid w:val="3BCBDBC4"/>
    <w:rsid w:val="3BE92D74"/>
    <w:rsid w:val="3BEE4F58"/>
    <w:rsid w:val="3BF3CD21"/>
    <w:rsid w:val="3BF654E3"/>
    <w:rsid w:val="3BF67B1B"/>
    <w:rsid w:val="3BF7A8B1"/>
    <w:rsid w:val="3BFBA7DF"/>
    <w:rsid w:val="3BFBE5A3"/>
    <w:rsid w:val="3BFDAF1F"/>
    <w:rsid w:val="3D692AD5"/>
    <w:rsid w:val="3D838FD5"/>
    <w:rsid w:val="3DBED929"/>
    <w:rsid w:val="3DBFA039"/>
    <w:rsid w:val="3DFF064F"/>
    <w:rsid w:val="3DFF2BFE"/>
    <w:rsid w:val="3DFF2FDC"/>
    <w:rsid w:val="3E5F775C"/>
    <w:rsid w:val="3EC11302"/>
    <w:rsid w:val="3EEF1060"/>
    <w:rsid w:val="3EFAF8A9"/>
    <w:rsid w:val="3EFFD585"/>
    <w:rsid w:val="3F493903"/>
    <w:rsid w:val="3F5D496F"/>
    <w:rsid w:val="3F6F9517"/>
    <w:rsid w:val="3F6FEF04"/>
    <w:rsid w:val="3F7572CA"/>
    <w:rsid w:val="3F7BACD2"/>
    <w:rsid w:val="3F7F67B7"/>
    <w:rsid w:val="3F7FB237"/>
    <w:rsid w:val="3FAFCD5B"/>
    <w:rsid w:val="3FBF8CCE"/>
    <w:rsid w:val="3FD26635"/>
    <w:rsid w:val="3FD3C16E"/>
    <w:rsid w:val="3FDD2F38"/>
    <w:rsid w:val="3FDEBE81"/>
    <w:rsid w:val="3FDF1E60"/>
    <w:rsid w:val="3FE7830E"/>
    <w:rsid w:val="3FEAE854"/>
    <w:rsid w:val="3FEB6400"/>
    <w:rsid w:val="3FF083FC"/>
    <w:rsid w:val="3FF91C0F"/>
    <w:rsid w:val="3FFF8B48"/>
    <w:rsid w:val="3FFFBE4F"/>
    <w:rsid w:val="40664F5B"/>
    <w:rsid w:val="41F52D50"/>
    <w:rsid w:val="42CB1F8B"/>
    <w:rsid w:val="43BE9679"/>
    <w:rsid w:val="43F44FE5"/>
    <w:rsid w:val="44FFB2FE"/>
    <w:rsid w:val="47D7D84B"/>
    <w:rsid w:val="488F3217"/>
    <w:rsid w:val="4A455FEC"/>
    <w:rsid w:val="4AFDC1C0"/>
    <w:rsid w:val="4BBD521A"/>
    <w:rsid w:val="4BED5BD6"/>
    <w:rsid w:val="4BF75F69"/>
    <w:rsid w:val="4F6F6194"/>
    <w:rsid w:val="4F7786A7"/>
    <w:rsid w:val="4FA100B0"/>
    <w:rsid w:val="4FBA3EDC"/>
    <w:rsid w:val="4FFED700"/>
    <w:rsid w:val="50A42AA4"/>
    <w:rsid w:val="513D44C9"/>
    <w:rsid w:val="5221359E"/>
    <w:rsid w:val="53945401"/>
    <w:rsid w:val="53CFDA5A"/>
    <w:rsid w:val="53FB228F"/>
    <w:rsid w:val="54FE9076"/>
    <w:rsid w:val="54FEAF74"/>
    <w:rsid w:val="5516042D"/>
    <w:rsid w:val="55F64559"/>
    <w:rsid w:val="55FB204A"/>
    <w:rsid w:val="5677092B"/>
    <w:rsid w:val="56FEAD1D"/>
    <w:rsid w:val="57172602"/>
    <w:rsid w:val="579EF86F"/>
    <w:rsid w:val="57AB35E1"/>
    <w:rsid w:val="57BB4A46"/>
    <w:rsid w:val="57BE17A1"/>
    <w:rsid w:val="57FF37F7"/>
    <w:rsid w:val="57FF6D00"/>
    <w:rsid w:val="57FF7C44"/>
    <w:rsid w:val="58561B5B"/>
    <w:rsid w:val="58D2932F"/>
    <w:rsid w:val="59733430"/>
    <w:rsid w:val="59E3ED6C"/>
    <w:rsid w:val="59FF338B"/>
    <w:rsid w:val="5A1B0B3D"/>
    <w:rsid w:val="5A6F7758"/>
    <w:rsid w:val="5A7A10DD"/>
    <w:rsid w:val="5B3E0232"/>
    <w:rsid w:val="5B7F777B"/>
    <w:rsid w:val="5B9F3F6E"/>
    <w:rsid w:val="5BCF6BCC"/>
    <w:rsid w:val="5BDF2725"/>
    <w:rsid w:val="5BF3E6A7"/>
    <w:rsid w:val="5BF6AD30"/>
    <w:rsid w:val="5BFBB6A2"/>
    <w:rsid w:val="5BFE7183"/>
    <w:rsid w:val="5BFFB09D"/>
    <w:rsid w:val="5C1CD98F"/>
    <w:rsid w:val="5C316B79"/>
    <w:rsid w:val="5CDB9967"/>
    <w:rsid w:val="5CE9CA2D"/>
    <w:rsid w:val="5D8A4761"/>
    <w:rsid w:val="5D8D5D20"/>
    <w:rsid w:val="5DBDFA85"/>
    <w:rsid w:val="5DBF2FB6"/>
    <w:rsid w:val="5DF7692E"/>
    <w:rsid w:val="5E0FFC59"/>
    <w:rsid w:val="5EA9B8A5"/>
    <w:rsid w:val="5ECDB010"/>
    <w:rsid w:val="5ECFE3C3"/>
    <w:rsid w:val="5ED77C8E"/>
    <w:rsid w:val="5EED4B91"/>
    <w:rsid w:val="5EEF75D2"/>
    <w:rsid w:val="5EFE69CC"/>
    <w:rsid w:val="5EFF321A"/>
    <w:rsid w:val="5F7A5D87"/>
    <w:rsid w:val="5F7BD769"/>
    <w:rsid w:val="5F8ACE4C"/>
    <w:rsid w:val="5F9DE76B"/>
    <w:rsid w:val="5FB6FF78"/>
    <w:rsid w:val="5FBEA494"/>
    <w:rsid w:val="5FBF4EB9"/>
    <w:rsid w:val="5FBFC0DD"/>
    <w:rsid w:val="5FD6D247"/>
    <w:rsid w:val="5FE2258D"/>
    <w:rsid w:val="5FECC860"/>
    <w:rsid w:val="5FEF39ED"/>
    <w:rsid w:val="5FF635D4"/>
    <w:rsid w:val="5FF7B06F"/>
    <w:rsid w:val="5FFB5DD5"/>
    <w:rsid w:val="5FFB803C"/>
    <w:rsid w:val="5FFD6775"/>
    <w:rsid w:val="5FFE342C"/>
    <w:rsid w:val="5FFE4E56"/>
    <w:rsid w:val="5FFEAEC9"/>
    <w:rsid w:val="5FFF54F4"/>
    <w:rsid w:val="5FFF6468"/>
    <w:rsid w:val="62733397"/>
    <w:rsid w:val="63EF6D81"/>
    <w:rsid w:val="64BF7DC6"/>
    <w:rsid w:val="64FFC0B6"/>
    <w:rsid w:val="653F047F"/>
    <w:rsid w:val="65EFF2A5"/>
    <w:rsid w:val="65FFE0E1"/>
    <w:rsid w:val="660ED6D0"/>
    <w:rsid w:val="667F529E"/>
    <w:rsid w:val="66DF6903"/>
    <w:rsid w:val="66F9966E"/>
    <w:rsid w:val="6722B7A6"/>
    <w:rsid w:val="67372FB2"/>
    <w:rsid w:val="67731371"/>
    <w:rsid w:val="67A722D9"/>
    <w:rsid w:val="67BBB732"/>
    <w:rsid w:val="67BF21C9"/>
    <w:rsid w:val="67DDC13F"/>
    <w:rsid w:val="67F74C83"/>
    <w:rsid w:val="67F76F8C"/>
    <w:rsid w:val="68EB34C8"/>
    <w:rsid w:val="68FB5BB0"/>
    <w:rsid w:val="69F04FE9"/>
    <w:rsid w:val="69FE98CE"/>
    <w:rsid w:val="6A7B679F"/>
    <w:rsid w:val="6AF23A00"/>
    <w:rsid w:val="6AFBA9A4"/>
    <w:rsid w:val="6B7F5E65"/>
    <w:rsid w:val="6B7FEB3A"/>
    <w:rsid w:val="6B8B4FB6"/>
    <w:rsid w:val="6BB6EBC5"/>
    <w:rsid w:val="6BBBB685"/>
    <w:rsid w:val="6BBFD4B7"/>
    <w:rsid w:val="6BE07865"/>
    <w:rsid w:val="6BFEC36E"/>
    <w:rsid w:val="6CAEDBC5"/>
    <w:rsid w:val="6CFA8ADB"/>
    <w:rsid w:val="6DBF8263"/>
    <w:rsid w:val="6DEF49DB"/>
    <w:rsid w:val="6DF26DC0"/>
    <w:rsid w:val="6DF93D09"/>
    <w:rsid w:val="6DF9DBEC"/>
    <w:rsid w:val="6DFBFDE3"/>
    <w:rsid w:val="6E852E95"/>
    <w:rsid w:val="6EBF37AD"/>
    <w:rsid w:val="6F368D13"/>
    <w:rsid w:val="6F55308C"/>
    <w:rsid w:val="6F6BA3BB"/>
    <w:rsid w:val="6F751CFE"/>
    <w:rsid w:val="6FB63C7C"/>
    <w:rsid w:val="6FCB0B36"/>
    <w:rsid w:val="6FD7F237"/>
    <w:rsid w:val="6FDFA524"/>
    <w:rsid w:val="6FE527B1"/>
    <w:rsid w:val="6FEF7E04"/>
    <w:rsid w:val="6FF57A4C"/>
    <w:rsid w:val="6FFB57A8"/>
    <w:rsid w:val="6FFBA6C2"/>
    <w:rsid w:val="6FFE7E32"/>
    <w:rsid w:val="6FFF001B"/>
    <w:rsid w:val="6FFF92B0"/>
    <w:rsid w:val="70EE890F"/>
    <w:rsid w:val="713BAF7D"/>
    <w:rsid w:val="715629F7"/>
    <w:rsid w:val="72B7EEF9"/>
    <w:rsid w:val="72DD874E"/>
    <w:rsid w:val="72DE484E"/>
    <w:rsid w:val="72FF6C54"/>
    <w:rsid w:val="737FD227"/>
    <w:rsid w:val="739B7A02"/>
    <w:rsid w:val="73AFD214"/>
    <w:rsid w:val="73BFA1A0"/>
    <w:rsid w:val="73DB85DD"/>
    <w:rsid w:val="73DD75DE"/>
    <w:rsid w:val="73EEF190"/>
    <w:rsid w:val="73F71539"/>
    <w:rsid w:val="73FA0F1D"/>
    <w:rsid w:val="73FD862B"/>
    <w:rsid w:val="73FF6253"/>
    <w:rsid w:val="741E6F1E"/>
    <w:rsid w:val="743B5AC5"/>
    <w:rsid w:val="74DF6CE9"/>
    <w:rsid w:val="74F6C1E2"/>
    <w:rsid w:val="75930C5A"/>
    <w:rsid w:val="75A55AD9"/>
    <w:rsid w:val="75D550EE"/>
    <w:rsid w:val="75E7DF31"/>
    <w:rsid w:val="75ED4B11"/>
    <w:rsid w:val="75EECF3A"/>
    <w:rsid w:val="75F710F5"/>
    <w:rsid w:val="75F73058"/>
    <w:rsid w:val="75F758EE"/>
    <w:rsid w:val="766E7E9C"/>
    <w:rsid w:val="767FD13E"/>
    <w:rsid w:val="769D4064"/>
    <w:rsid w:val="76AC4B52"/>
    <w:rsid w:val="76B7F443"/>
    <w:rsid w:val="76BF8771"/>
    <w:rsid w:val="76BFDDD2"/>
    <w:rsid w:val="76F26D8C"/>
    <w:rsid w:val="76FF9318"/>
    <w:rsid w:val="774EB45D"/>
    <w:rsid w:val="77564FB9"/>
    <w:rsid w:val="7777C2B3"/>
    <w:rsid w:val="77783B64"/>
    <w:rsid w:val="779DEBE8"/>
    <w:rsid w:val="77CD93F2"/>
    <w:rsid w:val="77CE790D"/>
    <w:rsid w:val="77D9BF8B"/>
    <w:rsid w:val="77DDEB8B"/>
    <w:rsid w:val="77EAA65A"/>
    <w:rsid w:val="77EB7E2F"/>
    <w:rsid w:val="77EFBF7B"/>
    <w:rsid w:val="77F3BCA1"/>
    <w:rsid w:val="77F71F27"/>
    <w:rsid w:val="77FB51C3"/>
    <w:rsid w:val="77FB7438"/>
    <w:rsid w:val="77FD40B1"/>
    <w:rsid w:val="77FEFCE4"/>
    <w:rsid w:val="77FF0DA5"/>
    <w:rsid w:val="77FF564B"/>
    <w:rsid w:val="782DFE92"/>
    <w:rsid w:val="78AD46CC"/>
    <w:rsid w:val="78B724ED"/>
    <w:rsid w:val="78FE1907"/>
    <w:rsid w:val="796B8FD2"/>
    <w:rsid w:val="79A96339"/>
    <w:rsid w:val="79BF46D1"/>
    <w:rsid w:val="79DBF7C4"/>
    <w:rsid w:val="79ED880A"/>
    <w:rsid w:val="79FA242E"/>
    <w:rsid w:val="79FF32C5"/>
    <w:rsid w:val="7A0C9F92"/>
    <w:rsid w:val="7A5D2F3C"/>
    <w:rsid w:val="7ABBEA5B"/>
    <w:rsid w:val="7AC75FBF"/>
    <w:rsid w:val="7AEEF302"/>
    <w:rsid w:val="7AEFFA23"/>
    <w:rsid w:val="7AFA081A"/>
    <w:rsid w:val="7AFD5D34"/>
    <w:rsid w:val="7AFF3A58"/>
    <w:rsid w:val="7B25409E"/>
    <w:rsid w:val="7B39EAC4"/>
    <w:rsid w:val="7B3AAFE9"/>
    <w:rsid w:val="7B4FB400"/>
    <w:rsid w:val="7B5A627E"/>
    <w:rsid w:val="7B77B67F"/>
    <w:rsid w:val="7B7ADF55"/>
    <w:rsid w:val="7B97063C"/>
    <w:rsid w:val="7BBAFF3E"/>
    <w:rsid w:val="7BBF9583"/>
    <w:rsid w:val="7BC8C610"/>
    <w:rsid w:val="7BCFC47D"/>
    <w:rsid w:val="7BDB3D16"/>
    <w:rsid w:val="7BDBB4D9"/>
    <w:rsid w:val="7BDEACA8"/>
    <w:rsid w:val="7BE3A30B"/>
    <w:rsid w:val="7BEBE744"/>
    <w:rsid w:val="7BEDC54F"/>
    <w:rsid w:val="7BEE4930"/>
    <w:rsid w:val="7BFA645C"/>
    <w:rsid w:val="7BFB0A87"/>
    <w:rsid w:val="7BFF074B"/>
    <w:rsid w:val="7BFF36A3"/>
    <w:rsid w:val="7BFFD0E0"/>
    <w:rsid w:val="7CB9BFDC"/>
    <w:rsid w:val="7CD913EA"/>
    <w:rsid w:val="7CF53B55"/>
    <w:rsid w:val="7CF6DB8D"/>
    <w:rsid w:val="7CFE9940"/>
    <w:rsid w:val="7CFEA6D2"/>
    <w:rsid w:val="7CFFEE87"/>
    <w:rsid w:val="7D5F3832"/>
    <w:rsid w:val="7D6037B5"/>
    <w:rsid w:val="7D760A87"/>
    <w:rsid w:val="7D7F4749"/>
    <w:rsid w:val="7D7FED21"/>
    <w:rsid w:val="7D8AC77F"/>
    <w:rsid w:val="7D930B83"/>
    <w:rsid w:val="7D9BCD7A"/>
    <w:rsid w:val="7DADE966"/>
    <w:rsid w:val="7DB7A4EA"/>
    <w:rsid w:val="7DBF4FA2"/>
    <w:rsid w:val="7DBF6FCE"/>
    <w:rsid w:val="7DBF9B3B"/>
    <w:rsid w:val="7DCD5EF0"/>
    <w:rsid w:val="7DDDB054"/>
    <w:rsid w:val="7DDF4271"/>
    <w:rsid w:val="7DE6EF8E"/>
    <w:rsid w:val="7DF689D1"/>
    <w:rsid w:val="7DFB3B70"/>
    <w:rsid w:val="7DFE0780"/>
    <w:rsid w:val="7DFF795E"/>
    <w:rsid w:val="7DFFB8EE"/>
    <w:rsid w:val="7DFFC172"/>
    <w:rsid w:val="7E285262"/>
    <w:rsid w:val="7E2F6267"/>
    <w:rsid w:val="7E6F4188"/>
    <w:rsid w:val="7E6F4566"/>
    <w:rsid w:val="7E6FD5A9"/>
    <w:rsid w:val="7E7F2565"/>
    <w:rsid w:val="7E7F3118"/>
    <w:rsid w:val="7E9C99FB"/>
    <w:rsid w:val="7EA54758"/>
    <w:rsid w:val="7EBF4575"/>
    <w:rsid w:val="7EBF7754"/>
    <w:rsid w:val="7EC9EC85"/>
    <w:rsid w:val="7EDBE0A8"/>
    <w:rsid w:val="7EDFCEC7"/>
    <w:rsid w:val="7EEBB01D"/>
    <w:rsid w:val="7EED6AF3"/>
    <w:rsid w:val="7EEF6598"/>
    <w:rsid w:val="7EF753C8"/>
    <w:rsid w:val="7EF7DA9C"/>
    <w:rsid w:val="7EFBA6C9"/>
    <w:rsid w:val="7EFF10A2"/>
    <w:rsid w:val="7EFFD41F"/>
    <w:rsid w:val="7F0F13F6"/>
    <w:rsid w:val="7F17E2CE"/>
    <w:rsid w:val="7F2B59BB"/>
    <w:rsid w:val="7F36E076"/>
    <w:rsid w:val="7F3D8A8D"/>
    <w:rsid w:val="7F3EDE7D"/>
    <w:rsid w:val="7F3F465B"/>
    <w:rsid w:val="7F4FE3E3"/>
    <w:rsid w:val="7F53D726"/>
    <w:rsid w:val="7F56352E"/>
    <w:rsid w:val="7F6A59B0"/>
    <w:rsid w:val="7F6E9928"/>
    <w:rsid w:val="7F6F6F87"/>
    <w:rsid w:val="7F769653"/>
    <w:rsid w:val="7F777506"/>
    <w:rsid w:val="7F7C9184"/>
    <w:rsid w:val="7F7DD234"/>
    <w:rsid w:val="7F7EABC5"/>
    <w:rsid w:val="7F7F26DF"/>
    <w:rsid w:val="7F7F55F4"/>
    <w:rsid w:val="7F7FBC1E"/>
    <w:rsid w:val="7F7FC89E"/>
    <w:rsid w:val="7F9D0E2A"/>
    <w:rsid w:val="7F9F30C3"/>
    <w:rsid w:val="7FA6A351"/>
    <w:rsid w:val="7FAB4538"/>
    <w:rsid w:val="7FAFFB5F"/>
    <w:rsid w:val="7FB7ABFF"/>
    <w:rsid w:val="7FB7BAC5"/>
    <w:rsid w:val="7FB7C3C2"/>
    <w:rsid w:val="7FB8D9E4"/>
    <w:rsid w:val="7FB93118"/>
    <w:rsid w:val="7FBAFD8A"/>
    <w:rsid w:val="7FBB899A"/>
    <w:rsid w:val="7FBBD81D"/>
    <w:rsid w:val="7FBF3B77"/>
    <w:rsid w:val="7FBF6E35"/>
    <w:rsid w:val="7FBF7324"/>
    <w:rsid w:val="7FBF7C86"/>
    <w:rsid w:val="7FBFBCF8"/>
    <w:rsid w:val="7FBFBDC2"/>
    <w:rsid w:val="7FBFDC9D"/>
    <w:rsid w:val="7FBFFC3C"/>
    <w:rsid w:val="7FD5D7CA"/>
    <w:rsid w:val="7FD5DFD2"/>
    <w:rsid w:val="7FD65827"/>
    <w:rsid w:val="7FD71E31"/>
    <w:rsid w:val="7FD72D4D"/>
    <w:rsid w:val="7FD75062"/>
    <w:rsid w:val="7FD97241"/>
    <w:rsid w:val="7FDA07C4"/>
    <w:rsid w:val="7FDF499A"/>
    <w:rsid w:val="7FDF5E58"/>
    <w:rsid w:val="7FDFB792"/>
    <w:rsid w:val="7FE32BE7"/>
    <w:rsid w:val="7FE6DEB8"/>
    <w:rsid w:val="7FE75817"/>
    <w:rsid w:val="7FEF15FF"/>
    <w:rsid w:val="7FF26F39"/>
    <w:rsid w:val="7FF34745"/>
    <w:rsid w:val="7FF7096F"/>
    <w:rsid w:val="7FF73FA8"/>
    <w:rsid w:val="7FF9B6D1"/>
    <w:rsid w:val="7FFB609A"/>
    <w:rsid w:val="7FFBCA9D"/>
    <w:rsid w:val="7FFCC055"/>
    <w:rsid w:val="7FFD47DD"/>
    <w:rsid w:val="7FFD77E9"/>
    <w:rsid w:val="7FFDD650"/>
    <w:rsid w:val="7FFE8A44"/>
    <w:rsid w:val="7FFF4469"/>
    <w:rsid w:val="7FFF5CB8"/>
    <w:rsid w:val="7FFF663D"/>
    <w:rsid w:val="7FFF9719"/>
    <w:rsid w:val="7FFFBA6D"/>
    <w:rsid w:val="7FFFC51A"/>
    <w:rsid w:val="7FFFDCC5"/>
    <w:rsid w:val="84538A96"/>
    <w:rsid w:val="85D6C2E2"/>
    <w:rsid w:val="85F9FF8D"/>
    <w:rsid w:val="86BE6975"/>
    <w:rsid w:val="87FDC09D"/>
    <w:rsid w:val="89DF2BBD"/>
    <w:rsid w:val="8DF83B2F"/>
    <w:rsid w:val="8EFF1A58"/>
    <w:rsid w:val="8FB6C6D8"/>
    <w:rsid w:val="9232BAFE"/>
    <w:rsid w:val="96EA4351"/>
    <w:rsid w:val="9A1B4EB6"/>
    <w:rsid w:val="9B7FEF64"/>
    <w:rsid w:val="9BEFC61D"/>
    <w:rsid w:val="9CFCF105"/>
    <w:rsid w:val="9DFDE063"/>
    <w:rsid w:val="9EA71CDF"/>
    <w:rsid w:val="9EB7C315"/>
    <w:rsid w:val="9EFEA2CA"/>
    <w:rsid w:val="9FFCA712"/>
    <w:rsid w:val="9FFDF803"/>
    <w:rsid w:val="9FFF348F"/>
    <w:rsid w:val="9FFFF15F"/>
    <w:rsid w:val="A2FE1823"/>
    <w:rsid w:val="A370F2E1"/>
    <w:rsid w:val="A59DA6D7"/>
    <w:rsid w:val="A6DFB697"/>
    <w:rsid w:val="A773A0B8"/>
    <w:rsid w:val="A7ACC344"/>
    <w:rsid w:val="A7EFF37D"/>
    <w:rsid w:val="A99F0547"/>
    <w:rsid w:val="A9CF93B2"/>
    <w:rsid w:val="AB5F0DDE"/>
    <w:rsid w:val="AB7AE1F5"/>
    <w:rsid w:val="ABA99A20"/>
    <w:rsid w:val="AD76A5C3"/>
    <w:rsid w:val="AD7E6472"/>
    <w:rsid w:val="ADBB6F4E"/>
    <w:rsid w:val="AE9BCEBC"/>
    <w:rsid w:val="AEE93A4D"/>
    <w:rsid w:val="AEFD0EC5"/>
    <w:rsid w:val="AEFF8568"/>
    <w:rsid w:val="AF3F3856"/>
    <w:rsid w:val="AFBFA081"/>
    <w:rsid w:val="AFBFD7D4"/>
    <w:rsid w:val="AFF21297"/>
    <w:rsid w:val="AFFCA764"/>
    <w:rsid w:val="AFFF2E0A"/>
    <w:rsid w:val="B0DC741B"/>
    <w:rsid w:val="B1F74206"/>
    <w:rsid w:val="B29FCA0B"/>
    <w:rsid w:val="B4AF7771"/>
    <w:rsid w:val="B5EF6BF1"/>
    <w:rsid w:val="B676E6F4"/>
    <w:rsid w:val="B6BB9326"/>
    <w:rsid w:val="B6DFA50C"/>
    <w:rsid w:val="B6E43559"/>
    <w:rsid w:val="B6EEEC02"/>
    <w:rsid w:val="B70F36A1"/>
    <w:rsid w:val="B77F5D4A"/>
    <w:rsid w:val="B79C9A04"/>
    <w:rsid w:val="B7B70436"/>
    <w:rsid w:val="B7EBF705"/>
    <w:rsid w:val="B7F68F1C"/>
    <w:rsid w:val="B7F70B92"/>
    <w:rsid w:val="B8D93164"/>
    <w:rsid w:val="B9C565BE"/>
    <w:rsid w:val="B9EE3D49"/>
    <w:rsid w:val="BAF66296"/>
    <w:rsid w:val="BAF9174C"/>
    <w:rsid w:val="BAFA5B0C"/>
    <w:rsid w:val="BAFB6684"/>
    <w:rsid w:val="BAFE7194"/>
    <w:rsid w:val="BB57A64B"/>
    <w:rsid w:val="BB7B2378"/>
    <w:rsid w:val="BBA51B8C"/>
    <w:rsid w:val="BBBF8F7A"/>
    <w:rsid w:val="BBBFC294"/>
    <w:rsid w:val="BBBFE85B"/>
    <w:rsid w:val="BBEB1B9F"/>
    <w:rsid w:val="BBF5396B"/>
    <w:rsid w:val="BBF91DEC"/>
    <w:rsid w:val="BBFB2AFA"/>
    <w:rsid w:val="BBFC2A66"/>
    <w:rsid w:val="BBFF6799"/>
    <w:rsid w:val="BC9258E3"/>
    <w:rsid w:val="BC9B9316"/>
    <w:rsid w:val="BCF59EC5"/>
    <w:rsid w:val="BCFDDECA"/>
    <w:rsid w:val="BD1A6E3E"/>
    <w:rsid w:val="BD3D2655"/>
    <w:rsid w:val="BD5DE1ED"/>
    <w:rsid w:val="BD674718"/>
    <w:rsid w:val="BD7D6195"/>
    <w:rsid w:val="BD7FD2FC"/>
    <w:rsid w:val="BDB52F3A"/>
    <w:rsid w:val="BDB79BBD"/>
    <w:rsid w:val="BDF2C973"/>
    <w:rsid w:val="BDF5108D"/>
    <w:rsid w:val="BDFE85D2"/>
    <w:rsid w:val="BE7B5CC9"/>
    <w:rsid w:val="BE9F3999"/>
    <w:rsid w:val="BEDF6DEC"/>
    <w:rsid w:val="BEF7A934"/>
    <w:rsid w:val="BEF7D9A0"/>
    <w:rsid w:val="BF4EB4C0"/>
    <w:rsid w:val="BF6D82D6"/>
    <w:rsid w:val="BF77F1BC"/>
    <w:rsid w:val="BF7B5556"/>
    <w:rsid w:val="BF9B36B5"/>
    <w:rsid w:val="BFB85E0D"/>
    <w:rsid w:val="BFBFC0EB"/>
    <w:rsid w:val="BFCFD438"/>
    <w:rsid w:val="BFD75158"/>
    <w:rsid w:val="BFD7AB3A"/>
    <w:rsid w:val="BFDFAB37"/>
    <w:rsid w:val="BFEB2108"/>
    <w:rsid w:val="BFEBF2C2"/>
    <w:rsid w:val="BFEF2B3D"/>
    <w:rsid w:val="BFF4BDA5"/>
    <w:rsid w:val="BFF91569"/>
    <w:rsid w:val="BFFB537B"/>
    <w:rsid w:val="BFFC70F8"/>
    <w:rsid w:val="BFFE7DC7"/>
    <w:rsid w:val="C2FEAD65"/>
    <w:rsid w:val="C5AF2987"/>
    <w:rsid w:val="C6FF693B"/>
    <w:rsid w:val="C7FD1288"/>
    <w:rsid w:val="C7FF68C6"/>
    <w:rsid w:val="CBDD482A"/>
    <w:rsid w:val="CCBC3555"/>
    <w:rsid w:val="CD50DE1B"/>
    <w:rsid w:val="CDBFC7DA"/>
    <w:rsid w:val="CDFAC842"/>
    <w:rsid w:val="CE67AEBC"/>
    <w:rsid w:val="CED7394B"/>
    <w:rsid w:val="CEEF6089"/>
    <w:rsid w:val="CEF9BE7C"/>
    <w:rsid w:val="CEFF58D0"/>
    <w:rsid w:val="CF3EF7E7"/>
    <w:rsid w:val="CF3FDC18"/>
    <w:rsid w:val="CF9F8D8E"/>
    <w:rsid w:val="CFD3A3CF"/>
    <w:rsid w:val="CFD7BBD8"/>
    <w:rsid w:val="CFDF3B30"/>
    <w:rsid w:val="CFE793ED"/>
    <w:rsid w:val="CFEE2D30"/>
    <w:rsid w:val="CFFE602F"/>
    <w:rsid w:val="D0BDC3F4"/>
    <w:rsid w:val="D17C7BC9"/>
    <w:rsid w:val="D1FB7D2E"/>
    <w:rsid w:val="D37F8BFE"/>
    <w:rsid w:val="D3BEC996"/>
    <w:rsid w:val="D3EB4A3B"/>
    <w:rsid w:val="D3FA59BE"/>
    <w:rsid w:val="D56D6454"/>
    <w:rsid w:val="D5832F98"/>
    <w:rsid w:val="D5B5BEBD"/>
    <w:rsid w:val="D5BF0980"/>
    <w:rsid w:val="D6DD4EE4"/>
    <w:rsid w:val="D6F1E27A"/>
    <w:rsid w:val="D6F72A2F"/>
    <w:rsid w:val="D6F801ED"/>
    <w:rsid w:val="D75EF93E"/>
    <w:rsid w:val="D7BB496A"/>
    <w:rsid w:val="D7FB74B4"/>
    <w:rsid w:val="D7FB8265"/>
    <w:rsid w:val="D7FDAED2"/>
    <w:rsid w:val="D7FED5F9"/>
    <w:rsid w:val="D7FFCB19"/>
    <w:rsid w:val="D7FFE1D5"/>
    <w:rsid w:val="D9A53B57"/>
    <w:rsid w:val="D9B7FC19"/>
    <w:rsid w:val="D9BB8EE5"/>
    <w:rsid w:val="D9FE90F5"/>
    <w:rsid w:val="DA3D1000"/>
    <w:rsid w:val="DA5F33A4"/>
    <w:rsid w:val="DAD76A43"/>
    <w:rsid w:val="DAF39E41"/>
    <w:rsid w:val="DBBF2EBD"/>
    <w:rsid w:val="DBBF6098"/>
    <w:rsid w:val="DBFDFB88"/>
    <w:rsid w:val="DCDEB3FC"/>
    <w:rsid w:val="DCE4F7C4"/>
    <w:rsid w:val="DCFF32AC"/>
    <w:rsid w:val="DD2FD45E"/>
    <w:rsid w:val="DD7F3D79"/>
    <w:rsid w:val="DDD62388"/>
    <w:rsid w:val="DDEDC1CE"/>
    <w:rsid w:val="DDF6A823"/>
    <w:rsid w:val="DDFD3DB3"/>
    <w:rsid w:val="DDFF7ADF"/>
    <w:rsid w:val="DDFFDD02"/>
    <w:rsid w:val="DE5F2664"/>
    <w:rsid w:val="DEAF77E9"/>
    <w:rsid w:val="DED188B3"/>
    <w:rsid w:val="DEFECE56"/>
    <w:rsid w:val="DF7B4CF9"/>
    <w:rsid w:val="DF7BEEB4"/>
    <w:rsid w:val="DF7DA413"/>
    <w:rsid w:val="DF9F8EC2"/>
    <w:rsid w:val="DFA6A112"/>
    <w:rsid w:val="DFB7467C"/>
    <w:rsid w:val="DFBBF46B"/>
    <w:rsid w:val="DFBFA4D2"/>
    <w:rsid w:val="DFC98F5A"/>
    <w:rsid w:val="DFCE673D"/>
    <w:rsid w:val="DFDB82FD"/>
    <w:rsid w:val="DFDFA092"/>
    <w:rsid w:val="DFEFAFCC"/>
    <w:rsid w:val="DFF32DE8"/>
    <w:rsid w:val="DFF7AD58"/>
    <w:rsid w:val="DFF7C4C6"/>
    <w:rsid w:val="DFFE5D94"/>
    <w:rsid w:val="DFFEF699"/>
    <w:rsid w:val="DFFF5360"/>
    <w:rsid w:val="DFFFD56B"/>
    <w:rsid w:val="E2BD99C3"/>
    <w:rsid w:val="E3FD640C"/>
    <w:rsid w:val="E5BF4E4E"/>
    <w:rsid w:val="E5EB9F71"/>
    <w:rsid w:val="E5FB8725"/>
    <w:rsid w:val="E5FF54DA"/>
    <w:rsid w:val="E63DB54B"/>
    <w:rsid w:val="E7BFB7DE"/>
    <w:rsid w:val="E7E498F0"/>
    <w:rsid w:val="E7EE20FD"/>
    <w:rsid w:val="E7FBA5FD"/>
    <w:rsid w:val="E7FD6390"/>
    <w:rsid w:val="E7FF03F9"/>
    <w:rsid w:val="E7FFDF85"/>
    <w:rsid w:val="E8FF505C"/>
    <w:rsid w:val="E976DB13"/>
    <w:rsid w:val="E9FF4B03"/>
    <w:rsid w:val="EA760543"/>
    <w:rsid w:val="EAFF1C87"/>
    <w:rsid w:val="EB770A7E"/>
    <w:rsid w:val="EB7F3D39"/>
    <w:rsid w:val="EBAB71F5"/>
    <w:rsid w:val="EBCB3BA5"/>
    <w:rsid w:val="EBF5809D"/>
    <w:rsid w:val="EBFA1938"/>
    <w:rsid w:val="EBFEE766"/>
    <w:rsid w:val="EC70E814"/>
    <w:rsid w:val="EC96D7C8"/>
    <w:rsid w:val="ECAE6375"/>
    <w:rsid w:val="ED4C29F1"/>
    <w:rsid w:val="ED5E2169"/>
    <w:rsid w:val="ED637A57"/>
    <w:rsid w:val="ED72C5EE"/>
    <w:rsid w:val="ED7F6B02"/>
    <w:rsid w:val="EDB53D9C"/>
    <w:rsid w:val="EDBFE174"/>
    <w:rsid w:val="EDDF119F"/>
    <w:rsid w:val="EDE85C8B"/>
    <w:rsid w:val="EDEF518C"/>
    <w:rsid w:val="EDEFA9BD"/>
    <w:rsid w:val="EDFF89F3"/>
    <w:rsid w:val="EE6F0935"/>
    <w:rsid w:val="EEBDCD04"/>
    <w:rsid w:val="EEEF0FC5"/>
    <w:rsid w:val="EEEF86A5"/>
    <w:rsid w:val="EEF8CB27"/>
    <w:rsid w:val="EEFD7717"/>
    <w:rsid w:val="EEFED191"/>
    <w:rsid w:val="EEFF5B02"/>
    <w:rsid w:val="EF19A9D4"/>
    <w:rsid w:val="EF3F5243"/>
    <w:rsid w:val="EF5BB8CE"/>
    <w:rsid w:val="EF6C528E"/>
    <w:rsid w:val="EF6F8705"/>
    <w:rsid w:val="EF73E5BB"/>
    <w:rsid w:val="EFAB5DBA"/>
    <w:rsid w:val="EFAFC5F7"/>
    <w:rsid w:val="EFB7D0C7"/>
    <w:rsid w:val="EFB96D49"/>
    <w:rsid w:val="EFDDEFA2"/>
    <w:rsid w:val="EFDF4B2A"/>
    <w:rsid w:val="EFE16125"/>
    <w:rsid w:val="EFEB063A"/>
    <w:rsid w:val="EFEBD9FD"/>
    <w:rsid w:val="EFEF42B2"/>
    <w:rsid w:val="EFEFA9A1"/>
    <w:rsid w:val="EFF6867E"/>
    <w:rsid w:val="EFF7BD6A"/>
    <w:rsid w:val="EFFDEEF7"/>
    <w:rsid w:val="EFFF3F24"/>
    <w:rsid w:val="EFFF6B85"/>
    <w:rsid w:val="F1DE77A5"/>
    <w:rsid w:val="F26DCFCA"/>
    <w:rsid w:val="F2BF9586"/>
    <w:rsid w:val="F35FF5A2"/>
    <w:rsid w:val="F3AD9E50"/>
    <w:rsid w:val="F3BB7B25"/>
    <w:rsid w:val="F3BD4D67"/>
    <w:rsid w:val="F3E3013B"/>
    <w:rsid w:val="F3E70B3D"/>
    <w:rsid w:val="F3EFE56F"/>
    <w:rsid w:val="F3FB741C"/>
    <w:rsid w:val="F3FBA340"/>
    <w:rsid w:val="F4FB992D"/>
    <w:rsid w:val="F4FF788B"/>
    <w:rsid w:val="F53197A0"/>
    <w:rsid w:val="F53F9BC0"/>
    <w:rsid w:val="F55FEBD1"/>
    <w:rsid w:val="F5673972"/>
    <w:rsid w:val="F577F0E5"/>
    <w:rsid w:val="F5F392AE"/>
    <w:rsid w:val="F5FB1467"/>
    <w:rsid w:val="F5FDD0EE"/>
    <w:rsid w:val="F697C58A"/>
    <w:rsid w:val="F6BAED5E"/>
    <w:rsid w:val="F6EFBFB4"/>
    <w:rsid w:val="F6FE261B"/>
    <w:rsid w:val="F6FF1CE8"/>
    <w:rsid w:val="F73CDCCF"/>
    <w:rsid w:val="F73E31F4"/>
    <w:rsid w:val="F766DE1E"/>
    <w:rsid w:val="F77D16E4"/>
    <w:rsid w:val="F77D2E84"/>
    <w:rsid w:val="F77F25D5"/>
    <w:rsid w:val="F79F77E3"/>
    <w:rsid w:val="F7AFBB30"/>
    <w:rsid w:val="F7BB1918"/>
    <w:rsid w:val="F7BB97FE"/>
    <w:rsid w:val="F7BF100C"/>
    <w:rsid w:val="F7CE7CDA"/>
    <w:rsid w:val="F7D248ED"/>
    <w:rsid w:val="F7D7F26F"/>
    <w:rsid w:val="F7DFC11F"/>
    <w:rsid w:val="F7E88741"/>
    <w:rsid w:val="F7F1079D"/>
    <w:rsid w:val="F7F782F5"/>
    <w:rsid w:val="F7F988EA"/>
    <w:rsid w:val="F7FA84F1"/>
    <w:rsid w:val="F7FB6C48"/>
    <w:rsid w:val="F7FBF50F"/>
    <w:rsid w:val="F7FC2AA5"/>
    <w:rsid w:val="F7FCF483"/>
    <w:rsid w:val="F7FD1686"/>
    <w:rsid w:val="F7FE1389"/>
    <w:rsid w:val="F7FE9FE9"/>
    <w:rsid w:val="F7FF247A"/>
    <w:rsid w:val="F7FFCB3A"/>
    <w:rsid w:val="F8DB6B90"/>
    <w:rsid w:val="F8F34FDB"/>
    <w:rsid w:val="F936743F"/>
    <w:rsid w:val="F976FC1D"/>
    <w:rsid w:val="F9B5010C"/>
    <w:rsid w:val="F9BF5AA4"/>
    <w:rsid w:val="F9EF9371"/>
    <w:rsid w:val="F9F5E8DC"/>
    <w:rsid w:val="F9FD477D"/>
    <w:rsid w:val="F9FF621E"/>
    <w:rsid w:val="F9FF63E5"/>
    <w:rsid w:val="F9FFED88"/>
    <w:rsid w:val="F9FFEF54"/>
    <w:rsid w:val="FA1B4C91"/>
    <w:rsid w:val="FA8A1014"/>
    <w:rsid w:val="FADF08BA"/>
    <w:rsid w:val="FAED8EC8"/>
    <w:rsid w:val="FAFB9322"/>
    <w:rsid w:val="FB3F791B"/>
    <w:rsid w:val="FB57232B"/>
    <w:rsid w:val="FB6BF6AD"/>
    <w:rsid w:val="FB772356"/>
    <w:rsid w:val="FB78D173"/>
    <w:rsid w:val="FB8BE03C"/>
    <w:rsid w:val="FBB94C88"/>
    <w:rsid w:val="FBBE0E3C"/>
    <w:rsid w:val="FBBF97B1"/>
    <w:rsid w:val="FBBFC006"/>
    <w:rsid w:val="FBD354CF"/>
    <w:rsid w:val="FBDC4056"/>
    <w:rsid w:val="FBDE19F6"/>
    <w:rsid w:val="FBDE37DA"/>
    <w:rsid w:val="FBDF0912"/>
    <w:rsid w:val="FBDFCE3C"/>
    <w:rsid w:val="FBDFD229"/>
    <w:rsid w:val="FBEE7007"/>
    <w:rsid w:val="FBF53FA5"/>
    <w:rsid w:val="FBF72F85"/>
    <w:rsid w:val="FBFA38C8"/>
    <w:rsid w:val="FBFAE472"/>
    <w:rsid w:val="FBFF9312"/>
    <w:rsid w:val="FBFFB212"/>
    <w:rsid w:val="FC3D0904"/>
    <w:rsid w:val="FC3F419A"/>
    <w:rsid w:val="FC759887"/>
    <w:rsid w:val="FC9BBF3F"/>
    <w:rsid w:val="FCDDDA3D"/>
    <w:rsid w:val="FCE2D701"/>
    <w:rsid w:val="FCE74D39"/>
    <w:rsid w:val="FCEFD994"/>
    <w:rsid w:val="FCF143DB"/>
    <w:rsid w:val="FCF16C42"/>
    <w:rsid w:val="FD0EB700"/>
    <w:rsid w:val="FD2FBE29"/>
    <w:rsid w:val="FD3FFDEC"/>
    <w:rsid w:val="FD7F90E9"/>
    <w:rsid w:val="FD7FA0AD"/>
    <w:rsid w:val="FDB9978D"/>
    <w:rsid w:val="FDBD3F99"/>
    <w:rsid w:val="FDBF646A"/>
    <w:rsid w:val="FDCBB09C"/>
    <w:rsid w:val="FDDE6B8F"/>
    <w:rsid w:val="FDE326AC"/>
    <w:rsid w:val="FDEB08C4"/>
    <w:rsid w:val="FDEF9BCE"/>
    <w:rsid w:val="FDF3B5DA"/>
    <w:rsid w:val="FDF700D9"/>
    <w:rsid w:val="FDF77C8A"/>
    <w:rsid w:val="FDF7AD02"/>
    <w:rsid w:val="FDFA7240"/>
    <w:rsid w:val="FDFF61C9"/>
    <w:rsid w:val="FE3C66AC"/>
    <w:rsid w:val="FE65599E"/>
    <w:rsid w:val="FE7BD812"/>
    <w:rsid w:val="FE7D3155"/>
    <w:rsid w:val="FE7F1899"/>
    <w:rsid w:val="FE7FF3B0"/>
    <w:rsid w:val="FE976E42"/>
    <w:rsid w:val="FEB521A9"/>
    <w:rsid w:val="FEB7D19E"/>
    <w:rsid w:val="FEBD95D1"/>
    <w:rsid w:val="FECBE86F"/>
    <w:rsid w:val="FECF7DD7"/>
    <w:rsid w:val="FEDD6D64"/>
    <w:rsid w:val="FEE93F54"/>
    <w:rsid w:val="FEF05AEE"/>
    <w:rsid w:val="FEF5CA00"/>
    <w:rsid w:val="FEFA25F4"/>
    <w:rsid w:val="FEFB8927"/>
    <w:rsid w:val="FEFD90F8"/>
    <w:rsid w:val="FEFEE388"/>
    <w:rsid w:val="FEFFA793"/>
    <w:rsid w:val="FEFFF293"/>
    <w:rsid w:val="FF1D1FC1"/>
    <w:rsid w:val="FF1F6179"/>
    <w:rsid w:val="FF234FCF"/>
    <w:rsid w:val="FF395AA7"/>
    <w:rsid w:val="FF39806A"/>
    <w:rsid w:val="FF3BAF6E"/>
    <w:rsid w:val="FF3FE53C"/>
    <w:rsid w:val="FF4D40D6"/>
    <w:rsid w:val="FF4D7451"/>
    <w:rsid w:val="FF53D90F"/>
    <w:rsid w:val="FF567D66"/>
    <w:rsid w:val="FF5DB349"/>
    <w:rsid w:val="FF5FDEC7"/>
    <w:rsid w:val="FF69B2F1"/>
    <w:rsid w:val="FF6BEBC9"/>
    <w:rsid w:val="FF6E50B5"/>
    <w:rsid w:val="FF6ECFE5"/>
    <w:rsid w:val="FF6FB097"/>
    <w:rsid w:val="FF73ED85"/>
    <w:rsid w:val="FF7B67E7"/>
    <w:rsid w:val="FF7D0B6C"/>
    <w:rsid w:val="FF7D2F65"/>
    <w:rsid w:val="FF7D94AB"/>
    <w:rsid w:val="FF7E5DC7"/>
    <w:rsid w:val="FF7E7D63"/>
    <w:rsid w:val="FF7FDAA2"/>
    <w:rsid w:val="FF9765E8"/>
    <w:rsid w:val="FF9DCCBD"/>
    <w:rsid w:val="FF9E3E25"/>
    <w:rsid w:val="FF9F0B7C"/>
    <w:rsid w:val="FFA5AAC7"/>
    <w:rsid w:val="FFAA2306"/>
    <w:rsid w:val="FFB6803F"/>
    <w:rsid w:val="FFB7339D"/>
    <w:rsid w:val="FFBA5A51"/>
    <w:rsid w:val="FFBA7E83"/>
    <w:rsid w:val="FFBDD337"/>
    <w:rsid w:val="FFBDDF01"/>
    <w:rsid w:val="FFBF01E2"/>
    <w:rsid w:val="FFBF554E"/>
    <w:rsid w:val="FFBFE0E9"/>
    <w:rsid w:val="FFBFE95B"/>
    <w:rsid w:val="FFC7CFC5"/>
    <w:rsid w:val="FFC9AA3A"/>
    <w:rsid w:val="FFCED614"/>
    <w:rsid w:val="FFCF4F05"/>
    <w:rsid w:val="FFD6EBC4"/>
    <w:rsid w:val="FFD74365"/>
    <w:rsid w:val="FFDA61AC"/>
    <w:rsid w:val="FFDE80AB"/>
    <w:rsid w:val="FFDF0531"/>
    <w:rsid w:val="FFDFC0E7"/>
    <w:rsid w:val="FFDFD570"/>
    <w:rsid w:val="FFE4A82B"/>
    <w:rsid w:val="FFE770A1"/>
    <w:rsid w:val="FFEB9071"/>
    <w:rsid w:val="FFEBD443"/>
    <w:rsid w:val="FFED1E26"/>
    <w:rsid w:val="FFEFE6AB"/>
    <w:rsid w:val="FFF1EC54"/>
    <w:rsid w:val="FFF49654"/>
    <w:rsid w:val="FFF631F3"/>
    <w:rsid w:val="FFF70E87"/>
    <w:rsid w:val="FFF73024"/>
    <w:rsid w:val="FFF7E08B"/>
    <w:rsid w:val="FFF83C47"/>
    <w:rsid w:val="FFF969AD"/>
    <w:rsid w:val="FFFA22AA"/>
    <w:rsid w:val="FFFA3126"/>
    <w:rsid w:val="FFFB07E3"/>
    <w:rsid w:val="FFFB2F95"/>
    <w:rsid w:val="FFFBCA22"/>
    <w:rsid w:val="FFFBD7F7"/>
    <w:rsid w:val="FFFBFCDE"/>
    <w:rsid w:val="FFFC18D2"/>
    <w:rsid w:val="FFFC44FE"/>
    <w:rsid w:val="FFFD15B6"/>
    <w:rsid w:val="FFFD7F41"/>
    <w:rsid w:val="FFFDA790"/>
    <w:rsid w:val="FFFDC53E"/>
    <w:rsid w:val="FFFDC6EB"/>
    <w:rsid w:val="FFFEB95D"/>
    <w:rsid w:val="FFFF3832"/>
    <w:rsid w:val="FFFF5C07"/>
    <w:rsid w:val="FFFF9D71"/>
    <w:rsid w:val="FFFFB127"/>
    <w:rsid w:val="FFFFC3BE"/>
    <w:rsid w:val="FFFFD2D0"/>
    <w:rsid w:val="FFFFDEB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qFormat="1" w:uiPriority="99" w:semiHidden="0" w:name="footnote text"/>
    <w:lsdException w:qFormat="1" w:uiPriority="0"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qFormat="1" w:uiPriority="99" w:semiHidden="0" w:name="footnote reference"/>
    <w:lsdException w:qFormat="1" w:uiPriority="0" w:semiHidden="0" w:name="annotation reference"/>
    <w:lsdException w:uiPriority="0" w:name="line number"/>
    <w:lsdException w:uiPriority="0" w:semiHidden="0" w:name="page number"/>
    <w:lsdException w:qFormat="1" w:uiPriority="99" w:semiHidden="0" w:name="endnote reference"/>
    <w:lsdException w:qFormat="1" w:uiPriority="99" w:semiHidden="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qFormat="1" w:unhideWhenUsed="0" w:uiPriority="99"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31"/>
    <w:qFormat/>
    <w:uiPriority w:val="9"/>
    <w:pPr>
      <w:keepNext/>
      <w:keepLines/>
      <w:spacing w:before="340" w:after="330" w:line="578" w:lineRule="auto"/>
      <w:outlineLvl w:val="0"/>
    </w:pPr>
    <w:rPr>
      <w:rFonts w:ascii="等线" w:hAnsi="等线" w:eastAsia="等线" w:cs="黑体"/>
      <w:b/>
      <w:bCs/>
      <w:kern w:val="44"/>
      <w:sz w:val="44"/>
      <w:szCs w:val="44"/>
    </w:rPr>
  </w:style>
  <w:style w:type="character" w:default="1" w:styleId="19">
    <w:name w:val="Default Paragraph Font"/>
    <w:semiHidden/>
    <w:unhideWhenUsed/>
    <w:qFormat/>
    <w:uiPriority w:val="1"/>
  </w:style>
  <w:style w:type="table" w:default="1" w:styleId="17">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Normal Indent"/>
    <w:basedOn w:val="1"/>
    <w:next w:val="4"/>
    <w:unhideWhenUsed/>
    <w:qFormat/>
    <w:uiPriority w:val="99"/>
    <w:pPr>
      <w:ind w:firstLine="420" w:firstLineChars="200"/>
    </w:pPr>
  </w:style>
  <w:style w:type="paragraph" w:styleId="4">
    <w:name w:val="Body Text Indent"/>
    <w:basedOn w:val="1"/>
    <w:next w:val="3"/>
    <w:qFormat/>
    <w:uiPriority w:val="0"/>
    <w:pPr>
      <w:suppressAutoHyphens w:val="0"/>
      <w:spacing w:line="336" w:lineRule="auto"/>
      <w:ind w:firstLine="645"/>
    </w:pPr>
    <w:rPr>
      <w:rFonts w:ascii="仿宋_GB2312" w:hAnsi="Times New Roman" w:eastAsia="仿宋_GB2312"/>
      <w:spacing w:val="-4"/>
      <w:sz w:val="32"/>
    </w:rPr>
  </w:style>
  <w:style w:type="paragraph" w:styleId="5">
    <w:name w:val="annotation text"/>
    <w:basedOn w:val="1"/>
    <w:link w:val="34"/>
    <w:unhideWhenUsed/>
    <w:qFormat/>
    <w:uiPriority w:val="0"/>
    <w:pPr>
      <w:jc w:val="left"/>
    </w:pPr>
    <w:rPr>
      <w:rFonts w:ascii="等线" w:hAnsi="等线" w:eastAsia="等线" w:cs="黑体"/>
      <w:szCs w:val="22"/>
    </w:rPr>
  </w:style>
  <w:style w:type="paragraph" w:styleId="6">
    <w:name w:val="toc 3"/>
    <w:basedOn w:val="1"/>
    <w:next w:val="1"/>
    <w:unhideWhenUsed/>
    <w:qFormat/>
    <w:uiPriority w:val="39"/>
    <w:pPr>
      <w:ind w:left="840" w:leftChars="400"/>
    </w:pPr>
    <w:rPr>
      <w:rFonts w:ascii="等线" w:hAnsi="等线" w:eastAsia="等线" w:cs="黑体"/>
      <w:szCs w:val="22"/>
    </w:rPr>
  </w:style>
  <w:style w:type="paragraph" w:styleId="7">
    <w:name w:val="endnote text"/>
    <w:basedOn w:val="1"/>
    <w:link w:val="33"/>
    <w:unhideWhenUsed/>
    <w:qFormat/>
    <w:uiPriority w:val="99"/>
    <w:pPr>
      <w:snapToGrid w:val="0"/>
      <w:jc w:val="left"/>
    </w:pPr>
    <w:rPr>
      <w:rFonts w:ascii="等线" w:hAnsi="等线" w:eastAsia="等线" w:cs="黑体"/>
      <w:szCs w:val="22"/>
    </w:rPr>
  </w:style>
  <w:style w:type="paragraph" w:styleId="8">
    <w:name w:val="Balloon Text"/>
    <w:basedOn w:val="1"/>
    <w:link w:val="36"/>
    <w:unhideWhenUsed/>
    <w:qFormat/>
    <w:uiPriority w:val="0"/>
    <w:rPr>
      <w:rFonts w:ascii="等线" w:hAnsi="等线" w:eastAsia="等线" w:cs="黑体"/>
      <w:sz w:val="18"/>
      <w:szCs w:val="18"/>
    </w:rPr>
  </w:style>
  <w:style w:type="paragraph" w:styleId="9">
    <w:name w:val="footer"/>
    <w:basedOn w:val="1"/>
    <w:link w:val="30"/>
    <w:unhideWhenUsed/>
    <w:qFormat/>
    <w:uiPriority w:val="99"/>
    <w:pPr>
      <w:tabs>
        <w:tab w:val="center" w:pos="4153"/>
        <w:tab w:val="right" w:pos="8306"/>
      </w:tabs>
      <w:snapToGrid w:val="0"/>
      <w:jc w:val="left"/>
    </w:pPr>
    <w:rPr>
      <w:rFonts w:ascii="等线" w:hAnsi="等线" w:eastAsia="等线" w:cs="黑体"/>
      <w:sz w:val="18"/>
      <w:szCs w:val="18"/>
    </w:rPr>
  </w:style>
  <w:style w:type="paragraph" w:styleId="10">
    <w:name w:val="header"/>
    <w:basedOn w:val="1"/>
    <w:link w:val="29"/>
    <w:unhideWhenUsed/>
    <w:qFormat/>
    <w:uiPriority w:val="99"/>
    <w:pPr>
      <w:pBdr>
        <w:bottom w:val="single" w:color="auto" w:sz="6" w:space="1"/>
      </w:pBdr>
      <w:tabs>
        <w:tab w:val="center" w:pos="4153"/>
        <w:tab w:val="right" w:pos="8306"/>
      </w:tabs>
      <w:snapToGrid w:val="0"/>
      <w:jc w:val="center"/>
    </w:pPr>
    <w:rPr>
      <w:rFonts w:ascii="等线" w:hAnsi="等线" w:eastAsia="等线" w:cs="黑体"/>
      <w:sz w:val="18"/>
      <w:szCs w:val="18"/>
    </w:rPr>
  </w:style>
  <w:style w:type="paragraph" w:styleId="11">
    <w:name w:val="toc 1"/>
    <w:basedOn w:val="1"/>
    <w:next w:val="1"/>
    <w:unhideWhenUsed/>
    <w:qFormat/>
    <w:uiPriority w:val="39"/>
    <w:rPr>
      <w:rFonts w:ascii="等线" w:hAnsi="等线" w:eastAsia="等线" w:cs="黑体"/>
      <w:szCs w:val="22"/>
    </w:rPr>
  </w:style>
  <w:style w:type="paragraph" w:styleId="12">
    <w:name w:val="footnote text"/>
    <w:basedOn w:val="1"/>
    <w:link w:val="32"/>
    <w:unhideWhenUsed/>
    <w:qFormat/>
    <w:uiPriority w:val="99"/>
    <w:pPr>
      <w:snapToGrid w:val="0"/>
      <w:jc w:val="left"/>
    </w:pPr>
    <w:rPr>
      <w:rFonts w:ascii="等线" w:hAnsi="等线" w:eastAsia="等线" w:cs="黑体"/>
      <w:sz w:val="18"/>
      <w:szCs w:val="18"/>
    </w:rPr>
  </w:style>
  <w:style w:type="paragraph" w:styleId="13">
    <w:name w:val="toc 2"/>
    <w:basedOn w:val="1"/>
    <w:next w:val="1"/>
    <w:unhideWhenUsed/>
    <w:qFormat/>
    <w:uiPriority w:val="39"/>
    <w:pPr>
      <w:ind w:left="420" w:leftChars="200"/>
    </w:pPr>
    <w:rPr>
      <w:rFonts w:ascii="等线" w:hAnsi="等线" w:eastAsia="等线" w:cs="黑体"/>
      <w:szCs w:val="22"/>
    </w:rPr>
  </w:style>
  <w:style w:type="paragraph" w:styleId="14">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15">
    <w:name w:val="annotation subject"/>
    <w:basedOn w:val="5"/>
    <w:next w:val="5"/>
    <w:link w:val="35"/>
    <w:unhideWhenUsed/>
    <w:qFormat/>
    <w:uiPriority w:val="0"/>
    <w:rPr>
      <w:b/>
      <w:bCs/>
    </w:rPr>
  </w:style>
  <w:style w:type="paragraph" w:styleId="16">
    <w:name w:val="Body Text First Indent 2"/>
    <w:basedOn w:val="4"/>
    <w:next w:val="1"/>
    <w:qFormat/>
    <w:uiPriority w:val="99"/>
    <w:pPr>
      <w:ind w:firstLine="420" w:firstLineChars="200"/>
    </w:pPr>
    <w:rPr>
      <w:szCs w:val="22"/>
    </w:rPr>
  </w:style>
  <w:style w:type="table" w:styleId="18">
    <w:name w:val="Table Grid"/>
    <w:basedOn w:val="1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endnote reference"/>
    <w:unhideWhenUsed/>
    <w:qFormat/>
    <w:uiPriority w:val="99"/>
    <w:rPr>
      <w:vertAlign w:val="superscript"/>
    </w:rPr>
  </w:style>
  <w:style w:type="character" w:styleId="21">
    <w:name w:val="Hyperlink"/>
    <w:unhideWhenUsed/>
    <w:qFormat/>
    <w:uiPriority w:val="99"/>
    <w:rPr>
      <w:color w:val="0563C1"/>
      <w:u w:val="single"/>
    </w:rPr>
  </w:style>
  <w:style w:type="character" w:styleId="22">
    <w:name w:val="annotation reference"/>
    <w:unhideWhenUsed/>
    <w:qFormat/>
    <w:uiPriority w:val="0"/>
    <w:rPr>
      <w:sz w:val="21"/>
      <w:szCs w:val="21"/>
    </w:rPr>
  </w:style>
  <w:style w:type="character" w:styleId="23">
    <w:name w:val="footnote reference"/>
    <w:unhideWhenUsed/>
    <w:qFormat/>
    <w:uiPriority w:val="99"/>
    <w:rPr>
      <w:vertAlign w:val="superscript"/>
    </w:rPr>
  </w:style>
  <w:style w:type="paragraph" w:customStyle="1" w:styleId="24">
    <w:name w:val="Char Char Char Char Char Char"/>
    <w:basedOn w:val="1"/>
    <w:qFormat/>
    <w:uiPriority w:val="0"/>
    <w:rPr>
      <w:rFonts w:ascii="宋体" w:hAnsi="宋体" w:eastAsia="楷体_GB2312" w:cs="Courier New"/>
      <w:sz w:val="32"/>
      <w:szCs w:val="32"/>
    </w:rPr>
  </w:style>
  <w:style w:type="paragraph" w:customStyle="1" w:styleId="25">
    <w:name w:val="Char Char2"/>
    <w:basedOn w:val="1"/>
    <w:qFormat/>
    <w:uiPriority w:val="0"/>
    <w:pPr>
      <w:adjustRightInd w:val="0"/>
      <w:spacing w:line="360" w:lineRule="auto"/>
    </w:pPr>
    <w:rPr>
      <w:kern w:val="0"/>
      <w:szCs w:val="20"/>
    </w:rPr>
  </w:style>
  <w:style w:type="paragraph" w:customStyle="1" w:styleId="26">
    <w:name w:val="Char Char21"/>
    <w:basedOn w:val="1"/>
    <w:qFormat/>
    <w:uiPriority w:val="0"/>
    <w:pPr>
      <w:adjustRightInd w:val="0"/>
      <w:spacing w:line="360" w:lineRule="auto"/>
    </w:pPr>
    <w:rPr>
      <w:kern w:val="0"/>
      <w:szCs w:val="20"/>
    </w:rPr>
  </w:style>
  <w:style w:type="paragraph" w:customStyle="1" w:styleId="27">
    <w:name w:val="TOC 标题1"/>
    <w:basedOn w:val="2"/>
    <w:next w:val="1"/>
    <w:unhideWhenUsed/>
    <w:qFormat/>
    <w:uiPriority w:val="39"/>
    <w:pPr>
      <w:widowControl/>
      <w:spacing w:before="240" w:after="0" w:line="259" w:lineRule="auto"/>
      <w:jc w:val="left"/>
      <w:outlineLvl w:val="9"/>
    </w:pPr>
    <w:rPr>
      <w:rFonts w:ascii="等线 Light" w:hAnsi="等线 Light" w:eastAsia="等线 Light"/>
      <w:b w:val="0"/>
      <w:bCs w:val="0"/>
      <w:color w:val="2E5394"/>
      <w:kern w:val="0"/>
      <w:sz w:val="32"/>
      <w:szCs w:val="32"/>
    </w:rPr>
  </w:style>
  <w:style w:type="paragraph" w:customStyle="1" w:styleId="28">
    <w:name w:val="Char Char22"/>
    <w:basedOn w:val="1"/>
    <w:qFormat/>
    <w:uiPriority w:val="0"/>
    <w:pPr>
      <w:adjustRightInd w:val="0"/>
      <w:spacing w:line="360" w:lineRule="auto"/>
    </w:pPr>
    <w:rPr>
      <w:kern w:val="0"/>
      <w:szCs w:val="20"/>
    </w:rPr>
  </w:style>
  <w:style w:type="character" w:customStyle="1" w:styleId="29">
    <w:name w:val="页眉 字符"/>
    <w:link w:val="10"/>
    <w:qFormat/>
    <w:uiPriority w:val="99"/>
    <w:rPr>
      <w:sz w:val="18"/>
      <w:szCs w:val="18"/>
    </w:rPr>
  </w:style>
  <w:style w:type="character" w:customStyle="1" w:styleId="30">
    <w:name w:val="页脚 字符"/>
    <w:link w:val="9"/>
    <w:qFormat/>
    <w:uiPriority w:val="99"/>
    <w:rPr>
      <w:sz w:val="18"/>
      <w:szCs w:val="18"/>
    </w:rPr>
  </w:style>
  <w:style w:type="character" w:customStyle="1" w:styleId="31">
    <w:name w:val="标题 1 字符"/>
    <w:link w:val="2"/>
    <w:qFormat/>
    <w:uiPriority w:val="9"/>
    <w:rPr>
      <w:b/>
      <w:bCs/>
      <w:kern w:val="44"/>
      <w:sz w:val="44"/>
      <w:szCs w:val="44"/>
    </w:rPr>
  </w:style>
  <w:style w:type="character" w:customStyle="1" w:styleId="32">
    <w:name w:val="脚注文本 字符"/>
    <w:link w:val="12"/>
    <w:semiHidden/>
    <w:qFormat/>
    <w:uiPriority w:val="99"/>
    <w:rPr>
      <w:rFonts w:ascii="等线" w:hAnsi="等线" w:eastAsia="等线" w:cs="黑体"/>
      <w:kern w:val="2"/>
      <w:sz w:val="18"/>
      <w:szCs w:val="18"/>
    </w:rPr>
  </w:style>
  <w:style w:type="character" w:customStyle="1" w:styleId="33">
    <w:name w:val="尾注文本 字符"/>
    <w:link w:val="7"/>
    <w:semiHidden/>
    <w:qFormat/>
    <w:uiPriority w:val="99"/>
    <w:rPr>
      <w:rFonts w:ascii="等线" w:hAnsi="等线" w:eastAsia="等线" w:cs="黑体"/>
      <w:kern w:val="2"/>
      <w:sz w:val="21"/>
      <w:szCs w:val="22"/>
    </w:rPr>
  </w:style>
  <w:style w:type="character" w:customStyle="1" w:styleId="34">
    <w:name w:val="批注文字 字符"/>
    <w:link w:val="5"/>
    <w:semiHidden/>
    <w:qFormat/>
    <w:uiPriority w:val="0"/>
    <w:rPr>
      <w:rFonts w:ascii="等线" w:hAnsi="等线" w:eastAsia="等线" w:cs="黑体"/>
      <w:kern w:val="2"/>
      <w:sz w:val="21"/>
      <w:szCs w:val="22"/>
    </w:rPr>
  </w:style>
  <w:style w:type="character" w:customStyle="1" w:styleId="35">
    <w:name w:val="批注主题 字符"/>
    <w:link w:val="15"/>
    <w:semiHidden/>
    <w:qFormat/>
    <w:uiPriority w:val="0"/>
    <w:rPr>
      <w:rFonts w:ascii="等线" w:hAnsi="等线" w:eastAsia="等线" w:cs="黑体"/>
      <w:b/>
      <w:bCs/>
      <w:kern w:val="2"/>
      <w:sz w:val="21"/>
      <w:szCs w:val="22"/>
    </w:rPr>
  </w:style>
  <w:style w:type="character" w:customStyle="1" w:styleId="36">
    <w:name w:val="批注框文本 字符"/>
    <w:link w:val="8"/>
    <w:semiHidden/>
    <w:qFormat/>
    <w:uiPriority w:val="0"/>
    <w:rPr>
      <w:rFonts w:ascii="等线" w:hAnsi="等线" w:eastAsia="等线" w:cs="黑体"/>
      <w:kern w:val="2"/>
      <w:sz w:val="18"/>
      <w:szCs w:val="18"/>
    </w:rPr>
  </w:style>
  <w:style w:type="paragraph" w:customStyle="1" w:styleId="37">
    <w:name w:val="修订1"/>
    <w:hidden/>
    <w:semiHidden/>
    <w:qFormat/>
    <w:uiPriority w:val="99"/>
    <w:rPr>
      <w:rFonts w:ascii="等线" w:hAnsi="等线" w:eastAsia="等线" w:cs="黑体"/>
      <w:kern w:val="2"/>
      <w:sz w:val="21"/>
      <w:szCs w:val="22"/>
      <w:lang w:val="en-US" w:eastAsia="zh-CN" w:bidi="ar-SA"/>
    </w:rPr>
  </w:style>
  <w:style w:type="paragraph" w:customStyle="1" w:styleId="38">
    <w:name w:val="Revision"/>
    <w:hidden/>
    <w:semiHidden/>
    <w:qFormat/>
    <w:uiPriority w:val="99"/>
    <w:rPr>
      <w:rFonts w:ascii="Times New Roman" w:hAnsi="Times New Roman" w:eastAsia="宋体" w:cs="Times New Roman"/>
      <w:kern w:val="2"/>
      <w:sz w:val="21"/>
      <w:szCs w:val="21"/>
      <w:lang w:val="en-US" w:eastAsia="zh-CN" w:bidi="ar-SA"/>
    </w:rPr>
  </w:style>
  <w:style w:type="character" w:customStyle="1" w:styleId="39">
    <w:name w:val="15"/>
    <w:basedOn w:val="19"/>
    <w:qFormat/>
    <w:uiPriority w:val="0"/>
    <w:rPr>
      <w:rFonts w:hint="default" w:ascii="Times New Roman" w:hAnsi="Times New Roman" w:cs="Times New Roman"/>
      <w:vertAlign w:val="superscript"/>
    </w:rPr>
  </w:style>
  <w:style w:type="character" w:customStyle="1" w:styleId="40">
    <w:name w:val="font21"/>
    <w:basedOn w:val="19"/>
    <w:qFormat/>
    <w:uiPriority w:val="0"/>
    <w:rPr>
      <w:rFonts w:hint="eastAsia" w:ascii="宋体" w:hAnsi="宋体" w:eastAsia="宋体" w:cs="宋体"/>
      <w:color w:val="000000"/>
      <w:sz w:val="18"/>
      <w:szCs w:val="18"/>
      <w:u w:val="none"/>
    </w:rPr>
  </w:style>
  <w:style w:type="character" w:customStyle="1" w:styleId="41">
    <w:name w:val="10"/>
    <w:basedOn w:val="19"/>
    <w:qFormat/>
    <w:uiPriority w:val="0"/>
    <w:rPr>
      <w:rFonts w:hint="default" w:ascii="Times New Roman" w:hAnsi="Times New Roman" w:cs="Times New Roman"/>
    </w:rPr>
  </w:style>
  <w:style w:type="character" w:customStyle="1" w:styleId="42">
    <w:name w:val="font11"/>
    <w:basedOn w:val="19"/>
    <w:qFormat/>
    <w:uiPriority w:val="0"/>
    <w:rPr>
      <w:rFonts w:hint="eastAsia" w:ascii="宋体" w:hAnsi="宋体" w:eastAsia="宋体" w:cs="宋体"/>
      <w:color w:val="000000"/>
      <w:sz w:val="24"/>
      <w:szCs w:val="24"/>
      <w:u w:val="none"/>
    </w:rPr>
  </w:style>
  <w:style w:type="character" w:customStyle="1" w:styleId="43">
    <w:name w:val="font41"/>
    <w:basedOn w:val="19"/>
    <w:uiPriority w:val="0"/>
    <w:rPr>
      <w:rFonts w:hint="eastAsia" w:ascii="宋体" w:hAnsi="宋体" w:eastAsia="宋体" w:cs="宋体"/>
      <w:b/>
      <w:bCs/>
      <w:color w:val="000000"/>
      <w:sz w:val="18"/>
      <w:szCs w:val="18"/>
      <w:u w:val="none"/>
    </w:rPr>
  </w:style>
  <w:style w:type="character" w:customStyle="1" w:styleId="44">
    <w:name w:val="font51"/>
    <w:basedOn w:val="19"/>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24037;&#20316;&#31807;2"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[工作簿2]Sheet1!$F$2</c:f>
              <c:strCache>
                <c:ptCount val="1"/>
                <c:pt idx="0">
                  <c:v>占比</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Lbls>
            <c:dLbl>
              <c:idx val="3"/>
              <c:layout>
                <c:manualLayout>
                  <c:x val="0.0115830115830116"/>
                  <c:y val="-0.0117896722471115"/>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0.078323221180364"/>
                  <c:y val="0.0157981608111295"/>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宋体" panose="02010600030101010101" charset="-122"/>
                    <a:ea typeface="宋体" panose="02010600030101010101" charset="-122"/>
                    <a:cs typeface="宋体" panose="02010600030101010101" charset="-122"/>
                    <a:sym typeface="宋体" panose="02010600030101010101" charset="-122"/>
                  </a:defRPr>
                </a:pPr>
              </a:p>
            </c:txPr>
            <c:dLblPos val="outEnd"/>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[工作簿2]Sheet1!$B$3:$B$7</c:f>
              <c:strCache>
                <c:ptCount val="5"/>
                <c:pt idx="0">
                  <c:v>货币资金</c:v>
                </c:pt>
                <c:pt idx="1">
                  <c:v>固定资产净值</c:v>
                </c:pt>
                <c:pt idx="2">
                  <c:v>无形资产净值</c:v>
                </c:pt>
                <c:pt idx="3">
                  <c:v>财政应返还额度</c:v>
                </c:pt>
                <c:pt idx="4">
                  <c:v>其他应收款净额</c:v>
                </c:pt>
              </c:strCache>
            </c:strRef>
          </c:cat>
          <c:val>
            <c:numRef>
              <c:f>[工作簿2]Sheet1!$F$3:$F$7</c:f>
              <c:numCache>
                <c:formatCode>0.00%</c:formatCode>
                <c:ptCount val="5"/>
                <c:pt idx="0">
                  <c:v>0.841100898129153</c:v>
                </c:pt>
                <c:pt idx="1">
                  <c:v>0.0553588586120085</c:v>
                </c:pt>
                <c:pt idx="2">
                  <c:v>0.0693703001860776</c:v>
                </c:pt>
                <c:pt idx="3">
                  <c:v>0.0171262209022472</c:v>
                </c:pt>
                <c:pt idx="4">
                  <c:v>0.0170437221705133</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1000" b="0" i="0" u="none" strike="noStrike" kern="1200" baseline="0">
                <a:solidFill>
                  <a:schemeClr val="tx1">
                    <a:lumMod val="65000"/>
                    <a:lumOff val="35000"/>
                  </a:schemeClr>
                </a:solidFill>
                <a:latin typeface="宋体" panose="02010600030101010101" charset="-122"/>
                <a:ea typeface="宋体" panose="02010600030101010101" charset="-122"/>
                <a:cs typeface="宋体" panose="02010600030101010101" charset="-122"/>
                <a:sym typeface="宋体" panose="02010600030101010101" charset="-122"/>
              </a:defRPr>
            </a:pPr>
          </a:p>
        </c:txPr>
      </c:legendEntry>
      <c:legendEntry>
        <c:idx val="1"/>
        <c:txPr>
          <a:bodyPr rot="0" spcFirstLastPara="0" vertOverflow="ellipsis" vert="horz" wrap="square" anchor="ctr" anchorCtr="1"/>
          <a:lstStyle/>
          <a:p>
            <a:pPr>
              <a:defRPr lang="zh-CN" sz="1000" b="0" i="0" u="none" strike="noStrike" kern="1200" baseline="0">
                <a:solidFill>
                  <a:schemeClr val="tx1">
                    <a:lumMod val="65000"/>
                    <a:lumOff val="35000"/>
                  </a:schemeClr>
                </a:solidFill>
                <a:latin typeface="宋体" panose="02010600030101010101" charset="-122"/>
                <a:ea typeface="宋体" panose="02010600030101010101" charset="-122"/>
                <a:cs typeface="宋体" panose="02010600030101010101" charset="-122"/>
                <a:sym typeface="宋体" panose="02010600030101010101" charset="-122"/>
              </a:defRPr>
            </a:pPr>
          </a:p>
        </c:txPr>
      </c:legendEntry>
      <c:legendEntry>
        <c:idx val="2"/>
        <c:txPr>
          <a:bodyPr rot="0" spcFirstLastPara="0" vertOverflow="ellipsis" vert="horz" wrap="square" anchor="ctr" anchorCtr="1"/>
          <a:lstStyle/>
          <a:p>
            <a:pPr>
              <a:defRPr lang="zh-CN" sz="1000" b="0" i="0" u="none" strike="noStrike" kern="1200" baseline="0">
                <a:solidFill>
                  <a:schemeClr val="tx1">
                    <a:lumMod val="65000"/>
                    <a:lumOff val="35000"/>
                  </a:schemeClr>
                </a:solidFill>
                <a:latin typeface="宋体" panose="02010600030101010101" charset="-122"/>
                <a:ea typeface="宋体" panose="02010600030101010101" charset="-122"/>
                <a:cs typeface="宋体" panose="02010600030101010101" charset="-122"/>
                <a:sym typeface="宋体" panose="02010600030101010101" charset="-122"/>
              </a:defRPr>
            </a:pPr>
          </a:p>
        </c:txPr>
      </c:legendEntry>
      <c:legendEntry>
        <c:idx val="3"/>
        <c:txPr>
          <a:bodyPr rot="0" spcFirstLastPara="0" vertOverflow="ellipsis" vert="horz" wrap="square" anchor="ctr" anchorCtr="1"/>
          <a:lstStyle/>
          <a:p>
            <a:pPr>
              <a:defRPr lang="zh-CN" sz="1000" b="0" i="0" u="none" strike="noStrike" kern="1200" baseline="0">
                <a:solidFill>
                  <a:schemeClr val="tx1">
                    <a:lumMod val="65000"/>
                    <a:lumOff val="35000"/>
                  </a:schemeClr>
                </a:solidFill>
                <a:latin typeface="宋体" panose="02010600030101010101" charset="-122"/>
                <a:ea typeface="宋体" panose="02010600030101010101" charset="-122"/>
                <a:cs typeface="宋体" panose="02010600030101010101" charset="-122"/>
                <a:sym typeface="宋体" panose="02010600030101010101" charset="-122"/>
              </a:defRPr>
            </a:pPr>
          </a:p>
        </c:txPr>
      </c:legendEntry>
      <c:legendEntry>
        <c:idx val="4"/>
        <c:txPr>
          <a:bodyPr rot="0" spcFirstLastPara="0" vertOverflow="ellipsis" vert="horz" wrap="square" anchor="ctr" anchorCtr="1"/>
          <a:lstStyle/>
          <a:p>
            <a:pPr>
              <a:defRPr lang="zh-CN" sz="1000" b="0" i="0" u="none" strike="noStrike" kern="1200" baseline="0">
                <a:solidFill>
                  <a:schemeClr val="tx1">
                    <a:lumMod val="65000"/>
                    <a:lumOff val="35000"/>
                  </a:schemeClr>
                </a:solidFill>
                <a:latin typeface="宋体" panose="02010600030101010101" charset="-122"/>
                <a:ea typeface="宋体" panose="02010600030101010101" charset="-122"/>
                <a:cs typeface="宋体" panose="02010600030101010101" charset="-122"/>
                <a:sym typeface="宋体" panose="02010600030101010101" charset="-122"/>
              </a:defRPr>
            </a:pPr>
          </a:p>
        </c:txPr>
      </c:legendEntry>
      <c:layout/>
      <c:overlay val="0"/>
      <c:spPr>
        <a:noFill/>
        <a:ln>
          <a:noFill/>
        </a:ln>
        <a:effectLst/>
      </c:spPr>
      <c:txPr>
        <a:bodyPr rot="0" spcFirstLastPara="0" vertOverflow="ellipsis" vert="horz" wrap="square" anchor="ctr" anchorCtr="1"/>
        <a:lstStyle/>
        <a:p>
          <a:pPr>
            <a:defRPr lang="zh-CN" sz="1000" b="0" i="0" u="none" strike="noStrike" kern="1200" baseline="0">
              <a:solidFill>
                <a:schemeClr val="tx1">
                  <a:lumMod val="65000"/>
                  <a:lumOff val="35000"/>
                </a:schemeClr>
              </a:solidFill>
              <a:latin typeface="宋体" panose="02010600030101010101" charset="-122"/>
              <a:ea typeface="宋体" panose="02010600030101010101" charset="-122"/>
              <a:cs typeface="宋体" panose="02010600030101010101" charset="-122"/>
              <a:sym typeface="宋体" panose="02010600030101010101" charset="-122"/>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sz="1000">
          <a:latin typeface="宋体" panose="02010600030101010101" charset="-122"/>
          <a:ea typeface="宋体" panose="02010600030101010101" charset="-122"/>
          <a:cs typeface="宋体" panose="02010600030101010101" charset="-122"/>
          <a:sym typeface="宋体" panose="02010600030101010101" charset="-122"/>
        </a:defRPr>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705</Words>
  <Characters>4024</Characters>
  <Lines>1</Lines>
  <Paragraphs>1</Paragraphs>
  <TotalTime>30</TotalTime>
  <ScaleCrop>false</ScaleCrop>
  <LinksUpToDate>false</LinksUpToDate>
  <CharactersWithSpaces>4720</CharactersWithSpaces>
  <Application>WPS Office_11.8.2.12055_F1E327BC-269C-435d-A152-05C5408002CA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2023-05-22T18:25:00Z</dcterms:created>
  <dc:creator>zheng jia</dc:creator>
  <cp:lastModifiedBy>admin</cp:lastModifiedBy>
  <cp:lastPrinted>2021-05-31T09:24:00Z</cp:lastPrinted>
  <dcterms:modified xsi:type="dcterms:W3CDTF">2024-08-15T02:14:54Z</dcterms:modified>
  <dc:title>北京市民政局</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2052-11.8.2.12055</vt:lpwstr>
  </property>
  <property fmtid="{D5CDD505-2E9C-101B-9397-08002B2CF9AE}" pid="3" name="commondata">
    <vt:lpwstr>eyJoZGlkIjoiNjhmMWU3ZDQ1ZWExODhmYTJiOWJmMTVkMDM2NTQzMjMifQ==</vt:lpwstr>
  </property>
  <property fmtid="{D5CDD505-2E9C-101B-9397-08002B2CF9AE}" pid="4" name="ICV">
    <vt:lpwstr>D0E3A01EFDD0F3F4661A4466622CFF90_43</vt:lpwstr>
  </property>
</Properties>
</file>