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1044"/>
        <w:jc w:val="center"/>
        <w:rPr>
          <w:rFonts w:ascii="Times New Roman" w:hAnsi="Times New Roman" w:eastAsia="仿宋_GB2312" w:cs="Times New Roman"/>
          <w:b/>
          <w:bCs/>
          <w:kern w:val="0"/>
          <w:sz w:val="52"/>
          <w:szCs w:val="52"/>
        </w:rPr>
      </w:pPr>
      <w:bookmarkStart w:id="0" w:name="_Toc410210433"/>
    </w:p>
    <w:p>
      <w:pPr>
        <w:widowControl/>
        <w:ind w:firstLine="1044"/>
        <w:jc w:val="center"/>
        <w:rPr>
          <w:rFonts w:ascii="Times New Roman" w:hAnsi="Times New Roman" w:eastAsia="仿宋_GB2312" w:cs="Times New Roman"/>
          <w:b/>
          <w:bCs/>
          <w:kern w:val="0"/>
          <w:sz w:val="52"/>
          <w:szCs w:val="52"/>
        </w:rPr>
      </w:pPr>
    </w:p>
    <w:bookmarkEnd w:id="0"/>
    <w:p>
      <w:pPr>
        <w:jc w:val="center"/>
        <w:outlineLvl w:val="0"/>
        <w:rPr>
          <w:b/>
          <w:bCs/>
          <w:sz w:val="52"/>
          <w:szCs w:val="52"/>
          <w:u w:val="single"/>
        </w:rPr>
      </w:pPr>
      <w:bookmarkStart w:id="1" w:name="_Toc24379"/>
      <w:bookmarkStart w:id="2" w:name="_Toc30874"/>
      <w:bookmarkStart w:id="3" w:name="_Toc410210434"/>
      <w:r>
        <w:rPr>
          <w:rFonts w:hint="eastAsia"/>
          <w:b/>
          <w:bCs/>
          <w:sz w:val="52"/>
          <w:szCs w:val="52"/>
        </w:rPr>
        <w:t>北京市市级</w:t>
      </w:r>
      <w:bookmarkEnd w:id="1"/>
      <w:r>
        <w:rPr>
          <w:rFonts w:hint="eastAsia"/>
          <w:b/>
          <w:bCs/>
          <w:sz w:val="52"/>
          <w:szCs w:val="52"/>
        </w:rPr>
        <w:t>项目支出</w:t>
      </w:r>
      <w:bookmarkEnd w:id="2"/>
    </w:p>
    <w:p>
      <w:pPr>
        <w:jc w:val="center"/>
        <w:rPr>
          <w:b/>
          <w:bCs/>
          <w:sz w:val="52"/>
          <w:szCs w:val="52"/>
        </w:rPr>
      </w:pPr>
      <w:r>
        <w:rPr>
          <w:rFonts w:hint="eastAsia"/>
          <w:b/>
          <w:bCs/>
          <w:sz w:val="52"/>
          <w:szCs w:val="52"/>
        </w:rPr>
        <w:t>绩效评价报告</w:t>
      </w:r>
      <w:bookmarkEnd w:id="3"/>
    </w:p>
    <w:p>
      <w:pPr>
        <w:widowControl/>
        <w:jc w:val="center"/>
        <w:rPr>
          <w:rFonts w:ascii="Times New Roman" w:hAnsi="Times New Roman" w:eastAsia="仿宋_GB2312" w:cs="Times New Roman"/>
          <w:b/>
          <w:bCs/>
          <w:kern w:val="0"/>
          <w:sz w:val="52"/>
          <w:szCs w:val="52"/>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napToGrid w:val="0"/>
        <w:spacing w:line="360" w:lineRule="auto"/>
        <w:ind w:right="-56" w:rightChars="-27" w:firstLine="1600" w:firstLineChars="500"/>
        <w:jc w:val="both"/>
        <w:rPr>
          <w:rFonts w:hint="eastAsia" w:asciiTheme="minorEastAsia" w:hAnsiTheme="minorEastAsia" w:eastAsiaTheme="minorEastAsia" w:cstheme="minorEastAsia"/>
          <w:color w:val="000000"/>
          <w:kern w:val="0"/>
          <w:sz w:val="32"/>
          <w:szCs w:val="32"/>
          <w:lang w:val="en-US"/>
        </w:rPr>
      </w:pPr>
      <w:r>
        <w:rPr>
          <w:rFonts w:hint="eastAsia" w:asciiTheme="minorEastAsia" w:hAnsiTheme="minorEastAsia" w:eastAsiaTheme="minorEastAsia" w:cstheme="minorEastAsia"/>
          <w:color w:val="000000"/>
          <w:kern w:val="0"/>
          <w:sz w:val="32"/>
          <w:szCs w:val="32"/>
        </w:rPr>
        <w:t xml:space="preserve">主管部门   </w:t>
      </w:r>
      <w:r>
        <w:rPr>
          <w:rFonts w:hint="eastAsia" w:asciiTheme="minorEastAsia" w:hAnsiTheme="minorEastAsia" w:eastAsiaTheme="minorEastAsia" w:cstheme="minorEastAsia"/>
          <w:color w:val="000000"/>
          <w:kern w:val="0"/>
          <w:sz w:val="32"/>
          <w:szCs w:val="32"/>
          <w:u w:val="single"/>
        </w:rPr>
        <w:t xml:space="preserve">  </w:t>
      </w:r>
      <w:r>
        <w:rPr>
          <w:rFonts w:hint="eastAsia" w:asciiTheme="minorEastAsia" w:hAnsiTheme="minorEastAsia" w:eastAsiaTheme="minorEastAsia" w:cstheme="minorEastAsia"/>
          <w:color w:val="000000"/>
          <w:kern w:val="0"/>
          <w:sz w:val="32"/>
          <w:szCs w:val="32"/>
          <w:u w:val="single"/>
          <w:lang w:val="en-US" w:eastAsia="zh-CN"/>
        </w:rPr>
        <w:t xml:space="preserve"> </w:t>
      </w:r>
      <w:r>
        <w:rPr>
          <w:rFonts w:hint="eastAsia" w:asciiTheme="minorEastAsia" w:hAnsiTheme="minorEastAsia" w:eastAsiaTheme="minorEastAsia" w:cstheme="minorEastAsia"/>
          <w:color w:val="000000"/>
          <w:kern w:val="0"/>
          <w:sz w:val="32"/>
          <w:szCs w:val="32"/>
          <w:u w:val="single"/>
        </w:rPr>
        <w:t xml:space="preserve"> </w:t>
      </w:r>
      <w:r>
        <w:rPr>
          <w:rFonts w:hint="eastAsia" w:asciiTheme="minorEastAsia" w:hAnsiTheme="minorEastAsia" w:eastAsiaTheme="minorEastAsia" w:cstheme="minorEastAsia"/>
          <w:color w:val="000000"/>
          <w:kern w:val="0"/>
          <w:sz w:val="32"/>
          <w:szCs w:val="32"/>
          <w:u w:val="single"/>
          <w:lang w:val="en-US" w:eastAsia="zh-CN"/>
        </w:rPr>
        <w:t xml:space="preserve">北京广播电视台       </w:t>
      </w:r>
    </w:p>
    <w:p>
      <w:pPr>
        <w:widowControl/>
        <w:snapToGrid w:val="0"/>
        <w:spacing w:line="360" w:lineRule="auto"/>
        <w:ind w:right="-56" w:rightChars="-27" w:firstLine="1600" w:firstLineChars="500"/>
        <w:jc w:val="both"/>
        <w:rPr>
          <w:rFonts w:hint="eastAsia" w:asciiTheme="minorEastAsia" w:hAnsiTheme="minorEastAsia" w:eastAsiaTheme="minorEastAsia" w:cstheme="minorEastAsia"/>
          <w:color w:val="000000"/>
          <w:kern w:val="0"/>
          <w:sz w:val="32"/>
          <w:szCs w:val="32"/>
          <w:u w:val="single"/>
          <w:lang w:val="en-US"/>
        </w:rPr>
      </w:pPr>
      <w:r>
        <w:rPr>
          <w:rFonts w:hint="eastAsia" w:asciiTheme="minorEastAsia" w:hAnsiTheme="minorEastAsia" w:eastAsiaTheme="minorEastAsia" w:cstheme="minorEastAsia"/>
          <w:color w:val="000000"/>
          <w:kern w:val="0"/>
          <w:sz w:val="32"/>
          <w:szCs w:val="32"/>
        </w:rPr>
        <w:t xml:space="preserve">项目单位   </w:t>
      </w:r>
      <w:r>
        <w:rPr>
          <w:rFonts w:hint="eastAsia" w:asciiTheme="minorEastAsia" w:hAnsiTheme="minorEastAsia" w:eastAsiaTheme="minorEastAsia" w:cstheme="minorEastAsia"/>
          <w:color w:val="000000"/>
          <w:kern w:val="0"/>
          <w:sz w:val="32"/>
          <w:szCs w:val="32"/>
          <w:u w:val="single"/>
        </w:rPr>
        <w:t xml:space="preserve">   </w:t>
      </w:r>
      <w:r>
        <w:rPr>
          <w:rFonts w:hint="eastAsia" w:asciiTheme="minorEastAsia" w:hAnsiTheme="minorEastAsia" w:eastAsiaTheme="minorEastAsia" w:cstheme="minorEastAsia"/>
          <w:color w:val="000000"/>
          <w:kern w:val="0"/>
          <w:sz w:val="32"/>
          <w:szCs w:val="32"/>
          <w:u w:val="single"/>
          <w:lang w:val="en-US" w:eastAsia="zh-CN"/>
        </w:rPr>
        <w:t xml:space="preserve"> </w:t>
      </w:r>
      <w:r>
        <w:rPr>
          <w:rFonts w:hint="eastAsia" w:asciiTheme="minorEastAsia" w:hAnsiTheme="minorEastAsia" w:eastAsiaTheme="minorEastAsia" w:cstheme="minorEastAsia"/>
          <w:kern w:val="0"/>
          <w:sz w:val="32"/>
          <w:szCs w:val="32"/>
          <w:u w:val="single"/>
          <w:lang w:val="en-US" w:eastAsia="zh-CN"/>
        </w:rPr>
        <w:t xml:space="preserve">北京广播电视台        </w:t>
      </w:r>
    </w:p>
    <w:p>
      <w:pPr>
        <w:widowControl/>
        <w:snapToGrid w:val="0"/>
        <w:spacing w:line="360" w:lineRule="auto"/>
        <w:ind w:right="-56" w:rightChars="-27" w:firstLine="1600" w:firstLineChars="500"/>
        <w:jc w:val="both"/>
        <w:rPr>
          <w:rFonts w:hint="eastAsia" w:asciiTheme="minorEastAsia" w:hAnsiTheme="minorEastAsia" w:eastAsiaTheme="minorEastAsia" w:cstheme="minorEastAsia"/>
          <w:color w:val="000000"/>
          <w:kern w:val="0"/>
          <w:sz w:val="32"/>
          <w:szCs w:val="32"/>
          <w:lang w:val="en-US"/>
        </w:rPr>
      </w:pPr>
      <w:r>
        <w:rPr>
          <w:rFonts w:hint="eastAsia" w:asciiTheme="minorEastAsia" w:hAnsiTheme="minorEastAsia" w:eastAsiaTheme="minorEastAsia" w:cstheme="minorEastAsia"/>
          <w:color w:val="000000"/>
          <w:kern w:val="0"/>
          <w:sz w:val="32"/>
          <w:szCs w:val="32"/>
        </w:rPr>
        <w:t xml:space="preserve">项目名称   </w:t>
      </w:r>
      <w:r>
        <w:rPr>
          <w:rFonts w:hint="eastAsia" w:asciiTheme="minorEastAsia" w:hAnsiTheme="minorEastAsia" w:eastAsiaTheme="minorEastAsia" w:cstheme="minorEastAsia"/>
          <w:color w:val="000000"/>
          <w:kern w:val="0"/>
          <w:sz w:val="32"/>
          <w:szCs w:val="32"/>
          <w:u w:val="single"/>
        </w:rPr>
        <w:t xml:space="preserve">  </w:t>
      </w:r>
      <w:r>
        <w:rPr>
          <w:rFonts w:hint="eastAsia" w:asciiTheme="minorEastAsia" w:hAnsiTheme="minorEastAsia" w:eastAsiaTheme="minorEastAsia" w:cstheme="minorEastAsia"/>
          <w:color w:val="000000"/>
          <w:kern w:val="0"/>
          <w:sz w:val="32"/>
          <w:szCs w:val="32"/>
          <w:u w:val="single"/>
          <w:lang w:val="en-US" w:eastAsia="zh-CN"/>
        </w:rPr>
        <w:t xml:space="preserve">  </w:t>
      </w:r>
      <w:r>
        <w:rPr>
          <w:rFonts w:hint="eastAsia" w:asciiTheme="minorEastAsia" w:hAnsiTheme="minorEastAsia" w:eastAsiaTheme="minorEastAsia" w:cstheme="minorEastAsia"/>
          <w:color w:val="000000"/>
          <w:kern w:val="0"/>
          <w:sz w:val="32"/>
          <w:szCs w:val="32"/>
          <w:u w:val="single"/>
        </w:rPr>
        <w:t xml:space="preserve"> </w:t>
      </w:r>
      <w:r>
        <w:rPr>
          <w:rFonts w:hint="eastAsia" w:asciiTheme="minorEastAsia" w:hAnsiTheme="minorEastAsia" w:eastAsiaTheme="minorEastAsia" w:cstheme="minorEastAsia"/>
          <w:color w:val="000000"/>
          <w:kern w:val="0"/>
          <w:sz w:val="32"/>
          <w:szCs w:val="32"/>
          <w:u w:val="single"/>
          <w:lang w:val="en-US" w:eastAsia="zh-CN"/>
        </w:rPr>
        <w:t xml:space="preserve"> </w:t>
      </w:r>
      <w:r>
        <w:rPr>
          <w:rFonts w:hint="eastAsia" w:asciiTheme="minorEastAsia" w:hAnsiTheme="minorEastAsia" w:eastAsiaTheme="minorEastAsia" w:cstheme="minorEastAsia"/>
          <w:color w:val="000000"/>
          <w:kern w:val="0"/>
          <w:sz w:val="32"/>
          <w:szCs w:val="32"/>
          <w:u w:val="single"/>
        </w:rPr>
        <w:t xml:space="preserve"> </w:t>
      </w:r>
      <w:r>
        <w:rPr>
          <w:rFonts w:hint="eastAsia" w:asciiTheme="minorEastAsia" w:hAnsiTheme="minorEastAsia" w:eastAsiaTheme="minorEastAsia" w:cstheme="minorEastAsia"/>
          <w:color w:val="000000"/>
          <w:kern w:val="0"/>
          <w:sz w:val="32"/>
          <w:szCs w:val="32"/>
          <w:u w:val="single"/>
          <w:lang w:val="en-US" w:eastAsia="zh-CN"/>
        </w:rPr>
        <w:t xml:space="preserve">北京榜样           </w:t>
      </w:r>
    </w:p>
    <w:p>
      <w:pPr>
        <w:widowControl/>
        <w:snapToGrid w:val="0"/>
        <w:spacing w:line="360" w:lineRule="auto"/>
        <w:ind w:right="-56" w:rightChars="-27" w:firstLine="1600" w:firstLineChars="500"/>
        <w:jc w:val="both"/>
        <w:rPr>
          <w:rFonts w:hint="eastAsia" w:asciiTheme="minorEastAsia" w:hAnsiTheme="minorEastAsia" w:eastAsiaTheme="minorEastAsia" w:cstheme="minorEastAsia"/>
          <w:color w:val="000000"/>
          <w:kern w:val="0"/>
          <w:sz w:val="32"/>
          <w:szCs w:val="32"/>
          <w:lang w:val="en-US" w:eastAsia="zh-CN"/>
        </w:rPr>
      </w:pPr>
      <w:r>
        <w:rPr>
          <w:rFonts w:hint="eastAsia" w:asciiTheme="minorEastAsia" w:hAnsiTheme="minorEastAsia" w:eastAsiaTheme="minorEastAsia" w:cstheme="minorEastAsia"/>
          <w:color w:val="000000"/>
          <w:kern w:val="0"/>
          <w:sz w:val="32"/>
          <w:szCs w:val="32"/>
        </w:rPr>
        <w:t xml:space="preserve">中介机构 </w:t>
      </w:r>
      <w:r>
        <w:rPr>
          <w:rFonts w:hint="eastAsia" w:asciiTheme="minorEastAsia" w:hAnsiTheme="minorEastAsia" w:eastAsiaTheme="minorEastAsia" w:cstheme="minorEastAsia"/>
          <w:color w:val="000000"/>
          <w:kern w:val="0"/>
          <w:sz w:val="32"/>
          <w:szCs w:val="32"/>
          <w:lang w:val="en-US" w:eastAsia="zh-CN"/>
        </w:rPr>
        <w:t xml:space="preserve">  </w:t>
      </w:r>
      <w:r>
        <w:rPr>
          <w:rFonts w:hint="eastAsia" w:asciiTheme="minorEastAsia" w:hAnsiTheme="minorEastAsia" w:eastAsiaTheme="minorEastAsia" w:cstheme="minorEastAsia"/>
          <w:color w:val="000000"/>
          <w:kern w:val="0"/>
          <w:sz w:val="32"/>
          <w:szCs w:val="32"/>
          <w:u w:val="single"/>
        </w:rPr>
        <w:t xml:space="preserve"> 北京恒康智辉咨询有限公司</w:t>
      </w:r>
      <w:r>
        <w:rPr>
          <w:rFonts w:hint="eastAsia" w:asciiTheme="minorEastAsia" w:hAnsiTheme="minorEastAsia" w:eastAsiaTheme="minorEastAsia" w:cstheme="minorEastAsia"/>
          <w:color w:val="000000"/>
          <w:kern w:val="0"/>
          <w:sz w:val="32"/>
          <w:szCs w:val="32"/>
          <w:u w:val="single"/>
          <w:lang w:val="en-US" w:eastAsia="zh-CN"/>
        </w:rPr>
        <w:t xml:space="preserve"> </w:t>
      </w:r>
    </w:p>
    <w:p>
      <w:pPr>
        <w:spacing w:before="156" w:beforeLines="50" w:after="156" w:afterLines="50" w:line="360" w:lineRule="exact"/>
        <w:rPr>
          <w:rFonts w:hint="eastAsia" w:ascii="仿宋_GB2312" w:hAnsi="宋体" w:eastAsia="仿宋_GB2312"/>
          <w:sz w:val="32"/>
          <w:szCs w:val="32"/>
        </w:rPr>
      </w:pPr>
      <w:r>
        <w:rPr>
          <w:rFonts w:hint="eastAsia" w:ascii="仿宋_GB2312" w:hAnsi="宋体" w:eastAsia="仿宋_GB2312"/>
          <w:sz w:val="32"/>
          <w:szCs w:val="32"/>
        </w:rPr>
        <w:t xml:space="preserve"> </w:t>
      </w:r>
    </w:p>
    <w:p>
      <w:pPr>
        <w:pStyle w:val="9"/>
        <w:rPr>
          <w:rFonts w:hint="eastAsia" w:ascii="仿宋_GB2312" w:hAnsi="宋体" w:eastAsia="仿宋_GB2312"/>
          <w:sz w:val="32"/>
          <w:szCs w:val="32"/>
        </w:rPr>
      </w:pPr>
    </w:p>
    <w:p>
      <w:pPr>
        <w:pStyle w:val="9"/>
        <w:rPr>
          <w:rFonts w:hint="eastAsia" w:ascii="仿宋_GB2312" w:hAnsi="宋体" w:eastAsia="仿宋_GB2312"/>
          <w:color w:val="auto"/>
          <w:sz w:val="32"/>
          <w:szCs w:val="32"/>
        </w:rPr>
      </w:pPr>
    </w:p>
    <w:p>
      <w:pPr>
        <w:spacing w:before="156" w:beforeLines="50" w:after="156" w:afterLines="50" w:line="360" w:lineRule="exact"/>
        <w:ind w:firstLine="3200" w:firstLineChars="1000"/>
        <w:jc w:val="both"/>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kern w:val="0"/>
          <w:sz w:val="32"/>
          <w:szCs w:val="32"/>
          <w:lang w:val="en-US" w:eastAsia="zh-CN" w:bidi="ar"/>
        </w:rPr>
        <w:t>北京广播电视台</w:t>
      </w:r>
    </w:p>
    <w:p>
      <w:pPr>
        <w:jc w:val="center"/>
        <w:rPr>
          <w:rFonts w:ascii="宋体" w:hAnsi="宋体" w:cs="Arial"/>
          <w:b/>
          <w:bCs/>
          <w:sz w:val="32"/>
          <w:szCs w:val="32"/>
        </w:rPr>
      </w:pPr>
      <w:r>
        <w:rPr>
          <w:rFonts w:hint="eastAsia" w:ascii="宋体" w:hAnsi="宋体" w:cs="Arial"/>
          <w:b/>
          <w:bCs/>
          <w:sz w:val="32"/>
          <w:szCs w:val="32"/>
        </w:rPr>
        <w:t>二○二</w:t>
      </w:r>
      <w:r>
        <w:rPr>
          <w:rFonts w:hint="eastAsia" w:ascii="宋体" w:hAnsi="宋体" w:cs="Arial"/>
          <w:b/>
          <w:bCs/>
          <w:sz w:val="32"/>
          <w:szCs w:val="32"/>
          <w:lang w:val="en-US" w:eastAsia="zh-CN"/>
        </w:rPr>
        <w:t>四</w:t>
      </w:r>
      <w:r>
        <w:rPr>
          <w:rFonts w:hint="eastAsia" w:ascii="宋体" w:hAnsi="宋体" w:cs="Arial"/>
          <w:b/>
          <w:bCs/>
          <w:sz w:val="32"/>
          <w:szCs w:val="32"/>
        </w:rPr>
        <w:t>年</w:t>
      </w:r>
      <w:r>
        <w:rPr>
          <w:rFonts w:hint="eastAsia" w:ascii="宋体" w:hAnsi="宋体" w:cs="Arial"/>
          <w:b/>
          <w:bCs/>
          <w:sz w:val="32"/>
          <w:szCs w:val="32"/>
          <w:lang w:val="en-US" w:eastAsia="zh-CN"/>
        </w:rPr>
        <w:t>五</w:t>
      </w:r>
      <w:r>
        <w:rPr>
          <w:rFonts w:hint="eastAsia" w:ascii="宋体" w:hAnsi="宋体" w:cs="Arial"/>
          <w:b/>
          <w:bCs/>
          <w:sz w:val="32"/>
          <w:szCs w:val="32"/>
        </w:rPr>
        <w:t>月</w:t>
      </w:r>
    </w:p>
    <w:p>
      <w:pPr>
        <w:pStyle w:val="9"/>
        <w:rPr>
          <w:sz w:val="32"/>
          <w:szCs w:val="32"/>
        </w:rPr>
      </w:pPr>
    </w:p>
    <w:p>
      <w:pPr>
        <w:widowControl/>
        <w:spacing w:before="156" w:beforeLines="50" w:after="156" w:afterLines="50"/>
        <w:jc w:val="both"/>
        <w:outlineLvl w:val="0"/>
        <w:rPr>
          <w:rFonts w:ascii="仿宋_GB2312" w:hAnsi="Times New Roman" w:eastAsia="仿宋_GB2312" w:cs="Times New Roman"/>
          <w:b/>
          <w:bCs/>
          <w:kern w:val="32"/>
          <w:sz w:val="32"/>
          <w:szCs w:val="32"/>
          <w:lang w:val="zh-CN"/>
        </w:rPr>
      </w:pPr>
      <w:bookmarkStart w:id="4" w:name="_Toc16620"/>
      <w:bookmarkStart w:id="5" w:name="_Toc137402566"/>
      <w:bookmarkStart w:id="6" w:name="_Toc15726"/>
      <w:bookmarkStart w:id="7" w:name="_Toc14505"/>
      <w:bookmarkStart w:id="8" w:name="_Toc25060"/>
      <w:bookmarkStart w:id="9" w:name="_Toc11209"/>
      <w:bookmarkStart w:id="10" w:name="_Toc137420043"/>
      <w:bookmarkStart w:id="11" w:name="_Toc137389841"/>
      <w:bookmarkStart w:id="12" w:name="_Toc6386"/>
      <w:bookmarkStart w:id="13" w:name="_Toc8660"/>
    </w:p>
    <w:p>
      <w:pPr>
        <w:widowControl/>
        <w:spacing w:before="156" w:beforeLines="50" w:after="156" w:afterLines="50"/>
        <w:jc w:val="center"/>
        <w:outlineLvl w:val="0"/>
        <w:rPr>
          <w:rFonts w:ascii="仿宋_GB2312" w:hAnsi="Times New Roman" w:eastAsia="仿宋_GB2312" w:cs="Times New Roman"/>
          <w:b/>
          <w:bCs/>
          <w:kern w:val="32"/>
          <w:sz w:val="32"/>
          <w:szCs w:val="32"/>
          <w:lang w:val="zh-CN"/>
        </w:rPr>
      </w:pPr>
      <w:r>
        <w:rPr>
          <w:rFonts w:hint="eastAsia" w:ascii="仿宋_GB2312" w:hAnsi="Times New Roman" w:eastAsia="仿宋_GB2312" w:cs="Times New Roman"/>
          <w:b/>
          <w:bCs/>
          <w:kern w:val="32"/>
          <w:sz w:val="32"/>
          <w:szCs w:val="32"/>
          <w:lang w:val="zh-CN"/>
        </w:rPr>
        <w:t>目 录</w:t>
      </w:r>
      <w:bookmarkEnd w:id="4"/>
      <w:bookmarkEnd w:id="5"/>
      <w:bookmarkEnd w:id="6"/>
      <w:bookmarkEnd w:id="7"/>
      <w:bookmarkEnd w:id="8"/>
      <w:bookmarkEnd w:id="9"/>
      <w:bookmarkEnd w:id="10"/>
      <w:bookmarkEnd w:id="11"/>
      <w:bookmarkEnd w:id="12"/>
      <w:bookmarkEnd w:id="13"/>
    </w:p>
    <w:p>
      <w:pPr>
        <w:widowControl/>
        <w:spacing w:before="156" w:beforeLines="50" w:after="156" w:afterLines="50"/>
        <w:jc w:val="center"/>
        <w:outlineLvl w:val="0"/>
      </w:pPr>
      <w:r>
        <w:rPr>
          <w:rFonts w:hint="eastAsia" w:ascii="仿宋_GB2312" w:hAnsi="Times New Roman" w:eastAsia="仿宋_GB2312" w:cs="Times New Roman"/>
          <w:kern w:val="0"/>
          <w:sz w:val="32"/>
          <w:szCs w:val="32"/>
        </w:rPr>
        <w:fldChar w:fldCharType="begin"/>
      </w:r>
      <w:r>
        <w:rPr>
          <w:rFonts w:hint="eastAsia" w:ascii="仿宋_GB2312" w:hAnsi="Times New Roman" w:eastAsia="仿宋_GB2312" w:cs="Times New Roman"/>
          <w:kern w:val="0"/>
          <w:sz w:val="32"/>
          <w:szCs w:val="32"/>
        </w:rPr>
        <w:instrText xml:space="preserve">TOC \o "1-2" \h \u </w:instrText>
      </w:r>
      <w:r>
        <w:rPr>
          <w:rFonts w:hint="eastAsia" w:ascii="仿宋_GB2312" w:hAnsi="Times New Roman" w:eastAsia="仿宋_GB2312" w:cs="Times New Roman"/>
          <w:kern w:val="0"/>
          <w:sz w:val="32"/>
          <w:szCs w:val="32"/>
        </w:rPr>
        <w:fldChar w:fldCharType="separate"/>
      </w:r>
    </w:p>
    <w:p>
      <w:pPr>
        <w:pStyle w:val="13"/>
        <w:tabs>
          <w:tab w:val="right" w:leader="dot" w:pos="8787"/>
          <w:tab w:val="clear" w:pos="8777"/>
        </w:tabs>
        <w:rPr>
          <w:sz w:val="32"/>
          <w:szCs w:val="32"/>
        </w:rPr>
      </w:pPr>
      <w:r>
        <w:fldChar w:fldCharType="begin"/>
      </w:r>
      <w:r>
        <w:instrText xml:space="preserve"> HYPERLINK \l "_Toc20247" </w:instrText>
      </w:r>
      <w:r>
        <w:fldChar w:fldCharType="separate"/>
      </w:r>
      <w:r>
        <w:rPr>
          <w:rFonts w:hint="eastAsia" w:ascii="仿宋_GB2312" w:hAnsi="仿宋_GB2312" w:eastAsia="仿宋_GB2312" w:cs="仿宋_GB2312"/>
          <w:sz w:val="32"/>
          <w:szCs w:val="32"/>
        </w:rPr>
        <w:t>一、基本情况</w:t>
      </w:r>
      <w:r>
        <w:rPr>
          <w:sz w:val="32"/>
          <w:szCs w:val="32"/>
        </w:rPr>
        <w:tab/>
      </w:r>
      <w:r>
        <w:rPr>
          <w:sz w:val="32"/>
          <w:szCs w:val="32"/>
        </w:rPr>
        <w:fldChar w:fldCharType="begin"/>
      </w:r>
      <w:r>
        <w:rPr>
          <w:sz w:val="32"/>
          <w:szCs w:val="32"/>
        </w:rPr>
        <w:instrText xml:space="preserve"> PAGEREF _Toc20247 \h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"_Toc32571" </w:instrText>
      </w:r>
      <w:r>
        <w:fldChar w:fldCharType="separate"/>
      </w:r>
      <w:r>
        <w:rPr>
          <w:rFonts w:hint="eastAsia" w:ascii="仿宋_GB2312" w:hAnsi="仿宋_GB2312" w:eastAsia="仿宋_GB2312" w:cs="仿宋_GB2312"/>
          <w:sz w:val="32"/>
          <w:szCs w:val="32"/>
        </w:rPr>
        <w:t>（一）项目概况</w:t>
      </w:r>
      <w:r>
        <w:rPr>
          <w:sz w:val="32"/>
          <w:szCs w:val="32"/>
        </w:rPr>
        <w:tab/>
      </w:r>
      <w:r>
        <w:rPr>
          <w:sz w:val="32"/>
          <w:szCs w:val="32"/>
        </w:rPr>
        <w:fldChar w:fldCharType="begin"/>
      </w:r>
      <w:r>
        <w:rPr>
          <w:sz w:val="32"/>
          <w:szCs w:val="32"/>
        </w:rPr>
        <w:instrText xml:space="preserve"> PAGEREF _Toc32571 \h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"_Toc27426" </w:instrText>
      </w:r>
      <w:r>
        <w:fldChar w:fldCharType="separate"/>
      </w:r>
      <w:r>
        <w:rPr>
          <w:rFonts w:hint="eastAsia" w:ascii="仿宋_GB2312" w:hAnsi="仿宋_GB2312" w:eastAsia="仿宋_GB2312" w:cs="仿宋_GB2312"/>
          <w:sz w:val="32"/>
          <w:szCs w:val="32"/>
        </w:rPr>
        <w:t>（二）项目绩效目标</w:t>
      </w:r>
      <w:r>
        <w:rPr>
          <w:sz w:val="32"/>
          <w:szCs w:val="32"/>
        </w:rPr>
        <w:tab/>
      </w:r>
      <w:r>
        <w:rPr>
          <w:sz w:val="32"/>
          <w:szCs w:val="32"/>
        </w:rPr>
        <w:fldChar w:fldCharType="begin"/>
      </w:r>
      <w:r>
        <w:rPr>
          <w:sz w:val="32"/>
          <w:szCs w:val="32"/>
        </w:rPr>
        <w:instrText xml:space="preserve"> PAGEREF _Toc27426 \h </w:instrText>
      </w:r>
      <w:r>
        <w:rPr>
          <w:sz w:val="32"/>
          <w:szCs w:val="32"/>
        </w:rPr>
        <w:fldChar w:fldCharType="separate"/>
      </w:r>
      <w:r>
        <w:rPr>
          <w:sz w:val="32"/>
          <w:szCs w:val="32"/>
        </w:rPr>
        <w:t>3</w:t>
      </w:r>
      <w:r>
        <w:rPr>
          <w:sz w:val="32"/>
          <w:szCs w:val="32"/>
        </w:rPr>
        <w:fldChar w:fldCharType="end"/>
      </w:r>
      <w:r>
        <w:rPr>
          <w:sz w:val="32"/>
          <w:szCs w:val="32"/>
        </w:rPr>
        <w:fldChar w:fldCharType="end"/>
      </w:r>
    </w:p>
    <w:p>
      <w:pPr>
        <w:pStyle w:val="13"/>
        <w:tabs>
          <w:tab w:val="right" w:leader="dot" w:pos="8787"/>
          <w:tab w:val="clear" w:pos="8777"/>
        </w:tabs>
        <w:rPr>
          <w:sz w:val="32"/>
          <w:szCs w:val="32"/>
        </w:rPr>
      </w:pPr>
      <w:r>
        <w:fldChar w:fldCharType="begin"/>
      </w:r>
      <w:r>
        <w:instrText xml:space="preserve"> HYPERLINK \l "_Toc26064" </w:instrText>
      </w:r>
      <w:r>
        <w:fldChar w:fldCharType="separate"/>
      </w:r>
      <w:r>
        <w:rPr>
          <w:rFonts w:hint="eastAsia" w:ascii="仿宋_GB2312" w:hAnsi="仿宋_GB2312" w:eastAsia="仿宋_GB2312" w:cs="仿宋_GB2312"/>
          <w:sz w:val="32"/>
          <w:szCs w:val="32"/>
        </w:rPr>
        <w:t>二、绩效评价工作开展情况</w:t>
      </w:r>
      <w:r>
        <w:rPr>
          <w:sz w:val="32"/>
          <w:szCs w:val="32"/>
        </w:rPr>
        <w:tab/>
      </w:r>
      <w:r>
        <w:rPr>
          <w:sz w:val="32"/>
          <w:szCs w:val="32"/>
        </w:rPr>
        <w:fldChar w:fldCharType="begin"/>
      </w:r>
      <w:r>
        <w:rPr>
          <w:sz w:val="32"/>
          <w:szCs w:val="32"/>
        </w:rPr>
        <w:instrText xml:space="preserve"> PAGEREF _Toc26064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"_Toc3627" </w:instrText>
      </w:r>
      <w:r>
        <w:fldChar w:fldCharType="separate"/>
      </w:r>
      <w:r>
        <w:rPr>
          <w:rFonts w:hint="eastAsia" w:ascii="仿宋_GB2312" w:hAnsi="仿宋_GB2312" w:eastAsia="仿宋_GB2312" w:cs="仿宋_GB2312"/>
          <w:sz w:val="32"/>
          <w:szCs w:val="32"/>
        </w:rPr>
        <w:t>（一）绩效评价目的，对象和范围</w:t>
      </w:r>
      <w:r>
        <w:rPr>
          <w:sz w:val="32"/>
          <w:szCs w:val="32"/>
        </w:rPr>
        <w:tab/>
      </w:r>
      <w:r>
        <w:rPr>
          <w:sz w:val="32"/>
          <w:szCs w:val="32"/>
        </w:rPr>
        <w:fldChar w:fldCharType="begin"/>
      </w:r>
      <w:r>
        <w:rPr>
          <w:sz w:val="32"/>
          <w:szCs w:val="32"/>
        </w:rPr>
        <w:instrText xml:space="preserve"> PAGEREF _Toc3627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"_Toc7513" </w:instrText>
      </w:r>
      <w:r>
        <w:fldChar w:fldCharType="separate"/>
      </w:r>
      <w:r>
        <w:rPr>
          <w:rFonts w:hint="eastAsia" w:ascii="仿宋_GB2312" w:hAnsi="仿宋_GB2312" w:eastAsia="仿宋_GB2312" w:cs="仿宋_GB2312"/>
          <w:bCs/>
          <w:kern w:val="0"/>
          <w:sz w:val="32"/>
          <w:szCs w:val="32"/>
        </w:rPr>
        <w:t>（二）绩效评价原则、评价方法及评价标准</w:t>
      </w:r>
      <w:r>
        <w:rPr>
          <w:sz w:val="32"/>
          <w:szCs w:val="32"/>
        </w:rPr>
        <w:tab/>
      </w:r>
      <w:r>
        <w:rPr>
          <w:sz w:val="32"/>
          <w:szCs w:val="32"/>
        </w:rPr>
        <w:fldChar w:fldCharType="begin"/>
      </w:r>
      <w:r>
        <w:rPr>
          <w:sz w:val="32"/>
          <w:szCs w:val="32"/>
        </w:rPr>
        <w:instrText xml:space="preserve"> PAGEREF _Toc7513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"_Toc8896" </w:instrText>
      </w:r>
      <w:r>
        <w:fldChar w:fldCharType="separate"/>
      </w:r>
      <w:r>
        <w:rPr>
          <w:rFonts w:hint="eastAsia" w:ascii="仿宋_GB2312" w:hAnsi="仿宋_GB2312" w:eastAsia="仿宋_GB2312" w:cs="仿宋_GB2312"/>
          <w:bCs/>
          <w:kern w:val="0"/>
          <w:sz w:val="32"/>
          <w:szCs w:val="32"/>
        </w:rPr>
        <w:t>（三）绩效评价工作过程</w:t>
      </w:r>
      <w:r>
        <w:rPr>
          <w:sz w:val="32"/>
          <w:szCs w:val="32"/>
        </w:rPr>
        <w:tab/>
      </w:r>
      <w:r>
        <w:rPr>
          <w:sz w:val="32"/>
          <w:szCs w:val="32"/>
        </w:rPr>
        <w:fldChar w:fldCharType="begin"/>
      </w:r>
      <w:r>
        <w:rPr>
          <w:sz w:val="32"/>
          <w:szCs w:val="32"/>
        </w:rPr>
        <w:instrText xml:space="preserve"> PAGEREF _Toc8896 \h </w:instrText>
      </w:r>
      <w:r>
        <w:rPr>
          <w:sz w:val="32"/>
          <w:szCs w:val="32"/>
        </w:rPr>
        <w:fldChar w:fldCharType="separate"/>
      </w:r>
      <w:r>
        <w:rPr>
          <w:sz w:val="32"/>
          <w:szCs w:val="32"/>
        </w:rPr>
        <w:t>11</w:t>
      </w:r>
      <w:r>
        <w:rPr>
          <w:sz w:val="32"/>
          <w:szCs w:val="32"/>
        </w:rPr>
        <w:fldChar w:fldCharType="end"/>
      </w:r>
      <w:r>
        <w:rPr>
          <w:sz w:val="32"/>
          <w:szCs w:val="32"/>
        </w:rPr>
        <w:fldChar w:fldCharType="end"/>
      </w:r>
    </w:p>
    <w:p>
      <w:pPr>
        <w:pStyle w:val="13"/>
        <w:tabs>
          <w:tab w:val="right" w:leader="dot" w:pos="8787"/>
          <w:tab w:val="clear" w:pos="8777"/>
        </w:tabs>
        <w:rPr>
          <w:sz w:val="32"/>
          <w:szCs w:val="32"/>
        </w:rPr>
      </w:pPr>
      <w:r>
        <w:fldChar w:fldCharType="begin"/>
      </w:r>
      <w:r>
        <w:instrText xml:space="preserve"> HYPERLINK \l "_Toc22182" </w:instrText>
      </w:r>
      <w:r>
        <w:fldChar w:fldCharType="separate"/>
      </w:r>
      <w:r>
        <w:rPr>
          <w:rFonts w:ascii="仿宋_GB2312" w:hAnsi="黑体" w:eastAsia="仿宋_GB2312" w:cs="Times New Roman"/>
          <w:sz w:val="32"/>
          <w:szCs w:val="32"/>
        </w:rPr>
        <w:t>三、</w:t>
      </w:r>
      <w:r>
        <w:rPr>
          <w:rFonts w:hint="eastAsia" w:ascii="仿宋_GB2312" w:hAnsi="黑体" w:eastAsia="仿宋_GB2312" w:cs="Times New Roman"/>
          <w:sz w:val="32"/>
          <w:szCs w:val="32"/>
        </w:rPr>
        <w:t>综合评价情况及评价结论</w:t>
      </w:r>
      <w:r>
        <w:rPr>
          <w:sz w:val="32"/>
          <w:szCs w:val="32"/>
        </w:rPr>
        <w:tab/>
      </w:r>
      <w:r>
        <w:rPr>
          <w:sz w:val="32"/>
          <w:szCs w:val="32"/>
        </w:rPr>
        <w:fldChar w:fldCharType="begin"/>
      </w:r>
      <w:r>
        <w:rPr>
          <w:sz w:val="32"/>
          <w:szCs w:val="32"/>
        </w:rPr>
        <w:instrText xml:space="preserve"> PAGEREF _Toc22182 \h </w:instrText>
      </w:r>
      <w:r>
        <w:rPr>
          <w:sz w:val="32"/>
          <w:szCs w:val="32"/>
        </w:rPr>
        <w:fldChar w:fldCharType="separate"/>
      </w:r>
      <w:r>
        <w:rPr>
          <w:sz w:val="32"/>
          <w:szCs w:val="32"/>
        </w:rPr>
        <w:t>13</w:t>
      </w:r>
      <w:r>
        <w:rPr>
          <w:sz w:val="32"/>
          <w:szCs w:val="32"/>
        </w:rPr>
        <w:fldChar w:fldCharType="end"/>
      </w:r>
      <w:r>
        <w:rPr>
          <w:sz w:val="32"/>
          <w:szCs w:val="32"/>
        </w:rPr>
        <w:fldChar w:fldCharType="end"/>
      </w:r>
    </w:p>
    <w:p>
      <w:pPr>
        <w:pStyle w:val="13"/>
        <w:tabs>
          <w:tab w:val="right" w:leader="dot" w:pos="8787"/>
          <w:tab w:val="clear" w:pos="8777"/>
        </w:tabs>
        <w:rPr>
          <w:sz w:val="32"/>
          <w:szCs w:val="32"/>
        </w:rPr>
      </w:pPr>
      <w:r>
        <w:fldChar w:fldCharType="begin"/>
      </w:r>
      <w:r>
        <w:instrText xml:space="preserve"> HYPERLINK \l "_Toc6106" </w:instrText>
      </w:r>
      <w:r>
        <w:fldChar w:fldCharType="separate"/>
      </w:r>
      <w:r>
        <w:rPr>
          <w:rFonts w:hint="eastAsia" w:ascii="仿宋_GB2312" w:hAnsi="仿宋_GB2312" w:eastAsia="仿宋_GB2312" w:cs="仿宋_GB2312"/>
          <w:sz w:val="32"/>
          <w:szCs w:val="32"/>
        </w:rPr>
        <w:t>四、绩效评价指标体系</w:t>
      </w:r>
      <w:r>
        <w:rPr>
          <w:sz w:val="32"/>
          <w:szCs w:val="32"/>
        </w:rPr>
        <w:tab/>
      </w:r>
      <w:r>
        <w:rPr>
          <w:sz w:val="32"/>
          <w:szCs w:val="32"/>
        </w:rPr>
        <w:fldChar w:fldCharType="begin"/>
      </w:r>
      <w:r>
        <w:rPr>
          <w:sz w:val="32"/>
          <w:szCs w:val="32"/>
        </w:rPr>
        <w:instrText xml:space="preserve"> PAGEREF _Toc6106 \h </w:instrText>
      </w:r>
      <w:r>
        <w:rPr>
          <w:sz w:val="32"/>
          <w:szCs w:val="32"/>
        </w:rPr>
        <w:fldChar w:fldCharType="separate"/>
      </w:r>
      <w:r>
        <w:rPr>
          <w:sz w:val="32"/>
          <w:szCs w:val="32"/>
        </w:rPr>
        <w:t>13</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"_Toc505" </w:instrText>
      </w:r>
      <w:r>
        <w:fldChar w:fldCharType="separate"/>
      </w:r>
      <w:r>
        <w:rPr>
          <w:rFonts w:hint="eastAsia" w:ascii="仿宋_GB2312" w:eastAsia="仿宋_GB2312"/>
          <w:sz w:val="32"/>
          <w:szCs w:val="32"/>
        </w:rPr>
        <w:t>（一）项目决策情况</w:t>
      </w:r>
      <w:r>
        <w:rPr>
          <w:sz w:val="32"/>
          <w:szCs w:val="32"/>
        </w:rPr>
        <w:tab/>
      </w:r>
      <w:r>
        <w:rPr>
          <w:sz w:val="32"/>
          <w:szCs w:val="32"/>
        </w:rPr>
        <w:fldChar w:fldCharType="begin"/>
      </w:r>
      <w:r>
        <w:rPr>
          <w:sz w:val="32"/>
          <w:szCs w:val="32"/>
        </w:rPr>
        <w:instrText xml:space="preserve"> PAGEREF _Toc505 \h </w:instrText>
      </w:r>
      <w:r>
        <w:rPr>
          <w:sz w:val="32"/>
          <w:szCs w:val="32"/>
        </w:rPr>
        <w:fldChar w:fldCharType="separate"/>
      </w:r>
      <w:r>
        <w:rPr>
          <w:sz w:val="32"/>
          <w:szCs w:val="32"/>
        </w:rPr>
        <w:t>13</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"_Toc11541" </w:instrText>
      </w:r>
      <w:r>
        <w:fldChar w:fldCharType="separate"/>
      </w:r>
      <w:r>
        <w:rPr>
          <w:rFonts w:hint="eastAsia" w:ascii="仿宋_GB2312" w:eastAsia="仿宋_GB2312"/>
          <w:sz w:val="32"/>
          <w:szCs w:val="32"/>
        </w:rPr>
        <w:t>（二）项目过程情况</w:t>
      </w:r>
      <w:r>
        <w:rPr>
          <w:sz w:val="32"/>
          <w:szCs w:val="32"/>
        </w:rPr>
        <w:tab/>
      </w:r>
      <w:r>
        <w:rPr>
          <w:sz w:val="32"/>
          <w:szCs w:val="32"/>
        </w:rPr>
        <w:fldChar w:fldCharType="begin"/>
      </w:r>
      <w:r>
        <w:rPr>
          <w:sz w:val="32"/>
          <w:szCs w:val="32"/>
        </w:rPr>
        <w:instrText xml:space="preserve"> PAGEREF _Toc11541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"_Toc22342" </w:instrText>
      </w:r>
      <w:r>
        <w:fldChar w:fldCharType="separate"/>
      </w:r>
      <w:r>
        <w:rPr>
          <w:rFonts w:hint="eastAsia" w:ascii="仿宋_GB2312" w:hAnsi="仿宋_GB2312" w:eastAsia="仿宋_GB2312" w:cs="仿宋_GB2312"/>
          <w:sz w:val="32"/>
          <w:szCs w:val="32"/>
        </w:rPr>
        <w:t>（三）项目产出情况</w:t>
      </w:r>
      <w:r>
        <w:rPr>
          <w:sz w:val="32"/>
          <w:szCs w:val="32"/>
        </w:rPr>
        <w:tab/>
      </w:r>
      <w:r>
        <w:rPr>
          <w:sz w:val="32"/>
          <w:szCs w:val="32"/>
        </w:rPr>
        <w:fldChar w:fldCharType="begin"/>
      </w:r>
      <w:r>
        <w:rPr>
          <w:sz w:val="32"/>
          <w:szCs w:val="32"/>
        </w:rPr>
        <w:instrText xml:space="preserve"> PAGEREF _Toc22342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"_Toc24149" </w:instrText>
      </w:r>
      <w:r>
        <w:fldChar w:fldCharType="separate"/>
      </w:r>
      <w:r>
        <w:rPr>
          <w:rFonts w:hint="eastAsia" w:ascii="仿宋_GB2312" w:eastAsia="仿宋_GB2312"/>
          <w:sz w:val="32"/>
          <w:szCs w:val="32"/>
        </w:rPr>
        <w:t>（四）项目效益情况</w:t>
      </w:r>
      <w:r>
        <w:rPr>
          <w:sz w:val="32"/>
          <w:szCs w:val="32"/>
        </w:rPr>
        <w:tab/>
      </w:r>
      <w:r>
        <w:rPr>
          <w:sz w:val="32"/>
          <w:szCs w:val="32"/>
        </w:rPr>
        <w:fldChar w:fldCharType="begin"/>
      </w:r>
      <w:r>
        <w:rPr>
          <w:sz w:val="32"/>
          <w:szCs w:val="32"/>
        </w:rPr>
        <w:instrText xml:space="preserve"> PAGEREF _Toc24149 \h </w:instrText>
      </w:r>
      <w:r>
        <w:rPr>
          <w:sz w:val="32"/>
          <w:szCs w:val="32"/>
        </w:rPr>
        <w:fldChar w:fldCharType="separate"/>
      </w:r>
      <w:r>
        <w:rPr>
          <w:sz w:val="32"/>
          <w:szCs w:val="32"/>
        </w:rPr>
        <w:t>17</w:t>
      </w:r>
      <w:r>
        <w:rPr>
          <w:sz w:val="32"/>
          <w:szCs w:val="32"/>
        </w:rPr>
        <w:fldChar w:fldCharType="end"/>
      </w:r>
      <w:r>
        <w:rPr>
          <w:sz w:val="32"/>
          <w:szCs w:val="32"/>
        </w:rPr>
        <w:fldChar w:fldCharType="end"/>
      </w:r>
    </w:p>
    <w:p>
      <w:pPr>
        <w:pStyle w:val="13"/>
        <w:tabs>
          <w:tab w:val="right" w:leader="dot" w:pos="8787"/>
          <w:tab w:val="clear" w:pos="8777"/>
        </w:tabs>
        <w:rPr>
          <w:sz w:val="32"/>
          <w:szCs w:val="32"/>
        </w:rPr>
      </w:pPr>
      <w:r>
        <w:fldChar w:fldCharType="begin"/>
      </w:r>
      <w:r>
        <w:instrText xml:space="preserve"> HYPERLINK \l "_Toc24496" </w:instrText>
      </w:r>
      <w:r>
        <w:fldChar w:fldCharType="separate"/>
      </w:r>
      <w:r>
        <w:rPr>
          <w:rFonts w:hint="eastAsia" w:ascii="仿宋_GB2312" w:hAnsi="黑体" w:eastAsia="仿宋_GB2312" w:cs="Times New Roman"/>
          <w:sz w:val="32"/>
          <w:szCs w:val="32"/>
        </w:rPr>
        <w:t>五、 主要经验及做法、存在的问题及原因分析</w:t>
      </w:r>
      <w:r>
        <w:rPr>
          <w:sz w:val="32"/>
          <w:szCs w:val="32"/>
        </w:rPr>
        <w:tab/>
      </w:r>
      <w:r>
        <w:rPr>
          <w:sz w:val="32"/>
          <w:szCs w:val="32"/>
        </w:rPr>
        <w:fldChar w:fldCharType="begin"/>
      </w:r>
      <w:r>
        <w:rPr>
          <w:sz w:val="32"/>
          <w:szCs w:val="32"/>
        </w:rPr>
        <w:instrText xml:space="preserve"> PAGEREF _Toc24496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"_Toc25020" </w:instrText>
      </w:r>
      <w:r>
        <w:fldChar w:fldCharType="separate"/>
      </w:r>
      <w:r>
        <w:rPr>
          <w:rFonts w:hint="eastAsia" w:ascii="仿宋_GB2312" w:hAnsi="仿宋_GB2312" w:eastAsia="仿宋_GB2312" w:cs="仿宋_GB2312"/>
          <w:sz w:val="32"/>
          <w:szCs w:val="32"/>
        </w:rPr>
        <w:t>（一）主要经验及做法</w:t>
      </w:r>
      <w:r>
        <w:rPr>
          <w:sz w:val="32"/>
          <w:szCs w:val="32"/>
        </w:rPr>
        <w:tab/>
      </w:r>
      <w:r>
        <w:rPr>
          <w:sz w:val="32"/>
          <w:szCs w:val="32"/>
        </w:rPr>
        <w:fldChar w:fldCharType="begin"/>
      </w:r>
      <w:r>
        <w:rPr>
          <w:sz w:val="32"/>
          <w:szCs w:val="32"/>
        </w:rPr>
        <w:instrText xml:space="preserve"> PAGEREF _Toc25020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14"/>
        <w:tabs>
          <w:tab w:val="right" w:leader="dot" w:pos="8787"/>
          <w:tab w:val="clear" w:pos="8777"/>
        </w:tabs>
        <w:rPr>
          <w:sz w:val="32"/>
          <w:szCs w:val="32"/>
        </w:rPr>
      </w:pPr>
      <w:r>
        <w:fldChar w:fldCharType="begin"/>
      </w:r>
      <w:r>
        <w:instrText xml:space="preserve"> HYPERLINK \l "_Toc11315" </w:instrText>
      </w:r>
      <w:r>
        <w:fldChar w:fldCharType="separate"/>
      </w:r>
      <w:r>
        <w:rPr>
          <w:rFonts w:hint="eastAsia" w:ascii="仿宋_GB2312" w:eastAsia="仿宋_GB2312"/>
          <w:sz w:val="32"/>
          <w:szCs w:val="32"/>
        </w:rPr>
        <w:t>（二）</w:t>
      </w:r>
      <w:r>
        <w:rPr>
          <w:rFonts w:hint="eastAsia" w:ascii="仿宋_GB2312" w:hAnsi="黑体" w:eastAsia="仿宋_GB2312"/>
          <w:sz w:val="32"/>
          <w:szCs w:val="32"/>
        </w:rPr>
        <w:t>存在的问题及原因分析</w:t>
      </w:r>
      <w:r>
        <w:rPr>
          <w:sz w:val="32"/>
          <w:szCs w:val="32"/>
        </w:rPr>
        <w:tab/>
      </w:r>
      <w:r>
        <w:rPr>
          <w:sz w:val="32"/>
          <w:szCs w:val="32"/>
        </w:rPr>
        <w:fldChar w:fldCharType="begin"/>
      </w:r>
      <w:r>
        <w:rPr>
          <w:sz w:val="32"/>
          <w:szCs w:val="32"/>
        </w:rPr>
        <w:instrText xml:space="preserve"> PAGEREF _Toc11315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13"/>
        <w:tabs>
          <w:tab w:val="right" w:leader="dot" w:pos="8787"/>
          <w:tab w:val="clear" w:pos="8777"/>
        </w:tabs>
        <w:rPr>
          <w:sz w:val="32"/>
          <w:szCs w:val="32"/>
        </w:rPr>
      </w:pPr>
      <w:r>
        <w:fldChar w:fldCharType="begin"/>
      </w:r>
      <w:r>
        <w:instrText xml:space="preserve"> HYPERLINK \l "_Toc29227" </w:instrText>
      </w:r>
      <w:r>
        <w:fldChar w:fldCharType="separate"/>
      </w:r>
      <w:r>
        <w:rPr>
          <w:rFonts w:hint="eastAsia" w:ascii="仿宋_GB2312" w:hAnsi="仿宋_GB2312" w:eastAsia="仿宋_GB2312" w:cs="仿宋_GB2312"/>
          <w:sz w:val="32"/>
          <w:szCs w:val="32"/>
        </w:rPr>
        <w:t>六、 有关建议</w:t>
      </w:r>
      <w:r>
        <w:rPr>
          <w:sz w:val="32"/>
          <w:szCs w:val="32"/>
        </w:rPr>
        <w:tab/>
      </w:r>
      <w:r>
        <w:rPr>
          <w:sz w:val="32"/>
          <w:szCs w:val="32"/>
        </w:rPr>
        <w:fldChar w:fldCharType="begin"/>
      </w:r>
      <w:r>
        <w:rPr>
          <w:sz w:val="32"/>
          <w:szCs w:val="32"/>
        </w:rPr>
        <w:instrText xml:space="preserve"> PAGEREF _Toc29227 \h </w:instrText>
      </w:r>
      <w:r>
        <w:rPr>
          <w:sz w:val="32"/>
          <w:szCs w:val="32"/>
        </w:rPr>
        <w:fldChar w:fldCharType="separate"/>
      </w:r>
      <w:r>
        <w:rPr>
          <w:sz w:val="32"/>
          <w:szCs w:val="32"/>
        </w:rPr>
        <w:t>21</w:t>
      </w:r>
      <w:r>
        <w:rPr>
          <w:sz w:val="32"/>
          <w:szCs w:val="32"/>
        </w:rPr>
        <w:fldChar w:fldCharType="end"/>
      </w:r>
      <w:r>
        <w:rPr>
          <w:sz w:val="32"/>
          <w:szCs w:val="32"/>
        </w:rPr>
        <w:fldChar w:fldCharType="end"/>
      </w:r>
    </w:p>
    <w:p>
      <w:pPr>
        <w:pStyle w:val="13"/>
        <w:tabs>
          <w:tab w:val="right" w:leader="dot" w:pos="8787"/>
          <w:tab w:val="clear" w:pos="8777"/>
        </w:tabs>
        <w:rPr>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z w:val="32"/>
          <w:szCs w:val="32"/>
        </w:rPr>
        <w:t>七、其他需要说明的问题</w:t>
      </w:r>
      <w:r>
        <w:rPr>
          <w:sz w:val="32"/>
          <w:szCs w:val="32"/>
        </w:rPr>
        <w:tab/>
      </w:r>
      <w:r>
        <w:rPr>
          <w:sz w:val="32"/>
          <w:szCs w:val="32"/>
        </w:rPr>
        <w:fldChar w:fldCharType="begin"/>
      </w:r>
      <w:r>
        <w:rPr>
          <w:sz w:val="32"/>
          <w:szCs w:val="32"/>
        </w:rPr>
        <w:instrText xml:space="preserve"> PAGEREF _Toc22741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13"/>
        <w:tabs>
          <w:tab w:val="right" w:leader="dot" w:pos="8787"/>
          <w:tab w:val="clear" w:pos="8777"/>
        </w:tabs>
      </w:pPr>
      <w:r>
        <w:fldChar w:fldCharType="begin"/>
      </w:r>
      <w:r>
        <w:instrText xml:space="preserve"> HYPERLINK \l "_Toc22816" </w:instrText>
      </w:r>
      <w:r>
        <w:fldChar w:fldCharType="separate"/>
      </w:r>
      <w:r>
        <w:rPr>
          <w:rFonts w:hint="eastAsia" w:ascii="仿宋_GB2312" w:hAnsi="仿宋_GB2312" w:eastAsia="仿宋_GB2312" w:cs="仿宋_GB2312"/>
          <w:sz w:val="32"/>
          <w:szCs w:val="32"/>
        </w:rPr>
        <w:t>附件</w:t>
      </w:r>
      <w:r>
        <w:rPr>
          <w:rFonts w:hint="eastAsia" w:ascii="Times New Roman" w:hAnsi="Times New Roman" w:eastAsia="仿宋_GB2312" w:cs="Times New Roman"/>
          <w:bCs/>
          <w:sz w:val="32"/>
          <w:szCs w:val="32"/>
        </w:rPr>
        <w:t>：</w:t>
      </w:r>
      <w:r>
        <w:rPr>
          <w:sz w:val="32"/>
          <w:szCs w:val="32"/>
        </w:rPr>
        <w:tab/>
      </w:r>
      <w:r>
        <w:rPr>
          <w:sz w:val="32"/>
          <w:szCs w:val="32"/>
        </w:rPr>
        <w:fldChar w:fldCharType="begin"/>
      </w:r>
      <w:r>
        <w:rPr>
          <w:sz w:val="32"/>
          <w:szCs w:val="32"/>
        </w:rPr>
        <w:instrText xml:space="preserve"> PAGEREF _Toc22816 \h </w:instrText>
      </w:r>
      <w:r>
        <w:rPr>
          <w:sz w:val="32"/>
          <w:szCs w:val="32"/>
        </w:rPr>
        <w:fldChar w:fldCharType="separate"/>
      </w:r>
      <w:r>
        <w:rPr>
          <w:sz w:val="32"/>
          <w:szCs w:val="32"/>
        </w:rPr>
        <w:t>22</w:t>
      </w:r>
      <w:r>
        <w:rPr>
          <w:sz w:val="32"/>
          <w:szCs w:val="32"/>
        </w:rPr>
        <w:fldChar w:fldCharType="end"/>
      </w:r>
      <w:r>
        <w:rPr>
          <w:sz w:val="32"/>
          <w:szCs w:val="32"/>
        </w:rPr>
        <w:fldChar w:fldCharType="end"/>
      </w:r>
    </w:p>
    <w:p>
      <w:pPr>
        <w:widowControl/>
        <w:tabs>
          <w:tab w:val="left" w:pos="2215"/>
        </w:tabs>
        <w:spacing w:line="360" w:lineRule="auto"/>
        <w:rPr>
          <w:rFonts w:ascii="Times New Roman" w:hAnsi="Times New Roman" w:eastAsia="方正小标宋简体" w:cs="Times New Roman"/>
          <w:b/>
          <w:kern w:val="0"/>
          <w:sz w:val="44"/>
          <w:szCs w:val="44"/>
        </w:rPr>
        <w:sectPr>
          <w:headerReference r:id="rId3" w:type="default"/>
          <w:footerReference r:id="rId4" w:type="default"/>
          <w:pgSz w:w="11906" w:h="16838"/>
          <w:pgMar w:top="1418" w:right="1701" w:bottom="1418" w:left="1418" w:header="851" w:footer="851" w:gutter="0"/>
          <w:pgNumType w:start="1"/>
          <w:cols w:space="425" w:num="1"/>
          <w:docGrid w:type="linesAndChars" w:linePitch="312" w:charSpace="0"/>
        </w:sectPr>
      </w:pPr>
      <w:r>
        <w:rPr>
          <w:rFonts w:hint="eastAsia" w:ascii="仿宋_GB2312" w:hAnsi="Times New Roman" w:eastAsia="仿宋_GB2312" w:cs="Times New Roman"/>
          <w:kern w:val="0"/>
          <w:szCs w:val="32"/>
        </w:rPr>
        <w:fldChar w:fldCharType="end"/>
      </w:r>
    </w:p>
    <w:p>
      <w:pPr>
        <w:widowControl/>
        <w:tabs>
          <w:tab w:val="left" w:pos="2215"/>
        </w:tabs>
        <w:spacing w:line="360" w:lineRule="auto"/>
        <w:jc w:val="center"/>
        <w:rPr>
          <w:rFonts w:ascii="Times New Roman" w:hAnsi="Times New Roman" w:eastAsia="方正小标宋简体" w:cs="Times New Roman"/>
          <w:b/>
          <w:kern w:val="0"/>
          <w:sz w:val="44"/>
          <w:szCs w:val="44"/>
        </w:rPr>
      </w:pPr>
    </w:p>
    <w:p>
      <w:pPr>
        <w:widowControl/>
        <w:tabs>
          <w:tab w:val="left" w:pos="2215"/>
        </w:tabs>
        <w:spacing w:line="360" w:lineRule="auto"/>
        <w:jc w:val="center"/>
        <w:outlineLvl w:val="0"/>
        <w:rPr>
          <w:rFonts w:hint="eastAsia" w:asciiTheme="minorEastAsia" w:hAnsiTheme="minorEastAsia" w:eastAsiaTheme="minorEastAsia" w:cstheme="minorEastAsia"/>
          <w:b/>
          <w:kern w:val="0"/>
          <w:sz w:val="44"/>
          <w:szCs w:val="44"/>
          <w:lang w:val="en-US" w:eastAsia="zh-CN"/>
        </w:rPr>
      </w:pPr>
      <w:bookmarkStart w:id="14" w:name="_Toc27273"/>
      <w:bookmarkStart w:id="15" w:name="_Toc4129"/>
      <w:bookmarkStart w:id="16" w:name="_Toc137402567"/>
      <w:bookmarkStart w:id="17" w:name="_Toc137420044"/>
      <w:bookmarkStart w:id="18" w:name="_Toc137389842"/>
      <w:bookmarkStart w:id="19" w:name="_Toc15501"/>
      <w:bookmarkStart w:id="20" w:name="_Toc9555"/>
      <w:bookmarkStart w:id="21" w:name="_Toc25955"/>
      <w:bookmarkStart w:id="22" w:name="_Toc178"/>
      <w:r>
        <w:rPr>
          <w:rFonts w:hint="eastAsia" w:asciiTheme="minorEastAsia" w:hAnsiTheme="minorEastAsia" w:eastAsiaTheme="minorEastAsia" w:cstheme="minorEastAsia"/>
          <w:b/>
          <w:kern w:val="0"/>
          <w:sz w:val="44"/>
          <w:szCs w:val="44"/>
        </w:rPr>
        <w:t>北京</w:t>
      </w:r>
      <w:bookmarkEnd w:id="14"/>
      <w:bookmarkEnd w:id="15"/>
      <w:bookmarkEnd w:id="16"/>
      <w:bookmarkEnd w:id="17"/>
      <w:bookmarkEnd w:id="18"/>
      <w:bookmarkEnd w:id="19"/>
      <w:bookmarkEnd w:id="20"/>
      <w:bookmarkEnd w:id="21"/>
      <w:bookmarkEnd w:id="22"/>
      <w:r>
        <w:rPr>
          <w:rFonts w:hint="eastAsia" w:asciiTheme="minorEastAsia" w:hAnsiTheme="minorEastAsia" w:eastAsiaTheme="minorEastAsia" w:cstheme="minorEastAsia"/>
          <w:b/>
          <w:kern w:val="0"/>
          <w:sz w:val="44"/>
          <w:szCs w:val="44"/>
          <w:lang w:val="en-US" w:eastAsia="zh-CN"/>
        </w:rPr>
        <w:t>广播电视台</w:t>
      </w:r>
    </w:p>
    <w:p>
      <w:pPr>
        <w:widowControl/>
        <w:tabs>
          <w:tab w:val="left" w:pos="2215"/>
        </w:tabs>
        <w:spacing w:line="360" w:lineRule="auto"/>
        <w:jc w:val="center"/>
        <w:outlineLvl w:val="0"/>
        <w:rPr>
          <w:rFonts w:hint="eastAsia" w:asciiTheme="minorEastAsia" w:hAnsiTheme="minorEastAsia" w:eastAsiaTheme="minorEastAsia" w:cstheme="minorEastAsia"/>
          <w:b/>
          <w:kern w:val="0"/>
          <w:sz w:val="44"/>
          <w:szCs w:val="44"/>
        </w:rPr>
      </w:pPr>
      <w:bookmarkStart w:id="23" w:name="_Toc137420045"/>
      <w:bookmarkStart w:id="24" w:name="_Toc15673"/>
      <w:bookmarkStart w:id="25" w:name="_Toc143"/>
      <w:bookmarkStart w:id="26" w:name="_Toc10148"/>
      <w:bookmarkStart w:id="27" w:name="_Toc137402568"/>
      <w:bookmarkStart w:id="28" w:name="_Toc10187"/>
      <w:bookmarkStart w:id="29" w:name="_Toc179"/>
      <w:bookmarkStart w:id="30" w:name="_Toc137389843"/>
      <w:bookmarkStart w:id="31" w:name="_Hlk72616983"/>
      <w:bookmarkStart w:id="32" w:name="_Toc30064"/>
      <w:r>
        <w:rPr>
          <w:rFonts w:hint="eastAsia" w:asciiTheme="minorEastAsia" w:hAnsiTheme="minorEastAsia" w:eastAsiaTheme="minorEastAsia" w:cstheme="minorEastAsia"/>
          <w:b/>
          <w:kern w:val="0"/>
          <w:sz w:val="44"/>
          <w:szCs w:val="44"/>
          <w:lang w:val="en-US" w:eastAsia="zh-CN"/>
        </w:rPr>
        <w:t>北京榜样</w:t>
      </w:r>
      <w:r>
        <w:rPr>
          <w:rFonts w:hint="eastAsia" w:asciiTheme="minorEastAsia" w:hAnsiTheme="minorEastAsia" w:eastAsiaTheme="minorEastAsia" w:cstheme="minorEastAsia"/>
          <w:b/>
          <w:kern w:val="0"/>
          <w:sz w:val="44"/>
          <w:szCs w:val="44"/>
        </w:rPr>
        <w:t>项目</w:t>
      </w:r>
      <w:bookmarkEnd w:id="23"/>
      <w:bookmarkEnd w:id="24"/>
      <w:bookmarkEnd w:id="25"/>
      <w:bookmarkEnd w:id="26"/>
      <w:bookmarkEnd w:id="27"/>
      <w:bookmarkEnd w:id="28"/>
      <w:bookmarkEnd w:id="29"/>
      <w:bookmarkEnd w:id="30"/>
      <w:r>
        <w:rPr>
          <w:rFonts w:hint="eastAsia" w:asciiTheme="minorEastAsia" w:hAnsiTheme="minorEastAsia" w:eastAsiaTheme="minorEastAsia" w:cstheme="minorEastAsia"/>
          <w:b/>
          <w:kern w:val="0"/>
          <w:sz w:val="44"/>
          <w:szCs w:val="44"/>
        </w:rPr>
        <w:t>支出</w:t>
      </w:r>
      <w:bookmarkEnd w:id="31"/>
      <w:bookmarkStart w:id="33" w:name="_Toc2814"/>
      <w:bookmarkStart w:id="34" w:name="_Toc137420046"/>
      <w:bookmarkStart w:id="35" w:name="_Toc137389844"/>
      <w:bookmarkStart w:id="36" w:name="_Toc137402569"/>
      <w:bookmarkStart w:id="37" w:name="_Toc13606"/>
      <w:bookmarkStart w:id="38" w:name="_Toc11076"/>
      <w:bookmarkStart w:id="39" w:name="_Toc23868"/>
      <w:bookmarkStart w:id="40" w:name="_Toc21979"/>
      <w:r>
        <w:rPr>
          <w:rFonts w:hint="eastAsia" w:asciiTheme="minorEastAsia" w:hAnsiTheme="minorEastAsia" w:eastAsiaTheme="minorEastAsia" w:cstheme="minorEastAsia"/>
          <w:b/>
          <w:kern w:val="0"/>
          <w:sz w:val="44"/>
          <w:szCs w:val="44"/>
        </w:rPr>
        <w:t>绩效评价报告</w:t>
      </w:r>
      <w:bookmarkEnd w:id="32"/>
      <w:bookmarkEnd w:id="33"/>
      <w:bookmarkEnd w:id="34"/>
      <w:bookmarkEnd w:id="35"/>
      <w:bookmarkEnd w:id="36"/>
      <w:bookmarkEnd w:id="37"/>
      <w:bookmarkEnd w:id="38"/>
      <w:bookmarkEnd w:id="39"/>
      <w:bookmarkEnd w:id="40"/>
    </w:p>
    <w:p>
      <w:pPr>
        <w:widowControl/>
        <w:tabs>
          <w:tab w:val="left" w:pos="2215"/>
        </w:tabs>
        <w:spacing w:line="360" w:lineRule="auto"/>
        <w:ind w:firstLine="640" w:firstLineChars="200"/>
        <w:jc w:val="center"/>
        <w:rPr>
          <w:rFonts w:ascii="Times New Roman" w:hAnsi="Times New Roman" w:eastAsia="仿宋_GB2312" w:cs="Times New Roman"/>
          <w:color w:val="000000"/>
          <w:kern w:val="0"/>
          <w:sz w:val="32"/>
          <w:szCs w:val="32"/>
        </w:rPr>
      </w:pPr>
    </w:p>
    <w:p>
      <w:pPr>
        <w:widowControl/>
        <w:tabs>
          <w:tab w:val="left" w:pos="2215"/>
        </w:tabs>
        <w:spacing w:line="360" w:lineRule="auto"/>
        <w:ind w:firstLine="640" w:firstLineChars="200"/>
        <w:rPr>
          <w:rFonts w:hint="eastAsia" w:ascii="仿宋_GB2312" w:hAnsi="Times New Roman" w:eastAsia="仿宋_GB2312" w:cs="Times New Roman"/>
          <w:color w:val="000000"/>
          <w:kern w:val="0"/>
          <w:sz w:val="32"/>
          <w:szCs w:val="32"/>
        </w:rPr>
      </w:pPr>
      <w:r>
        <w:rPr>
          <w:rFonts w:hint="eastAsia" w:ascii="仿宋_GB2312" w:hAnsi="仿宋_GB2312" w:eastAsia="仿宋_GB2312" w:cs="仿宋_GB2312"/>
          <w:kern w:val="0"/>
          <w:sz w:val="32"/>
          <w:szCs w:val="32"/>
        </w:rPr>
        <w:t>为进一步加强财政支出管理，合理配置财政资源，提高财政资金使用效益和财政支出管理水平，根据《北京市项目支出绩效评价管理办法》（京财绩效〔2020〕2146号）及《北京市财政局关于开展2024年预算绩效管理相关工作的函》等文件要求，</w:t>
      </w:r>
      <w:r>
        <w:rPr>
          <w:rFonts w:hint="eastAsia" w:ascii="仿宋_GB2312" w:hAnsi="仿宋_GB2312" w:eastAsia="仿宋_GB2312" w:cs="仿宋_GB2312"/>
          <w:kern w:val="0"/>
          <w:sz w:val="32"/>
          <w:szCs w:val="32"/>
          <w:lang w:val="en-US" w:eastAsia="zh-CN"/>
        </w:rPr>
        <w:t>北京广播电视台</w:t>
      </w:r>
      <w:r>
        <w:rPr>
          <w:rFonts w:hint="eastAsia" w:ascii="仿宋_GB2312" w:hAnsi="仿宋_GB2312" w:eastAsia="仿宋_GB2312" w:cs="仿宋_GB2312"/>
          <w:kern w:val="0"/>
          <w:sz w:val="32"/>
          <w:szCs w:val="32"/>
        </w:rPr>
        <w:t>（以下简称“</w:t>
      </w:r>
      <w:r>
        <w:rPr>
          <w:rFonts w:hint="eastAsia" w:ascii="仿宋_GB2312" w:hAnsi="仿宋_GB2312" w:eastAsia="仿宋_GB2312" w:cs="仿宋_GB2312"/>
          <w:kern w:val="0"/>
          <w:sz w:val="32"/>
          <w:szCs w:val="32"/>
          <w:lang w:val="en-US" w:eastAsia="zh-CN"/>
        </w:rPr>
        <w:t>总台</w:t>
      </w:r>
      <w:r>
        <w:rPr>
          <w:rFonts w:hint="eastAsia" w:ascii="仿宋_GB2312" w:hAnsi="仿宋_GB2312" w:eastAsia="仿宋_GB2312" w:cs="仿宋_GB2312"/>
          <w:kern w:val="0"/>
          <w:sz w:val="32"/>
          <w:szCs w:val="32"/>
        </w:rPr>
        <w:t>”）组织成立了绩效评价工作组，委托北京恒康智辉咨询有限公司参与</w:t>
      </w:r>
      <w:r>
        <w:rPr>
          <w:rFonts w:hint="eastAsia" w:ascii="仿宋_GB2312" w:hAnsi="仿宋_GB2312" w:eastAsia="仿宋_GB2312" w:cs="仿宋_GB2312"/>
          <w:kern w:val="0"/>
          <w:sz w:val="32"/>
          <w:szCs w:val="32"/>
          <w:lang w:val="en-US" w:eastAsia="zh-CN"/>
        </w:rPr>
        <w:t>该</w:t>
      </w:r>
      <w:r>
        <w:rPr>
          <w:rFonts w:hint="eastAsia" w:ascii="仿宋_GB2312" w:hAnsi="仿宋_GB2312" w:eastAsia="仿宋_GB2312" w:cs="仿宋_GB2312"/>
          <w:kern w:val="0"/>
          <w:sz w:val="32"/>
          <w:szCs w:val="32"/>
        </w:rPr>
        <w:t>项目绩效评价工作</w:t>
      </w:r>
      <w:r>
        <w:rPr>
          <w:rFonts w:hint="eastAsia" w:ascii="仿宋_GB2312" w:hAnsi="Times New Roman" w:eastAsia="仿宋_GB2312" w:cs="Times New Roman"/>
          <w:bCs/>
          <w:sz w:val="32"/>
          <w:szCs w:val="32"/>
        </w:rPr>
        <w:t>，</w:t>
      </w:r>
      <w:r>
        <w:rPr>
          <w:rFonts w:hint="eastAsia" w:ascii="仿宋_GB2312" w:hAnsi="Times New Roman" w:eastAsia="仿宋_GB2312" w:cs="Times New Roman"/>
          <w:color w:val="000000"/>
          <w:kern w:val="0"/>
          <w:sz w:val="32"/>
          <w:szCs w:val="32"/>
        </w:rPr>
        <w:t>对“</w:t>
      </w:r>
      <w:r>
        <w:rPr>
          <w:rFonts w:hint="eastAsia" w:ascii="仿宋_GB2312" w:hAnsi="Times New Roman" w:eastAsia="仿宋_GB2312" w:cs="Times New Roman"/>
          <w:color w:val="000000"/>
          <w:kern w:val="0"/>
          <w:sz w:val="32"/>
          <w:szCs w:val="32"/>
          <w:lang w:val="en-US" w:eastAsia="zh-CN"/>
        </w:rPr>
        <w:t>北京榜样</w:t>
      </w:r>
      <w:r>
        <w:rPr>
          <w:rFonts w:hint="eastAsia" w:ascii="仿宋_GB2312" w:hAnsi="Times New Roman" w:eastAsia="仿宋_GB2312" w:cs="Times New Roman"/>
          <w:color w:val="000000"/>
          <w:kern w:val="0"/>
          <w:sz w:val="32"/>
          <w:szCs w:val="32"/>
        </w:rPr>
        <w:t>”项目的</w:t>
      </w:r>
      <w:bookmarkStart w:id="41" w:name="_Toc19112381"/>
      <w:r>
        <w:rPr>
          <w:rFonts w:hint="eastAsia" w:ascii="仿宋_GB2312" w:hAnsi="Times New Roman" w:eastAsia="仿宋_GB2312" w:cs="Times New Roman"/>
          <w:color w:val="000000"/>
          <w:kern w:val="0"/>
          <w:sz w:val="32"/>
          <w:szCs w:val="32"/>
        </w:rPr>
        <w:t>实施情况开展绩效评价，形成本绩效评价报告。</w:t>
      </w:r>
    </w:p>
    <w:p>
      <w:pPr>
        <w:pStyle w:val="4"/>
        <w:spacing w:line="360" w:lineRule="auto"/>
        <w:ind w:firstLine="643"/>
        <w:rPr>
          <w:rFonts w:ascii="仿宋_GB2312" w:hAnsi="仿宋_GB2312" w:eastAsia="仿宋_GB2312" w:cs="仿宋_GB2312"/>
          <w:sz w:val="32"/>
          <w:szCs w:val="32"/>
        </w:rPr>
      </w:pPr>
      <w:bookmarkStart w:id="42" w:name="_Toc20247"/>
      <w:bookmarkStart w:id="43" w:name="_Toc15252"/>
      <w:bookmarkStart w:id="44" w:name="_Toc9777"/>
      <w:bookmarkStart w:id="45" w:name="_Toc16243"/>
      <w:r>
        <w:rPr>
          <w:rFonts w:hint="eastAsia" w:ascii="仿宋_GB2312" w:hAnsi="仿宋_GB2312" w:eastAsia="仿宋_GB2312" w:cs="仿宋_GB2312"/>
          <w:sz w:val="32"/>
          <w:szCs w:val="32"/>
        </w:rPr>
        <w:t>一、</w:t>
      </w:r>
      <w:bookmarkEnd w:id="41"/>
      <w:r>
        <w:rPr>
          <w:rFonts w:hint="eastAsia" w:ascii="仿宋_GB2312" w:hAnsi="仿宋_GB2312" w:eastAsia="仿宋_GB2312" w:cs="仿宋_GB2312"/>
          <w:sz w:val="32"/>
          <w:szCs w:val="32"/>
        </w:rPr>
        <w:t>基本情况</w:t>
      </w:r>
      <w:bookmarkEnd w:id="42"/>
      <w:bookmarkEnd w:id="43"/>
      <w:bookmarkEnd w:id="44"/>
      <w:bookmarkEnd w:id="45"/>
    </w:p>
    <w:p>
      <w:pPr>
        <w:pStyle w:val="5"/>
        <w:keepNext/>
        <w:keepLines/>
        <w:pageBreakBefore w:val="0"/>
        <w:widowControl w:val="0"/>
        <w:kinsoku/>
        <w:wordWrap/>
        <w:overflowPunct/>
        <w:topLinePunct w:val="0"/>
        <w:autoSpaceDE/>
        <w:autoSpaceDN/>
        <w:bidi w:val="0"/>
        <w:adjustRightInd/>
        <w:snapToGrid/>
        <w:textAlignment w:val="auto"/>
        <w:rPr>
          <w:rFonts w:ascii="仿宋_GB2312" w:hAnsi="仿宋_GB2312" w:eastAsia="仿宋_GB2312" w:cs="仿宋_GB2312"/>
        </w:rPr>
      </w:pPr>
      <w:bookmarkStart w:id="46" w:name="_Toc10942"/>
      <w:bookmarkStart w:id="47" w:name="_Toc1353"/>
      <w:bookmarkStart w:id="48" w:name="_Toc32571"/>
      <w:bookmarkStart w:id="49" w:name="_Toc19112382"/>
      <w:bookmarkStart w:id="50" w:name="_Toc12365"/>
      <w:r>
        <w:rPr>
          <w:rFonts w:hint="eastAsia" w:ascii="仿宋_GB2312" w:hAnsi="仿宋_GB2312" w:eastAsia="仿宋_GB2312" w:cs="仿宋_GB2312"/>
        </w:rPr>
        <w:t>（一）项目概况</w:t>
      </w:r>
      <w:bookmarkEnd w:id="46"/>
      <w:bookmarkEnd w:id="47"/>
      <w:bookmarkEnd w:id="48"/>
      <w:bookmarkEnd w:id="49"/>
      <w:bookmarkEnd w:id="50"/>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bookmarkStart w:id="51" w:name="_Toc12072"/>
      <w:bookmarkStart w:id="52" w:name="_Toc5258"/>
      <w:bookmarkStart w:id="53" w:name="_Toc3757"/>
      <w:bookmarkStart w:id="54" w:name="_Toc548"/>
      <w:bookmarkStart w:id="55" w:name="_Toc137389847"/>
      <w:bookmarkStart w:id="56" w:name="_Toc31696"/>
      <w:bookmarkStart w:id="57" w:name="_Toc137402572"/>
      <w:bookmarkStart w:id="58" w:name="_Toc29431"/>
      <w:bookmarkStart w:id="59" w:name="_Toc9816"/>
      <w:bookmarkStart w:id="60" w:name="_Toc137420049"/>
      <w:r>
        <w:rPr>
          <w:rFonts w:hint="eastAsia" w:ascii="仿宋_GB2312" w:hAnsi="仿宋_GB2312" w:eastAsia="仿宋_GB2312" w:cs="仿宋_GB2312"/>
          <w:kern w:val="0"/>
          <w:sz w:val="32"/>
          <w:szCs w:val="32"/>
        </w:rPr>
        <w:t>1．项目背景</w:t>
      </w:r>
      <w:bookmarkEnd w:id="51"/>
      <w:bookmarkEnd w:id="52"/>
      <w:bookmarkEnd w:id="53"/>
      <w:bookmarkEnd w:id="54"/>
      <w:bookmarkEnd w:id="55"/>
      <w:bookmarkEnd w:id="56"/>
      <w:bookmarkEnd w:id="57"/>
      <w:bookmarkEnd w:id="58"/>
      <w:bookmarkEnd w:id="59"/>
      <w:bookmarkEnd w:id="60"/>
      <w:r>
        <w:rPr>
          <w:rFonts w:hint="eastAsia" w:ascii="仿宋_GB2312" w:hAnsi="仿宋_GB2312" w:eastAsia="仿宋_GB2312" w:cs="仿宋_GB2312"/>
          <w:kern w:val="0"/>
          <w:sz w:val="32"/>
          <w:szCs w:val="32"/>
        </w:rPr>
        <w:tab/>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bookmarkStart w:id="61" w:name="_Toc137389850"/>
      <w:bookmarkStart w:id="62" w:name="_Toc6643"/>
      <w:bookmarkStart w:id="63" w:name="_Toc3553"/>
      <w:bookmarkStart w:id="64" w:name="_Toc30741"/>
      <w:bookmarkStart w:id="65" w:name="_Toc20657"/>
      <w:bookmarkStart w:id="66" w:name="_Toc6116"/>
      <w:bookmarkStart w:id="67" w:name="_Toc24708"/>
      <w:bookmarkStart w:id="68" w:name="_Toc19112383"/>
      <w:bookmarkStart w:id="69" w:name="_Toc137402575"/>
      <w:bookmarkStart w:id="70" w:name="_Toc137420052"/>
      <w:bookmarkStart w:id="71" w:name="_Toc28686"/>
      <w:r>
        <w:rPr>
          <w:rFonts w:hint="eastAsia" w:ascii="仿宋_GB2312" w:hAnsi="仿宋_GB2312" w:eastAsia="仿宋_GB2312" w:cs="仿宋_GB2312"/>
          <w:kern w:val="0"/>
          <w:sz w:val="32"/>
          <w:szCs w:val="32"/>
        </w:rPr>
        <w:t>北京市作为首善之区，在培育和践行社会主义核心价值观和公民道德建设活动中要发挥示范带头作用，通过深入挖掘和广泛宣传榜样人物的先进事迹，北京市旨在以这些鲜活的故事感召人心、影响行为、激发动力，从而在全社会范围内积极营造出一种</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善满京城</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的浓厚氛围。自2014年起，市委宣传部与首都文明办携手主办，并由</w:t>
      </w:r>
      <w:r>
        <w:rPr>
          <w:rFonts w:hint="eastAsia" w:ascii="仿宋_GB2312" w:hAnsi="仿宋_GB2312" w:eastAsia="仿宋_GB2312" w:cs="仿宋_GB2312"/>
          <w:kern w:val="0"/>
          <w:sz w:val="32"/>
          <w:szCs w:val="32"/>
          <w:lang w:val="en-US" w:eastAsia="zh-CN"/>
        </w:rPr>
        <w:t>总台</w:t>
      </w:r>
      <w:r>
        <w:rPr>
          <w:rFonts w:hint="eastAsia" w:ascii="仿宋_GB2312" w:hAnsi="仿宋_GB2312" w:eastAsia="仿宋_GB2312" w:cs="仿宋_GB2312"/>
          <w:kern w:val="0"/>
          <w:sz w:val="32"/>
          <w:szCs w:val="32"/>
        </w:rPr>
        <w:t>在全市范围内持续开展</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北京榜样</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大型主题活动，通过年度组织推进的形式，不断弘扬社会正能量，引领社会风尚。</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2．项目内容</w:t>
      </w:r>
      <w:bookmarkEnd w:id="61"/>
      <w:bookmarkEnd w:id="62"/>
      <w:bookmarkEnd w:id="63"/>
      <w:bookmarkEnd w:id="64"/>
      <w:bookmarkEnd w:id="65"/>
      <w:bookmarkEnd w:id="66"/>
      <w:bookmarkEnd w:id="67"/>
      <w:bookmarkEnd w:id="68"/>
      <w:bookmarkEnd w:id="69"/>
      <w:bookmarkEnd w:id="70"/>
      <w:bookmarkEnd w:id="71"/>
      <w:bookmarkStart w:id="72" w:name="_Toc19112384"/>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北京榜样”大型主题活动划分为两个阶段，5月至10月为推荐上榜阶段，11月至次年4月为宣传推广阶段，做到推荐上榜阶段同步开展宣传，宣传推广阶段榜样推荐不间断。其中5月至10月每月召开1次组委会主任评审会，对榜样人物进行评审，定期发布周榜人物、月榜人物，在月榜人物的基础上，年底评选产生十大年度榜样人物。与此期间，举办涵盖四个方面主题的公益活动，即“学榜样我行动”系列公益活动、“为榜样圆梦”系列公益活动、“关爱礼遇北京榜样”系列公益活动，“回首十年征程路”北京榜样小课堂系列活动，进一步向全国辐射和扩大“北京榜样”的品牌影响力，充分发挥榜样人物的示范带动作用，使榜样力量转化为群众自觉的道德实践，推动形成人人都做好人好事，人人争当“北京榜样”的良好社会风尚。</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bookmarkStart w:id="73" w:name="_Toc1081"/>
      <w:bookmarkStart w:id="74" w:name="_Toc2345"/>
      <w:bookmarkStart w:id="75" w:name="_Toc137420053"/>
      <w:bookmarkStart w:id="76" w:name="_Toc15270"/>
      <w:bookmarkStart w:id="77" w:name="_Toc10693"/>
      <w:bookmarkStart w:id="78" w:name="_Toc17031"/>
      <w:bookmarkStart w:id="79" w:name="_Toc22589"/>
      <w:bookmarkStart w:id="80" w:name="_Toc22815"/>
      <w:bookmarkStart w:id="81" w:name="_Toc137389851"/>
      <w:bookmarkStart w:id="82" w:name="_Toc137402576"/>
      <w:r>
        <w:rPr>
          <w:rFonts w:hint="eastAsia" w:ascii="仿宋_GB2312" w:hAnsi="仿宋_GB2312" w:eastAsia="仿宋_GB2312" w:cs="仿宋_GB2312"/>
          <w:kern w:val="0"/>
          <w:sz w:val="32"/>
          <w:szCs w:val="32"/>
        </w:rPr>
        <w:t>3．项目资金情况</w:t>
      </w:r>
      <w:bookmarkEnd w:id="72"/>
      <w:bookmarkEnd w:id="73"/>
      <w:bookmarkEnd w:id="74"/>
      <w:bookmarkEnd w:id="75"/>
      <w:bookmarkEnd w:id="76"/>
      <w:bookmarkEnd w:id="77"/>
      <w:bookmarkEnd w:id="78"/>
      <w:bookmarkEnd w:id="79"/>
      <w:bookmarkEnd w:id="80"/>
      <w:bookmarkEnd w:id="81"/>
      <w:bookmarkEnd w:id="82"/>
    </w:p>
    <w:p>
      <w:pPr>
        <w:keepNext w:val="0"/>
        <w:keepLines w:val="0"/>
        <w:pageBreakBefore w:val="0"/>
        <w:widowControl/>
        <w:tabs>
          <w:tab w:val="left" w:pos="2215"/>
        </w:tabs>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该项目年初申报预算资金</w:t>
      </w:r>
      <w:r>
        <w:rPr>
          <w:rFonts w:hint="eastAsia" w:ascii="仿宋_GB2312" w:hAnsi="仿宋_GB2312" w:eastAsia="仿宋_GB2312" w:cs="仿宋_GB2312"/>
          <w:kern w:val="0"/>
          <w:sz w:val="32"/>
          <w:szCs w:val="32"/>
          <w:lang w:val="en-US" w:eastAsia="zh-CN"/>
        </w:rPr>
        <w:t>983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8959</w:t>
      </w:r>
      <w:r>
        <w:rPr>
          <w:rFonts w:hint="eastAsia" w:ascii="仿宋_GB2312" w:hAnsi="仿宋_GB2312" w:eastAsia="仿宋_GB2312" w:cs="仿宋_GB2312"/>
          <w:kern w:val="0"/>
          <w:sz w:val="32"/>
          <w:szCs w:val="32"/>
        </w:rPr>
        <w:t>万元，经预算评审，审定项目资金</w:t>
      </w:r>
      <w:r>
        <w:rPr>
          <w:rFonts w:hint="eastAsia" w:ascii="仿宋_GB2312" w:hAnsi="仿宋_GB2312" w:eastAsia="仿宋_GB2312" w:cs="仿宋_GB2312"/>
          <w:kern w:val="0"/>
          <w:sz w:val="32"/>
          <w:szCs w:val="32"/>
          <w:lang w:val="en-US" w:eastAsia="zh-CN"/>
        </w:rPr>
        <w:t>983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8959</w:t>
      </w:r>
      <w:r>
        <w:rPr>
          <w:rFonts w:hint="eastAsia" w:ascii="仿宋_GB2312" w:hAnsi="仿宋_GB2312" w:eastAsia="仿宋_GB2312" w:cs="仿宋_GB2312"/>
          <w:kern w:val="0"/>
          <w:sz w:val="32"/>
          <w:szCs w:val="32"/>
        </w:rPr>
        <w:t>元。根据《北京市财政局关于批复北京</w:t>
      </w:r>
      <w:r>
        <w:rPr>
          <w:rFonts w:hint="eastAsia" w:ascii="仿宋_GB2312" w:hAnsi="仿宋_GB2312" w:eastAsia="仿宋_GB2312" w:cs="仿宋_GB2312"/>
          <w:kern w:val="0"/>
          <w:sz w:val="32"/>
          <w:szCs w:val="32"/>
          <w:lang w:val="en-US" w:eastAsia="zh-CN"/>
        </w:rPr>
        <w:t>广播电视台</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年预算的函》（京财科文指〔202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0206</w:t>
      </w:r>
      <w:r>
        <w:rPr>
          <w:rFonts w:hint="eastAsia" w:ascii="仿宋_GB2312" w:hAnsi="仿宋_GB2312" w:eastAsia="仿宋_GB2312" w:cs="仿宋_GB2312"/>
          <w:kern w:val="0"/>
          <w:sz w:val="32"/>
          <w:szCs w:val="32"/>
        </w:rPr>
        <w:t>号）相关内容，该项目年初批复财政预算资金</w:t>
      </w:r>
      <w:r>
        <w:rPr>
          <w:rFonts w:hint="eastAsia" w:ascii="仿宋_GB2312" w:hAnsi="仿宋_GB2312" w:eastAsia="仿宋_GB2312" w:cs="仿宋_GB2312"/>
          <w:kern w:val="0"/>
          <w:sz w:val="32"/>
          <w:szCs w:val="32"/>
          <w:lang w:val="en-US" w:eastAsia="zh-CN"/>
        </w:rPr>
        <w:t>983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8959</w:t>
      </w:r>
      <w:r>
        <w:rPr>
          <w:rFonts w:hint="eastAsia" w:ascii="仿宋_GB2312" w:hAnsi="仿宋_GB2312" w:eastAsia="仿宋_GB2312" w:cs="仿宋_GB2312"/>
          <w:kern w:val="0"/>
          <w:sz w:val="32"/>
          <w:szCs w:val="32"/>
        </w:rPr>
        <w:t>万元。截至202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年12月31日，该项目实际</w:t>
      </w:r>
      <w:r>
        <w:rPr>
          <w:rFonts w:hint="eastAsia" w:ascii="仿宋_GB2312" w:hAnsi="仿宋_GB2312" w:eastAsia="仿宋_GB2312" w:cs="仿宋_GB2312"/>
          <w:kern w:val="0"/>
          <w:sz w:val="32"/>
          <w:szCs w:val="32"/>
          <w:lang w:val="en-US" w:eastAsia="zh-CN"/>
        </w:rPr>
        <w:t>983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8959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资金支出进度达</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%。实际使用情况如下表1所示：</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表1：</w:t>
      </w:r>
      <w:r>
        <w:rPr>
          <w:rFonts w:hint="eastAsia" w:ascii="仿宋_GB2312" w:hAnsi="Times New Roman" w:eastAsia="仿宋_GB2312" w:cs="Times New Roman"/>
          <w:b/>
          <w:bCs/>
          <w:sz w:val="28"/>
          <w:szCs w:val="28"/>
          <w:lang w:val="en-US" w:eastAsia="zh-CN"/>
        </w:rPr>
        <w:t>北京榜样</w:t>
      </w:r>
      <w:r>
        <w:rPr>
          <w:rFonts w:hint="eastAsia" w:ascii="仿宋_GB2312" w:hAnsi="Times New Roman" w:eastAsia="仿宋_GB2312" w:cs="Times New Roman"/>
          <w:b/>
          <w:bCs/>
          <w:sz w:val="28"/>
          <w:szCs w:val="28"/>
        </w:rPr>
        <w:t>项目支出表</w:t>
      </w:r>
    </w:p>
    <w:tbl>
      <w:tblPr>
        <w:tblStyle w:val="15"/>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3957"/>
        <w:gridCol w:w="398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1" w:hRule="exact"/>
          <w:jc w:val="center"/>
        </w:trPr>
        <w:tc>
          <w:tcPr>
            <w:tcW w:w="1059"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3957"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子项目</w:t>
            </w:r>
          </w:p>
        </w:tc>
        <w:tc>
          <w:tcPr>
            <w:tcW w:w="3987"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实际支出金额（万元）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1" w:hRule="exact"/>
          <w:jc w:val="center"/>
        </w:trPr>
        <w:tc>
          <w:tcPr>
            <w:tcW w:w="1059"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3957" w:type="dxa"/>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评审工作组织实施</w:t>
            </w:r>
          </w:p>
        </w:tc>
        <w:tc>
          <w:tcPr>
            <w:tcW w:w="3987" w:type="dxa"/>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52.99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1" w:hRule="exact"/>
          <w:jc w:val="center"/>
        </w:trPr>
        <w:tc>
          <w:tcPr>
            <w:tcW w:w="1059"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3957" w:type="dxa"/>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“学榜样我行动”系列活动</w:t>
            </w:r>
          </w:p>
        </w:tc>
        <w:tc>
          <w:tcPr>
            <w:tcW w:w="3987" w:type="dxa"/>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152.44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1" w:hRule="exact"/>
          <w:jc w:val="center"/>
        </w:trPr>
        <w:tc>
          <w:tcPr>
            <w:tcW w:w="1059"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3957" w:type="dxa"/>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“为榜样圆梦”系列活动</w:t>
            </w:r>
          </w:p>
        </w:tc>
        <w:tc>
          <w:tcPr>
            <w:tcW w:w="3987" w:type="dxa"/>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146.14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1" w:hRule="exact"/>
          <w:jc w:val="center"/>
        </w:trPr>
        <w:tc>
          <w:tcPr>
            <w:tcW w:w="1059"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3957" w:type="dxa"/>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“关爱礼遇北京榜样”系列活动</w:t>
            </w:r>
          </w:p>
        </w:tc>
        <w:tc>
          <w:tcPr>
            <w:tcW w:w="3987" w:type="dxa"/>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175.39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1" w:hRule="exact"/>
          <w:jc w:val="center"/>
        </w:trPr>
        <w:tc>
          <w:tcPr>
            <w:tcW w:w="1059"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3957" w:type="dxa"/>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活动宣传推广</w:t>
            </w:r>
          </w:p>
        </w:tc>
        <w:tc>
          <w:tcPr>
            <w:tcW w:w="3987" w:type="dxa"/>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288.04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1" w:hRule="exact"/>
          <w:jc w:val="center"/>
        </w:trPr>
        <w:tc>
          <w:tcPr>
            <w:tcW w:w="1059"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3957" w:type="dxa"/>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“回首十年征程路”北京榜样小课堂</w:t>
            </w:r>
          </w:p>
        </w:tc>
        <w:tc>
          <w:tcPr>
            <w:tcW w:w="3987" w:type="dxa"/>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 xml:space="preserve">168.90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3" w:hRule="exact"/>
          <w:jc w:val="center"/>
        </w:trPr>
        <w:tc>
          <w:tcPr>
            <w:tcW w:w="5016" w:type="dxa"/>
            <w:gridSpan w:val="2"/>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3987" w:type="dxa"/>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 xml:space="preserve"> 983.90 </w:t>
            </w:r>
          </w:p>
        </w:tc>
      </w:tr>
    </w:tbl>
    <w:p>
      <w:pPr>
        <w:pStyle w:val="5"/>
        <w:keepNext/>
        <w:keepLines/>
        <w:pageBreakBefore w:val="0"/>
        <w:widowControl w:val="0"/>
        <w:kinsoku/>
        <w:wordWrap/>
        <w:overflowPunct/>
        <w:topLinePunct w:val="0"/>
        <w:autoSpaceDE/>
        <w:autoSpaceDN/>
        <w:bidi w:val="0"/>
        <w:adjustRightInd/>
        <w:snapToGrid/>
        <w:spacing w:before="157" w:beforeLines="50"/>
        <w:textAlignment w:val="auto"/>
        <w:rPr>
          <w:rFonts w:ascii="仿宋_GB2312" w:hAnsi="仿宋_GB2312" w:eastAsia="仿宋_GB2312" w:cs="仿宋_GB2312"/>
        </w:rPr>
      </w:pPr>
      <w:bookmarkStart w:id="83" w:name="_Toc25957"/>
      <w:bookmarkStart w:id="84" w:name="_Toc27426"/>
      <w:bookmarkStart w:id="85" w:name="_Toc19112385"/>
      <w:bookmarkStart w:id="86" w:name="_Toc31011"/>
      <w:bookmarkStart w:id="87" w:name="_Toc24435"/>
      <w:r>
        <w:rPr>
          <w:rFonts w:hint="eastAsia" w:ascii="仿宋_GB2312" w:hAnsi="仿宋_GB2312" w:eastAsia="仿宋_GB2312" w:cs="仿宋_GB2312"/>
        </w:rPr>
        <w:t>（二）项目绩效目标</w:t>
      </w:r>
      <w:bookmarkEnd w:id="83"/>
      <w:bookmarkEnd w:id="84"/>
      <w:bookmarkEnd w:id="85"/>
      <w:bookmarkEnd w:id="86"/>
      <w:bookmarkEnd w:id="87"/>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1.总体目标</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default"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北京榜样</w:t>
      </w:r>
      <w:r>
        <w:rPr>
          <w:rFonts w:hint="default"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大型主题活动旨在全市范围内精心选树一批“崇德向善、奋发向上”的榜样人物，通过他们的先进事迹和崇高精神，充分发挥榜样的引领和示范效应。这一活动致力于打造成为培育和践行社会主义核心价值观的标志性品牌，汇聚实现中国梦的强大精神力量，为建设国际一流的和谐宜居之都提供强大的精神动力和道德支撑。 。</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2.项目具体指标和指标值设定情况</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根据项目实际情况，设定了项目绩效目标，并填报了绩效目标申报表。项目具体指标和指标值设定情况见表2。</w:t>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ascii="Times New Roman" w:hAnsi="Times New Roman" w:eastAsia="仿宋_GB2312" w:cs="Times New Roman"/>
          <w:b/>
          <w:sz w:val="28"/>
          <w:szCs w:val="32"/>
        </w:rPr>
      </w:pP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ascii="Times New Roman" w:hAnsi="Times New Roman" w:eastAsia="仿宋_GB2312" w:cs="Times New Roman"/>
          <w:b/>
          <w:sz w:val="28"/>
          <w:szCs w:val="32"/>
        </w:rPr>
      </w:pPr>
      <w:r>
        <w:rPr>
          <w:rFonts w:ascii="Times New Roman" w:hAnsi="Times New Roman" w:eastAsia="仿宋_GB2312" w:cs="Times New Roman"/>
          <w:b/>
          <w:sz w:val="28"/>
          <w:szCs w:val="32"/>
        </w:rPr>
        <w:t>表2：</w:t>
      </w:r>
      <w:r>
        <w:rPr>
          <w:rFonts w:hint="eastAsia" w:ascii="仿宋_GB2312" w:hAnsi="Times New Roman" w:eastAsia="仿宋_GB2312" w:cs="Times New Roman"/>
          <w:b/>
          <w:bCs/>
          <w:sz w:val="28"/>
          <w:szCs w:val="28"/>
          <w:lang w:val="en-US" w:eastAsia="zh-CN"/>
        </w:rPr>
        <w:t>北京榜样</w:t>
      </w:r>
      <w:r>
        <w:rPr>
          <w:rFonts w:hint="eastAsia" w:ascii="仿宋_GB2312" w:hAnsi="Times New Roman" w:eastAsia="仿宋_GB2312" w:cs="Times New Roman"/>
          <w:b/>
          <w:bCs/>
          <w:sz w:val="28"/>
          <w:szCs w:val="28"/>
        </w:rPr>
        <w:t>项目</w:t>
      </w:r>
      <w:r>
        <w:rPr>
          <w:rFonts w:ascii="Times New Roman" w:hAnsi="Times New Roman" w:eastAsia="仿宋_GB2312" w:cs="Times New Roman"/>
          <w:b/>
          <w:sz w:val="28"/>
          <w:szCs w:val="32"/>
        </w:rPr>
        <w:t>绩效指标</w:t>
      </w:r>
    </w:p>
    <w:tbl>
      <w:tblPr>
        <w:tblStyle w:val="15"/>
        <w:tblW w:w="87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1836"/>
        <w:gridCol w:w="2459"/>
        <w:gridCol w:w="1213"/>
        <w:gridCol w:w="100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800" w:hRule="atLeast"/>
          <w:tblHeader/>
        </w:trPr>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bookmarkStart w:id="88" w:name="_Toc19112386"/>
            <w:bookmarkStart w:id="89" w:name="_Toc30119"/>
            <w:bookmarkStart w:id="90" w:name="_Toc16400"/>
            <w:bookmarkStart w:id="91" w:name="_Toc31283"/>
            <w:r>
              <w:rPr>
                <w:rFonts w:hint="eastAsia" w:ascii="宋体" w:hAnsi="宋体" w:eastAsia="宋体" w:cs="宋体"/>
                <w:b/>
                <w:bCs/>
                <w:i w:val="0"/>
                <w:iCs w:val="0"/>
                <w:color w:val="000000"/>
                <w:kern w:val="0"/>
                <w:sz w:val="20"/>
                <w:szCs w:val="20"/>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指标性质</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产出指标</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数量指标</w:t>
            </w: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bidi="ar"/>
              </w:rPr>
              <w:t>举办活动场次</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bidi="ar"/>
              </w:rPr>
              <w:t>评选榜样人数</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质量指标</w:t>
            </w: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bidi="ar"/>
              </w:rPr>
              <w:t>导向正确、主题鲜明</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定性</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bidi="ar"/>
              </w:rPr>
              <w:t>在全市选树一批“崇德向善 奋发向上”的榜样人物，充分发挥榜样的引领和示范效应，打造培育和践行社会主义核心价值观的品牌活动</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定性</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高中低</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时效指标</w:t>
            </w: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bidi="ar"/>
              </w:rPr>
              <w:t>活动举办时间</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定性</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效益指标</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社会效益指标</w:t>
            </w: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bidi="ar"/>
              </w:rPr>
              <w:t>选树一批“崇德向善 奋发向上”的榜样人物</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定性</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高中低</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bidi="ar"/>
              </w:rPr>
              <w:t>打造符合社会主义核心价值观的品牌活动，汇聚实现中国梦的精神力量</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定性</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高中低</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满意度指标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服务对象满意度指标</w:t>
            </w:r>
          </w:p>
        </w:tc>
        <w:tc>
          <w:tcPr>
            <w:tcW w:w="2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bidi="ar"/>
              </w:rPr>
              <w:t>社会满意度</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22"/>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bl>
    <w:p>
      <w:pPr>
        <w:pStyle w:val="4"/>
        <w:keepNext/>
        <w:keepLines/>
        <w:pageBreakBefore w:val="0"/>
        <w:widowControl w:val="0"/>
        <w:kinsoku/>
        <w:wordWrap/>
        <w:overflowPunct/>
        <w:topLinePunct w:val="0"/>
        <w:autoSpaceDE/>
        <w:autoSpaceDN/>
        <w:bidi w:val="0"/>
        <w:adjustRightInd/>
        <w:snapToGrid/>
        <w:spacing w:before="157" w:beforeLines="50" w:line="360" w:lineRule="auto"/>
        <w:ind w:firstLine="643"/>
        <w:textAlignment w:val="auto"/>
        <w:rPr>
          <w:rFonts w:ascii="仿宋_GB2312" w:hAnsi="仿宋_GB2312" w:eastAsia="仿宋_GB2312" w:cs="仿宋_GB2312"/>
          <w:sz w:val="32"/>
          <w:szCs w:val="32"/>
        </w:rPr>
      </w:pPr>
      <w:bookmarkStart w:id="92" w:name="_Toc26064"/>
      <w:r>
        <w:rPr>
          <w:rFonts w:hint="eastAsia" w:ascii="仿宋_GB2312" w:hAnsi="仿宋_GB2312" w:eastAsia="仿宋_GB2312" w:cs="仿宋_GB2312"/>
          <w:sz w:val="32"/>
          <w:szCs w:val="32"/>
        </w:rPr>
        <w:t>二、</w:t>
      </w:r>
      <w:bookmarkEnd w:id="88"/>
      <w:r>
        <w:rPr>
          <w:rFonts w:hint="eastAsia" w:ascii="仿宋_GB2312" w:hAnsi="仿宋_GB2312" w:eastAsia="仿宋_GB2312" w:cs="仿宋_GB2312"/>
          <w:sz w:val="32"/>
          <w:szCs w:val="32"/>
        </w:rPr>
        <w:t>绩效评价工作开展情况</w:t>
      </w:r>
      <w:bookmarkEnd w:id="89"/>
      <w:bookmarkEnd w:id="90"/>
      <w:bookmarkEnd w:id="91"/>
      <w:bookmarkEnd w:id="92"/>
    </w:p>
    <w:p>
      <w:pPr>
        <w:pStyle w:val="5"/>
        <w:keepNext/>
        <w:keepLines/>
        <w:pageBreakBefore w:val="0"/>
        <w:widowControl w:val="0"/>
        <w:kinsoku/>
        <w:wordWrap/>
        <w:overflowPunct/>
        <w:topLinePunct w:val="0"/>
        <w:autoSpaceDE/>
        <w:autoSpaceDN/>
        <w:bidi w:val="0"/>
        <w:adjustRightInd/>
        <w:snapToGrid/>
        <w:textAlignment w:val="auto"/>
        <w:rPr>
          <w:rFonts w:ascii="仿宋_GB2312" w:hAnsi="仿宋_GB2312" w:eastAsia="仿宋_GB2312" w:cs="仿宋_GB2312"/>
        </w:rPr>
      </w:pPr>
      <w:bookmarkStart w:id="93" w:name="_Toc19112387"/>
      <w:bookmarkStart w:id="94" w:name="_Toc15099"/>
      <w:bookmarkStart w:id="95" w:name="_Toc3627"/>
      <w:bookmarkStart w:id="96" w:name="_Toc19546"/>
      <w:bookmarkStart w:id="97" w:name="_Toc14466"/>
      <w:r>
        <w:rPr>
          <w:rFonts w:hint="eastAsia" w:ascii="仿宋_GB2312" w:hAnsi="仿宋_GB2312" w:eastAsia="仿宋_GB2312" w:cs="仿宋_GB2312"/>
        </w:rPr>
        <w:t>（一）</w:t>
      </w:r>
      <w:bookmarkEnd w:id="93"/>
      <w:bookmarkStart w:id="98" w:name="_Hlk71366471"/>
      <w:r>
        <w:rPr>
          <w:rFonts w:hint="eastAsia" w:ascii="仿宋_GB2312" w:hAnsi="仿宋_GB2312" w:eastAsia="仿宋_GB2312" w:cs="仿宋_GB2312"/>
        </w:rPr>
        <w:t>绩效评价目的，对象和范围</w:t>
      </w:r>
      <w:bookmarkEnd w:id="94"/>
      <w:bookmarkEnd w:id="95"/>
      <w:bookmarkEnd w:id="96"/>
      <w:bookmarkEnd w:id="97"/>
      <w:bookmarkEnd w:id="98"/>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bookmarkStart w:id="99" w:name="_Toc14351452"/>
      <w:bookmarkStart w:id="100" w:name="_Toc471310848"/>
      <w:bookmarkStart w:id="101" w:name="_Toc362348586"/>
      <w:bookmarkStart w:id="102" w:name="_Toc10842"/>
      <w:bookmarkStart w:id="103" w:name="_Toc9037"/>
      <w:bookmarkStart w:id="104" w:name="_Toc480969043"/>
      <w:bookmarkStart w:id="105" w:name="_Toc10943"/>
      <w:bookmarkStart w:id="106" w:name="_Toc137420061"/>
      <w:bookmarkStart w:id="107" w:name="_Toc19112389"/>
      <w:bookmarkStart w:id="108" w:name="_Toc362348684"/>
      <w:bookmarkStart w:id="109" w:name="_Toc12254"/>
      <w:bookmarkStart w:id="110" w:name="_Toc15219"/>
      <w:bookmarkStart w:id="111" w:name="_Toc424565441"/>
      <w:bookmarkStart w:id="112" w:name="_Hlk71367375"/>
      <w:bookmarkStart w:id="113" w:name="_Toc471373414"/>
      <w:bookmarkStart w:id="114" w:name="_Toc137389859"/>
      <w:bookmarkStart w:id="115" w:name="_Toc137402584"/>
      <w:bookmarkStart w:id="116" w:name="_Toc10510"/>
      <w:r>
        <w:rPr>
          <w:rFonts w:hint="eastAsia" w:ascii="仿宋_GB2312" w:hAnsi="仿宋_GB2312" w:eastAsia="仿宋_GB2312" w:cs="仿宋_GB2312"/>
          <w:kern w:val="0"/>
          <w:sz w:val="32"/>
          <w:szCs w:val="32"/>
        </w:rPr>
        <w:t>1.绩效评价目的</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通过开展绩效评价工作，衡量和考核 “</w:t>
      </w:r>
      <w:r>
        <w:rPr>
          <w:rFonts w:hint="eastAsia" w:ascii="仿宋_GB2312" w:hAnsi="仿宋_GB2312" w:eastAsia="仿宋_GB2312" w:cs="仿宋_GB2312"/>
          <w:kern w:val="0"/>
          <w:sz w:val="32"/>
          <w:szCs w:val="32"/>
          <w:lang w:val="en-US" w:eastAsia="zh-CN"/>
        </w:rPr>
        <w:t>北京榜样</w:t>
      </w:r>
      <w:r>
        <w:rPr>
          <w:rFonts w:hint="eastAsia" w:ascii="仿宋_GB2312" w:hAnsi="仿宋_GB2312" w:eastAsia="仿宋_GB2312" w:cs="仿宋_GB2312"/>
          <w:kern w:val="0"/>
          <w:sz w:val="32"/>
          <w:szCs w:val="32"/>
        </w:rPr>
        <w:t>”项目在申报、执行、管理和绩效等方面的整体情况并对该项目实施的全过程进行绩效分析。包括对项目决策过程的合理性、管理体系的规范性、绩效目标实现程度进行综合评价，梳理项目决策、管理过程中存在的问题，加强项目预算绩效管理，提高财政资金使用效益。</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2.绩效评价对象和范围</w:t>
      </w:r>
    </w:p>
    <w:p>
      <w:pPr>
        <w:keepNext w:val="0"/>
        <w:keepLines w:val="0"/>
        <w:pageBreakBefore w:val="0"/>
        <w:widowControl/>
        <w:tabs>
          <w:tab w:val="left" w:pos="2215"/>
        </w:tabs>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本次评价对象为“</w:t>
      </w:r>
      <w:r>
        <w:rPr>
          <w:rFonts w:hint="eastAsia" w:ascii="仿宋_GB2312" w:hAnsi="仿宋_GB2312" w:eastAsia="仿宋_GB2312" w:cs="仿宋_GB2312"/>
          <w:kern w:val="0"/>
          <w:sz w:val="32"/>
          <w:szCs w:val="32"/>
          <w:lang w:val="en-US" w:eastAsia="zh-CN"/>
        </w:rPr>
        <w:t>北京榜样</w:t>
      </w:r>
      <w:r>
        <w:rPr>
          <w:rFonts w:hint="eastAsia" w:ascii="仿宋_GB2312" w:hAnsi="仿宋_GB2312" w:eastAsia="仿宋_GB2312" w:cs="仿宋_GB2312"/>
          <w:kern w:val="0"/>
          <w:sz w:val="32"/>
          <w:szCs w:val="32"/>
          <w:lang w:eastAsia="zh-Hans"/>
        </w:rPr>
        <w:t>”项目；评价范围为202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Hans"/>
        </w:rPr>
        <w:t>年度项目资金983.8959万元的申报及使用情况，包括项目决策、项目过程、项目产出、项目效益等</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ascii="仿宋_GB2312" w:hAnsi="仿宋_GB2312" w:eastAsia="仿宋_GB2312" w:cs="仿宋_GB2312"/>
          <w:b/>
          <w:bCs/>
          <w:kern w:val="0"/>
          <w:sz w:val="32"/>
          <w:szCs w:val="32"/>
        </w:rPr>
      </w:pPr>
      <w:bookmarkStart w:id="117" w:name="_Toc13732"/>
      <w:bookmarkStart w:id="118" w:name="_Toc7513"/>
      <w:r>
        <w:rPr>
          <w:rFonts w:hint="eastAsia" w:ascii="仿宋_GB2312" w:hAnsi="仿宋_GB2312" w:eastAsia="仿宋_GB2312" w:cs="仿宋_GB2312"/>
          <w:b/>
          <w:bCs/>
          <w:kern w:val="0"/>
          <w:sz w:val="32"/>
          <w:szCs w:val="32"/>
        </w:rPr>
        <w:t>（二）绩效评价原则、评价方法及评价标准</w:t>
      </w:r>
      <w:bookmarkEnd w:id="117"/>
      <w:bookmarkEnd w:id="118"/>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1.评价原则</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本次绩效评价遵循“科学公正、统筹兼顾、激励约束、公开透明”的原则。</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2.评价方法</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绩效评价方法采用比较法、专家评价等方法开展评价工作。工作组通过资料审核、电话沟通的方式，了解该项目资金的决策、使用和取得的效益情况，收集并整理项目资料，组织开展绩效评价会议，由各专家对项目进行评价。</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3.评价标准</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本次绩效评价标准包括计划标准、行业标准、历史标准等，用于对绩效指标完成情况进行比较。</w:t>
      </w:r>
    </w:p>
    <w:p>
      <w:pPr>
        <w:adjustRightInd w:val="0"/>
        <w:snapToGrid w:val="0"/>
        <w:spacing w:line="360" w:lineRule="auto"/>
        <w:ind w:firstLine="640" w:firstLineChars="200"/>
        <w:outlineLvl w:val="2"/>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（三）评价指标体系</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评价工作组根据《北京市项目支出绩效评价管理办法》中的绩效评价体系框架，围绕项目决策、过程、产出和效益四个维度，</w:t>
      </w:r>
      <w:r>
        <w:rPr>
          <w:rFonts w:hint="eastAsia" w:ascii="仿宋_GB2312" w:hAnsi="仿宋_GB2312" w:eastAsia="仿宋_GB2312" w:cs="仿宋_GB2312"/>
          <w:kern w:val="0"/>
          <w:sz w:val="32"/>
          <w:szCs w:val="32"/>
          <w:lang w:eastAsia="zh-Hans"/>
        </w:rPr>
        <w:t>结合项目实际情况</w:t>
      </w:r>
      <w:r>
        <w:rPr>
          <w:rFonts w:hint="eastAsia" w:ascii="仿宋_GB2312" w:hAnsi="仿宋_GB2312" w:eastAsia="仿宋_GB2312" w:cs="仿宋_GB2312"/>
          <w:kern w:val="0"/>
          <w:sz w:val="32"/>
          <w:szCs w:val="32"/>
        </w:rPr>
        <w:t>进一步细化并制定了</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北京榜样</w:t>
      </w:r>
      <w:r>
        <w:rPr>
          <w:rFonts w:hint="eastAsia" w:ascii="仿宋_GB2312" w:hAnsi="仿宋_GB2312" w:eastAsia="仿宋_GB2312" w:cs="仿宋_GB2312"/>
          <w:kern w:val="0"/>
          <w:sz w:val="32"/>
          <w:szCs w:val="32"/>
          <w:lang w:eastAsia="zh-Hans"/>
        </w:rPr>
        <w:t>项目</w:t>
      </w:r>
      <w:r>
        <w:rPr>
          <w:rFonts w:hint="eastAsia" w:ascii="仿宋_GB2312" w:hAnsi="仿宋_GB2312" w:eastAsia="仿宋_GB2312" w:cs="仿宋_GB2312"/>
          <w:kern w:val="0"/>
          <w:sz w:val="32"/>
          <w:szCs w:val="32"/>
        </w:rPr>
        <w:t>绩效评价指标体系》，并根据各项指标的重要性程度确定所占权重及评分标准。</w:t>
      </w:r>
      <w:r>
        <w:rPr>
          <w:rFonts w:hint="eastAsia" w:ascii="仿宋_GB2312" w:hAnsi="仿宋_GB2312" w:eastAsia="仿宋_GB2312" w:cs="仿宋_GB2312"/>
          <w:kern w:val="0"/>
          <w:sz w:val="32"/>
          <w:szCs w:val="32"/>
          <w:lang w:eastAsia="zh-Hans"/>
        </w:rPr>
        <w:t>具体绩效指标体系设定情况如下：</w:t>
      </w:r>
    </w:p>
    <w:p>
      <w:pPr>
        <w:spacing w:line="360" w:lineRule="auto"/>
        <w:jc w:val="center"/>
        <w:rPr>
          <w:rFonts w:ascii="Times New Roman" w:hAnsi="Times New Roman" w:eastAsia="仿宋_GB2312" w:cs="Times New Roman"/>
          <w:b/>
          <w:sz w:val="28"/>
          <w:szCs w:val="32"/>
        </w:rPr>
      </w:pPr>
    </w:p>
    <w:p>
      <w:pPr>
        <w:spacing w:line="360" w:lineRule="auto"/>
        <w:jc w:val="center"/>
        <w:rPr>
          <w:rFonts w:ascii="Times New Roman" w:hAnsi="Times New Roman" w:eastAsia="仿宋_GB2312" w:cs="Times New Roman"/>
          <w:b/>
          <w:sz w:val="28"/>
          <w:szCs w:val="32"/>
        </w:rPr>
      </w:pPr>
      <w:r>
        <w:rPr>
          <w:rFonts w:ascii="Times New Roman" w:hAnsi="Times New Roman" w:eastAsia="仿宋_GB2312" w:cs="Times New Roman"/>
          <w:b/>
          <w:sz w:val="28"/>
          <w:szCs w:val="32"/>
        </w:rPr>
        <w:t>表3：</w:t>
      </w:r>
      <w:r>
        <w:rPr>
          <w:rFonts w:hint="eastAsia" w:ascii="Times New Roman" w:hAnsi="Times New Roman" w:eastAsia="仿宋_GB2312" w:cs="Times New Roman"/>
          <w:b/>
          <w:sz w:val="28"/>
          <w:szCs w:val="32"/>
          <w:lang w:val="en-US" w:eastAsia="zh-CN"/>
        </w:rPr>
        <w:t>北京榜样</w:t>
      </w:r>
      <w:r>
        <w:rPr>
          <w:rFonts w:hint="eastAsia" w:ascii="Times New Roman" w:hAnsi="Times New Roman" w:eastAsia="仿宋_GB2312" w:cs="Times New Roman"/>
          <w:b/>
          <w:sz w:val="28"/>
          <w:szCs w:val="32"/>
        </w:rPr>
        <w:t>项目绩效评价指标体系</w:t>
      </w:r>
    </w:p>
    <w:tbl>
      <w:tblPr>
        <w:tblStyle w:val="15"/>
        <w:tblW w:w="864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6"/>
        <w:gridCol w:w="490"/>
        <w:gridCol w:w="417"/>
        <w:gridCol w:w="1511"/>
        <w:gridCol w:w="1715"/>
        <w:gridCol w:w="886"/>
        <w:gridCol w:w="30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259" w:hRule="atLeast"/>
          <w:tblHeader/>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bookmarkStart w:id="119" w:name="_Toc20528"/>
            <w:bookmarkStart w:id="120" w:name="_Toc19581"/>
            <w:bookmarkStart w:id="121" w:name="_Toc11962"/>
            <w:r>
              <w:rPr>
                <w:rFonts w:hint="eastAsia" w:ascii="宋体" w:hAnsi="宋体" w:eastAsia="宋体" w:cs="宋体"/>
                <w:b/>
                <w:bCs/>
                <w:i w:val="0"/>
                <w:iCs w:val="0"/>
                <w:color w:val="000000"/>
                <w:kern w:val="0"/>
                <w:sz w:val="20"/>
                <w:szCs w:val="20"/>
                <w:u w:val="none"/>
                <w:lang w:val="en-US" w:eastAsia="zh-CN" w:bidi="ar"/>
              </w:rPr>
              <w:t>一级指标</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指标解释</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指标说明</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分值</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决策（10分）</w:t>
            </w:r>
          </w:p>
        </w:tc>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项目立项　</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立项依据充分性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项目立项是否符合法律法规、相关政策、发展规划以及部门职责，用以反映和考核项目立项依据情况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①项目立项是否符合国家法律法规、国民经济发展规划和相关政策；</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与法律法规、规划及政策相符，得满分；与法律法规、规划及政策基本相符，根据相关程度打分；与法律法规、规划及政策不符，不得分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②项目立项是否符合行业发展规划和政策要求；</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与行业规划及政策相符，得满分；与行业规划及政策基本相符，根据相关程度打分；与行业规划及政策不符，不得分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③项目立项是否与部门职责范围相符，属于部门履职所需；</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与部门职责相符，符合实际需求得满分；与部门职责不符，不符合实际需求不得分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④项目是否与相关部门同类项目或部门内部相关项目重复</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与其他部门或部门内部相关项目不存在重复，得满分；与其他部门或部门内部相关项目重复不得分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立项程序规范性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项目申请、设立过程是否符合相关要求，用以反映和考核项目立项的规范情况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①项目是否按照规定的程序申请设立；</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按照规定程序进行业务立项得满分，按照规定程序进行预算立项得0.25分；存在立项程序不规范的情况酌情扣分；项目未按照规定的程序申请设立不得分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②审批文件、材料是否符合相关要求；</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审批文件及材料完全符合要求得满分，有一项不符合要求扣0.1分，扣完为止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　</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绩效目标合理性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项目所设定的绩效目标是否依据充分，是否符合客观实际，用以反映和考核项目绩效目标与项目实施的相符情况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①项目是否有绩效目标；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项目有绩效目标，得满分；项目无绩效目标，不得分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②项目绩效目标与实际工作内容是否具有相关性；</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项目绩效目标与实际工作内容具有相关性得满分；项目绩效目标基本与实际工作内容相关，根据符合程度打分；项目绩效目标与实际工作内容不具有相关性，不得分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③项目预期产出效益和效果是否符合正常的业绩水平；</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项目预期产出和效益符合正常的业绩水平，得满分；项目预期产出和效益基本符合正常的业绩水平，根据符合程度打分；项目预期产出和效益不符合正常的业绩水平，不得分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④是否与预算确定的项目投资额或资金量相匹配</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绩效目标与预算确定的项目投资额或资金量相匹配，得满分；绩效目标与预算确定的项目投资额或资金量基本匹配，根据符合程度打分；绩效目标与预算确定的项目投资额或资金量不匹配，不得分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绩效指标明确性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依据绩效目标设定的绩效指标是否清晰、细化、可衡量等，用以反映和考核项目绩效目标的明细化情况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①是否将项目绩效目标细化分解为具体的绩效指标；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将项目绩效目标细化分解为具体的绩效指标，得满分；未将项目绩效目标细化分解为具体的绩效指标，不得分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②是否通过清晰、可衡量的指标值予以体现；</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绩效指标通过清晰、可衡量的指标值予以体现，得满分；绩效指标未通过清晰、可衡量的指标值予以体现，不得分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③是否与项目目标任务数或计划数相对应</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绩效指标与项目年度任务数或计划数相对应，得满分；绩效指标基本与项目年度任务数或计划数相对应，根据符合程度打分；绩效指标与项目年度任务数或计划数不对应，不得分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资金投入</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预算编制科学性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项目预算编制是否经过科学论证、有明确标准，资金额度与年度目标是否相适应，用以反映和考核项目预算编制的科学性、合理性情况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①预算编制是否经过科学论证；</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项目预算编制履行了需求调研、预算评审、内部决策程序且程序规范，按照实际需求编制项目预算，得0.5分，存在1项缺失或不规范现象扣0.1分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②预算内容与项目内容是否匹配；</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预算内容与项目内容匹配，得满分；预算内容与项目内容不匹配，不得分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③预算额度测算依据是否充分，是否按照标准编制；</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预算额度测算依据充分，按照标准编制，得满分；预算额度测算依据基本充分，按照标准编制，根据符合程度打分；预算额度测算依据不充分，未按照标准编制，不得分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④预算确定的项目投资额或资金量是否与工作任务相匹配</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预算确定的项目预算资金量与工作任务相匹配，得满分；预算确定的项目资金量与工作任务基本匹配，根据符合程度打分；预算确定的项目资金量与工作任务不匹配，不得分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资金分配合理性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项目预算资金分配是否有测算依据，与补助单位或地方实际是否相适应，用以反映和考核项目预算资金分配的科学性、合理性情况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①预算资金分配依据是否充分；</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预算资金分配依据充分，得满分；预算资金分配依据基本充分，根据符合程度打分；预算资金分配依据不充分，不得分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②资金分配额度是否合理，与项目单位或地方实际是否相适应</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资金分配额度合理，与项目实际需求相适应，得满分；资金分配额度基本合理，基本与项目实际需求相适应，根据符合程度打分；资金分配额度不合理，与项目实际需求不适应，不得分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过程（20分）</w:t>
            </w:r>
          </w:p>
        </w:tc>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资金到位率</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实际到位资金与预算资金的比率，用以反映和考核资金落实情况对项目实施的总体保障程度</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①资金到位率=（实际到位资金/预算资金）×100%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得分=实际到位资金/预算资金*100%*1分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②资金支付的及时性</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资金及时下拨，得满分；资金未及时下拨，不得分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项目预算资金是否按照计划执行，用以反映或考核项目预算执行情况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①预算执行率=（实际支出资金/实际到位资金）×100%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预算执行率超过90%得3分，预算执行率在80-90%之间得2.4分，预算执行率在70-80%之间得1.8分，预算执行率在50-70%得1.2分，预算执行率在50%以下不得分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项目资金使用是否符合相关的财务管理制度规定，用以反映和考核项目资金的规范运行情况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①是否符合国家财经法规和财务管理制度以及有关专项资金管理办法的规定；</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出符合国家财经法规和财务管理制度以及有关专项资金管理办法的规定，得满分；资金支出基本符合国家财经法规和财务管理制度以及有关专项资金管理办法的规定，根据符合程度打分；资金支出不符合国家财经法规和财务管理制度以及有关专项资金管理办法的规定，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②资金的拨付是否有完整的审批程序和手续；</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资金的拨付有完整的审批程序和手续，得满分；资金的拨付没有完整的审批程序和手续，不得分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③是否符合项目预算批复或合同规定的用途；</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资金支出符合项目预算批复或合同规定的用途，得满分；资金支出不符合项目预算批复或合同规定的用途，不得分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④是否存在截留、挤占、挪用、虚列支出等情况</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不存在截留、挤占、挪用、虚列支出等情况，得满分；存在截留、挤占、挪用、虚列支出等情况，不得分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组织实施</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管理制度健全性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项目实施单位的财务和业务管理制度是否健全，用以反映和考核财务和业务管理制度对项目顺利实施的保障情况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①是否已制定或具有相应的财务和业务管理制度；</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项目已制定或具有相应的财务和业务管理制度得满分，存在一项缺失或不规范扣1.5分，扣完为止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②财务和业务管理制度是否合法、合规、完整</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项目财务和业务管理制度合法、合规、完整得满分，存在一项缺失或不规范扣0.5分，扣完为止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制度执行有效性</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项目实施是否符合相关管理规定，用以反映和考核相关管理制度的有效执行情况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①是否遵守相关法律法规和相关管理规定；</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每存在一项不合规现象扣0.5分，扣完为止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②项目调整及支出调整手续是否完备；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每存在一项手续不完备或不规范扣0.5分，扣完为止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③项目合同书、验收报告、技术鉴定等资料是否齐全并及时归档；</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每存在一项不齐全扣0.5分，扣完为止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④项目实施的人员条件、场地设备、信息支撑等是否落实到位</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每存在一项配套条件不匹配扣0.5分，扣完为止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产出（40分）</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产出数量</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项目实施的实际产出数与计划产出数的比率，用以反映和考核项目产出数量目标的实现程度</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项目各项产出数量指标的完成情况</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实际完成率=（实际产出数/计划产出数）×100%*10分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质量达标率</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项目完成的质量达标产出数与实际产出数的比率，用以反映和考核项目产出质量目标的实现程度</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项目各项产出质量指标的完成情况</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质量达标率=（质量达标产出数/实际产出数）×100%*10分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产出时效</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完成及时性</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项目实际完成时间与计划完成时间的比较，用以反映和考核项目产出时效目标的实现程度。</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方案制定和前期准备工作、方案、启动、总结的及时性</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按照项目实施计划或相关规定完成该项目得满分，存在一项进度滞后扣2.5分。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产出成本</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成本节约率</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完成项目计划工作目标的实际节约成本与计划成本的比率，用以反映和考核项目的成本节约程度</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成本控制及节约情况</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得分=（计划支出金额-实际支出金额）/计划支出金额*100%，成本节约率为负值得0分；成本节约率为0，得6分；成本节约率在0-10%之间，得8分；成本节约率在10%以上，得满分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　（30分）</w:t>
            </w:r>
          </w:p>
        </w:tc>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项目效益　</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实施效益</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项目实施所产生的效益的实现情况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通过开展相关系列活动，选树一批“崇德向善 奋发向上”的榜样人物</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达成年度指标得8分及以上、部分达成年度指标且有一定效果得6分及以上、未达成年度指标且效果较差得6分以下。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项目实施所产生的效益的实现情况</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通过开展相关系列活动，打造符合社会主义核心价值观的品牌活动，汇聚实现中国梦的精神力量</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达成年度指标得8分及以上、部分达成年度指标且有一定效果得6分及以上、未达成年度指标且效果较差得6分以下。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服务对象对项目实施效果的满意程度</w:t>
            </w:r>
          </w:p>
        </w:tc>
        <w:tc>
          <w:tcPr>
            <w:tcW w:w="1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社会满意度</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达成预期指标得分9-10分；基本达成预期指标且效果较好效果得8-9分、部分达成预期指标且具有一定效果得6-8分、未达成预期指标且效果较差得6分以下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7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 </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r>
    </w:tbl>
    <w:p>
      <w:pPr>
        <w:pStyle w:val="5"/>
        <w:ind w:firstLine="422"/>
        <w:rPr>
          <w:rFonts w:ascii="仿宋_GB2312" w:eastAsia="仿宋_GB2312"/>
          <w:sz w:val="21"/>
          <w:szCs w:val="21"/>
        </w:rPr>
      </w:pPr>
    </w:p>
    <w:bookmarkEnd w:id="119"/>
    <w:bookmarkEnd w:id="120"/>
    <w:bookmarkEnd w:id="121"/>
    <w:p>
      <w:pPr>
        <w:adjustRightInd w:val="0"/>
        <w:snapToGrid w:val="0"/>
        <w:spacing w:line="360" w:lineRule="auto"/>
        <w:ind w:firstLine="640" w:firstLineChars="200"/>
        <w:outlineLvl w:val="1"/>
        <w:rPr>
          <w:rFonts w:ascii="仿宋_GB2312" w:hAnsi="仿宋_GB2312" w:eastAsia="仿宋_GB2312" w:cs="仿宋_GB2312"/>
          <w:b/>
          <w:bCs/>
          <w:kern w:val="0"/>
          <w:sz w:val="32"/>
          <w:szCs w:val="32"/>
        </w:rPr>
      </w:pPr>
      <w:bookmarkStart w:id="122" w:name="_Toc8896"/>
      <w:bookmarkStart w:id="123" w:name="_Toc27495"/>
      <w:r>
        <w:rPr>
          <w:rFonts w:hint="eastAsia" w:ascii="仿宋_GB2312" w:hAnsi="仿宋_GB2312" w:eastAsia="仿宋_GB2312" w:cs="仿宋_GB2312"/>
          <w:b/>
          <w:bCs/>
          <w:kern w:val="0"/>
          <w:sz w:val="32"/>
          <w:szCs w:val="32"/>
        </w:rPr>
        <w:t>（三）绩效评价工作过程</w:t>
      </w:r>
      <w:bookmarkEnd w:id="122"/>
      <w:bookmarkEnd w:id="123"/>
    </w:p>
    <w:p>
      <w:pPr>
        <w:widowControl/>
        <w:tabs>
          <w:tab w:val="left" w:pos="2215"/>
        </w:tabs>
        <w:spacing w:line="360" w:lineRule="auto"/>
        <w:ind w:firstLine="640" w:firstLineChars="200"/>
        <w:rPr>
          <w:rFonts w:ascii="仿宋_GB2312" w:hAnsi="仿宋_GB2312" w:eastAsia="仿宋_GB2312" w:cs="仿宋_GB2312"/>
          <w:kern w:val="0"/>
          <w:sz w:val="32"/>
          <w:szCs w:val="32"/>
        </w:rPr>
      </w:pPr>
      <w:bookmarkStart w:id="124" w:name="_Toc28402"/>
      <w:r>
        <w:rPr>
          <w:rFonts w:hint="eastAsia" w:ascii="仿宋_GB2312" w:hAnsi="仿宋_GB2312" w:eastAsia="仿宋_GB2312" w:cs="仿宋_GB2312"/>
          <w:kern w:val="0"/>
          <w:sz w:val="32"/>
          <w:szCs w:val="32"/>
        </w:rPr>
        <w:t>1.前期准备</w:t>
      </w:r>
      <w:r>
        <w:rPr>
          <w:rFonts w:hint="eastAsia" w:ascii="仿宋_GB2312" w:hAnsi="仿宋_GB2312" w:eastAsia="仿宋_GB2312" w:cs="仿宋_GB2312"/>
          <w:kern w:val="0"/>
          <w:sz w:val="32"/>
          <w:szCs w:val="32"/>
          <w:lang w:eastAsia="zh-Hans"/>
        </w:rPr>
        <w:t>阶段</w:t>
      </w:r>
    </w:p>
    <w:p>
      <w:pPr>
        <w:pStyle w:val="10"/>
        <w:adjustRightInd w:val="0"/>
        <w:snapToGrid w:val="0"/>
        <w:spacing w:after="0" w:line="360" w:lineRule="auto"/>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（1）组建评价工作组</w:t>
      </w:r>
    </w:p>
    <w:p>
      <w:pPr>
        <w:pStyle w:val="10"/>
        <w:adjustRightInd w:val="0"/>
        <w:snapToGrid w:val="0"/>
        <w:spacing w:after="0" w:line="360" w:lineRule="auto"/>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结</w:t>
      </w:r>
      <w:r>
        <w:rPr>
          <w:rFonts w:hint="eastAsia" w:ascii="仿宋_GB2312" w:hAnsi="仿宋_GB2312" w:eastAsia="仿宋_GB2312" w:cs="仿宋_GB2312"/>
          <w:sz w:val="32"/>
          <w:szCs w:val="32"/>
        </w:rPr>
        <w:t>合绩效评价工作的实际需要，成立绩效评价工作组，根据任务分工，全程负责组织、实施绩效评价工作。</w:t>
      </w:r>
    </w:p>
    <w:p>
      <w:pPr>
        <w:adjustRightInd w:val="0"/>
        <w:snapToGrid w:val="0"/>
        <w:spacing w:line="360" w:lineRule="auto"/>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（2）准备项目评价资料清单。评价工作组通过深入了解项目的组织实施、监控管理和完成情况；根据掌握的该项目基本情况，形成资料清单，请</w:t>
      </w:r>
      <w:r>
        <w:rPr>
          <w:rFonts w:hint="eastAsia" w:ascii="仿宋_GB2312" w:hAnsi="仿宋_GB2312" w:eastAsia="仿宋_GB2312" w:cs="仿宋_GB2312"/>
          <w:kern w:val="0"/>
          <w:sz w:val="32"/>
          <w:szCs w:val="32"/>
          <w:lang w:val="en-US" w:eastAsia="zh-CN"/>
        </w:rPr>
        <w:t>总台</w:t>
      </w:r>
      <w:r>
        <w:rPr>
          <w:rFonts w:hint="eastAsia" w:ascii="仿宋_GB2312" w:hAnsi="仿宋_GB2312" w:eastAsia="仿宋_GB2312" w:cs="仿宋_GB2312"/>
          <w:kern w:val="0"/>
          <w:sz w:val="32"/>
          <w:szCs w:val="32"/>
        </w:rPr>
        <w:t>收集并提供资料。</w:t>
      </w:r>
    </w:p>
    <w:p>
      <w:pPr>
        <w:adjustRightInd w:val="0"/>
        <w:snapToGrid w:val="0"/>
        <w:spacing w:line="360" w:lineRule="auto"/>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（3）指导</w:t>
      </w:r>
      <w:r>
        <w:rPr>
          <w:rFonts w:hint="eastAsia" w:ascii="仿宋_GB2312" w:hAnsi="仿宋_GB2312" w:eastAsia="仿宋_GB2312" w:cs="仿宋_GB2312"/>
          <w:kern w:val="0"/>
          <w:sz w:val="32"/>
          <w:szCs w:val="32"/>
          <w:lang w:val="en-US" w:eastAsia="zh-CN"/>
        </w:rPr>
        <w:t>总台</w:t>
      </w:r>
      <w:r>
        <w:rPr>
          <w:rFonts w:hint="eastAsia" w:ascii="仿宋_GB2312" w:hAnsi="仿宋_GB2312" w:eastAsia="仿宋_GB2312" w:cs="仿宋_GB2312"/>
          <w:kern w:val="0"/>
          <w:sz w:val="32"/>
          <w:szCs w:val="32"/>
        </w:rPr>
        <w:t>开展自评。指导</w:t>
      </w:r>
      <w:r>
        <w:rPr>
          <w:rFonts w:hint="eastAsia" w:ascii="仿宋_GB2312" w:hAnsi="仿宋_GB2312" w:eastAsia="仿宋_GB2312" w:cs="仿宋_GB2312"/>
          <w:kern w:val="0"/>
          <w:sz w:val="32"/>
          <w:szCs w:val="32"/>
          <w:lang w:val="en-US" w:eastAsia="zh-CN"/>
        </w:rPr>
        <w:t>总台</w:t>
      </w:r>
      <w:r>
        <w:rPr>
          <w:rFonts w:hint="eastAsia" w:ascii="仿宋_GB2312" w:hAnsi="仿宋_GB2312" w:eastAsia="仿宋_GB2312" w:cs="仿宋_GB2312"/>
          <w:kern w:val="0"/>
          <w:sz w:val="32"/>
          <w:szCs w:val="32"/>
        </w:rPr>
        <w:t>根据绩效评价相关管理办法，开展自评工作，收集、整理绩效材料，撰写财政支出项目绩效报告。</w:t>
      </w:r>
    </w:p>
    <w:p>
      <w:pPr>
        <w:adjustRightInd w:val="0"/>
        <w:snapToGrid w:val="0"/>
        <w:spacing w:line="360" w:lineRule="auto"/>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2.现场收集资料</w:t>
      </w:r>
    </w:p>
    <w:p>
      <w:pPr>
        <w:pStyle w:val="10"/>
        <w:adjustRightInd w:val="0"/>
        <w:snapToGrid w:val="0"/>
        <w:spacing w:after="0" w:line="360" w:lineRule="auto"/>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工作组与项目负责人共同汇总整理项目资料。评价工作组按照指标体系内容和评价重点，对项目资料进行分类整理，分为项目决策资料、项目管理资料和项目绩效资料三大类。整理成专家资料手册，供专家审阅。</w:t>
      </w:r>
    </w:p>
    <w:p>
      <w:pPr>
        <w:adjustRightInd w:val="0"/>
        <w:snapToGrid w:val="0"/>
        <w:spacing w:line="360" w:lineRule="auto"/>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专家评价</w:t>
      </w:r>
    </w:p>
    <w:p>
      <w:pPr>
        <w:pStyle w:val="10"/>
        <w:adjustRightInd w:val="0"/>
        <w:snapToGrid w:val="0"/>
        <w:spacing w:after="0" w:line="360" w:lineRule="auto"/>
        <w:ind w:left="0" w:leftChars="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根据项目特点，评价工作组遴选5名专家（其中业务专家2名，管理专家2名，财务专家1名），组成专家评价组，对项目资料进行审核。</w:t>
      </w:r>
      <w:r>
        <w:rPr>
          <w:rFonts w:hint="eastAsia" w:ascii="仿宋_GB2312" w:hAnsi="仿宋_GB2312" w:eastAsia="仿宋_GB2312" w:cs="仿宋_GB2312"/>
          <w:sz w:val="32"/>
          <w:szCs w:val="32"/>
          <w:lang w:eastAsia="zh-Hans"/>
        </w:rPr>
        <w:t>于</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日召开专家评价会。评价会上，专家与项目单位有关人员进行了充分讨论和沟通，并依据评价指标体系对该项目进行了评价打分，并出具了评价意见，形成专家意见汇总书。</w:t>
      </w:r>
    </w:p>
    <w:p>
      <w:pPr>
        <w:adjustRightInd w:val="0"/>
        <w:snapToGrid w:val="0"/>
        <w:spacing w:line="360" w:lineRule="auto"/>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4.评价报告阶段</w:t>
      </w:r>
      <w:bookmarkEnd w:id="124"/>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（1）形成绩效评价结论、撰写绩效评价报告</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评价工作组根据收集的资料、评价分析情况，结合专家意见，确定评价结果等级，撰写绩效评价报告初稿。</w:t>
      </w:r>
    </w:p>
    <w:p>
      <w:pPr>
        <w:numPr>
          <w:ilvl w:val="0"/>
          <w:numId w:val="1"/>
        </w:num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沟通初步评价意见</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绩效评价报告初稿完成后，在</w:t>
      </w:r>
      <w:r>
        <w:rPr>
          <w:rFonts w:hint="eastAsia" w:ascii="仿宋_GB2312" w:hAnsi="仿宋_GB2312" w:eastAsia="仿宋_GB2312" w:cs="仿宋_GB2312"/>
          <w:sz w:val="32"/>
          <w:szCs w:val="32"/>
          <w:lang w:eastAsia="zh-Hans"/>
        </w:rPr>
        <w:t>与</w:t>
      </w:r>
      <w:r>
        <w:rPr>
          <w:rFonts w:hint="eastAsia" w:ascii="仿宋_GB2312" w:hAnsi="仿宋_GB2312" w:eastAsia="仿宋_GB2312" w:cs="仿宋_GB2312"/>
          <w:sz w:val="32"/>
          <w:szCs w:val="32"/>
          <w:lang w:val="en-US" w:eastAsia="zh-CN"/>
        </w:rPr>
        <w:t>总台</w:t>
      </w:r>
      <w:r>
        <w:rPr>
          <w:rFonts w:hint="eastAsia" w:ascii="仿宋_GB2312" w:hAnsi="仿宋_GB2312" w:eastAsia="仿宋_GB2312" w:cs="仿宋_GB2312"/>
          <w:sz w:val="32"/>
          <w:szCs w:val="32"/>
        </w:rPr>
        <w:t>沟</w:t>
      </w:r>
      <w:r>
        <w:rPr>
          <w:rFonts w:hint="eastAsia" w:ascii="仿宋_GB2312" w:hAnsi="仿宋_GB2312" w:eastAsia="仿宋_GB2312" w:cs="仿宋_GB2312"/>
          <w:sz w:val="32"/>
          <w:szCs w:val="32"/>
          <w:lang w:eastAsia="zh-Hans"/>
        </w:rPr>
        <w:t>通</w:t>
      </w:r>
      <w:r>
        <w:rPr>
          <w:rFonts w:hint="eastAsia" w:ascii="仿宋_GB2312" w:hAnsi="仿宋_GB2312" w:eastAsia="仿宋_GB2312" w:cs="仿宋_GB2312"/>
          <w:sz w:val="32"/>
          <w:szCs w:val="32"/>
        </w:rPr>
        <w:t>反馈的基础上</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进一步</w:t>
      </w:r>
      <w:r>
        <w:rPr>
          <w:rFonts w:hint="eastAsia" w:ascii="仿宋_GB2312" w:hAnsi="仿宋_GB2312" w:eastAsia="仿宋_GB2312" w:cs="仿宋_GB2312"/>
          <w:sz w:val="32"/>
          <w:szCs w:val="32"/>
          <w:lang w:eastAsia="zh-Hans"/>
        </w:rPr>
        <w:t>修改完善</w:t>
      </w:r>
      <w:r>
        <w:rPr>
          <w:rFonts w:hint="eastAsia" w:ascii="仿宋_GB2312" w:hAnsi="仿宋_GB2312" w:eastAsia="仿宋_GB2312" w:cs="仿宋_GB2312"/>
          <w:sz w:val="32"/>
          <w:szCs w:val="32"/>
        </w:rPr>
        <w:t>。</w:t>
      </w:r>
    </w:p>
    <w:p>
      <w:pPr>
        <w:numPr>
          <w:ilvl w:val="0"/>
          <w:numId w:val="1"/>
        </w:num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形成正式绩效评价报告</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评价工作组在综合专家及</w:t>
      </w:r>
      <w:r>
        <w:rPr>
          <w:rFonts w:hint="eastAsia" w:ascii="仿宋_GB2312" w:hAnsi="仿宋_GB2312" w:eastAsia="仿宋_GB2312" w:cs="仿宋_GB2312"/>
          <w:sz w:val="32"/>
          <w:szCs w:val="32"/>
          <w:lang w:eastAsia="zh-Hans"/>
        </w:rPr>
        <w:t>各方</w:t>
      </w:r>
      <w:r>
        <w:rPr>
          <w:rFonts w:hint="eastAsia" w:ascii="仿宋_GB2312" w:hAnsi="仿宋_GB2312" w:eastAsia="仿宋_GB2312" w:cs="仿宋_GB2312"/>
          <w:sz w:val="32"/>
          <w:szCs w:val="32"/>
        </w:rPr>
        <w:t>反馈的合理意见后，对评价报告进行修改，经</w:t>
      </w:r>
      <w:r>
        <w:rPr>
          <w:rFonts w:hint="eastAsia" w:ascii="仿宋_GB2312" w:hAnsi="仿宋_GB2312" w:eastAsia="仿宋_GB2312" w:cs="仿宋_GB2312"/>
          <w:sz w:val="32"/>
          <w:szCs w:val="32"/>
          <w:lang w:val="en-US" w:eastAsia="zh-CN"/>
        </w:rPr>
        <w:t>总台</w:t>
      </w:r>
      <w:r>
        <w:rPr>
          <w:rFonts w:hint="eastAsia" w:ascii="仿宋_GB2312" w:hAnsi="仿宋_GB2312" w:eastAsia="仿宋_GB2312" w:cs="仿宋_GB2312"/>
          <w:sz w:val="32"/>
          <w:szCs w:val="32"/>
        </w:rPr>
        <w:t>审核后形成正式绩效评价报告。</w:t>
      </w:r>
    </w:p>
    <w:p>
      <w:pPr>
        <w:numPr>
          <w:ilvl w:val="0"/>
          <w:numId w:val="1"/>
        </w:num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报送报告及资料手册</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评价工作组根据绩效评价工作要求装订评价报告、资料手册，报送至</w:t>
      </w:r>
      <w:r>
        <w:rPr>
          <w:rFonts w:hint="eastAsia" w:ascii="仿宋_GB2312" w:hAnsi="仿宋_GB2312" w:eastAsia="仿宋_GB2312" w:cs="仿宋_GB2312"/>
          <w:sz w:val="32"/>
          <w:szCs w:val="32"/>
          <w:lang w:val="en-US" w:eastAsia="zh-CN"/>
        </w:rPr>
        <w:t>总台</w:t>
      </w:r>
      <w:r>
        <w:rPr>
          <w:rFonts w:hint="eastAsia" w:ascii="仿宋_GB2312" w:hAnsi="仿宋_GB2312" w:eastAsia="仿宋_GB2312" w:cs="仿宋_GB2312"/>
          <w:sz w:val="32"/>
          <w:szCs w:val="32"/>
        </w:rPr>
        <w:t>。</w:t>
      </w:r>
    </w:p>
    <w:p>
      <w:pPr>
        <w:numPr>
          <w:ilvl w:val="0"/>
          <w:numId w:val="1"/>
        </w:num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归档绩效评价资料</w:t>
      </w:r>
    </w:p>
    <w:p>
      <w:pPr>
        <w:spacing w:line="360" w:lineRule="auto"/>
        <w:ind w:firstLine="640" w:firstLineChars="200"/>
        <w:rPr>
          <w:rFonts w:ascii="Times New Roman" w:hAnsi="Times New Roman" w:eastAsia="仿宋_GB2312" w:cs="Times New Roman"/>
          <w:bCs/>
          <w:sz w:val="32"/>
          <w:szCs w:val="32"/>
        </w:rPr>
      </w:pPr>
      <w:r>
        <w:rPr>
          <w:rFonts w:hint="eastAsia" w:ascii="仿宋_GB2312" w:hAnsi="仿宋_GB2312" w:eastAsia="仿宋_GB2312" w:cs="仿宋_GB2312"/>
          <w:sz w:val="32"/>
          <w:szCs w:val="32"/>
        </w:rPr>
        <w:t>绩效评价工作结束后，评价工作组及时将资料整理归档，并按</w:t>
      </w:r>
      <w:r>
        <w:rPr>
          <w:rFonts w:hint="eastAsia" w:ascii="仿宋_GB2312" w:hAnsi="仿宋_GB2312" w:eastAsia="仿宋_GB2312" w:cs="仿宋_GB2312"/>
          <w:sz w:val="32"/>
          <w:szCs w:val="32"/>
          <w:lang w:eastAsia="zh-Hans"/>
        </w:rPr>
        <w:t>财政部门的相关</w:t>
      </w:r>
      <w:r>
        <w:rPr>
          <w:rFonts w:hint="eastAsia" w:ascii="仿宋_GB2312" w:hAnsi="仿宋_GB2312" w:eastAsia="仿宋_GB2312" w:cs="仿宋_GB2312"/>
          <w:sz w:val="32"/>
          <w:szCs w:val="32"/>
        </w:rPr>
        <w:t>要求妥善</w:t>
      </w:r>
      <w:r>
        <w:rPr>
          <w:rFonts w:hint="eastAsia" w:ascii="仿宋_GB2312" w:hAnsi="仿宋_GB2312" w:eastAsia="仿宋_GB2312" w:cs="仿宋_GB2312"/>
          <w:sz w:val="32"/>
          <w:szCs w:val="32"/>
          <w:lang w:eastAsia="zh-Hans"/>
        </w:rPr>
        <w:t>保管绩效档案</w:t>
      </w:r>
      <w:r>
        <w:rPr>
          <w:rFonts w:hint="eastAsia" w:ascii="仿宋_GB2312" w:hAnsi="仿宋_GB2312" w:eastAsia="仿宋_GB2312" w:cs="仿宋_GB2312"/>
          <w:sz w:val="32"/>
          <w:szCs w:val="32"/>
        </w:rPr>
        <w:t>资料。</w:t>
      </w:r>
    </w:p>
    <w:p>
      <w:pPr>
        <w:pStyle w:val="4"/>
        <w:spacing w:line="360" w:lineRule="auto"/>
        <w:ind w:firstLine="643"/>
        <w:rPr>
          <w:rFonts w:ascii="仿宋_GB2312" w:hAnsi="黑体" w:eastAsia="仿宋_GB2312" w:cs="Times New Roman"/>
          <w:sz w:val="32"/>
          <w:szCs w:val="32"/>
        </w:rPr>
      </w:pPr>
      <w:bookmarkStart w:id="125" w:name="_Toc362348686"/>
      <w:bookmarkStart w:id="126" w:name="_Toc19112398"/>
      <w:bookmarkStart w:id="127" w:name="_Toc424567092"/>
      <w:bookmarkStart w:id="128" w:name="_Toc22182"/>
      <w:bookmarkStart w:id="129" w:name="_Toc25547"/>
      <w:bookmarkStart w:id="130" w:name="_Toc6724"/>
      <w:bookmarkStart w:id="131" w:name="_Toc31627"/>
      <w:r>
        <w:rPr>
          <w:rFonts w:ascii="仿宋_GB2312" w:hAnsi="黑体" w:eastAsia="仿宋_GB2312" w:cs="Times New Roman"/>
          <w:sz w:val="32"/>
          <w:szCs w:val="32"/>
        </w:rPr>
        <w:t>三、</w:t>
      </w:r>
      <w:bookmarkEnd w:id="125"/>
      <w:bookmarkEnd w:id="126"/>
      <w:bookmarkEnd w:id="127"/>
      <w:bookmarkStart w:id="132" w:name="_Toc424567093"/>
      <w:bookmarkStart w:id="133" w:name="_Toc362348687"/>
      <w:r>
        <w:rPr>
          <w:rFonts w:hint="eastAsia" w:ascii="仿宋_GB2312" w:hAnsi="黑体" w:eastAsia="仿宋_GB2312" w:cs="Times New Roman"/>
          <w:sz w:val="32"/>
          <w:szCs w:val="32"/>
        </w:rPr>
        <w:t>综合评价情况及评价结论</w:t>
      </w:r>
      <w:bookmarkEnd w:id="128"/>
      <w:bookmarkEnd w:id="129"/>
      <w:bookmarkEnd w:id="130"/>
      <w:bookmarkEnd w:id="131"/>
    </w:p>
    <w:p>
      <w:pPr>
        <w:widowControl/>
        <w:spacing w:after="156" w:afterLines="50" w:line="500" w:lineRule="exact"/>
        <w:jc w:val="center"/>
        <w:rPr>
          <w:rFonts w:ascii="Times New Roman" w:hAnsi="Times New Roman" w:eastAsia="仿宋_GB2312" w:cs="Times New Roman"/>
          <w:b/>
          <w:kern w:val="0"/>
          <w:sz w:val="28"/>
          <w:szCs w:val="28"/>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经综合评价，该项目评价得分</w:t>
      </w:r>
      <w:r>
        <w:rPr>
          <w:rFonts w:hint="eastAsia" w:ascii="仿宋_GB2312" w:hAnsi="仿宋_GB2312" w:eastAsia="仿宋_GB2312" w:cs="仿宋_GB2312"/>
          <w:sz w:val="32"/>
          <w:szCs w:val="32"/>
          <w:highlight w:val="none"/>
          <w:lang w:val="en-US" w:eastAsia="zh-CN"/>
        </w:rPr>
        <w:t>88.66</w:t>
      </w:r>
      <w:r>
        <w:rPr>
          <w:rFonts w:hint="eastAsia" w:ascii="仿宋_GB2312" w:hAnsi="仿宋_GB2312" w:eastAsia="仿宋_GB2312" w:cs="仿宋_GB2312"/>
          <w:sz w:val="32"/>
          <w:szCs w:val="32"/>
          <w:highlight w:val="none"/>
        </w:rPr>
        <w:t>分，绩效级别评定为“</w:t>
      </w:r>
      <w:r>
        <w:rPr>
          <w:rFonts w:hint="eastAsia" w:ascii="仿宋_GB2312" w:hAnsi="仿宋_GB2312" w:eastAsia="仿宋_GB2312" w:cs="仿宋_GB2312"/>
          <w:sz w:val="32"/>
          <w:szCs w:val="32"/>
          <w:highlight w:val="none"/>
          <w:lang w:val="en-US" w:eastAsia="zh-CN"/>
        </w:rPr>
        <w:t>良</w:t>
      </w:r>
      <w:r>
        <w:rPr>
          <w:rFonts w:hint="eastAsia" w:ascii="仿宋_GB2312" w:hAnsi="仿宋_GB2312" w:eastAsia="仿宋_GB2312" w:cs="仿宋_GB2312"/>
          <w:sz w:val="32"/>
          <w:szCs w:val="32"/>
          <w:highlight w:val="none"/>
        </w:rPr>
        <w:t>”。该项目各指标得分和综合评价结论具体见表4。</w:t>
      </w:r>
      <w:r>
        <w:rPr>
          <w:rFonts w:hint="eastAsia" w:ascii="Times New Roman" w:hAnsi="Times New Roman" w:eastAsia="仿宋_GB2312" w:cs="Times New Roman"/>
          <w:b/>
          <w:kern w:val="0"/>
          <w:sz w:val="28"/>
          <w:szCs w:val="28"/>
          <w:highlight w:val="none"/>
        </w:rPr>
        <w:t>表4：</w:t>
      </w:r>
      <w:r>
        <w:rPr>
          <w:rFonts w:ascii="Times New Roman" w:hAnsi="Times New Roman" w:eastAsia="仿宋_GB2312" w:cs="Times New Roman"/>
          <w:b/>
          <w:kern w:val="0"/>
          <w:sz w:val="28"/>
          <w:szCs w:val="28"/>
          <w:highlight w:val="none"/>
        </w:rPr>
        <w:t>项目整体绩效评价结论一览表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1"/>
        <w:gridCol w:w="3001"/>
        <w:gridCol w:w="3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评价内容</w:t>
            </w:r>
          </w:p>
        </w:tc>
        <w:tc>
          <w:tcPr>
            <w:tcW w:w="3001" w:type="dxa"/>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sz w:val="28"/>
                <w:szCs w:val="28"/>
                <w:highlight w:val="none"/>
              </w:rPr>
              <w:t>分值</w:t>
            </w:r>
          </w:p>
        </w:tc>
        <w:tc>
          <w:tcPr>
            <w:tcW w:w="3001" w:type="dxa"/>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sz w:val="28"/>
                <w:szCs w:val="28"/>
                <w:highlight w:val="none"/>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项目决策</w:t>
            </w:r>
          </w:p>
        </w:tc>
        <w:tc>
          <w:tcPr>
            <w:tcW w:w="3001" w:type="dxa"/>
            <w:vAlign w:val="center"/>
          </w:tcPr>
          <w:p>
            <w:pPr>
              <w:widowControl/>
              <w:spacing w:after="156" w:afterLines="50" w:line="500" w:lineRule="exact"/>
              <w:jc w:val="center"/>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10</w:t>
            </w:r>
            <w:bookmarkStart w:id="317" w:name="_GoBack"/>
            <w:bookmarkEnd w:id="317"/>
          </w:p>
        </w:tc>
        <w:tc>
          <w:tcPr>
            <w:tcW w:w="3001" w:type="dxa"/>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lang w:val="en-US" w:eastAsia="zh-CN"/>
              </w:rPr>
            </w:pPr>
            <w:r>
              <w:rPr>
                <w:rFonts w:hint="eastAsia" w:ascii="仿宋_GB2312" w:hAnsi="仿宋_GB2312" w:eastAsia="仿宋_GB2312" w:cs="仿宋_GB2312"/>
                <w:b/>
                <w:kern w:val="0"/>
                <w:sz w:val="28"/>
                <w:szCs w:val="28"/>
                <w:highlight w:val="none"/>
                <w:lang w:val="en-US" w:eastAsia="zh-CN"/>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3001" w:type="dxa"/>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项目过程</w:t>
            </w:r>
          </w:p>
        </w:tc>
        <w:tc>
          <w:tcPr>
            <w:tcW w:w="3001" w:type="dxa"/>
            <w:vAlign w:val="center"/>
          </w:tcPr>
          <w:p>
            <w:pPr>
              <w:widowControl/>
              <w:spacing w:after="156" w:afterLines="50" w:line="500" w:lineRule="exact"/>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20</w:t>
            </w:r>
          </w:p>
        </w:tc>
        <w:tc>
          <w:tcPr>
            <w:tcW w:w="3001" w:type="dxa"/>
            <w:vAlign w:val="center"/>
          </w:tcPr>
          <w:p>
            <w:pPr>
              <w:widowControl/>
              <w:spacing w:after="156" w:afterLines="50" w:line="500" w:lineRule="exact"/>
              <w:jc w:val="center"/>
              <w:rPr>
                <w:rFonts w:hint="default" w:ascii="仿宋_GB2312" w:hAnsi="仿宋_GB2312" w:eastAsia="仿宋_GB2312" w:cs="仿宋_GB2312"/>
                <w:b/>
                <w:kern w:val="0"/>
                <w:sz w:val="28"/>
                <w:szCs w:val="28"/>
                <w:highlight w:val="none"/>
                <w:lang w:val="en-US" w:eastAsia="zh-CN"/>
              </w:rPr>
            </w:pPr>
            <w:r>
              <w:rPr>
                <w:rFonts w:hint="eastAsia" w:ascii="仿宋_GB2312" w:hAnsi="仿宋_GB2312" w:eastAsia="仿宋_GB2312" w:cs="仿宋_GB2312"/>
                <w:b/>
                <w:kern w:val="0"/>
                <w:sz w:val="28"/>
                <w:szCs w:val="28"/>
                <w:highlight w:val="none"/>
                <w:lang w:val="en-US" w:eastAsia="zh-CN"/>
              </w:rPr>
              <w:t>18.30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项目产出</w:t>
            </w:r>
          </w:p>
        </w:tc>
        <w:tc>
          <w:tcPr>
            <w:tcW w:w="3001" w:type="dxa"/>
            <w:vAlign w:val="center"/>
          </w:tcPr>
          <w:p>
            <w:pPr>
              <w:widowControl/>
              <w:spacing w:after="156" w:afterLines="50" w:line="500" w:lineRule="exact"/>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40</w:t>
            </w:r>
          </w:p>
        </w:tc>
        <w:tc>
          <w:tcPr>
            <w:tcW w:w="3001" w:type="dxa"/>
            <w:vAlign w:val="center"/>
          </w:tcPr>
          <w:p>
            <w:pPr>
              <w:widowControl/>
              <w:spacing w:after="156" w:afterLines="50" w:line="500" w:lineRule="exact"/>
              <w:jc w:val="center"/>
              <w:rPr>
                <w:rFonts w:hint="default" w:ascii="仿宋_GB2312" w:hAnsi="仿宋_GB2312" w:eastAsia="仿宋_GB2312" w:cs="仿宋_GB2312"/>
                <w:b/>
                <w:kern w:val="0"/>
                <w:sz w:val="28"/>
                <w:szCs w:val="28"/>
                <w:highlight w:val="none"/>
                <w:lang w:val="en-US" w:eastAsia="zh-CN"/>
              </w:rPr>
            </w:pPr>
            <w:r>
              <w:rPr>
                <w:rFonts w:hint="eastAsia" w:ascii="仿宋_GB2312" w:hAnsi="仿宋_GB2312" w:eastAsia="仿宋_GB2312" w:cs="仿宋_GB2312"/>
                <w:b/>
                <w:kern w:val="0"/>
                <w:sz w:val="28"/>
                <w:szCs w:val="28"/>
                <w:highlight w:val="none"/>
                <w:lang w:val="en-US" w:eastAsia="zh-CN"/>
              </w:rPr>
              <w:t>36.60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项目效益</w:t>
            </w:r>
          </w:p>
        </w:tc>
        <w:tc>
          <w:tcPr>
            <w:tcW w:w="3001" w:type="dxa"/>
            <w:vAlign w:val="center"/>
          </w:tcPr>
          <w:p>
            <w:pPr>
              <w:widowControl/>
              <w:spacing w:after="156" w:afterLines="50" w:line="500" w:lineRule="exact"/>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30</w:t>
            </w:r>
          </w:p>
        </w:tc>
        <w:tc>
          <w:tcPr>
            <w:tcW w:w="3001" w:type="dxa"/>
            <w:vAlign w:val="center"/>
          </w:tcPr>
          <w:p>
            <w:pPr>
              <w:widowControl/>
              <w:spacing w:after="156" w:afterLines="50" w:line="500" w:lineRule="exact"/>
              <w:jc w:val="center"/>
              <w:rPr>
                <w:rFonts w:hint="default" w:ascii="仿宋_GB2312" w:hAnsi="仿宋_GB2312" w:eastAsia="仿宋_GB2312" w:cs="仿宋_GB2312"/>
                <w:b/>
                <w:kern w:val="0"/>
                <w:sz w:val="28"/>
                <w:szCs w:val="28"/>
                <w:highlight w:val="none"/>
                <w:lang w:val="en-US" w:eastAsia="zh-CN"/>
              </w:rPr>
            </w:pPr>
            <w:r>
              <w:rPr>
                <w:rFonts w:hint="eastAsia" w:ascii="仿宋_GB2312" w:hAnsi="仿宋_GB2312" w:eastAsia="仿宋_GB2312" w:cs="仿宋_GB2312"/>
                <w:b/>
                <w:kern w:val="0"/>
                <w:sz w:val="28"/>
                <w:szCs w:val="28"/>
                <w:highlight w:val="none"/>
                <w:lang w:val="en-US" w:eastAsia="zh-CN"/>
              </w:rPr>
              <w:t>24.60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综合得分</w:t>
            </w:r>
          </w:p>
        </w:tc>
        <w:tc>
          <w:tcPr>
            <w:tcW w:w="3001" w:type="dxa"/>
            <w:vAlign w:val="center"/>
          </w:tcPr>
          <w:p>
            <w:pPr>
              <w:widowControl/>
              <w:spacing w:after="156" w:afterLines="50" w:line="500" w:lineRule="exact"/>
              <w:jc w:val="center"/>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100</w:t>
            </w:r>
          </w:p>
        </w:tc>
        <w:tc>
          <w:tcPr>
            <w:tcW w:w="3001" w:type="dxa"/>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lang w:val="en-US" w:eastAsia="zh-CN"/>
              </w:rPr>
            </w:pPr>
            <w:r>
              <w:rPr>
                <w:rFonts w:hint="eastAsia" w:ascii="仿宋_GB2312" w:hAnsi="仿宋_GB2312" w:eastAsia="仿宋_GB2312" w:cs="仿宋_GB2312"/>
                <w:b/>
                <w:kern w:val="0"/>
                <w:sz w:val="28"/>
                <w:szCs w:val="28"/>
                <w:highlight w:val="none"/>
                <w:lang w:val="en-US" w:eastAsia="zh-CN"/>
              </w:rPr>
              <w:t>88.66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绩效评定级别</w:t>
            </w:r>
          </w:p>
        </w:tc>
        <w:tc>
          <w:tcPr>
            <w:tcW w:w="6002" w:type="dxa"/>
            <w:gridSpan w:val="2"/>
            <w:vAlign w:val="center"/>
          </w:tcPr>
          <w:p>
            <w:pPr>
              <w:widowControl/>
              <w:spacing w:after="156" w:afterLines="50" w:line="500" w:lineRule="exact"/>
              <w:jc w:val="center"/>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sz w:val="28"/>
                <w:szCs w:val="28"/>
                <w:highlight w:val="none"/>
              </w:rPr>
              <w:t>良</w:t>
            </w:r>
          </w:p>
        </w:tc>
      </w:tr>
    </w:tbl>
    <w:p>
      <w:pPr>
        <w:pStyle w:val="4"/>
        <w:keepNext/>
        <w:keepLines/>
        <w:pageBreakBefore w:val="0"/>
        <w:widowControl w:val="0"/>
        <w:kinsoku/>
        <w:wordWrap/>
        <w:overflowPunct/>
        <w:topLinePunct w:val="0"/>
        <w:autoSpaceDE/>
        <w:autoSpaceDN/>
        <w:bidi w:val="0"/>
        <w:adjustRightInd/>
        <w:snapToGrid/>
        <w:spacing w:before="157" w:beforeLines="50"/>
        <w:ind w:firstLine="643"/>
        <w:textAlignment w:val="auto"/>
        <w:rPr>
          <w:rFonts w:ascii="仿宋_GB2312" w:hAnsi="仿宋_GB2312" w:eastAsia="仿宋_GB2312" w:cs="仿宋_GB2312"/>
          <w:sz w:val="32"/>
          <w:szCs w:val="32"/>
        </w:rPr>
      </w:pPr>
      <w:bookmarkStart w:id="134" w:name="_Toc11712"/>
      <w:bookmarkStart w:id="135" w:name="_Toc7349"/>
      <w:bookmarkStart w:id="136" w:name="_Toc6106"/>
      <w:bookmarkStart w:id="137" w:name="_Toc20816"/>
      <w:r>
        <w:rPr>
          <w:rFonts w:hint="eastAsia" w:ascii="仿宋_GB2312" w:hAnsi="仿宋_GB2312" w:eastAsia="仿宋_GB2312" w:cs="仿宋_GB2312"/>
          <w:sz w:val="32"/>
          <w:szCs w:val="32"/>
        </w:rPr>
        <w:t>四、绩效评价指标体系</w:t>
      </w:r>
      <w:bookmarkEnd w:id="134"/>
      <w:bookmarkEnd w:id="135"/>
      <w:bookmarkEnd w:id="136"/>
      <w:bookmarkEnd w:id="137"/>
    </w:p>
    <w:p>
      <w:pPr>
        <w:pStyle w:val="5"/>
        <w:rPr>
          <w:rFonts w:ascii="仿宋_GB2312" w:eastAsia="仿宋_GB2312"/>
        </w:rPr>
      </w:pPr>
      <w:bookmarkStart w:id="138" w:name="_Toc12724"/>
      <w:bookmarkStart w:id="139" w:name="_Toc19112399"/>
      <w:bookmarkStart w:id="140" w:name="_Toc28967"/>
      <w:bookmarkStart w:id="141" w:name="_Toc505"/>
      <w:bookmarkStart w:id="142" w:name="_Toc3824"/>
      <w:r>
        <w:rPr>
          <w:rFonts w:hint="eastAsia" w:ascii="仿宋_GB2312" w:eastAsia="仿宋_GB2312"/>
        </w:rPr>
        <w:t>（一）项目决策情况</w:t>
      </w:r>
      <w:bookmarkEnd w:id="132"/>
      <w:bookmarkEnd w:id="133"/>
      <w:bookmarkEnd w:id="138"/>
      <w:bookmarkEnd w:id="139"/>
      <w:bookmarkEnd w:id="140"/>
      <w:bookmarkEnd w:id="141"/>
      <w:bookmarkEnd w:id="142"/>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bookmarkStart w:id="143" w:name="_Toc14351472"/>
      <w:bookmarkStart w:id="144" w:name="_Toc19112400"/>
      <w:r>
        <w:rPr>
          <w:rFonts w:hint="eastAsia" w:ascii="仿宋_GB2312" w:hAnsi="仿宋_GB2312" w:eastAsia="仿宋_GB2312" w:cs="仿宋_GB2312"/>
          <w:kern w:val="0"/>
          <w:sz w:val="32"/>
          <w:szCs w:val="32"/>
        </w:rPr>
        <w:t>1.项目立项分析</w:t>
      </w:r>
      <w:bookmarkEnd w:id="143"/>
      <w:bookmarkEnd w:id="144"/>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“北京榜样”</w:t>
      </w:r>
      <w:r>
        <w:rPr>
          <w:rFonts w:hint="eastAsia" w:ascii="仿宋_GB2312" w:hAnsi="仿宋_GB2312" w:eastAsia="仿宋_GB2312" w:cs="仿宋_GB2312"/>
          <w:kern w:val="0"/>
          <w:sz w:val="32"/>
          <w:szCs w:val="32"/>
        </w:rPr>
        <w:t>主题活动由市委宣传部、首都文明办主办，</w:t>
      </w:r>
      <w:r>
        <w:rPr>
          <w:rFonts w:hint="eastAsia" w:ascii="仿宋_GB2312" w:hAnsi="仿宋_GB2312" w:eastAsia="仿宋_GB2312" w:cs="仿宋_GB2312"/>
          <w:kern w:val="0"/>
          <w:sz w:val="32"/>
          <w:szCs w:val="32"/>
          <w:lang w:val="en-US" w:eastAsia="zh-CN"/>
        </w:rPr>
        <w:t>总</w:t>
      </w:r>
      <w:r>
        <w:rPr>
          <w:rFonts w:hint="eastAsia" w:ascii="仿宋_GB2312" w:hAnsi="仿宋_GB2312" w:eastAsia="仿宋_GB2312" w:cs="仿宋_GB2312"/>
          <w:kern w:val="0"/>
          <w:sz w:val="32"/>
          <w:szCs w:val="32"/>
        </w:rPr>
        <w:t>台承办，在社会上具有很强的活动吸引力。市委宣传部、首都文明办多年来从事首都公民道德建设宣传，培育和树立了一大批模范典型。</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来</w:t>
      </w:r>
      <w:r>
        <w:rPr>
          <w:rFonts w:hint="eastAsia" w:ascii="仿宋_GB2312" w:hAnsi="仿宋_GB2312" w:eastAsia="仿宋_GB2312" w:cs="仿宋_GB2312"/>
          <w:kern w:val="0"/>
          <w:sz w:val="32"/>
          <w:szCs w:val="32"/>
        </w:rPr>
        <w:t>，市民举荐的身边榜样已经超过46万人。2023年是北京榜样主题活动开展的第十年，为进一步强化北京榜样导向和传播效应，继续深入开展“2023北京榜样”大型主题活动。</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综上所述，项目立项依据充分，立项程序规范。</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2.绩效目标分析</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bookmarkStart w:id="145" w:name="_Toc19112401"/>
      <w:r>
        <w:rPr>
          <w:rFonts w:hint="eastAsia" w:ascii="仿宋_GB2312" w:hAnsi="仿宋_GB2312" w:eastAsia="仿宋_GB2312" w:cs="仿宋_GB2312"/>
          <w:kern w:val="0"/>
          <w:sz w:val="32"/>
          <w:szCs w:val="32"/>
        </w:rPr>
        <w:t>该项目的《项目支出绩效目标申报表》，从产出指标和</w:t>
      </w:r>
      <w:r>
        <w:rPr>
          <w:rFonts w:hint="eastAsia" w:ascii="仿宋_GB2312" w:hAnsi="仿宋_GB2312" w:eastAsia="仿宋_GB2312" w:cs="仿宋_GB2312"/>
          <w:kern w:val="0"/>
          <w:sz w:val="32"/>
          <w:szCs w:val="32"/>
          <w:lang w:val="en-US" w:eastAsia="zh-CN"/>
        </w:rPr>
        <w:t>效益</w:t>
      </w:r>
      <w:r>
        <w:rPr>
          <w:rFonts w:hint="eastAsia" w:ascii="仿宋_GB2312" w:hAnsi="仿宋_GB2312" w:eastAsia="仿宋_GB2312" w:cs="仿宋_GB2312"/>
          <w:kern w:val="0"/>
          <w:sz w:val="32"/>
          <w:szCs w:val="32"/>
        </w:rPr>
        <w:t>指标</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满意度指标三</w:t>
      </w:r>
      <w:r>
        <w:rPr>
          <w:rFonts w:hint="eastAsia" w:ascii="仿宋_GB2312" w:hAnsi="仿宋_GB2312" w:eastAsia="仿宋_GB2312" w:cs="仿宋_GB2312"/>
          <w:kern w:val="0"/>
          <w:sz w:val="32"/>
          <w:szCs w:val="32"/>
        </w:rPr>
        <w:t>方面明确了绩效目标。绩效目标总体设置较为合理，符合该项目的年度工作任务，产出和效果的对应性较好，能够对实际工作进行明确、有效</w:t>
      </w:r>
      <w:r>
        <w:rPr>
          <w:rFonts w:hint="eastAsia" w:ascii="仿宋_GB2312" w:hAnsi="仿宋_GB2312" w:eastAsia="仿宋_GB2312" w:cs="仿宋_GB2312"/>
          <w:kern w:val="0"/>
          <w:sz w:val="32"/>
          <w:szCs w:val="32"/>
          <w:lang w:eastAsia="zh-CN"/>
        </w:rPr>
        <w:t>地</w:t>
      </w:r>
      <w:r>
        <w:rPr>
          <w:rFonts w:hint="eastAsia" w:ascii="仿宋_GB2312" w:hAnsi="仿宋_GB2312" w:eastAsia="仿宋_GB2312" w:cs="仿宋_GB2312"/>
          <w:kern w:val="0"/>
          <w:sz w:val="32"/>
          <w:szCs w:val="32"/>
        </w:rPr>
        <w:t>指导。但绩效目标</w:t>
      </w:r>
      <w:r>
        <w:rPr>
          <w:rFonts w:hint="eastAsia" w:ascii="仿宋_GB2312" w:hAnsi="仿宋_GB2312" w:eastAsia="仿宋_GB2312" w:cs="仿宋_GB2312"/>
          <w:kern w:val="0"/>
          <w:sz w:val="32"/>
          <w:szCs w:val="32"/>
          <w:lang w:val="en-US" w:eastAsia="zh-CN"/>
        </w:rPr>
        <w:t>的设置在细化、量化、可考量方面仍有进步的空间。</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3.资金投入分析</w:t>
      </w:r>
    </w:p>
    <w:bookmarkEnd w:id="145"/>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该项目申报预算资金总额983.8959万元，经过严格的评审，审定资金总额与申报金额一致，仍为983.8959万元。其中：</w:t>
      </w:r>
      <w:r>
        <w:rPr>
          <w:rFonts w:hint="eastAsia" w:ascii="仿宋_GB2312" w:hAnsi="仿宋_GB2312" w:eastAsia="仿宋_GB2312" w:cs="仿宋_GB2312"/>
          <w:kern w:val="0"/>
          <w:sz w:val="32"/>
          <w:szCs w:val="32"/>
          <w:lang w:val="en-US" w:eastAsia="zh-CN"/>
        </w:rPr>
        <w:t>榜样评审费用54.07</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2023年北京榜样组委会各项公益活动费641.7909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宣传推广费288.035</w:t>
      </w:r>
      <w:r>
        <w:rPr>
          <w:rFonts w:hint="eastAsia" w:ascii="仿宋_GB2312" w:hAnsi="仿宋_GB2312" w:eastAsia="仿宋_GB2312" w:cs="仿宋_GB2312"/>
          <w:kern w:val="0"/>
          <w:sz w:val="32"/>
          <w:szCs w:val="32"/>
        </w:rPr>
        <w:t>万元。</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项目预算符合相关标准，资金分配</w:t>
      </w:r>
      <w:r>
        <w:rPr>
          <w:rFonts w:hint="eastAsia" w:ascii="仿宋_GB2312" w:hAnsi="仿宋_GB2312" w:eastAsia="仿宋_GB2312" w:cs="仿宋_GB2312"/>
          <w:kern w:val="0"/>
          <w:sz w:val="32"/>
          <w:szCs w:val="32"/>
          <w:lang w:val="en-US" w:eastAsia="zh-CN"/>
        </w:rPr>
        <w:t>基本</w:t>
      </w:r>
      <w:r>
        <w:rPr>
          <w:rFonts w:hint="eastAsia" w:ascii="仿宋_GB2312" w:hAnsi="仿宋_GB2312" w:eastAsia="仿宋_GB2312" w:cs="仿宋_GB2312"/>
          <w:kern w:val="0"/>
          <w:sz w:val="32"/>
          <w:szCs w:val="32"/>
        </w:rPr>
        <w:t>合理，</w:t>
      </w:r>
      <w:r>
        <w:rPr>
          <w:rFonts w:hint="eastAsia" w:ascii="仿宋_GB2312" w:hAnsi="仿宋_GB2312" w:eastAsia="仿宋_GB2312" w:cs="仿宋_GB2312"/>
          <w:kern w:val="0"/>
          <w:sz w:val="32"/>
          <w:szCs w:val="32"/>
          <w:lang w:eastAsia="zh-Hans"/>
        </w:rPr>
        <w:t>预算编制中各项明细较为具体，与项目工作内容存在较强的相关性，</w:t>
      </w:r>
      <w:r>
        <w:rPr>
          <w:rFonts w:hint="eastAsia" w:ascii="仿宋_GB2312" w:hAnsi="仿宋_GB2312" w:eastAsia="仿宋_GB2312" w:cs="仿宋_GB2312"/>
          <w:kern w:val="0"/>
          <w:sz w:val="32"/>
          <w:szCs w:val="32"/>
        </w:rPr>
        <w:t>但绩效目标设置的完整度以及预算编制的准确性有待进一步提高。</w:t>
      </w:r>
    </w:p>
    <w:p>
      <w:pPr>
        <w:pStyle w:val="5"/>
        <w:ind w:firstLine="320" w:firstLineChars="100"/>
        <w:rPr>
          <w:rFonts w:ascii="仿宋_GB2312" w:eastAsia="仿宋_GB2312"/>
        </w:rPr>
      </w:pPr>
      <w:bookmarkStart w:id="146" w:name="_Toc3083"/>
      <w:bookmarkStart w:id="147" w:name="_Toc1526"/>
      <w:bookmarkStart w:id="148" w:name="_Toc11541"/>
      <w:bookmarkStart w:id="149" w:name="_Toc8110"/>
      <w:r>
        <w:rPr>
          <w:rFonts w:hint="eastAsia" w:ascii="仿宋_GB2312" w:eastAsia="仿宋_GB2312"/>
        </w:rPr>
        <w:t>（二）项目过程情况</w:t>
      </w:r>
      <w:bookmarkEnd w:id="146"/>
      <w:bookmarkEnd w:id="147"/>
      <w:bookmarkEnd w:id="148"/>
      <w:bookmarkEnd w:id="149"/>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1.资金管理分析</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该项目共申请财政资金983.8959万元，经预算评审后审定金额为983.8959万元。202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年0</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07</w:t>
      </w:r>
      <w:r>
        <w:rPr>
          <w:rFonts w:hint="eastAsia" w:ascii="仿宋_GB2312" w:hAnsi="仿宋_GB2312" w:eastAsia="仿宋_GB2312" w:cs="仿宋_GB2312"/>
          <w:kern w:val="0"/>
          <w:sz w:val="32"/>
          <w:szCs w:val="32"/>
        </w:rPr>
        <w:t>日，北京市财政局批复年初预算金额983.8959万元（京财科文指〔202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0206</w:t>
      </w:r>
      <w:r>
        <w:rPr>
          <w:rFonts w:hint="eastAsia" w:ascii="仿宋_GB2312" w:hAnsi="仿宋_GB2312" w:eastAsia="仿宋_GB2312" w:cs="仿宋_GB2312"/>
          <w:kern w:val="0"/>
          <w:sz w:val="32"/>
          <w:szCs w:val="32"/>
        </w:rPr>
        <w:t>号）。</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年12月31日，该项目实际执行资金总额983.8959万元，预算执行率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该项目执行过程中，资金使用按照国家、地方有关财政法规以及</w:t>
      </w:r>
      <w:r>
        <w:rPr>
          <w:rFonts w:hint="eastAsia" w:ascii="仿宋_GB2312" w:hAnsi="仿宋_GB2312" w:eastAsia="仿宋_GB2312" w:cs="仿宋_GB2312"/>
          <w:kern w:val="0"/>
          <w:sz w:val="32"/>
          <w:szCs w:val="32"/>
          <w:lang w:val="en-US" w:eastAsia="zh-CN"/>
        </w:rPr>
        <w:t>总台</w:t>
      </w:r>
      <w:r>
        <w:rPr>
          <w:rFonts w:hint="eastAsia" w:ascii="仿宋_GB2312" w:hAnsi="仿宋_GB2312" w:eastAsia="仿宋_GB2312" w:cs="仿宋_GB2312"/>
          <w:kern w:val="0"/>
          <w:sz w:val="32"/>
          <w:szCs w:val="32"/>
        </w:rPr>
        <w:t>内控制度执行。资金使用较为规范。但应加强对第三方机构资金使用过程的监管。</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2.组织实施分析</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为保障项目的顺利推进，</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北京榜样</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项目组</w:t>
      </w:r>
      <w:r>
        <w:rPr>
          <w:rFonts w:hint="eastAsia" w:ascii="仿宋_GB2312" w:hAnsi="仿宋_GB2312" w:eastAsia="仿宋_GB2312" w:cs="仿宋_GB2312"/>
          <w:kern w:val="0"/>
          <w:sz w:val="32"/>
          <w:szCs w:val="32"/>
        </w:rPr>
        <w:t>已制定了项目实施方案，其中</w:t>
      </w:r>
      <w:r>
        <w:rPr>
          <w:rFonts w:hint="eastAsia" w:ascii="仿宋_GB2312" w:hAnsi="仿宋_GB2312" w:eastAsia="仿宋_GB2312" w:cs="仿宋_GB2312"/>
          <w:kern w:val="0"/>
          <w:sz w:val="32"/>
          <w:szCs w:val="32"/>
          <w:lang w:val="en-US" w:eastAsia="zh-CN"/>
        </w:rPr>
        <w:t>明确了</w:t>
      </w:r>
      <w:r>
        <w:rPr>
          <w:rFonts w:hint="eastAsia" w:ascii="仿宋_GB2312" w:hAnsi="仿宋_GB2312" w:eastAsia="仿宋_GB2312" w:cs="仿宋_GB2312"/>
          <w:kern w:val="0"/>
          <w:sz w:val="32"/>
          <w:szCs w:val="32"/>
        </w:rPr>
        <w:t>项目的实施计划，并且在项目执行过程中</w:t>
      </w:r>
      <w:r>
        <w:rPr>
          <w:rFonts w:hint="eastAsia" w:ascii="仿宋_GB2312" w:hAnsi="仿宋_GB2312" w:eastAsia="仿宋_GB2312" w:cs="仿宋_GB2312"/>
          <w:kern w:val="0"/>
          <w:sz w:val="32"/>
          <w:szCs w:val="32"/>
          <w:lang w:val="en-US" w:eastAsia="zh-CN"/>
        </w:rPr>
        <w:t>基本</w:t>
      </w:r>
      <w:r>
        <w:rPr>
          <w:rFonts w:hint="eastAsia" w:ascii="仿宋_GB2312" w:hAnsi="仿宋_GB2312" w:eastAsia="仿宋_GB2312" w:cs="仿宋_GB2312"/>
          <w:kern w:val="0"/>
          <w:sz w:val="32"/>
          <w:szCs w:val="32"/>
        </w:rPr>
        <w:t>能遵循预定的方案及单位内控管理制度进行。</w:t>
      </w:r>
      <w:r>
        <w:rPr>
          <w:rFonts w:hint="eastAsia" w:ascii="仿宋_GB2312" w:hAnsi="仿宋_GB2312" w:eastAsia="仿宋_GB2312" w:cs="仿宋_GB2312"/>
          <w:kern w:val="0"/>
          <w:sz w:val="32"/>
          <w:szCs w:val="32"/>
          <w:lang w:val="en-US" w:eastAsia="zh-CN"/>
        </w:rPr>
        <w:t>但</w:t>
      </w:r>
      <w:r>
        <w:rPr>
          <w:rFonts w:hint="eastAsia" w:ascii="仿宋_GB2312" w:hAnsi="仿宋_GB2312" w:eastAsia="仿宋_GB2312" w:cs="仿宋_GB2312"/>
          <w:kern w:val="0"/>
          <w:sz w:val="32"/>
          <w:szCs w:val="32"/>
        </w:rPr>
        <w:t>实施方案仍存在不足之处，</w:t>
      </w:r>
      <w:r>
        <w:rPr>
          <w:rFonts w:hint="eastAsia" w:ascii="仿宋_GB2312" w:hAnsi="仿宋_GB2312" w:eastAsia="仿宋_GB2312" w:cs="仿宋_GB2312"/>
          <w:kern w:val="0"/>
          <w:sz w:val="32"/>
          <w:szCs w:val="32"/>
          <w:lang w:val="en-US" w:eastAsia="zh-CN"/>
        </w:rPr>
        <w:t>在</w:t>
      </w:r>
      <w:r>
        <w:rPr>
          <w:rFonts w:hint="eastAsia" w:ascii="仿宋_GB2312" w:hAnsi="仿宋_GB2312" w:eastAsia="仿宋_GB2312" w:cs="仿宋_GB2312"/>
          <w:kern w:val="0"/>
          <w:sz w:val="32"/>
          <w:szCs w:val="32"/>
        </w:rPr>
        <w:t>具体实施活动的目标人群细化、风险控制措施、质量要求、验收标准及总结等方面</w:t>
      </w:r>
      <w:r>
        <w:rPr>
          <w:rFonts w:hint="eastAsia" w:ascii="仿宋_GB2312" w:hAnsi="仿宋_GB2312" w:eastAsia="仿宋_GB2312" w:cs="仿宋_GB2312"/>
          <w:kern w:val="0"/>
          <w:sz w:val="32"/>
          <w:szCs w:val="32"/>
          <w:lang w:val="en-US" w:eastAsia="zh-CN"/>
        </w:rPr>
        <w:t>内容不够详尽</w:t>
      </w:r>
      <w:r>
        <w:rPr>
          <w:rFonts w:hint="eastAsia" w:ascii="仿宋_GB2312" w:hAnsi="仿宋_GB2312" w:eastAsia="仿宋_GB2312" w:cs="仿宋_GB2312"/>
          <w:kern w:val="0"/>
          <w:sz w:val="32"/>
          <w:szCs w:val="32"/>
        </w:rPr>
        <w:t>。</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北京榜样项目</w:t>
      </w:r>
      <w:r>
        <w:rPr>
          <w:rFonts w:hint="eastAsia" w:ascii="仿宋_GB2312" w:hAnsi="仿宋_GB2312" w:eastAsia="仿宋_GB2312" w:cs="仿宋_GB2312"/>
          <w:kern w:val="0"/>
          <w:sz w:val="32"/>
          <w:szCs w:val="32"/>
        </w:rPr>
        <w:t>委托北京汇诚金桥国际招标咨询有限公司 于202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26</w:t>
      </w:r>
      <w:r>
        <w:rPr>
          <w:rFonts w:hint="eastAsia" w:ascii="仿宋_GB2312" w:hAnsi="仿宋_GB2312" w:eastAsia="仿宋_GB2312" w:cs="仿宋_GB2312"/>
          <w:kern w:val="0"/>
          <w:sz w:val="32"/>
          <w:szCs w:val="32"/>
        </w:rPr>
        <w:t>日对外公开招标，到投标截止时间前共收到3家公司投标响应文件，经评标委员会评定， 北京京广传媒有限责任公司为中标人。</w:t>
      </w:r>
      <w:r>
        <w:rPr>
          <w:rFonts w:hint="eastAsia" w:ascii="仿宋_GB2312" w:hAnsi="仿宋_GB2312" w:eastAsia="仿宋_GB2312" w:cs="仿宋_GB2312"/>
          <w:kern w:val="0"/>
          <w:sz w:val="32"/>
          <w:szCs w:val="32"/>
          <w:lang w:val="en-US" w:eastAsia="zh-CN"/>
        </w:rPr>
        <w:t>2023年5月18日发布中标通知书，2023年6</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日，双方签订委托</w:t>
      </w:r>
      <w:r>
        <w:rPr>
          <w:rFonts w:hint="eastAsia" w:ascii="仿宋_GB2312" w:hAnsi="仿宋_GB2312" w:eastAsia="仿宋_GB2312" w:cs="仿宋_GB2312"/>
          <w:kern w:val="0"/>
          <w:sz w:val="32"/>
          <w:szCs w:val="32"/>
          <w:lang w:val="en-US" w:eastAsia="zh-CN"/>
        </w:rPr>
        <w:t>合作</w:t>
      </w:r>
      <w:r>
        <w:rPr>
          <w:rFonts w:hint="eastAsia" w:ascii="仿宋_GB2312" w:hAnsi="仿宋_GB2312" w:eastAsia="仿宋_GB2312" w:cs="仿宋_GB2312"/>
          <w:kern w:val="0"/>
          <w:sz w:val="32"/>
          <w:szCs w:val="32"/>
        </w:rPr>
        <w:t>协议。</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组委会第一次确定榜样的时间2023年4月24日、第二次为2023年5月29日</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进一步规范项目实施，对于全部委托的项目，在项目委托单位采购完成并签订合同后方可开展相关工作，避免先干活后履行采购程序的现象。</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协议约定</w:t>
      </w:r>
      <w:r>
        <w:rPr>
          <w:rFonts w:hint="eastAsia" w:ascii="仿宋_GB2312" w:hAnsi="仿宋_GB2312" w:eastAsia="仿宋_GB2312" w:cs="仿宋_GB2312"/>
          <w:kern w:val="0"/>
          <w:sz w:val="32"/>
          <w:szCs w:val="32"/>
        </w:rPr>
        <w:t>2023年10月31日组织一次中期验收</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2023年12月31日项目完成后组织终审验收。</w:t>
      </w:r>
      <w:r>
        <w:rPr>
          <w:rFonts w:hint="eastAsia" w:ascii="仿宋_GB2312" w:hAnsi="仿宋_GB2312" w:eastAsia="仿宋_GB2312" w:cs="仿宋_GB2312"/>
          <w:kern w:val="0"/>
          <w:sz w:val="32"/>
          <w:szCs w:val="32"/>
          <w:lang w:val="en-US" w:eastAsia="zh-CN"/>
        </w:rPr>
        <w:t>但在项目执行中并未形成完整的验收报告。</w:t>
      </w:r>
      <w:bookmarkStart w:id="150" w:name="_Toc480969075"/>
      <w:bookmarkStart w:id="151" w:name="_Toc14351490"/>
      <w:bookmarkStart w:id="152" w:name="_Toc19112428"/>
      <w:bookmarkStart w:id="153" w:name="_Toc26783"/>
      <w:bookmarkStart w:id="154" w:name="_Toc22342"/>
      <w:bookmarkStart w:id="155" w:name="_Toc4848"/>
      <w:bookmarkStart w:id="156" w:name="_Toc2528"/>
      <w:r>
        <w:rPr>
          <w:rFonts w:hint="eastAsia" w:ascii="仿宋_GB2312" w:hAnsi="仿宋_GB2312" w:eastAsia="仿宋_GB2312" w:cs="仿宋_GB2312"/>
          <w:kern w:val="0"/>
          <w:sz w:val="32"/>
          <w:szCs w:val="32"/>
          <w:lang w:val="en-US" w:eastAsia="zh-CN"/>
        </w:rPr>
        <w:t>项目管理需进一步规范，项目完成后要按合同约定的活动内容，对项目的完成质量进行验收。</w:t>
      </w:r>
    </w:p>
    <w:p>
      <w:pPr>
        <w:pStyle w:val="5"/>
        <w:numPr>
          <w:ilvl w:val="0"/>
          <w:numId w:val="0"/>
        </w:numPr>
        <w:rPr>
          <w:rFonts w:ascii="仿宋_GB2312" w:hAnsi="仿宋_GB2312" w:eastAsia="仿宋_GB2312" w:cs="仿宋_GB2312"/>
          <w:highlight w:val="none"/>
        </w:rPr>
      </w:pPr>
      <w:r>
        <w:rPr>
          <w:rFonts w:hint="eastAsia" w:ascii="仿宋_GB2312" w:hAnsi="仿宋_GB2312" w:eastAsia="仿宋_GB2312" w:cs="仿宋_GB2312"/>
          <w:highlight w:val="none"/>
        </w:rPr>
        <w:t>（三）项目产出</w:t>
      </w:r>
      <w:bookmarkEnd w:id="150"/>
      <w:bookmarkEnd w:id="151"/>
      <w:bookmarkEnd w:id="152"/>
      <w:r>
        <w:rPr>
          <w:rFonts w:hint="eastAsia" w:ascii="仿宋_GB2312" w:hAnsi="仿宋_GB2312" w:eastAsia="仿宋_GB2312" w:cs="仿宋_GB2312"/>
          <w:highlight w:val="none"/>
        </w:rPr>
        <w:t>情况</w:t>
      </w:r>
      <w:bookmarkEnd w:id="153"/>
      <w:bookmarkEnd w:id="154"/>
      <w:bookmarkEnd w:id="155"/>
      <w:bookmarkEnd w:id="156"/>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bookmarkStart w:id="157" w:name="_Toc14351493"/>
      <w:bookmarkStart w:id="158" w:name="_Toc19112431"/>
      <w:bookmarkStart w:id="159" w:name="_Toc480969079"/>
      <w:r>
        <w:rPr>
          <w:rFonts w:hint="eastAsia" w:ascii="仿宋_GB2312" w:hAnsi="仿宋_GB2312" w:eastAsia="仿宋_GB2312" w:cs="仿宋_GB2312"/>
          <w:kern w:val="0"/>
          <w:sz w:val="32"/>
          <w:szCs w:val="32"/>
        </w:rPr>
        <w:t>1.产出数量分析</w:t>
      </w:r>
      <w:bookmarkEnd w:id="157"/>
      <w:bookmarkEnd w:id="158"/>
      <w:bookmarkEnd w:id="159"/>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举办活动场次：举办活动</w:t>
      </w:r>
      <w:r>
        <w:rPr>
          <w:rFonts w:hint="eastAsia" w:ascii="仿宋_GB2312" w:hAnsi="仿宋_GB2312" w:eastAsia="仿宋_GB2312" w:cs="仿宋_GB2312"/>
          <w:kern w:val="0"/>
          <w:sz w:val="32"/>
          <w:szCs w:val="32"/>
          <w:lang w:val="en-US" w:eastAsia="zh-CN"/>
        </w:rPr>
        <w:t>16场</w:t>
      </w:r>
      <w:r>
        <w:rPr>
          <w:rFonts w:hint="eastAsia" w:ascii="仿宋_GB2312" w:hAnsi="仿宋_GB2312" w:eastAsia="仿宋_GB2312" w:cs="仿宋_GB2312"/>
          <w:kern w:val="0"/>
          <w:sz w:val="32"/>
          <w:szCs w:val="32"/>
        </w:rPr>
        <w:t>；评选榜样人数：已完成评选榜样人数141个，其中74组周榜样，62组月榜样，5组特别榜。</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该项目数量指标实际完成情况较好，实现了年初设定的绩效目标。数量指标仅设定活动场次及人数，未明确活动的内容及评选榜样所涉及的行业，故数量指标的设置还需进一步完善，应全面反映项目实施情况，体现项目成果，便于考核。</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2.产出质量分析</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举办了学榜样我行动、关爱礼遇北京榜样为榜样圆梦的系列主题活动16场，活动导向正确、主题鲜明</w:t>
      </w:r>
      <w:r>
        <w:rPr>
          <w:rFonts w:hint="eastAsia" w:ascii="仿宋_GB2312" w:hAnsi="仿宋_GB2312" w:eastAsia="仿宋_GB2312" w:cs="仿宋_GB2312"/>
          <w:kern w:val="0"/>
          <w:sz w:val="32"/>
          <w:szCs w:val="32"/>
          <w:lang w:eastAsia="zh-CN"/>
        </w:rPr>
        <w:t>；在全市选出了141组“崇德向善 奋发向上”的榜样人物，充分发挥了榜样的引领和示范效应，打造培育和践行社会主义核心价值观的品牌活动</w:t>
      </w:r>
      <w:r>
        <w:rPr>
          <w:rFonts w:hint="eastAsia" w:ascii="仿宋_GB2312" w:hAnsi="仿宋_GB2312" w:eastAsia="仿宋_GB2312" w:cs="仿宋_GB2312"/>
          <w:kern w:val="0"/>
          <w:sz w:val="32"/>
          <w:szCs w:val="32"/>
        </w:rPr>
        <w:t>。</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该项目质量指标实际完成情况较好，但产出质量指标设置量化性不足，可考核性偏弱。</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3.进度指标分析</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评审会：</w:t>
      </w:r>
      <w:r>
        <w:rPr>
          <w:rFonts w:hint="eastAsia" w:ascii="仿宋_GB2312" w:hAnsi="仿宋_GB2312" w:eastAsia="仿宋_GB2312" w:cs="仿宋_GB2312"/>
          <w:kern w:val="0"/>
          <w:sz w:val="32"/>
          <w:szCs w:val="32"/>
        </w:rPr>
        <w:t>2023年4月至9月，每月召开一次评审会，共6次；6月召开评审研讨会1次；10月召开年度评审会1次。</w:t>
      </w:r>
    </w:p>
    <w:p>
      <w:pPr>
        <w:widowControl/>
        <w:tabs>
          <w:tab w:val="left" w:pos="2215"/>
        </w:tabs>
        <w:spacing w:line="360" w:lineRule="auto"/>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2023年北京榜样组委会各项公益活动：2023年2月-11月，按时举办了16场活动，项目按计划完成。</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该项目时效指标未明确具体的进度要求，可考核性</w:t>
      </w:r>
      <w:r>
        <w:rPr>
          <w:rFonts w:hint="eastAsia" w:ascii="仿宋_GB2312" w:hAnsi="仿宋_GB2312" w:eastAsia="仿宋_GB2312" w:cs="仿宋_GB2312"/>
          <w:kern w:val="0"/>
          <w:sz w:val="32"/>
          <w:szCs w:val="32"/>
          <w:lang w:val="en-US" w:eastAsia="zh-CN"/>
        </w:rPr>
        <w:t>偏</w:t>
      </w:r>
      <w:r>
        <w:rPr>
          <w:rFonts w:hint="eastAsia" w:ascii="仿宋_GB2312" w:hAnsi="仿宋_GB2312" w:eastAsia="仿宋_GB2312" w:cs="仿宋_GB2312"/>
          <w:kern w:val="0"/>
          <w:sz w:val="32"/>
          <w:szCs w:val="32"/>
        </w:rPr>
        <w:t>弱不便于对项目时效的考核。</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.进度指标分析</w:t>
      </w:r>
    </w:p>
    <w:p>
      <w:pPr>
        <w:widowControl/>
        <w:tabs>
          <w:tab w:val="left" w:pos="2215"/>
        </w:tabs>
        <w:spacing w:line="360" w:lineRule="auto"/>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为更好地控制预算成本和节约财政资金，项目单位采取了相应控制措施。通过预算评审保证了计划资金的经济性；在项目实施阶段采用公开招标的方式遴选服务供应商，节约了成本；项目预算执行成本未超过年初设定目标。</w:t>
      </w:r>
    </w:p>
    <w:p>
      <w:pPr>
        <w:pStyle w:val="5"/>
        <w:rPr>
          <w:rFonts w:ascii="仿宋_GB2312" w:eastAsia="仿宋_GB2312"/>
          <w:highlight w:val="none"/>
        </w:rPr>
      </w:pPr>
      <w:bookmarkStart w:id="160" w:name="_Toc6428"/>
      <w:bookmarkStart w:id="161" w:name="_Toc24149"/>
      <w:bookmarkStart w:id="162" w:name="_Toc30040"/>
      <w:bookmarkStart w:id="163" w:name="_Toc30084"/>
      <w:bookmarkStart w:id="164" w:name="_Toc14351494"/>
      <w:r>
        <w:rPr>
          <w:rFonts w:hint="eastAsia" w:ascii="仿宋_GB2312" w:eastAsia="仿宋_GB2312"/>
          <w:highlight w:val="none"/>
        </w:rPr>
        <w:t>（四）项目效益情况</w:t>
      </w:r>
      <w:bookmarkEnd w:id="160"/>
      <w:bookmarkEnd w:id="161"/>
      <w:bookmarkEnd w:id="162"/>
      <w:bookmarkEnd w:id="163"/>
    </w:p>
    <w:p>
      <w:pPr>
        <w:widowControl/>
        <w:tabs>
          <w:tab w:val="left" w:pos="2215"/>
        </w:tabs>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1.实施效益分析</w:t>
      </w:r>
    </w:p>
    <w:bookmarkEnd w:id="164"/>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firstLine="642" w:firstLineChars="0"/>
        <w:textAlignment w:val="auto"/>
        <w:rPr>
          <w:rFonts w:hint="eastAsia" w:ascii="仿宋_GB2312" w:hAnsi="仿宋_GB2312" w:eastAsia="仿宋_GB2312" w:cs="仿宋_GB2312"/>
          <w:bCs/>
          <w:sz w:val="32"/>
          <w:szCs w:val="32"/>
          <w:lang w:val="en-US" w:eastAsia="zh-CN"/>
        </w:rPr>
      </w:pPr>
      <w:bookmarkStart w:id="165" w:name="_Toc19112457"/>
      <w:bookmarkStart w:id="166" w:name="_Toc14351505"/>
      <w:r>
        <w:rPr>
          <w:rFonts w:hint="eastAsia" w:ascii="仿宋_GB2312" w:hAnsi="宋体" w:eastAsia="仿宋_GB2312"/>
          <w:bCs/>
          <w:sz w:val="32"/>
          <w:szCs w:val="32"/>
          <w:lang w:val="en-US" w:eastAsia="zh-CN"/>
        </w:rPr>
        <w:t>“2023北京榜样”贯穿全年的选树活动通过深入挖掘、层层选树、多形式推广，展现全市各行各业优秀人物在平凡岗位上做出不凡成绩的突出事迹，激励市民群众向榜样学习、</w:t>
      </w:r>
      <w:r>
        <w:rPr>
          <w:rFonts w:hint="eastAsia" w:ascii="仿宋_GB2312" w:hAnsi="仿宋_GB2312" w:eastAsia="仿宋_GB2312" w:cs="仿宋_GB2312"/>
          <w:bCs/>
          <w:sz w:val="32"/>
          <w:szCs w:val="32"/>
          <w:lang w:val="en-US" w:eastAsia="zh-CN"/>
        </w:rPr>
        <w:t>弘扬崇德向善之风，汇聚推动基层“善治”的全民力量，充分彰显首都市民奋斗新时代、奋进新征程的精神风貌。在全市选树了一批“崇德向善 奋发向上”的榜样人物，从基层选举到社会参与，充分发挥榜样的引领和示范效应，打造培育和践行社会主义核心价值观的品牌活动，汇聚实现中国梦的强大精神力量。榜样选树宣传发挥了榜样模范的社会动员作用，潜移默化地对群众产生影响，使多元化的个体价值观念逐渐趋同于社会共同体的价值认</w:t>
      </w:r>
      <w:r>
        <w:rPr>
          <w:rFonts w:hint="eastAsia" w:ascii="仿宋_GB2312" w:hAnsi="宋体" w:eastAsia="仿宋_GB2312"/>
          <w:bCs/>
          <w:sz w:val="32"/>
          <w:szCs w:val="32"/>
          <w:lang w:val="en-US" w:eastAsia="zh-CN"/>
        </w:rPr>
        <w:t>同，使整个社会形成劳动光荣的价值理念和行为导向。</w:t>
      </w:r>
    </w:p>
    <w:p>
      <w:pPr>
        <w:spacing w:line="360" w:lineRule="auto"/>
        <w:ind w:firstLine="640" w:firstLineChars="200"/>
        <w:rPr>
          <w:rFonts w:ascii="仿宋_GB2312" w:hAnsi="Times New Roman" w:eastAsia="仿宋_GB2312" w:cs="Times New Roman"/>
          <w:sz w:val="32"/>
          <w:szCs w:val="32"/>
          <w:highlight w:val="yellow"/>
        </w:rPr>
      </w:pPr>
      <w:r>
        <w:rPr>
          <w:rFonts w:hint="eastAsia" w:ascii="仿宋_GB2312" w:hAnsi="Times New Roman" w:eastAsia="仿宋_GB2312" w:cs="Times New Roman"/>
          <w:sz w:val="32"/>
          <w:szCs w:val="32"/>
          <w:highlight w:val="none"/>
        </w:rPr>
        <w:t>该项目的实施产生了较好的社会效益和可持续影响，基本实现了预期的社会效益。</w:t>
      </w:r>
      <w:r>
        <w:rPr>
          <w:rFonts w:hint="eastAsia" w:ascii="仿宋_GB2312" w:hAnsi="Times New Roman" w:eastAsia="仿宋_GB2312" w:cs="Times New Roman"/>
          <w:sz w:val="32"/>
          <w:szCs w:val="32"/>
          <w:highlight w:val="none"/>
          <w:lang w:val="en-US" w:eastAsia="zh-CN"/>
        </w:rPr>
        <w:t>但</w:t>
      </w:r>
      <w:r>
        <w:rPr>
          <w:rFonts w:hint="eastAsia" w:ascii="仿宋_GB2312" w:hAnsi="Times New Roman" w:eastAsia="仿宋_GB2312" w:cs="Times New Roman"/>
          <w:sz w:val="32"/>
          <w:szCs w:val="32"/>
          <w:highlight w:val="none"/>
        </w:rPr>
        <w:t>项目绩效效果分类量化分析</w:t>
      </w:r>
      <w:r>
        <w:rPr>
          <w:rFonts w:hint="eastAsia" w:ascii="仿宋_GB2312" w:hAnsi="Times New Roman" w:eastAsia="仿宋_GB2312" w:cs="Times New Roman"/>
          <w:sz w:val="32"/>
          <w:szCs w:val="32"/>
          <w:highlight w:val="none"/>
          <w:lang w:val="en-US" w:eastAsia="zh-CN"/>
        </w:rPr>
        <w:t>不足</w:t>
      </w:r>
      <w:r>
        <w:rPr>
          <w:rFonts w:hint="eastAsia" w:ascii="仿宋_GB2312" w:hAnsi="Times New Roman" w:eastAsia="仿宋_GB2312" w:cs="Times New Roman"/>
          <w:sz w:val="32"/>
          <w:szCs w:val="32"/>
          <w:highlight w:val="none"/>
        </w:rPr>
        <w:t>，对榜样的引领深挖及跟踪不够。</w:t>
      </w:r>
    </w:p>
    <w:bookmarkEnd w:id="165"/>
    <w:bookmarkEnd w:id="166"/>
    <w:p>
      <w:pPr>
        <w:spacing w:line="360" w:lineRule="auto"/>
        <w:ind w:firstLine="640" w:firstLineChars="200"/>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2.满意度分析</w:t>
      </w:r>
    </w:p>
    <w:p>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该项目的各项活动受到广大</w:t>
      </w:r>
      <w:r>
        <w:rPr>
          <w:rFonts w:hint="eastAsia" w:ascii="仿宋_GB2312" w:hAnsi="仿宋_GB2312" w:eastAsia="仿宋_GB2312" w:cs="仿宋_GB2312"/>
          <w:sz w:val="32"/>
          <w:szCs w:val="32"/>
          <w:highlight w:val="none"/>
          <w:lang w:val="en-US" w:eastAsia="zh-CN"/>
        </w:rPr>
        <w:t>参与</w:t>
      </w:r>
      <w:r>
        <w:rPr>
          <w:rFonts w:hint="eastAsia" w:ascii="仿宋_GB2312" w:hAnsi="仿宋_GB2312" w:eastAsia="仿宋_GB2312" w:cs="仿宋_GB2312"/>
          <w:sz w:val="32"/>
          <w:szCs w:val="32"/>
          <w:highlight w:val="none"/>
        </w:rPr>
        <w:t>者的普遍好评，在活动满意度调查中，共回收有效问</w:t>
      </w:r>
      <w:r>
        <w:rPr>
          <w:rFonts w:hint="eastAsia" w:ascii="仿宋_GB2312" w:hAnsi="仿宋_GB2312" w:eastAsia="仿宋_GB2312" w:cs="仿宋_GB2312"/>
          <w:sz w:val="32"/>
          <w:szCs w:val="32"/>
          <w:highlight w:val="none"/>
          <w:lang w:val="en-US" w:eastAsia="zh-CN"/>
        </w:rPr>
        <w:t>卷154</w:t>
      </w:r>
      <w:r>
        <w:rPr>
          <w:rFonts w:hint="eastAsia" w:ascii="仿宋_GB2312" w:hAnsi="仿宋_GB2312" w:eastAsia="仿宋_GB2312" w:cs="仿宋_GB2312"/>
          <w:sz w:val="32"/>
          <w:szCs w:val="32"/>
          <w:highlight w:val="none"/>
        </w:rPr>
        <w:t>份，满意度达</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w:t>
      </w:r>
    </w:p>
    <w:p>
      <w:pPr>
        <w:spacing w:line="360" w:lineRule="auto"/>
        <w:ind w:firstLine="640" w:firstLineChars="200"/>
        <w:rPr>
          <w:rFonts w:hint="eastAsia"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rPr>
        <w:t>评价认为，该项目获得了服务对象的认可，但满意度问卷过于简单，未进行满意度分析，问卷与2023年北京榜样年度活动内容的直接相关性不足。</w:t>
      </w:r>
    </w:p>
    <w:p>
      <w:pPr>
        <w:pStyle w:val="4"/>
        <w:numPr>
          <w:ilvl w:val="0"/>
          <w:numId w:val="2"/>
        </w:numPr>
        <w:spacing w:line="360" w:lineRule="auto"/>
        <w:ind w:firstLine="643"/>
        <w:rPr>
          <w:rFonts w:ascii="仿宋_GB2312" w:hAnsi="黑体" w:eastAsia="仿宋_GB2312" w:cs="Times New Roman"/>
          <w:sz w:val="32"/>
          <w:szCs w:val="32"/>
          <w:highlight w:val="none"/>
        </w:rPr>
      </w:pPr>
      <w:bookmarkStart w:id="167" w:name="_Toc22699"/>
      <w:bookmarkStart w:id="168" w:name="_Toc24496"/>
      <w:bookmarkStart w:id="169" w:name="_Toc19112460"/>
      <w:bookmarkStart w:id="170" w:name="_Toc30374"/>
      <w:bookmarkStart w:id="171" w:name="_Toc424567097"/>
      <w:bookmarkStart w:id="172" w:name="_Toc12168"/>
      <w:r>
        <w:rPr>
          <w:rFonts w:hint="eastAsia" w:ascii="仿宋_GB2312" w:hAnsi="黑体" w:eastAsia="仿宋_GB2312" w:cs="Times New Roman"/>
          <w:sz w:val="32"/>
          <w:szCs w:val="32"/>
          <w:highlight w:val="none"/>
        </w:rPr>
        <w:t>主要经验及做法、存在的问题及原因分析</w:t>
      </w:r>
      <w:bookmarkEnd w:id="167"/>
      <w:bookmarkEnd w:id="168"/>
      <w:bookmarkEnd w:id="169"/>
      <w:bookmarkEnd w:id="170"/>
      <w:bookmarkEnd w:id="171"/>
      <w:bookmarkEnd w:id="172"/>
    </w:p>
    <w:p>
      <w:pPr>
        <w:pStyle w:val="5"/>
        <w:rPr>
          <w:rFonts w:ascii="仿宋_GB2312" w:hAnsi="仿宋_GB2312" w:eastAsia="仿宋_GB2312" w:cs="仿宋_GB2312"/>
          <w:highlight w:val="none"/>
        </w:rPr>
      </w:pPr>
      <w:bookmarkStart w:id="173" w:name="_Toc25020"/>
      <w:bookmarkStart w:id="174" w:name="_Toc22438"/>
      <w:bookmarkStart w:id="175" w:name="_Toc3264"/>
      <w:bookmarkStart w:id="176" w:name="_Toc23277"/>
      <w:r>
        <w:rPr>
          <w:rFonts w:hint="eastAsia" w:ascii="仿宋_GB2312" w:hAnsi="仿宋_GB2312" w:eastAsia="仿宋_GB2312" w:cs="仿宋_GB2312"/>
          <w:highlight w:val="none"/>
        </w:rPr>
        <w:t>（一）主要经验及做法</w:t>
      </w:r>
      <w:bookmarkEnd w:id="173"/>
      <w:bookmarkEnd w:id="174"/>
      <w:bookmarkEnd w:id="175"/>
      <w:bookmarkEnd w:id="176"/>
    </w:p>
    <w:p>
      <w:pPr>
        <w:keepNext w:val="0"/>
        <w:keepLines w:val="0"/>
        <w:pageBreakBefore w:val="0"/>
        <w:widowControl/>
        <w:kinsoku/>
        <w:wordWrap/>
        <w:overflowPunct/>
        <w:topLinePunct w:val="0"/>
        <w:autoSpaceDE/>
        <w:autoSpaceDN/>
        <w:bidi w:val="0"/>
        <w:adjustRightInd w:val="0"/>
        <w:snapToGrid/>
        <w:spacing w:line="360" w:lineRule="auto"/>
        <w:ind w:firstLine="642"/>
        <w:textAlignment w:val="auto"/>
        <w:outlineLvl w:val="2"/>
        <w:rPr>
          <w:rFonts w:ascii="仿宋_GB2312" w:eastAsia="仿宋_GB2312"/>
          <w:sz w:val="32"/>
          <w:szCs w:val="32"/>
          <w:highlight w:val="none"/>
        </w:rPr>
      </w:pPr>
      <w:r>
        <w:rPr>
          <w:rFonts w:hint="eastAsia" w:ascii="仿宋_GB2312" w:eastAsia="仿宋_GB2312"/>
          <w:sz w:val="32"/>
          <w:szCs w:val="32"/>
          <w:highlight w:val="none"/>
        </w:rPr>
        <w:t>一是</w:t>
      </w:r>
      <w:r>
        <w:rPr>
          <w:rFonts w:hint="eastAsia" w:ascii="仿宋_GB2312" w:hAnsi="宋体" w:eastAsia="仿宋_GB2312"/>
          <w:bCs/>
          <w:sz w:val="32"/>
          <w:szCs w:val="32"/>
          <w:highlight w:val="none"/>
          <w:lang w:val="en-US" w:eastAsia="zh-CN"/>
        </w:rPr>
        <w:t>2023北京榜样服务大局、守正创新</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lang w:val="en-US" w:eastAsia="zh-CN"/>
        </w:rPr>
        <w:t>活动首先要服务大局大事，围绕贯彻落实党的二十大精神开展活动，聚焦加强“四个中心”功能建设、提高城市现代化治理水平、增进民生福祉、落实文明城区创建三年行动计划等中心工作，广泛选树和宣传群众身边榜样，树立踔厉奋发、向上向善、奉献有为的时代群像，充分发挥先进人物表率示范作用，为奋进新征程、建功新时代凝心聚力。其次是激发创新活力，不断改进榜样人物选树渠道、选树对象、选树标准和评审机制等，重视推出具有朝气和梦想的“95后”“00后”时代新人，释放主题活动新的生机活力。积极推动榜样选树融入新时代文明实践中心建设，以品牌的力量推动文明培育、文明实践、文明创建</w:t>
      </w:r>
      <w:r>
        <w:rPr>
          <w:rFonts w:hint="eastAsia" w:ascii="仿宋_GB2312" w:eastAsia="仿宋_GB2312"/>
          <w:sz w:val="32"/>
          <w:szCs w:val="32"/>
          <w:highlight w:val="none"/>
        </w:rPr>
        <w:t>。</w:t>
      </w:r>
    </w:p>
    <w:p>
      <w:pPr>
        <w:keepNext w:val="0"/>
        <w:keepLines w:val="0"/>
        <w:pageBreakBefore w:val="0"/>
        <w:widowControl/>
        <w:kinsoku/>
        <w:wordWrap/>
        <w:overflowPunct/>
        <w:topLinePunct w:val="0"/>
        <w:autoSpaceDE/>
        <w:autoSpaceDN/>
        <w:bidi w:val="0"/>
        <w:adjustRightInd w:val="0"/>
        <w:snapToGrid/>
        <w:spacing w:line="360" w:lineRule="auto"/>
        <w:ind w:firstLine="642"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eastAsia="仿宋_GB2312"/>
          <w:sz w:val="32"/>
          <w:szCs w:val="32"/>
          <w:highlight w:val="none"/>
        </w:rPr>
        <w:t>二是</w:t>
      </w:r>
      <w:r>
        <w:rPr>
          <w:rFonts w:hint="eastAsia" w:ascii="仿宋_GB2312" w:hAnsi="宋体" w:eastAsia="仿宋_GB2312"/>
          <w:bCs/>
          <w:sz w:val="32"/>
          <w:szCs w:val="32"/>
          <w:highlight w:val="none"/>
          <w:lang w:val="en-US" w:eastAsia="zh-CN"/>
        </w:rPr>
        <w:t>2023北京榜样扎根群众、保持热度</w:t>
      </w:r>
      <w:r>
        <w:rPr>
          <w:rFonts w:hint="eastAsia" w:ascii="仿宋_GB2312" w:eastAsia="仿宋_GB2312"/>
          <w:sz w:val="32"/>
          <w:szCs w:val="32"/>
          <w:highlight w:val="none"/>
        </w:rPr>
        <w:t>。</w:t>
      </w:r>
      <w:bookmarkStart w:id="177" w:name="_Toc23594"/>
      <w:bookmarkStart w:id="178" w:name="_Toc2845"/>
      <w:bookmarkStart w:id="179" w:name="_Toc4182"/>
      <w:bookmarkStart w:id="180" w:name="_Toc11315"/>
      <w:bookmarkStart w:id="181" w:name="_Toc20845"/>
      <w:r>
        <w:rPr>
          <w:rFonts w:hint="eastAsia" w:ascii="仿宋_GB2312" w:hAnsi="仿宋_GB2312" w:eastAsia="仿宋_GB2312" w:cs="仿宋_GB2312"/>
          <w:sz w:val="32"/>
          <w:szCs w:val="32"/>
          <w:highlight w:val="none"/>
          <w:lang w:val="en-US" w:eastAsia="zh-CN"/>
        </w:rPr>
        <w:t>坚持从街乡镇、社区村和基层单位做起开展学习宣传活动，提高城乡基层支持度和参与度。坚持举荐榜样与宣传好事相结合，既注重挖掘长期做好事、综合道德素质良好的身边榜样，也注意发现和宣传日常生活中涌现的单件好事，使举荐的榜样人物源源不断。坚持从群众中来、到群众中去，深入发掘平凡中的力量，推出更多立得住、树得起、叫得响、有影响，市民群众普遍信服和认可的先进典型，以榜样力量引领社会风尚。</w:t>
      </w:r>
    </w:p>
    <w:p>
      <w:pPr>
        <w:keepNext w:val="0"/>
        <w:keepLines w:val="0"/>
        <w:pageBreakBefore w:val="0"/>
        <w:widowControl/>
        <w:kinsoku/>
        <w:wordWrap/>
        <w:overflowPunct/>
        <w:topLinePunct w:val="0"/>
        <w:autoSpaceDE/>
        <w:autoSpaceDN/>
        <w:bidi w:val="0"/>
        <w:adjustRightInd w:val="0"/>
        <w:snapToGrid/>
        <w:spacing w:line="360" w:lineRule="auto"/>
        <w:ind w:firstLine="642"/>
        <w:textAlignment w:val="auto"/>
        <w:rPr>
          <w:rFonts w:hint="eastAsia" w:ascii="仿宋_GB2312" w:eastAsia="仿宋_GB2312"/>
          <w:b w:val="0"/>
          <w:bCs w:val="0"/>
          <w:highlight w:val="none"/>
        </w:rPr>
      </w:pPr>
      <w:r>
        <w:rPr>
          <w:rFonts w:hint="eastAsia" w:ascii="仿宋_GB2312" w:eastAsia="仿宋_GB2312"/>
          <w:sz w:val="32"/>
          <w:szCs w:val="32"/>
          <w:highlight w:val="none"/>
        </w:rPr>
        <w:t>三是</w:t>
      </w:r>
      <w:r>
        <w:rPr>
          <w:rFonts w:hint="eastAsia" w:ascii="仿宋_GB2312" w:eastAsia="仿宋_GB2312"/>
          <w:sz w:val="32"/>
          <w:szCs w:val="32"/>
          <w:highlight w:val="none"/>
          <w:lang w:val="en-US" w:eastAsia="zh-CN"/>
        </w:rPr>
        <w:t>注</w:t>
      </w:r>
      <w:r>
        <w:rPr>
          <w:rFonts w:hint="eastAsia" w:ascii="仿宋_GB2312" w:hAnsi="宋体" w:eastAsia="仿宋_GB2312"/>
          <w:bCs/>
          <w:sz w:val="32"/>
          <w:szCs w:val="32"/>
          <w:highlight w:val="none"/>
          <w:lang w:val="en-US" w:eastAsia="zh-CN"/>
        </w:rPr>
        <w:t>重加强组织领导，持续保持宣传影响</w:t>
      </w:r>
      <w:r>
        <w:rPr>
          <w:rFonts w:hint="eastAsia" w:ascii="仿宋_GB2312" w:eastAsia="仿宋_GB2312"/>
          <w:b w:val="0"/>
          <w:bCs w:val="0"/>
          <w:highlight w:val="none"/>
        </w:rPr>
        <w:t>。</w:t>
      </w:r>
      <w:r>
        <w:rPr>
          <w:rFonts w:hint="eastAsia" w:ascii="仿宋_GB2312" w:hAnsi="宋体" w:eastAsia="仿宋_GB2312"/>
          <w:bCs/>
          <w:sz w:val="32"/>
          <w:szCs w:val="32"/>
          <w:highlight w:val="none"/>
          <w:lang w:val="en-US" w:eastAsia="zh-CN"/>
        </w:rPr>
        <w:t>为了保持活动的知名度和影响力，2023年北京榜样大型主题活动要注重梳理总结过去9年开展北京榜样主题活动有效做法，学习借鉴全国各地选树和宣传先进典型优秀经验，提高活动吸引力和感召力，使推荐程序更规范，社会参与面</w:t>
      </w:r>
      <w:r>
        <w:rPr>
          <w:rFonts w:hint="eastAsia" w:ascii="仿宋_GB2312" w:hAnsi="仿宋_GB2312" w:eastAsia="仿宋_GB2312" w:cs="仿宋_GB2312"/>
          <w:sz w:val="32"/>
          <w:szCs w:val="32"/>
          <w:highlight w:val="none"/>
          <w:lang w:val="en-US" w:eastAsia="zh-CN"/>
        </w:rPr>
        <w:t>更广泛，评选结果更具时代性、代表性和示范性。同时按照“融媒体、全时段、多载体、全覆盖”要求，寻求中央媒体支持，协调市属媒体进行常态化报道，广泛传播榜样先进事迹和崇高精神。充分发挥“两中心一平台”、首都文明网站群、工作简报、社区（村）宣传栏等阵地作用，打造地铁文明专列，讲好北京榜样感人故事。坚持线上线下互动，借助微博、微信、抖音、视频号、朋友圈等平台和渠道开展宣传，增强北京榜样宣传影响。</w:t>
      </w:r>
    </w:p>
    <w:p>
      <w:pPr>
        <w:pStyle w:val="5"/>
        <w:ind w:firstLine="640"/>
        <w:rPr>
          <w:rFonts w:ascii="仿宋_GB2312" w:hAnsi="黑体" w:eastAsia="仿宋_GB2312"/>
          <w:highlight w:val="none"/>
        </w:rPr>
      </w:pPr>
      <w:r>
        <w:rPr>
          <w:rFonts w:hint="eastAsia" w:ascii="仿宋_GB2312" w:eastAsia="仿宋_GB2312"/>
          <w:highlight w:val="none"/>
        </w:rPr>
        <w:t>（二）</w:t>
      </w:r>
      <w:r>
        <w:rPr>
          <w:rFonts w:hint="eastAsia" w:ascii="仿宋_GB2312" w:hAnsi="黑体" w:eastAsia="仿宋_GB2312"/>
          <w:highlight w:val="none"/>
        </w:rPr>
        <w:t>存在的问题及原因分析</w:t>
      </w:r>
      <w:bookmarkEnd w:id="177"/>
      <w:bookmarkEnd w:id="178"/>
      <w:bookmarkEnd w:id="179"/>
      <w:bookmarkEnd w:id="180"/>
      <w:bookmarkEnd w:id="181"/>
    </w:p>
    <w:p>
      <w:pPr>
        <w:pStyle w:val="19"/>
        <w:spacing w:line="360" w:lineRule="auto"/>
        <w:rPr>
          <w:rFonts w:ascii="仿宋_GB2312" w:eastAsia="仿宋_GB2312"/>
          <w:sz w:val="32"/>
          <w:szCs w:val="32"/>
          <w:highlight w:val="none"/>
        </w:rPr>
      </w:pPr>
      <w:r>
        <w:rPr>
          <w:rFonts w:hint="eastAsia"/>
          <w:highlight w:val="none"/>
        </w:rPr>
        <w:t xml:space="preserve"> </w:t>
      </w:r>
      <w:r>
        <w:rPr>
          <w:highlight w:val="none"/>
        </w:rPr>
        <w:t xml:space="preserve">   </w:t>
      </w:r>
      <w:r>
        <w:rPr>
          <w:rFonts w:hint="eastAsia" w:ascii="仿宋_GB2312" w:eastAsia="仿宋_GB2312"/>
          <w:sz w:val="32"/>
          <w:szCs w:val="32"/>
          <w:highlight w:val="none"/>
        </w:rPr>
        <w:t xml:space="preserve"> </w:t>
      </w:r>
      <w:bookmarkStart w:id="182" w:name="_Hlk71707590"/>
      <w:bookmarkStart w:id="183" w:name="_Toc19112465"/>
      <w:r>
        <w:rPr>
          <w:rFonts w:hint="eastAsia" w:ascii="仿宋_GB2312" w:eastAsia="仿宋_GB2312"/>
          <w:sz w:val="32"/>
          <w:szCs w:val="32"/>
          <w:highlight w:val="none"/>
        </w:rPr>
        <w:t>1.决策方面</w:t>
      </w:r>
    </w:p>
    <w:p>
      <w:pPr>
        <w:pStyle w:val="19"/>
        <w:spacing w:line="360" w:lineRule="auto"/>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项目绩效指标设置的明确性、细化量化及可评价性不足，缺乏量化指标值。如数量指标仅设定活动场次及人数，未明确活动的内容及评选榜样所涉及的行业；时效指标未明确北京榜样年度活动的时间节点安排；未设定成本指标，效益指标仅设定社会效益指标和满意度指标，未设定可持续影响指标，所设定的社会效益指标缺乏榜样引领、活动宣传等所产生效益的量化指标</w:t>
      </w:r>
      <w:r>
        <w:rPr>
          <w:rFonts w:hint="eastAsia" w:ascii="仿宋_GB2312" w:eastAsia="仿宋_GB2312"/>
          <w:sz w:val="32"/>
          <w:szCs w:val="32"/>
          <w:highlight w:val="none"/>
          <w:lang w:eastAsia="zh-CN"/>
        </w:rPr>
        <w:t>。</w:t>
      </w:r>
    </w:p>
    <w:p>
      <w:pPr>
        <w:pStyle w:val="19"/>
        <w:spacing w:line="360" w:lineRule="auto"/>
        <w:ind w:firstLine="640"/>
        <w:rPr>
          <w:rFonts w:ascii="仿宋_GB2312" w:eastAsia="仿宋_GB2312"/>
          <w:sz w:val="32"/>
          <w:szCs w:val="32"/>
          <w:highlight w:val="none"/>
        </w:rPr>
      </w:pPr>
      <w:r>
        <w:rPr>
          <w:rFonts w:hint="eastAsia" w:ascii="仿宋_GB2312" w:eastAsia="仿宋_GB2312"/>
          <w:sz w:val="32"/>
          <w:szCs w:val="32"/>
          <w:highlight w:val="none"/>
        </w:rPr>
        <w:t>2.管理方面</w:t>
      </w:r>
    </w:p>
    <w:p>
      <w:pPr>
        <w:pStyle w:val="19"/>
        <w:spacing w:line="360" w:lineRule="auto"/>
        <w:ind w:firstLine="640"/>
        <w:rPr>
          <w:rFonts w:ascii="仿宋_GB2312" w:eastAsia="仿宋_GB2312"/>
          <w:sz w:val="32"/>
          <w:szCs w:val="32"/>
          <w:highlight w:val="none"/>
        </w:rPr>
      </w:pPr>
      <w:r>
        <w:rPr>
          <w:rFonts w:hint="eastAsia" w:ascii="仿宋_GB2312" w:eastAsia="仿宋_GB2312"/>
          <w:sz w:val="32"/>
          <w:szCs w:val="32"/>
          <w:highlight w:val="none"/>
        </w:rPr>
        <w:t>（1）项目全过程管理不够严谨。未细化委托事项工作标准，各方职责分工不够具体明确。</w:t>
      </w:r>
    </w:p>
    <w:p>
      <w:pPr>
        <w:pStyle w:val="19"/>
        <w:spacing w:line="360" w:lineRule="auto"/>
        <w:ind w:firstLine="640"/>
        <w:rPr>
          <w:rFonts w:ascii="仿宋_GB2312" w:eastAsia="仿宋_GB2312"/>
          <w:sz w:val="32"/>
          <w:szCs w:val="32"/>
          <w:highlight w:val="none"/>
        </w:rPr>
      </w:pPr>
      <w:r>
        <w:rPr>
          <w:rFonts w:hint="eastAsia" w:ascii="仿宋_GB2312" w:eastAsia="仿宋_GB2312"/>
          <w:sz w:val="32"/>
          <w:szCs w:val="32"/>
          <w:highlight w:val="none"/>
        </w:rPr>
        <w:t>（2）验收工作的规范性有待提升。对于项目完成质量的验收要求和标准不够清晰。</w:t>
      </w:r>
    </w:p>
    <w:p>
      <w:pPr>
        <w:pStyle w:val="19"/>
        <w:spacing w:line="360" w:lineRule="auto"/>
        <w:ind w:firstLine="640"/>
        <w:rPr>
          <w:rFonts w:hint="eastAsia" w:ascii="仿宋_GB2312" w:eastAsia="仿宋_GB2312"/>
          <w:sz w:val="32"/>
          <w:szCs w:val="32"/>
          <w:highlight w:val="none"/>
        </w:rPr>
      </w:pPr>
      <w:r>
        <w:rPr>
          <w:rFonts w:hint="eastAsia" w:ascii="仿宋_GB2312" w:eastAsia="仿宋_GB2312"/>
          <w:sz w:val="32"/>
          <w:szCs w:val="32"/>
          <w:highlight w:val="none"/>
        </w:rPr>
        <w:t>（3）项目实施的规范性不足，存在先遴选月度榜样，后确定中标单位现象。项目6月13日签订合同，组委会第一次确定榜样的时间2023年4月24日、第二次为2023年5月29日。</w:t>
      </w:r>
    </w:p>
    <w:p>
      <w:pPr>
        <w:pStyle w:val="19"/>
        <w:spacing w:line="360" w:lineRule="auto"/>
        <w:ind w:firstLine="640"/>
        <w:rPr>
          <w:rFonts w:ascii="仿宋_GB2312" w:eastAsia="仿宋_GB2312"/>
          <w:sz w:val="32"/>
          <w:szCs w:val="32"/>
          <w:highlight w:val="none"/>
        </w:rPr>
      </w:pPr>
      <w:r>
        <w:rPr>
          <w:rFonts w:hint="eastAsia" w:ascii="仿宋_GB2312" w:eastAsia="仿宋_GB2312"/>
          <w:sz w:val="32"/>
          <w:szCs w:val="32"/>
          <w:highlight w:val="none"/>
        </w:rPr>
        <w:t>3.效益方面</w:t>
      </w:r>
    </w:p>
    <w:p>
      <w:pPr>
        <w:pStyle w:val="19"/>
        <w:spacing w:line="360" w:lineRule="auto"/>
        <w:ind w:firstLine="640"/>
        <w:rPr>
          <w:rFonts w:hint="eastAsia" w:ascii="仿宋_GB2312" w:eastAsia="仿宋_GB2312"/>
          <w:sz w:val="32"/>
          <w:szCs w:val="32"/>
          <w:highlight w:val="none"/>
        </w:rPr>
      </w:pPr>
      <w:r>
        <w:rPr>
          <w:rFonts w:hint="eastAsia" w:ascii="仿宋_GB2312" w:eastAsia="仿宋_GB2312"/>
          <w:sz w:val="32"/>
          <w:szCs w:val="32"/>
          <w:highlight w:val="none"/>
        </w:rPr>
        <w:t>（1）项目绩效效果分析缺乏分类量化分析，对榜样的引领深挖及跟踪不够。</w:t>
      </w:r>
    </w:p>
    <w:p>
      <w:pPr>
        <w:pStyle w:val="19"/>
        <w:spacing w:line="360" w:lineRule="auto"/>
        <w:ind w:firstLine="640"/>
        <w:rPr>
          <w:rFonts w:ascii="仿宋_GB2312" w:eastAsia="仿宋_GB2312"/>
          <w:sz w:val="32"/>
          <w:szCs w:val="32"/>
          <w:highlight w:val="none"/>
        </w:rPr>
      </w:pPr>
      <w:r>
        <w:rPr>
          <w:rFonts w:hint="eastAsia" w:ascii="仿宋_GB2312" w:eastAsia="仿宋_GB2312"/>
          <w:sz w:val="32"/>
          <w:szCs w:val="32"/>
          <w:highlight w:val="none"/>
        </w:rPr>
        <w:t>（2）满意度问卷过于简单，样本量不明确，未进行满意度分析，问卷与2023年北京榜样年度活动内容的直接相关性不足。</w:t>
      </w:r>
      <w:bookmarkEnd w:id="182"/>
      <w:bookmarkEnd w:id="183"/>
      <w:bookmarkStart w:id="184" w:name="_Toc19112474"/>
      <w:bookmarkStart w:id="185" w:name="_Toc437268049"/>
    </w:p>
    <w:p>
      <w:pPr>
        <w:pStyle w:val="4"/>
        <w:numPr>
          <w:ilvl w:val="0"/>
          <w:numId w:val="2"/>
        </w:numPr>
        <w:ind w:firstLine="643"/>
        <w:rPr>
          <w:rFonts w:ascii="仿宋_GB2312" w:hAnsi="仿宋_GB2312" w:eastAsia="仿宋_GB2312" w:cs="仿宋_GB2312"/>
          <w:sz w:val="32"/>
          <w:szCs w:val="32"/>
          <w:highlight w:val="none"/>
        </w:rPr>
      </w:pPr>
      <w:bookmarkStart w:id="186" w:name="_Toc12514"/>
      <w:bookmarkStart w:id="187" w:name="_Toc26228"/>
      <w:bookmarkStart w:id="188" w:name="_Toc14593"/>
      <w:bookmarkStart w:id="189" w:name="_Toc29227"/>
      <w:r>
        <w:rPr>
          <w:rFonts w:hint="eastAsia" w:ascii="仿宋_GB2312" w:hAnsi="仿宋_GB2312" w:eastAsia="仿宋_GB2312" w:cs="仿宋_GB2312"/>
          <w:sz w:val="32"/>
          <w:szCs w:val="32"/>
          <w:highlight w:val="none"/>
        </w:rPr>
        <w:t>有关建议</w:t>
      </w:r>
      <w:bookmarkEnd w:id="184"/>
      <w:bookmarkEnd w:id="185"/>
      <w:bookmarkEnd w:id="186"/>
      <w:bookmarkEnd w:id="187"/>
      <w:bookmarkEnd w:id="188"/>
      <w:bookmarkEnd w:id="189"/>
      <w:bookmarkStart w:id="190" w:name="_Toc475112423"/>
      <w:bookmarkStart w:id="191" w:name="_Toc19112492"/>
    </w:p>
    <w:p>
      <w:pPr>
        <w:pStyle w:val="4"/>
        <w:keepNext w:val="0"/>
        <w:keepLines w:val="0"/>
        <w:spacing w:line="360" w:lineRule="auto"/>
        <w:ind w:firstLine="640"/>
        <w:rPr>
          <w:rFonts w:ascii="仿宋_GB2312" w:eastAsia="仿宋_GB2312"/>
          <w:b w:val="0"/>
          <w:kern w:val="2"/>
          <w:sz w:val="32"/>
          <w:szCs w:val="32"/>
          <w:highlight w:val="none"/>
        </w:rPr>
      </w:pPr>
      <w:bookmarkStart w:id="192" w:name="_Toc14685"/>
      <w:bookmarkStart w:id="193" w:name="_Toc16365"/>
      <w:bookmarkStart w:id="194" w:name="_Toc137420075"/>
      <w:bookmarkStart w:id="195" w:name="_Toc22869"/>
      <w:bookmarkStart w:id="196" w:name="_Toc3380"/>
      <w:bookmarkStart w:id="197" w:name="_Toc18390"/>
      <w:bookmarkStart w:id="198" w:name="_Toc10911"/>
      <w:bookmarkStart w:id="199" w:name="_Toc137402598"/>
      <w:bookmarkStart w:id="200" w:name="_Toc137389873"/>
      <w:bookmarkStart w:id="201" w:name="_Toc21819"/>
      <w:r>
        <w:rPr>
          <w:rFonts w:hint="eastAsia" w:ascii="仿宋_GB2312" w:eastAsia="仿宋_GB2312"/>
          <w:b w:val="0"/>
          <w:kern w:val="2"/>
          <w:sz w:val="32"/>
          <w:szCs w:val="32"/>
          <w:highlight w:val="none"/>
        </w:rPr>
        <w:t>1.决策方面</w:t>
      </w:r>
      <w:bookmarkEnd w:id="192"/>
      <w:bookmarkEnd w:id="193"/>
      <w:bookmarkEnd w:id="194"/>
      <w:bookmarkEnd w:id="195"/>
      <w:bookmarkEnd w:id="196"/>
      <w:bookmarkEnd w:id="197"/>
      <w:bookmarkEnd w:id="198"/>
      <w:bookmarkEnd w:id="199"/>
      <w:bookmarkEnd w:id="200"/>
      <w:bookmarkEnd w:id="201"/>
    </w:p>
    <w:p>
      <w:pPr>
        <w:pStyle w:val="4"/>
        <w:keepNext w:val="0"/>
        <w:keepLines w:val="0"/>
        <w:spacing w:line="360" w:lineRule="auto"/>
        <w:ind w:firstLine="640"/>
        <w:rPr>
          <w:rFonts w:hint="eastAsia" w:ascii="仿宋_GB2312" w:eastAsia="仿宋_GB2312"/>
          <w:b w:val="0"/>
          <w:bCs w:val="0"/>
          <w:kern w:val="2"/>
          <w:sz w:val="32"/>
          <w:szCs w:val="32"/>
          <w:highlight w:val="none"/>
          <w:lang w:eastAsia="zh-CN"/>
        </w:rPr>
      </w:pPr>
      <w:bookmarkStart w:id="202" w:name="_Toc21312"/>
      <w:bookmarkStart w:id="203" w:name="_Toc137402600"/>
      <w:bookmarkStart w:id="204" w:name="_Toc137420077"/>
      <w:r>
        <w:rPr>
          <w:rFonts w:hint="eastAsia" w:ascii="仿宋_GB2312" w:eastAsia="仿宋_GB2312"/>
          <w:b w:val="0"/>
          <w:bCs w:val="0"/>
          <w:kern w:val="2"/>
          <w:sz w:val="32"/>
          <w:szCs w:val="32"/>
          <w:highlight w:val="none"/>
        </w:rPr>
        <w:t>树立绩效管理的理念。在绩效目标和指标设定上，</w:t>
      </w:r>
      <w:bookmarkEnd w:id="202"/>
      <w:bookmarkEnd w:id="203"/>
      <w:bookmarkEnd w:id="204"/>
      <w:bookmarkStart w:id="205" w:name="_Toc20372"/>
      <w:bookmarkStart w:id="206" w:name="_Toc137389876"/>
      <w:bookmarkStart w:id="207" w:name="_Toc16076"/>
      <w:bookmarkStart w:id="208" w:name="_Toc7963"/>
      <w:bookmarkStart w:id="209" w:name="_Toc7403"/>
      <w:bookmarkStart w:id="210" w:name="_Toc10293"/>
      <w:bookmarkStart w:id="211" w:name="_Toc7246"/>
      <w:bookmarkStart w:id="212" w:name="_Toc10637"/>
      <w:bookmarkStart w:id="213" w:name="_Toc137402601"/>
      <w:bookmarkStart w:id="214" w:name="_Toc137420078"/>
      <w:r>
        <w:rPr>
          <w:rFonts w:hint="eastAsia" w:ascii="仿宋_GB2312" w:eastAsia="仿宋_GB2312"/>
          <w:b w:val="0"/>
          <w:bCs w:val="0"/>
          <w:kern w:val="2"/>
          <w:sz w:val="32"/>
          <w:szCs w:val="32"/>
          <w:highlight w:val="none"/>
        </w:rPr>
        <w:t>加强项目绩效指标设置的明确性、细化量化及可评价性，充分反映年度北京榜样评选及宣传活动的内容及其引领、宣传的量化绩效效果</w:t>
      </w:r>
      <w:r>
        <w:rPr>
          <w:rFonts w:hint="eastAsia" w:ascii="仿宋_GB2312" w:eastAsia="仿宋_GB2312"/>
          <w:b w:val="0"/>
          <w:bCs w:val="0"/>
          <w:kern w:val="2"/>
          <w:sz w:val="32"/>
          <w:szCs w:val="32"/>
          <w:highlight w:val="none"/>
          <w:lang w:eastAsia="zh-CN"/>
        </w:rPr>
        <w:t>。</w:t>
      </w:r>
    </w:p>
    <w:p>
      <w:pPr>
        <w:pStyle w:val="4"/>
        <w:keepNext w:val="0"/>
        <w:keepLines w:val="0"/>
        <w:spacing w:line="360" w:lineRule="auto"/>
        <w:ind w:firstLine="640"/>
        <w:rPr>
          <w:rFonts w:ascii="仿宋_GB2312" w:eastAsia="仿宋_GB2312"/>
          <w:b w:val="0"/>
          <w:kern w:val="2"/>
          <w:sz w:val="32"/>
          <w:szCs w:val="32"/>
          <w:highlight w:val="none"/>
        </w:rPr>
      </w:pPr>
      <w:r>
        <w:rPr>
          <w:rFonts w:hint="eastAsia" w:ascii="仿宋_GB2312" w:eastAsia="仿宋_GB2312"/>
          <w:b w:val="0"/>
          <w:kern w:val="2"/>
          <w:sz w:val="32"/>
          <w:szCs w:val="32"/>
          <w:highlight w:val="none"/>
        </w:rPr>
        <w:t>2.管理方面</w:t>
      </w:r>
      <w:bookmarkEnd w:id="205"/>
      <w:bookmarkEnd w:id="206"/>
      <w:bookmarkEnd w:id="207"/>
      <w:bookmarkEnd w:id="208"/>
      <w:bookmarkEnd w:id="209"/>
      <w:bookmarkEnd w:id="210"/>
      <w:bookmarkEnd w:id="211"/>
      <w:bookmarkEnd w:id="212"/>
      <w:bookmarkEnd w:id="213"/>
      <w:bookmarkEnd w:id="214"/>
    </w:p>
    <w:p>
      <w:pPr>
        <w:pStyle w:val="4"/>
        <w:keepNext w:val="0"/>
        <w:keepLines w:val="0"/>
        <w:spacing w:line="360" w:lineRule="auto"/>
        <w:ind w:firstLine="640"/>
        <w:rPr>
          <w:rFonts w:ascii="仿宋_GB2312" w:eastAsia="仿宋_GB2312"/>
          <w:b w:val="0"/>
          <w:bCs w:val="0"/>
          <w:kern w:val="2"/>
          <w:sz w:val="32"/>
          <w:szCs w:val="32"/>
          <w:highlight w:val="none"/>
        </w:rPr>
      </w:pPr>
      <w:bookmarkStart w:id="215" w:name="_Toc3836"/>
      <w:bookmarkStart w:id="216" w:name="_Toc13773"/>
      <w:bookmarkStart w:id="217" w:name="_Toc8985"/>
      <w:bookmarkStart w:id="218" w:name="_Toc11845"/>
      <w:bookmarkStart w:id="219" w:name="_Toc29769"/>
      <w:bookmarkStart w:id="220" w:name="_Toc4928"/>
      <w:bookmarkStart w:id="221" w:name="_Toc137389877"/>
      <w:bookmarkStart w:id="222" w:name="_Toc31976"/>
      <w:bookmarkStart w:id="223" w:name="_Toc137420079"/>
      <w:bookmarkStart w:id="224" w:name="_Toc137402602"/>
      <w:r>
        <w:rPr>
          <w:rFonts w:hint="eastAsia" w:ascii="仿宋_GB2312" w:eastAsia="仿宋_GB2312"/>
          <w:b w:val="0"/>
          <w:bCs w:val="0"/>
          <w:kern w:val="2"/>
          <w:sz w:val="32"/>
          <w:szCs w:val="32"/>
          <w:highlight w:val="none"/>
        </w:rPr>
        <w:t>（1）</w:t>
      </w:r>
      <w:bookmarkEnd w:id="215"/>
      <w:bookmarkEnd w:id="216"/>
      <w:bookmarkEnd w:id="217"/>
      <w:bookmarkEnd w:id="218"/>
      <w:bookmarkEnd w:id="219"/>
      <w:bookmarkEnd w:id="220"/>
      <w:bookmarkEnd w:id="221"/>
      <w:r>
        <w:rPr>
          <w:rFonts w:hint="eastAsia" w:ascii="仿宋_GB2312" w:eastAsia="仿宋_GB2312"/>
          <w:b w:val="0"/>
          <w:bCs w:val="0"/>
          <w:kern w:val="2"/>
          <w:sz w:val="32"/>
          <w:szCs w:val="32"/>
          <w:highlight w:val="none"/>
        </w:rPr>
        <w:t>合理编制项目管理流程和制度，完善对委托业务的过程监督管理流程，明确各方职责分工，提高项目实施质量。</w:t>
      </w:r>
      <w:bookmarkEnd w:id="222"/>
      <w:bookmarkEnd w:id="223"/>
      <w:bookmarkEnd w:id="224"/>
    </w:p>
    <w:p>
      <w:pPr>
        <w:pStyle w:val="4"/>
        <w:keepNext w:val="0"/>
        <w:keepLines w:val="0"/>
        <w:spacing w:line="360" w:lineRule="auto"/>
        <w:ind w:firstLine="640"/>
        <w:rPr>
          <w:rFonts w:ascii="仿宋_GB2312" w:eastAsia="仿宋_GB2312"/>
          <w:b w:val="0"/>
          <w:bCs w:val="0"/>
          <w:kern w:val="2"/>
          <w:sz w:val="32"/>
          <w:szCs w:val="32"/>
          <w:highlight w:val="none"/>
        </w:rPr>
      </w:pPr>
      <w:bookmarkStart w:id="225" w:name="_Toc13539"/>
      <w:bookmarkStart w:id="226" w:name="_Toc32502"/>
      <w:bookmarkStart w:id="227" w:name="_Toc17199"/>
      <w:bookmarkStart w:id="228" w:name="_Toc25782"/>
      <w:bookmarkStart w:id="229" w:name="_Toc27591"/>
      <w:bookmarkStart w:id="230" w:name="_Toc137389878"/>
      <w:bookmarkStart w:id="231" w:name="_Toc8285"/>
      <w:bookmarkStart w:id="232" w:name="_Toc11686"/>
      <w:bookmarkStart w:id="233" w:name="_Toc137402603"/>
      <w:bookmarkStart w:id="234" w:name="_Toc137420080"/>
      <w:r>
        <w:rPr>
          <w:rFonts w:hint="eastAsia" w:ascii="仿宋_GB2312" w:eastAsia="仿宋_GB2312"/>
          <w:b w:val="0"/>
          <w:bCs w:val="0"/>
          <w:kern w:val="2"/>
          <w:sz w:val="32"/>
          <w:szCs w:val="32"/>
          <w:highlight w:val="none"/>
        </w:rPr>
        <w:t>（2）</w:t>
      </w:r>
      <w:bookmarkEnd w:id="225"/>
      <w:bookmarkEnd w:id="226"/>
      <w:bookmarkEnd w:id="227"/>
      <w:bookmarkEnd w:id="228"/>
      <w:bookmarkEnd w:id="229"/>
      <w:bookmarkEnd w:id="230"/>
      <w:bookmarkEnd w:id="231"/>
      <w:r>
        <w:rPr>
          <w:rFonts w:hint="eastAsia" w:ascii="仿宋_GB2312" w:eastAsia="仿宋_GB2312"/>
          <w:b w:val="0"/>
          <w:bCs w:val="0"/>
          <w:kern w:val="2"/>
          <w:sz w:val="32"/>
          <w:szCs w:val="32"/>
          <w:highlight w:val="none"/>
        </w:rPr>
        <w:t>应进一步提高验收工作的规范性，完善验收程序，明确验收标准。</w:t>
      </w:r>
      <w:bookmarkEnd w:id="232"/>
      <w:bookmarkEnd w:id="233"/>
      <w:bookmarkEnd w:id="234"/>
    </w:p>
    <w:p>
      <w:pPr>
        <w:pStyle w:val="4"/>
        <w:keepNext w:val="0"/>
        <w:keepLines w:val="0"/>
        <w:spacing w:line="360" w:lineRule="auto"/>
        <w:ind w:firstLine="640"/>
        <w:rPr>
          <w:rFonts w:ascii="仿宋_GB2312" w:eastAsia="仿宋_GB2312"/>
          <w:b w:val="0"/>
          <w:bCs w:val="0"/>
          <w:kern w:val="2"/>
          <w:sz w:val="32"/>
          <w:szCs w:val="32"/>
          <w:highlight w:val="none"/>
        </w:rPr>
      </w:pPr>
      <w:bookmarkStart w:id="235" w:name="_Toc137420081"/>
      <w:bookmarkStart w:id="236" w:name="_Toc21053"/>
      <w:bookmarkStart w:id="237" w:name="_Toc137402604"/>
      <w:r>
        <w:rPr>
          <w:rFonts w:hint="eastAsia" w:ascii="仿宋_GB2312" w:eastAsia="仿宋_GB2312"/>
          <w:b w:val="0"/>
          <w:bCs w:val="0"/>
          <w:kern w:val="2"/>
          <w:sz w:val="32"/>
          <w:szCs w:val="32"/>
          <w:highlight w:val="none"/>
        </w:rPr>
        <w:t>（3）</w:t>
      </w:r>
      <w:r>
        <w:rPr>
          <w:rFonts w:hint="eastAsia" w:ascii="仿宋_GB2312" w:eastAsia="仿宋_GB2312"/>
          <w:b w:val="0"/>
          <w:bCs w:val="0"/>
          <w:kern w:val="2"/>
          <w:sz w:val="32"/>
          <w:szCs w:val="32"/>
          <w:highlight w:val="none"/>
          <w:lang w:val="en-US" w:eastAsia="zh-CN"/>
        </w:rPr>
        <w:t>应</w:t>
      </w:r>
      <w:r>
        <w:rPr>
          <w:rFonts w:hint="eastAsia" w:ascii="仿宋_GB2312" w:eastAsia="仿宋_GB2312"/>
          <w:b w:val="0"/>
          <w:bCs w:val="0"/>
          <w:kern w:val="2"/>
          <w:sz w:val="32"/>
          <w:szCs w:val="32"/>
          <w:highlight w:val="none"/>
        </w:rPr>
        <w:t>进一步规范项目实施，对于全部委托的项目，在项目委托单位采购完成并签订合同后方可开展相关工作，避免先干活后履行采购程序现象。</w:t>
      </w:r>
      <w:bookmarkEnd w:id="235"/>
      <w:bookmarkEnd w:id="236"/>
      <w:bookmarkEnd w:id="237"/>
    </w:p>
    <w:p>
      <w:pPr>
        <w:pStyle w:val="4"/>
        <w:keepNext w:val="0"/>
        <w:keepLines w:val="0"/>
        <w:spacing w:line="360" w:lineRule="auto"/>
        <w:ind w:firstLine="640"/>
        <w:rPr>
          <w:rFonts w:ascii="仿宋_GB2312" w:eastAsia="仿宋_GB2312"/>
          <w:b w:val="0"/>
          <w:kern w:val="2"/>
          <w:sz w:val="32"/>
          <w:szCs w:val="32"/>
          <w:highlight w:val="none"/>
        </w:rPr>
      </w:pPr>
      <w:bookmarkStart w:id="238" w:name="_Toc137402605"/>
      <w:bookmarkStart w:id="239" w:name="_Toc1337"/>
      <w:bookmarkStart w:id="240" w:name="_Toc28470"/>
      <w:bookmarkStart w:id="241" w:name="_Toc15992"/>
      <w:bookmarkStart w:id="242" w:name="_Toc10132"/>
      <w:bookmarkStart w:id="243" w:name="_Toc137389882"/>
      <w:bookmarkStart w:id="244" w:name="_Toc32453"/>
      <w:bookmarkStart w:id="245" w:name="_Toc5218"/>
      <w:bookmarkStart w:id="246" w:name="_Toc137420082"/>
      <w:bookmarkStart w:id="247" w:name="_Toc5287"/>
      <w:r>
        <w:rPr>
          <w:rFonts w:hint="eastAsia" w:ascii="仿宋_GB2312" w:eastAsia="仿宋_GB2312"/>
          <w:b w:val="0"/>
          <w:kern w:val="2"/>
          <w:sz w:val="32"/>
          <w:szCs w:val="32"/>
          <w:highlight w:val="none"/>
        </w:rPr>
        <w:t>3.效益方面</w:t>
      </w:r>
      <w:bookmarkEnd w:id="238"/>
      <w:bookmarkEnd w:id="239"/>
      <w:bookmarkEnd w:id="240"/>
      <w:bookmarkEnd w:id="241"/>
      <w:bookmarkEnd w:id="242"/>
      <w:bookmarkEnd w:id="243"/>
      <w:bookmarkEnd w:id="244"/>
      <w:bookmarkEnd w:id="245"/>
      <w:bookmarkEnd w:id="246"/>
      <w:bookmarkEnd w:id="247"/>
    </w:p>
    <w:p>
      <w:pPr>
        <w:pStyle w:val="4"/>
        <w:keepNext w:val="0"/>
        <w:keepLines w:val="0"/>
        <w:spacing w:line="360" w:lineRule="auto"/>
        <w:ind w:firstLine="640"/>
        <w:rPr>
          <w:rFonts w:ascii="仿宋_GB2312" w:eastAsia="仿宋_GB2312"/>
          <w:b w:val="0"/>
          <w:bCs w:val="0"/>
          <w:kern w:val="2"/>
          <w:sz w:val="32"/>
          <w:szCs w:val="32"/>
          <w:highlight w:val="none"/>
        </w:rPr>
      </w:pPr>
      <w:bookmarkStart w:id="248" w:name="_Toc137420083"/>
      <w:bookmarkStart w:id="249" w:name="_Toc137402606"/>
      <w:bookmarkStart w:id="250" w:name="_Toc31345"/>
      <w:r>
        <w:rPr>
          <w:rFonts w:hint="eastAsia" w:ascii="仿宋_GB2312" w:eastAsia="仿宋_GB2312"/>
          <w:b w:val="0"/>
          <w:bCs w:val="0"/>
          <w:kern w:val="2"/>
          <w:sz w:val="32"/>
          <w:szCs w:val="32"/>
          <w:highlight w:val="none"/>
        </w:rPr>
        <w:t>（1）对项目绩效效果分类进行分析，提炼量化效果指标，强化对榜样的引领深挖及跟踪，确保北京榜样的品牌作用及榜样奋发向上的引领作用</w:t>
      </w:r>
      <w:r>
        <w:rPr>
          <w:rFonts w:hint="eastAsia" w:ascii="仿宋_GB2312" w:eastAsia="仿宋_GB2312"/>
          <w:b w:val="0"/>
          <w:bCs w:val="0"/>
          <w:kern w:val="2"/>
          <w:sz w:val="32"/>
          <w:szCs w:val="32"/>
          <w:highlight w:val="none"/>
          <w:lang w:eastAsia="zh-CN"/>
        </w:rPr>
        <w:t>，</w:t>
      </w:r>
      <w:r>
        <w:rPr>
          <w:rFonts w:hint="eastAsia" w:ascii="仿宋_GB2312" w:eastAsia="仿宋_GB2312"/>
          <w:b w:val="0"/>
          <w:bCs w:val="0"/>
          <w:kern w:val="2"/>
          <w:sz w:val="32"/>
          <w:szCs w:val="32"/>
          <w:highlight w:val="none"/>
        </w:rPr>
        <w:t>用新媒体手段创新榜样的宣传形式，让榜样力量家喻户晓</w:t>
      </w:r>
      <w:r>
        <w:rPr>
          <w:rFonts w:hint="eastAsia" w:ascii="仿宋_GB2312" w:eastAsia="仿宋_GB2312"/>
          <w:b w:val="0"/>
          <w:bCs w:val="0"/>
          <w:kern w:val="2"/>
          <w:sz w:val="32"/>
          <w:szCs w:val="32"/>
          <w:highlight w:val="none"/>
          <w:lang w:eastAsia="zh-CN"/>
        </w:rPr>
        <w:t>。</w:t>
      </w:r>
      <w:bookmarkEnd w:id="248"/>
      <w:bookmarkEnd w:id="249"/>
      <w:bookmarkEnd w:id="250"/>
    </w:p>
    <w:p>
      <w:pPr>
        <w:pStyle w:val="4"/>
        <w:keepNext w:val="0"/>
        <w:keepLines w:val="0"/>
        <w:spacing w:line="360" w:lineRule="auto"/>
        <w:ind w:firstLine="640"/>
        <w:rPr>
          <w:rFonts w:ascii="仿宋_GB2312" w:eastAsia="仿宋_GB2312"/>
          <w:b w:val="0"/>
          <w:bCs w:val="0"/>
          <w:kern w:val="2"/>
          <w:sz w:val="32"/>
          <w:szCs w:val="32"/>
          <w:highlight w:val="none"/>
        </w:rPr>
      </w:pPr>
      <w:bookmarkStart w:id="251" w:name="_Toc137420084"/>
      <w:bookmarkStart w:id="252" w:name="_Toc137402607"/>
      <w:bookmarkStart w:id="253" w:name="_Toc24308"/>
      <w:r>
        <w:rPr>
          <w:rFonts w:hint="eastAsia" w:ascii="仿宋_GB2312" w:eastAsia="仿宋_GB2312"/>
          <w:b w:val="0"/>
          <w:bCs w:val="0"/>
          <w:kern w:val="2"/>
          <w:sz w:val="32"/>
          <w:szCs w:val="32"/>
          <w:highlight w:val="none"/>
        </w:rPr>
        <w:t>（2</w:t>
      </w:r>
      <w:r>
        <w:rPr>
          <w:rFonts w:hint="eastAsia" w:ascii="仿宋_GB2312" w:eastAsia="仿宋_GB2312"/>
          <w:b w:val="0"/>
          <w:bCs w:val="0"/>
          <w:kern w:val="2"/>
          <w:sz w:val="32"/>
          <w:szCs w:val="32"/>
          <w:highlight w:val="none"/>
          <w:lang w:eastAsia="zh-CN"/>
        </w:rPr>
        <w:t>）加</w:t>
      </w:r>
      <w:r>
        <w:rPr>
          <w:rFonts w:hint="eastAsia" w:ascii="仿宋_GB2312" w:eastAsia="仿宋_GB2312"/>
          <w:b w:val="0"/>
          <w:bCs w:val="0"/>
          <w:kern w:val="2"/>
          <w:sz w:val="32"/>
          <w:szCs w:val="32"/>
          <w:highlight w:val="none"/>
        </w:rPr>
        <w:t>强满意度指标的管理，结合北京榜样实施多年实际及年度评选及活动开展情况，设定规范的满意度问卷调查内容，合理确定样本量，并对问卷进行满意度分析，提高满意度指标对项目绩效效果的支撑。</w:t>
      </w:r>
      <w:bookmarkEnd w:id="251"/>
      <w:bookmarkEnd w:id="252"/>
      <w:bookmarkEnd w:id="253"/>
    </w:p>
    <w:p>
      <w:pPr>
        <w:pStyle w:val="4"/>
        <w:ind w:firstLine="643"/>
        <w:rPr>
          <w:rFonts w:ascii="仿宋_GB2312" w:hAnsi="仿宋_GB2312" w:eastAsia="仿宋_GB2312" w:cs="仿宋_GB2312"/>
          <w:sz w:val="32"/>
          <w:szCs w:val="32"/>
          <w:highlight w:val="none"/>
        </w:rPr>
      </w:pPr>
      <w:bookmarkStart w:id="254" w:name="_Toc27617"/>
      <w:bookmarkStart w:id="255" w:name="_Toc20032"/>
      <w:bookmarkStart w:id="256" w:name="_Toc22743"/>
      <w:bookmarkStart w:id="257" w:name="_Toc22741"/>
      <w:r>
        <w:rPr>
          <w:rFonts w:hint="eastAsia" w:ascii="仿宋_GB2312" w:hAnsi="仿宋_GB2312" w:eastAsia="仿宋_GB2312" w:cs="仿宋_GB2312"/>
          <w:sz w:val="32"/>
          <w:szCs w:val="32"/>
          <w:highlight w:val="none"/>
        </w:rPr>
        <w:t>七、</w:t>
      </w:r>
      <w:bookmarkEnd w:id="190"/>
      <w:bookmarkEnd w:id="191"/>
      <w:r>
        <w:rPr>
          <w:rFonts w:hint="eastAsia" w:ascii="仿宋_GB2312" w:hAnsi="仿宋_GB2312" w:eastAsia="仿宋_GB2312" w:cs="仿宋_GB2312"/>
          <w:sz w:val="32"/>
          <w:szCs w:val="32"/>
          <w:highlight w:val="none"/>
        </w:rPr>
        <w:t>其他需要说明的问题</w:t>
      </w:r>
      <w:bookmarkEnd w:id="254"/>
      <w:bookmarkEnd w:id="255"/>
      <w:bookmarkEnd w:id="256"/>
      <w:bookmarkEnd w:id="257"/>
      <w:r>
        <w:rPr>
          <w:rFonts w:hint="eastAsia" w:ascii="仿宋_GB2312" w:hAnsi="仿宋_GB2312" w:eastAsia="仿宋_GB2312" w:cs="仿宋_GB2312"/>
          <w:sz w:val="32"/>
          <w:szCs w:val="32"/>
          <w:highlight w:val="none"/>
        </w:rPr>
        <w:tab/>
      </w:r>
    </w:p>
    <w:p>
      <w:pPr>
        <w:pStyle w:val="19"/>
        <w:spacing w:line="360" w:lineRule="auto"/>
        <w:ind w:firstLine="640"/>
        <w:rPr>
          <w:rFonts w:ascii="仿宋_GB2312" w:hAnsi="Times New Roman" w:eastAsia="仿宋_GB2312" w:cs="Times New Roman"/>
          <w:bCs/>
          <w:sz w:val="32"/>
          <w:szCs w:val="32"/>
          <w:highlight w:val="none"/>
        </w:rPr>
      </w:pPr>
      <w:r>
        <w:rPr>
          <w:rFonts w:hint="eastAsia" w:ascii="仿宋_GB2312" w:hAnsi="Times New Roman" w:eastAsia="仿宋_GB2312" w:cs="Times New Roman"/>
          <w:bCs/>
          <w:sz w:val="32"/>
          <w:szCs w:val="32"/>
          <w:highlight w:val="none"/>
        </w:rPr>
        <w:t xml:space="preserve">无。 </w:t>
      </w:r>
      <w:r>
        <w:rPr>
          <w:rFonts w:ascii="仿宋_GB2312" w:hAnsi="Times New Roman" w:eastAsia="仿宋_GB2312" w:cs="Times New Roman"/>
          <w:bCs/>
          <w:sz w:val="32"/>
          <w:szCs w:val="32"/>
          <w:highlight w:val="none"/>
        </w:rPr>
        <w:t xml:space="preserve"> </w:t>
      </w:r>
    </w:p>
    <w:p>
      <w:pPr>
        <w:pStyle w:val="19"/>
        <w:spacing w:line="360" w:lineRule="auto"/>
        <w:ind w:firstLine="640"/>
        <w:rPr>
          <w:rFonts w:ascii="仿宋_GB2312" w:hAnsi="Times New Roman" w:eastAsia="仿宋_GB2312" w:cs="Times New Roman"/>
          <w:bCs/>
          <w:sz w:val="32"/>
          <w:szCs w:val="32"/>
          <w:highlight w:val="yellow"/>
        </w:rPr>
      </w:pPr>
    </w:p>
    <w:p>
      <w:pPr>
        <w:outlineLvl w:val="0"/>
        <w:rPr>
          <w:rStyle w:val="20"/>
          <w:rFonts w:ascii="仿宋_GB2312" w:hAnsi="仿宋_GB2312" w:eastAsia="仿宋_GB2312" w:cs="仿宋_GB2312"/>
          <w:b w:val="0"/>
          <w:bCs w:val="0"/>
          <w:highlight w:val="yellow"/>
        </w:rPr>
      </w:pPr>
      <w:bookmarkStart w:id="258" w:name="_Toc20553"/>
      <w:bookmarkStart w:id="259" w:name="_Toc12480"/>
      <w:bookmarkStart w:id="260" w:name="_Toc2470"/>
    </w:p>
    <w:p>
      <w:pPr>
        <w:outlineLvl w:val="0"/>
        <w:rPr>
          <w:rFonts w:ascii="Times New Roman" w:hAnsi="Times New Roman" w:eastAsia="仿宋_GB2312" w:cs="Times New Roman"/>
          <w:bCs/>
          <w:sz w:val="32"/>
          <w:szCs w:val="32"/>
          <w:highlight w:val="none"/>
        </w:rPr>
      </w:pPr>
      <w:bookmarkStart w:id="261" w:name="_Toc22816"/>
      <w:r>
        <w:rPr>
          <w:rStyle w:val="20"/>
          <w:rFonts w:hint="eastAsia" w:ascii="仿宋_GB2312" w:hAnsi="仿宋_GB2312" w:eastAsia="仿宋_GB2312" w:cs="仿宋_GB2312"/>
          <w:b w:val="0"/>
          <w:bCs w:val="0"/>
          <w:sz w:val="32"/>
          <w:szCs w:val="32"/>
          <w:highlight w:val="none"/>
        </w:rPr>
        <w:t>附件</w:t>
      </w:r>
      <w:r>
        <w:rPr>
          <w:rFonts w:hint="eastAsia" w:ascii="Times New Roman" w:hAnsi="Times New Roman" w:eastAsia="仿宋_GB2312" w:cs="Times New Roman"/>
          <w:bCs/>
          <w:sz w:val="32"/>
          <w:szCs w:val="32"/>
          <w:highlight w:val="none"/>
        </w:rPr>
        <w:t>：</w:t>
      </w:r>
      <w:bookmarkEnd w:id="258"/>
      <w:bookmarkEnd w:id="259"/>
      <w:bookmarkEnd w:id="260"/>
      <w:bookmarkEnd w:id="261"/>
    </w:p>
    <w:p>
      <w:pPr>
        <w:pStyle w:val="19"/>
        <w:widowControl/>
        <w:numPr>
          <w:ilvl w:val="0"/>
          <w:numId w:val="3"/>
        </w:numPr>
        <w:spacing w:line="360" w:lineRule="auto"/>
        <w:ind w:left="0" w:firstLine="640"/>
        <w:rPr>
          <w:rFonts w:ascii="Times New Roman" w:hAnsi="Times New Roman" w:eastAsia="仿宋_GB2312" w:cs="Times New Roman"/>
          <w:bCs/>
          <w:kern w:val="0"/>
          <w:sz w:val="32"/>
          <w:szCs w:val="32"/>
          <w:highlight w:val="none"/>
        </w:rPr>
      </w:pPr>
      <w:r>
        <w:rPr>
          <w:rFonts w:hint="eastAsia" w:ascii="仿宋_GB2312" w:hAnsi="Times New Roman" w:eastAsia="仿宋_GB2312" w:cs="Times New Roman"/>
          <w:bCs/>
          <w:kern w:val="0"/>
          <w:sz w:val="32"/>
          <w:szCs w:val="32"/>
          <w:highlight w:val="none"/>
        </w:rPr>
        <w:t>专家组及工作组情况</w:t>
      </w:r>
      <w:r>
        <w:rPr>
          <w:rFonts w:hint="eastAsia" w:ascii="Times New Roman" w:hAnsi="Times New Roman" w:eastAsia="仿宋_GB2312" w:cs="Times New Roman"/>
          <w:bCs/>
          <w:kern w:val="0"/>
          <w:sz w:val="32"/>
          <w:szCs w:val="32"/>
          <w:highlight w:val="none"/>
        </w:rPr>
        <w:t>表</w:t>
      </w:r>
    </w:p>
    <w:p>
      <w:pPr>
        <w:pStyle w:val="19"/>
        <w:widowControl/>
        <w:numPr>
          <w:ilvl w:val="0"/>
          <w:numId w:val="3"/>
        </w:numPr>
        <w:spacing w:line="360" w:lineRule="auto"/>
        <w:ind w:left="0" w:firstLine="640"/>
        <w:rPr>
          <w:rFonts w:ascii="Times New Roman" w:hAnsi="Times New Roman" w:eastAsia="仿宋_GB2312" w:cs="Times New Roman"/>
          <w:bCs/>
          <w:kern w:val="0"/>
          <w:sz w:val="32"/>
          <w:szCs w:val="32"/>
          <w:highlight w:val="none"/>
        </w:rPr>
      </w:pPr>
      <w:r>
        <w:rPr>
          <w:rFonts w:hint="eastAsia" w:ascii="仿宋_GB2312" w:hAnsi="Times New Roman" w:eastAsia="仿宋_GB2312" w:cs="Times New Roman"/>
          <w:bCs/>
          <w:kern w:val="0"/>
          <w:sz w:val="32"/>
          <w:szCs w:val="32"/>
          <w:highlight w:val="none"/>
        </w:rPr>
        <w:t>专家意见汇总书</w:t>
      </w:r>
    </w:p>
    <w:p>
      <w:pPr>
        <w:pStyle w:val="19"/>
        <w:widowControl/>
        <w:numPr>
          <w:ilvl w:val="0"/>
          <w:numId w:val="3"/>
        </w:numPr>
        <w:spacing w:line="360" w:lineRule="auto"/>
        <w:ind w:left="0" w:firstLine="640"/>
        <w:rPr>
          <w:rFonts w:ascii="Times New Roman" w:hAnsi="Times New Roman" w:eastAsia="仿宋_GB2312" w:cs="Times New Roman"/>
          <w:bCs/>
          <w:kern w:val="0"/>
          <w:sz w:val="32"/>
          <w:szCs w:val="32"/>
          <w:highlight w:val="none"/>
        </w:rPr>
      </w:pPr>
      <w:r>
        <w:rPr>
          <w:rFonts w:hint="eastAsia" w:ascii="Times New Roman" w:hAnsi="Times New Roman" w:eastAsia="仿宋_GB2312" w:cs="Times New Roman"/>
          <w:bCs/>
          <w:kern w:val="0"/>
          <w:sz w:val="32"/>
          <w:szCs w:val="32"/>
          <w:highlight w:val="none"/>
        </w:rPr>
        <w:t>指标体系及打分情况表</w:t>
      </w:r>
    </w:p>
    <w:p>
      <w:pPr>
        <w:pStyle w:val="19"/>
        <w:widowControl/>
        <w:numPr>
          <w:ilvl w:val="0"/>
          <w:numId w:val="3"/>
        </w:numPr>
        <w:spacing w:line="360" w:lineRule="auto"/>
        <w:ind w:left="0" w:firstLine="640"/>
        <w:rPr>
          <w:rFonts w:ascii="Times New Roman" w:hAnsi="Times New Roman" w:eastAsia="仿宋_GB2312" w:cs="Times New Roman"/>
          <w:bCs/>
          <w:kern w:val="0"/>
          <w:sz w:val="32"/>
          <w:szCs w:val="32"/>
          <w:highlight w:val="none"/>
        </w:rPr>
      </w:pPr>
      <w:bookmarkStart w:id="262" w:name="_Hlk71387366"/>
      <w:r>
        <w:rPr>
          <w:rFonts w:hint="eastAsia" w:ascii="Times New Roman" w:hAnsi="Times New Roman" w:eastAsia="仿宋_GB2312" w:cs="Times New Roman"/>
          <w:bCs/>
          <w:kern w:val="0"/>
          <w:sz w:val="32"/>
          <w:szCs w:val="32"/>
          <w:highlight w:val="none"/>
        </w:rPr>
        <w:t>北京市财政支出绩效评价报告意见反馈表</w:t>
      </w:r>
    </w:p>
    <w:bookmarkEnd w:id="262"/>
    <w:p>
      <w:pPr>
        <w:pStyle w:val="19"/>
        <w:widowControl/>
        <w:spacing w:line="360" w:lineRule="auto"/>
        <w:ind w:left="640" w:firstLine="0" w:firstLineChars="0"/>
        <w:rPr>
          <w:rFonts w:ascii="Times New Roman" w:hAnsi="Times New Roman" w:eastAsia="仿宋_GB2312" w:cs="Times New Roman"/>
          <w:sz w:val="32"/>
          <w:szCs w:val="32"/>
          <w:highlight w:val="yellow"/>
        </w:rPr>
      </w:pPr>
    </w:p>
    <w:p>
      <w:pPr>
        <w:pStyle w:val="19"/>
        <w:widowControl/>
        <w:spacing w:line="360" w:lineRule="auto"/>
        <w:ind w:left="640" w:firstLine="0" w:firstLineChars="0"/>
        <w:rPr>
          <w:rFonts w:ascii="Times New Roman" w:hAnsi="Times New Roman" w:eastAsia="仿宋_GB2312" w:cs="Times New Roman"/>
          <w:sz w:val="32"/>
          <w:szCs w:val="32"/>
          <w:highlight w:val="yellow"/>
        </w:rPr>
      </w:pPr>
    </w:p>
    <w:p>
      <w:pPr>
        <w:pStyle w:val="19"/>
        <w:widowControl/>
        <w:spacing w:line="360" w:lineRule="auto"/>
        <w:ind w:firstLine="0" w:firstLineChars="0"/>
        <w:outlineLvl w:val="0"/>
        <w:rPr>
          <w:rFonts w:ascii="仿宋_GB2312" w:hAnsi="Times New Roman" w:eastAsia="仿宋_GB2312" w:cs="Times New Roman"/>
          <w:bCs/>
          <w:kern w:val="0"/>
          <w:sz w:val="28"/>
          <w:szCs w:val="28"/>
          <w:highlight w:val="yellow"/>
        </w:rPr>
      </w:pPr>
      <w:bookmarkStart w:id="263" w:name="_Toc137420087"/>
      <w:bookmarkStart w:id="264" w:name="_Toc137402610"/>
      <w:bookmarkStart w:id="265" w:name="_Toc27291"/>
      <w:bookmarkStart w:id="266" w:name="_Toc9832"/>
      <w:bookmarkStart w:id="267" w:name="_Toc4144"/>
      <w:bookmarkStart w:id="268" w:name="_Toc6680"/>
      <w:bookmarkStart w:id="269" w:name="_Toc4623"/>
      <w:bookmarkStart w:id="270" w:name="_Toc137389887"/>
      <w:bookmarkStart w:id="271" w:name="_Toc19417"/>
    </w:p>
    <w:p>
      <w:pPr>
        <w:widowControl/>
        <w:spacing w:line="360" w:lineRule="auto"/>
        <w:ind w:firstLineChars="0"/>
        <w:jc w:val="left"/>
        <w:outlineLvl w:val="0"/>
        <w:rPr>
          <w:rFonts w:hint="eastAsia" w:ascii="仿宋_GB2312" w:hAnsi="Times New Roman" w:eastAsia="仿宋_GB2312" w:cs="Times New Roman"/>
          <w:bCs/>
          <w:kern w:val="0"/>
          <w:sz w:val="28"/>
          <w:szCs w:val="28"/>
          <w:highlight w:val="yellow"/>
        </w:rPr>
      </w:pPr>
      <w:r>
        <w:rPr>
          <w:rFonts w:ascii="仿宋_GB2312" w:hAnsi="Times New Roman" w:eastAsia="仿宋_GB2312" w:cs="Times New Roman"/>
          <w:bCs/>
          <w:kern w:val="0"/>
          <w:sz w:val="28"/>
          <w:szCs w:val="28"/>
          <w:highlight w:val="yellow"/>
        </w:rPr>
        <w:br w:type="page"/>
      </w:r>
    </w:p>
    <w:p>
      <w:pPr>
        <w:pStyle w:val="19"/>
        <w:widowControl/>
        <w:spacing w:line="360" w:lineRule="auto"/>
        <w:ind w:firstLine="0" w:firstLineChars="0"/>
        <w:outlineLvl w:val="0"/>
        <w:rPr>
          <w:rFonts w:ascii="仿宋_GB2312" w:hAnsi="Times New Roman" w:eastAsia="仿宋_GB2312" w:cs="Times New Roman"/>
          <w:bCs/>
          <w:kern w:val="0"/>
          <w:sz w:val="28"/>
          <w:szCs w:val="28"/>
        </w:rPr>
      </w:pPr>
      <w:bookmarkStart w:id="272" w:name="_Toc8677"/>
      <w:r>
        <w:rPr>
          <w:rFonts w:hint="eastAsia" w:ascii="仿宋_GB2312" w:hAnsi="Times New Roman" w:eastAsia="仿宋_GB2312" w:cs="Times New Roman"/>
          <w:bCs/>
          <w:kern w:val="0"/>
          <w:sz w:val="28"/>
          <w:szCs w:val="28"/>
        </w:rPr>
        <w:t>附件1</w:t>
      </w:r>
      <w:r>
        <w:rPr>
          <w:rFonts w:ascii="仿宋_GB2312" w:hAnsi="Times New Roman" w:eastAsia="仿宋_GB2312" w:cs="Times New Roman"/>
          <w:bCs/>
          <w:kern w:val="0"/>
          <w:sz w:val="28"/>
          <w:szCs w:val="28"/>
        </w:rPr>
        <w:t xml:space="preserve"> </w:t>
      </w:r>
      <w:r>
        <w:rPr>
          <w:rFonts w:hint="eastAsia" w:ascii="仿宋_GB2312" w:hAnsi="Times New Roman" w:eastAsia="仿宋_GB2312" w:cs="Times New Roman"/>
          <w:bCs/>
          <w:kern w:val="0"/>
          <w:sz w:val="28"/>
          <w:szCs w:val="28"/>
        </w:rPr>
        <w:t>专家组及工作组情况表</w:t>
      </w:r>
      <w:bookmarkEnd w:id="263"/>
      <w:bookmarkEnd w:id="264"/>
      <w:bookmarkEnd w:id="265"/>
      <w:bookmarkEnd w:id="266"/>
      <w:bookmarkEnd w:id="267"/>
      <w:bookmarkEnd w:id="268"/>
      <w:bookmarkEnd w:id="269"/>
      <w:bookmarkEnd w:id="270"/>
      <w:bookmarkEnd w:id="271"/>
      <w:bookmarkEnd w:id="272"/>
    </w:p>
    <w:p>
      <w:pPr>
        <w:pStyle w:val="19"/>
        <w:widowControl/>
        <w:spacing w:line="360" w:lineRule="auto"/>
        <w:ind w:firstLine="0" w:firstLineChars="0"/>
        <w:rPr>
          <w:rFonts w:hint="eastAsia" w:ascii="仿宋_GB2312" w:hAnsi="Times New Roman" w:eastAsia="仿宋_GB2312" w:cs="Times New Roman"/>
          <w:bCs/>
          <w:kern w:val="0"/>
          <w:sz w:val="28"/>
          <w:szCs w:val="28"/>
          <w:lang w:eastAsia="zh-CN"/>
        </w:rPr>
      </w:pPr>
      <w:r>
        <w:rPr>
          <w:rFonts w:hint="eastAsia" w:ascii="仿宋_GB2312" w:hAnsi="Times New Roman" w:eastAsia="仿宋_GB2312" w:cs="Times New Roman"/>
          <w:bCs/>
          <w:kern w:val="0"/>
          <w:sz w:val="28"/>
          <w:szCs w:val="28"/>
          <w:lang w:eastAsia="zh-CN"/>
        </w:rPr>
        <w:drawing>
          <wp:inline distT="0" distB="0" distL="114300" distR="114300">
            <wp:extent cx="5850890" cy="8272780"/>
            <wp:effectExtent l="0" t="0" r="1270" b="2540"/>
            <wp:docPr id="4" name="图片 4" descr="专家组及工作组情况表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专家组及工作组情况表_00"/>
                    <pic:cNvPicPr>
                      <a:picLocks noChangeAspect="1"/>
                    </pic:cNvPicPr>
                  </pic:nvPicPr>
                  <pic:blipFill>
                    <a:blip r:embed="rId8"/>
                    <a:stretch>
                      <a:fillRect/>
                    </a:stretch>
                  </pic:blipFill>
                  <pic:spPr>
                    <a:xfrm>
                      <a:off x="0" y="0"/>
                      <a:ext cx="5850890" cy="8272780"/>
                    </a:xfrm>
                    <a:prstGeom prst="rect">
                      <a:avLst/>
                    </a:prstGeom>
                  </pic:spPr>
                </pic:pic>
              </a:graphicData>
            </a:graphic>
          </wp:inline>
        </w:drawing>
      </w:r>
    </w:p>
    <w:p>
      <w:pPr>
        <w:pStyle w:val="19"/>
        <w:widowControl/>
        <w:spacing w:line="360" w:lineRule="auto"/>
        <w:ind w:firstLine="0" w:firstLineChars="0"/>
        <w:outlineLvl w:val="0"/>
        <w:rPr>
          <w:rFonts w:ascii="仿宋_GB2312" w:hAnsi="Times New Roman" w:eastAsia="仿宋_GB2312" w:cs="Times New Roman"/>
          <w:bCs/>
          <w:kern w:val="0"/>
          <w:sz w:val="28"/>
          <w:szCs w:val="28"/>
        </w:rPr>
      </w:pPr>
      <w:bookmarkStart w:id="273" w:name="_Toc22616"/>
      <w:bookmarkStart w:id="274" w:name="_Toc20307"/>
      <w:bookmarkStart w:id="275" w:name="_Toc28758"/>
      <w:bookmarkStart w:id="276" w:name="_Toc137389888"/>
      <w:bookmarkStart w:id="277" w:name="_Toc29320"/>
      <w:bookmarkStart w:id="278" w:name="_Toc9204"/>
      <w:bookmarkStart w:id="279" w:name="_Toc137420088"/>
      <w:bookmarkStart w:id="280" w:name="_Toc137402611"/>
      <w:bookmarkStart w:id="281" w:name="_Toc17648"/>
      <w:bookmarkStart w:id="282" w:name="_Toc9029"/>
      <w:r>
        <w:rPr>
          <w:rFonts w:hint="eastAsia" w:ascii="仿宋_GB2312" w:hAnsi="Times New Roman" w:eastAsia="仿宋_GB2312" w:cs="Times New Roman"/>
          <w:bCs/>
          <w:kern w:val="0"/>
          <w:sz w:val="28"/>
          <w:szCs w:val="28"/>
        </w:rPr>
        <w:t>附件</w:t>
      </w:r>
      <w:r>
        <w:rPr>
          <w:rFonts w:ascii="仿宋_GB2312" w:hAnsi="Times New Roman" w:eastAsia="仿宋_GB2312" w:cs="Times New Roman"/>
          <w:bCs/>
          <w:kern w:val="0"/>
          <w:sz w:val="28"/>
          <w:szCs w:val="28"/>
        </w:rPr>
        <w:t xml:space="preserve">2 </w:t>
      </w:r>
      <w:r>
        <w:rPr>
          <w:rFonts w:hint="eastAsia" w:ascii="仿宋_GB2312" w:hAnsi="Times New Roman" w:eastAsia="仿宋_GB2312" w:cs="Times New Roman"/>
          <w:bCs/>
          <w:kern w:val="0"/>
          <w:sz w:val="28"/>
          <w:szCs w:val="28"/>
        </w:rPr>
        <w:t>专家意见汇总书</w:t>
      </w:r>
      <w:bookmarkEnd w:id="273"/>
      <w:bookmarkEnd w:id="274"/>
      <w:bookmarkEnd w:id="275"/>
      <w:bookmarkEnd w:id="276"/>
      <w:bookmarkEnd w:id="277"/>
      <w:bookmarkEnd w:id="278"/>
      <w:bookmarkEnd w:id="279"/>
      <w:bookmarkEnd w:id="280"/>
      <w:bookmarkEnd w:id="281"/>
      <w:bookmarkEnd w:id="282"/>
    </w:p>
    <w:p>
      <w:pPr>
        <w:pStyle w:val="19"/>
        <w:widowControl/>
        <w:spacing w:line="360" w:lineRule="auto"/>
        <w:ind w:left="640" w:firstLine="0" w:firstLineChars="0"/>
        <w:rPr>
          <w:rFonts w:ascii="仿宋_GB2312" w:hAnsi="Times New Roman" w:eastAsia="仿宋_GB2312" w:cs="Times New Roman"/>
          <w:bCs/>
          <w:kern w:val="0"/>
          <w:sz w:val="32"/>
          <w:szCs w:val="32"/>
        </w:rPr>
      </w:pPr>
    </w:p>
    <w:p>
      <w:pPr>
        <w:pStyle w:val="19"/>
        <w:widowControl/>
        <w:spacing w:line="360" w:lineRule="auto"/>
        <w:ind w:left="640" w:firstLine="0" w:firstLineChars="0"/>
        <w:rPr>
          <w:rFonts w:ascii="仿宋_GB2312" w:hAnsi="Times New Roman" w:eastAsia="仿宋_GB2312" w:cs="Times New Roman"/>
          <w:bCs/>
          <w:kern w:val="0"/>
          <w:sz w:val="32"/>
          <w:szCs w:val="32"/>
        </w:rPr>
      </w:pPr>
    </w:p>
    <w:p>
      <w:pPr>
        <w:spacing w:line="360" w:lineRule="auto"/>
        <w:jc w:val="center"/>
        <w:rPr>
          <w:rFonts w:ascii="仿宋_GB2312" w:eastAsia="仿宋_GB2312"/>
          <w:b/>
          <w:bCs/>
          <w:sz w:val="36"/>
          <w:szCs w:val="36"/>
        </w:rPr>
      </w:pPr>
      <w:r>
        <w:rPr>
          <w:rFonts w:hint="eastAsia" w:ascii="仿宋_GB2312" w:eastAsia="仿宋_GB2312"/>
          <w:b/>
          <w:bCs/>
          <w:sz w:val="36"/>
          <w:szCs w:val="36"/>
        </w:rPr>
        <w:t>北京市项目支出绩效评价</w:t>
      </w:r>
    </w:p>
    <w:p>
      <w:pPr>
        <w:spacing w:line="360" w:lineRule="auto"/>
        <w:jc w:val="center"/>
        <w:rPr>
          <w:rFonts w:ascii="仿宋_GB2312" w:eastAsia="仿宋_GB2312"/>
          <w:b/>
          <w:spacing w:val="20"/>
          <w:sz w:val="36"/>
          <w:szCs w:val="36"/>
        </w:rPr>
      </w:pPr>
      <w:r>
        <w:rPr>
          <w:rFonts w:hint="eastAsia" w:ascii="仿宋_GB2312" w:eastAsia="仿宋_GB2312"/>
          <w:b/>
          <w:spacing w:val="20"/>
          <w:sz w:val="36"/>
          <w:szCs w:val="36"/>
        </w:rPr>
        <w:t>专家意见汇总书</w:t>
      </w:r>
    </w:p>
    <w:p>
      <w:pPr>
        <w:spacing w:line="360" w:lineRule="auto"/>
        <w:jc w:val="center"/>
        <w:rPr>
          <w:rFonts w:ascii="仿宋_GB2312" w:eastAsia="仿宋_GB2312"/>
          <w:b/>
          <w:spacing w:val="20"/>
          <w:sz w:val="36"/>
          <w:szCs w:val="36"/>
        </w:rPr>
      </w:pPr>
    </w:p>
    <w:p>
      <w:pPr>
        <w:spacing w:line="360" w:lineRule="auto"/>
        <w:ind w:firstLine="960"/>
        <w:jc w:val="center"/>
        <w:rPr>
          <w:rFonts w:ascii="黑体" w:eastAsia="黑体"/>
          <w:sz w:val="48"/>
          <w:szCs w:val="48"/>
        </w:rPr>
      </w:pPr>
    </w:p>
    <w:p>
      <w:pPr>
        <w:spacing w:line="360" w:lineRule="auto"/>
        <w:ind w:firstLine="960"/>
        <w:jc w:val="center"/>
        <w:rPr>
          <w:rFonts w:ascii="黑体" w:eastAsia="黑体"/>
          <w:sz w:val="48"/>
          <w:szCs w:val="48"/>
        </w:rPr>
      </w:pPr>
    </w:p>
    <w:p>
      <w:pPr>
        <w:spacing w:line="360" w:lineRule="auto"/>
        <w:ind w:firstLine="960"/>
        <w:jc w:val="center"/>
        <w:rPr>
          <w:rFonts w:ascii="黑体" w:eastAsia="黑体"/>
          <w:sz w:val="48"/>
          <w:szCs w:val="48"/>
        </w:rPr>
      </w:pPr>
    </w:p>
    <w:p>
      <w:pPr>
        <w:spacing w:line="360" w:lineRule="auto"/>
        <w:ind w:firstLine="960"/>
        <w:jc w:val="center"/>
        <w:rPr>
          <w:rFonts w:ascii="黑体" w:eastAsia="黑体"/>
          <w:sz w:val="48"/>
          <w:szCs w:val="48"/>
        </w:rPr>
      </w:pPr>
    </w:p>
    <w:p>
      <w:pPr>
        <w:spacing w:line="360" w:lineRule="auto"/>
        <w:ind w:firstLine="960"/>
        <w:jc w:val="center"/>
        <w:rPr>
          <w:rFonts w:ascii="黑体" w:eastAsia="黑体"/>
          <w:sz w:val="48"/>
          <w:szCs w:val="48"/>
        </w:rPr>
      </w:pPr>
    </w:p>
    <w:p>
      <w:pPr>
        <w:spacing w:line="360" w:lineRule="auto"/>
        <w:ind w:firstLine="960"/>
        <w:jc w:val="center"/>
        <w:rPr>
          <w:rFonts w:hint="default" w:ascii="黑体" w:eastAsia="黑体"/>
          <w:sz w:val="48"/>
          <w:szCs w:val="48"/>
          <w:lang w:val="en-US" w:eastAsia="zh-CN"/>
        </w:rPr>
      </w:pPr>
      <w:r>
        <w:rPr>
          <w:rFonts w:hint="eastAsia" w:ascii="黑体" w:eastAsia="黑体"/>
          <w:sz w:val="48"/>
          <w:szCs w:val="48"/>
          <w:lang w:val="en-US" w:eastAsia="zh-CN"/>
        </w:rPr>
        <w:t xml:space="preserve">  </w:t>
      </w:r>
    </w:p>
    <w:p>
      <w:pPr>
        <w:snapToGrid w:val="0"/>
        <w:spacing w:line="420" w:lineRule="auto"/>
        <w:ind w:right="120" w:firstLine="1420" w:firstLineChars="592"/>
        <w:rPr>
          <w:rFonts w:hint="eastAsia" w:ascii="宋体" w:hAnsi="宋体" w:eastAsiaTheme="minorEastAsia"/>
          <w:sz w:val="24"/>
          <w:u w:val="single"/>
          <w:lang w:val="en-US" w:eastAsia="zh-CN"/>
        </w:rPr>
      </w:pPr>
      <w:r>
        <w:rPr>
          <w:rFonts w:hint="eastAsia" w:ascii="宋体" w:hAnsi="宋体"/>
          <w:sz w:val="24"/>
        </w:rPr>
        <w:t xml:space="preserve">项目名称： </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u w:val="single"/>
          <w:lang w:val="en-US" w:eastAsia="zh-CN"/>
        </w:rPr>
        <w:t xml:space="preserve"> 北京榜样</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u w:val="single"/>
          <w:lang w:val="en-US" w:eastAsia="zh-CN"/>
        </w:rPr>
        <w:t xml:space="preserve"> </w:t>
      </w:r>
    </w:p>
    <w:p>
      <w:pPr>
        <w:snapToGrid w:val="0"/>
        <w:spacing w:line="420" w:lineRule="auto"/>
        <w:ind w:right="120" w:firstLine="1420" w:firstLineChars="592"/>
        <w:rPr>
          <w:rFonts w:ascii="宋体" w:hAnsi="宋体"/>
          <w:sz w:val="24"/>
        </w:rPr>
      </w:pPr>
      <w:r>
        <w:rPr>
          <w:rFonts w:hint="eastAsia" w:ascii="宋体" w:hAnsi="宋体"/>
          <w:sz w:val="24"/>
        </w:rPr>
        <w:t>项目单位：</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u w:val="single"/>
          <w:lang w:val="en-US" w:eastAsia="zh-CN"/>
        </w:rPr>
        <w:t>北京广播电视台</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p>
    <w:p>
      <w:pPr>
        <w:snapToGrid w:val="0"/>
        <w:spacing w:line="420" w:lineRule="auto"/>
        <w:ind w:right="120" w:firstLine="1420" w:firstLineChars="592"/>
        <w:rPr>
          <w:rFonts w:ascii="宋体" w:hAnsi="宋体"/>
          <w:sz w:val="24"/>
          <w:u w:val="single"/>
        </w:rPr>
      </w:pPr>
      <w:r>
        <w:rPr>
          <w:rFonts w:hint="eastAsia" w:ascii="宋体" w:hAnsi="宋体"/>
          <w:sz w:val="24"/>
        </w:rPr>
        <w:t>主管部门：</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u w:val="single"/>
          <w:lang w:val="en-US" w:eastAsia="zh-CN"/>
        </w:rPr>
        <w:t>北京广播电视台</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p>
    <w:p>
      <w:pPr>
        <w:snapToGrid w:val="0"/>
        <w:spacing w:line="420" w:lineRule="auto"/>
        <w:ind w:firstLine="1440" w:firstLineChars="600"/>
        <w:rPr>
          <w:rFonts w:ascii="宋体" w:hAnsi="宋体"/>
          <w:sz w:val="24"/>
        </w:rPr>
      </w:pPr>
      <w:r>
        <w:rPr>
          <w:rFonts w:hint="eastAsia" w:ascii="宋体" w:hAnsi="宋体"/>
          <w:sz w:val="24"/>
        </w:rPr>
        <w:t>评价时间：</w:t>
      </w:r>
      <w:r>
        <w:rPr>
          <w:rFonts w:ascii="宋体" w:hAnsi="宋体"/>
          <w:sz w:val="24"/>
          <w:u w:val="single"/>
        </w:rPr>
        <w:t xml:space="preserve">      202</w:t>
      </w:r>
      <w:r>
        <w:rPr>
          <w:rFonts w:hint="eastAsia" w:ascii="宋体" w:hAnsi="宋体"/>
          <w:sz w:val="24"/>
          <w:u w:val="single"/>
          <w:lang w:val="en-US" w:eastAsia="zh-CN"/>
        </w:rPr>
        <w:t>4</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lang w:val="en-US" w:eastAsia="zh-CN"/>
        </w:rPr>
        <w:t>05</w:t>
      </w:r>
      <w:r>
        <w:rPr>
          <w:rFonts w:ascii="宋体" w:hAnsi="宋体"/>
          <w:sz w:val="24"/>
          <w:u w:val="single"/>
        </w:rPr>
        <w:t xml:space="preserve">  </w:t>
      </w:r>
      <w:r>
        <w:rPr>
          <w:rFonts w:hint="eastAsia" w:ascii="宋体" w:hAnsi="宋体"/>
          <w:sz w:val="24"/>
        </w:rPr>
        <w:t>月</w:t>
      </w:r>
      <w:r>
        <w:rPr>
          <w:rFonts w:ascii="宋体" w:hAnsi="宋体"/>
          <w:sz w:val="24"/>
        </w:rPr>
        <w:t xml:space="preserve"> </w:t>
      </w:r>
      <w:r>
        <w:rPr>
          <w:rFonts w:ascii="宋体" w:hAnsi="宋体"/>
          <w:sz w:val="24"/>
          <w:u w:val="single"/>
        </w:rPr>
        <w:t xml:space="preserve">  </w:t>
      </w:r>
      <w:r>
        <w:rPr>
          <w:rFonts w:hint="eastAsia" w:ascii="宋体" w:hAnsi="宋体"/>
          <w:sz w:val="24"/>
          <w:u w:val="single"/>
          <w:lang w:val="en-US" w:eastAsia="zh-CN"/>
        </w:rPr>
        <w:t>15</w:t>
      </w:r>
      <w:r>
        <w:rPr>
          <w:rFonts w:ascii="宋体" w:hAnsi="宋体"/>
          <w:sz w:val="24"/>
          <w:u w:val="single"/>
        </w:rPr>
        <w:t xml:space="preserve">  </w:t>
      </w:r>
      <w:r>
        <w:rPr>
          <w:rFonts w:hint="eastAsia" w:ascii="宋体" w:hAnsi="宋体"/>
          <w:sz w:val="24"/>
        </w:rPr>
        <w:t>日</w:t>
      </w:r>
    </w:p>
    <w:p>
      <w:pPr>
        <w:pStyle w:val="19"/>
        <w:widowControl/>
        <w:spacing w:line="360" w:lineRule="auto"/>
        <w:ind w:left="640" w:firstLine="0" w:firstLineChars="0"/>
        <w:rPr>
          <w:rFonts w:ascii="仿宋_GB2312" w:hAnsi="Times New Roman" w:eastAsia="仿宋_GB2312" w:cs="Times New Roman"/>
          <w:bCs/>
          <w:kern w:val="0"/>
          <w:sz w:val="32"/>
          <w:szCs w:val="32"/>
        </w:rPr>
      </w:pPr>
    </w:p>
    <w:p>
      <w:pPr>
        <w:pStyle w:val="19"/>
        <w:widowControl/>
        <w:spacing w:line="360" w:lineRule="auto"/>
        <w:ind w:left="640" w:firstLine="0" w:firstLineChars="0"/>
        <w:rPr>
          <w:rFonts w:ascii="仿宋_GB2312" w:hAnsi="Times New Roman" w:eastAsia="仿宋_GB2312" w:cs="Times New Roman"/>
          <w:bCs/>
          <w:kern w:val="0"/>
          <w:sz w:val="32"/>
          <w:szCs w:val="32"/>
        </w:rPr>
      </w:pPr>
    </w:p>
    <w:p>
      <w:pPr>
        <w:pStyle w:val="19"/>
        <w:widowControl/>
        <w:spacing w:line="360" w:lineRule="auto"/>
        <w:ind w:left="640" w:firstLine="0" w:firstLineChars="0"/>
        <w:rPr>
          <w:rFonts w:ascii="仿宋_GB2312" w:hAnsi="Times New Roman" w:eastAsia="仿宋_GB2312" w:cs="Times New Roman"/>
          <w:bCs/>
          <w:kern w:val="0"/>
          <w:sz w:val="32"/>
          <w:szCs w:val="32"/>
        </w:rPr>
      </w:pPr>
    </w:p>
    <w:p>
      <w:pPr>
        <w:pStyle w:val="19"/>
        <w:widowControl/>
        <w:spacing w:line="360" w:lineRule="auto"/>
        <w:ind w:left="640" w:firstLine="0" w:firstLineChars="0"/>
        <w:rPr>
          <w:rFonts w:ascii="仿宋_GB2312" w:hAnsi="Times New Roman" w:eastAsia="仿宋_GB2312" w:cs="Times New Roman"/>
          <w:bCs/>
          <w:kern w:val="0"/>
          <w:sz w:val="32"/>
          <w:szCs w:val="32"/>
        </w:rPr>
      </w:pPr>
    </w:p>
    <w:p>
      <w:pPr>
        <w:pStyle w:val="19"/>
        <w:widowControl/>
        <w:spacing w:line="360" w:lineRule="auto"/>
        <w:ind w:left="640" w:firstLine="0" w:firstLineChars="0"/>
        <w:rPr>
          <w:rFonts w:ascii="仿宋_GB2312" w:hAnsi="Times New Roman" w:eastAsia="仿宋_GB2312" w:cs="Times New Roman"/>
          <w:bCs/>
          <w:kern w:val="0"/>
          <w:sz w:val="32"/>
          <w:szCs w:val="32"/>
        </w:rPr>
      </w:pPr>
    </w:p>
    <w:p>
      <w:pPr>
        <w:pStyle w:val="19"/>
        <w:widowControl/>
        <w:spacing w:line="360" w:lineRule="auto"/>
        <w:ind w:left="640" w:firstLine="0" w:firstLineChars="0"/>
        <w:rPr>
          <w:rFonts w:ascii="仿宋_GB2312" w:hAnsi="Times New Roman" w:eastAsia="仿宋_GB2312" w:cs="Times New Roman"/>
          <w:bCs/>
          <w:kern w:val="0"/>
          <w:sz w:val="32"/>
          <w:szCs w:val="32"/>
        </w:rPr>
      </w:pPr>
    </w:p>
    <w:p>
      <w:pPr>
        <w:pStyle w:val="19"/>
        <w:widowControl/>
        <w:spacing w:line="360" w:lineRule="auto"/>
        <w:ind w:left="640" w:firstLine="0" w:firstLineChars="0"/>
        <w:rPr>
          <w:rFonts w:ascii="仿宋_GB2312" w:hAnsi="Times New Roman" w:eastAsia="仿宋_GB2312" w:cs="Times New Roman"/>
          <w:bCs/>
          <w:kern w:val="0"/>
          <w:sz w:val="32"/>
          <w:szCs w:val="32"/>
        </w:rPr>
      </w:pPr>
    </w:p>
    <w:p>
      <w:pPr>
        <w:keepNext w:val="0"/>
        <w:keepLines w:val="0"/>
        <w:pageBreakBefore w:val="0"/>
        <w:widowControl/>
        <w:numPr>
          <w:ilvl w:val="0"/>
          <w:numId w:val="4"/>
        </w:numPr>
        <w:kinsoku/>
        <w:wordWrap/>
        <w:overflowPunct/>
        <w:topLinePunct w:val="0"/>
        <w:autoSpaceDE/>
        <w:autoSpaceDN/>
        <w:bidi w:val="0"/>
        <w:adjustRightInd/>
        <w:snapToGrid/>
        <w:spacing w:after="157" w:afterLines="50"/>
        <w:jc w:val="left"/>
        <w:textAlignment w:val="auto"/>
        <w:outlineLvl w:val="0"/>
        <w:rPr>
          <w:rFonts w:hint="eastAsia" w:ascii="仿宋_GB2312" w:hAnsi="Times New Roman" w:eastAsia="仿宋_GB2312" w:cs="Times New Roman"/>
          <w:bCs/>
          <w:kern w:val="0"/>
          <w:sz w:val="32"/>
          <w:szCs w:val="32"/>
          <w:lang w:val="en-US" w:eastAsia="zh-CN"/>
        </w:rPr>
      </w:pPr>
      <w:bookmarkStart w:id="283" w:name="_Toc137420089"/>
      <w:bookmarkStart w:id="284" w:name="_Toc28016"/>
      <w:bookmarkStart w:id="285" w:name="_Toc137389889"/>
      <w:bookmarkStart w:id="286" w:name="_Toc14775"/>
      <w:bookmarkStart w:id="287" w:name="_Toc27"/>
      <w:bookmarkStart w:id="288" w:name="_Toc25303"/>
      <w:bookmarkStart w:id="289" w:name="_Toc137402612"/>
      <w:bookmarkStart w:id="290" w:name="_Toc12633"/>
      <w:r>
        <w:rPr>
          <w:rFonts w:hint="eastAsia" w:ascii="仿宋_GB2312" w:hAnsi="Times New Roman" w:eastAsia="仿宋_GB2312" w:cs="Times New Roman"/>
          <w:bCs/>
          <w:kern w:val="0"/>
          <w:sz w:val="32"/>
          <w:szCs w:val="32"/>
          <w:lang w:val="en-US" w:eastAsia="zh-CN"/>
        </w:rPr>
        <w:t>专家评分汇总表</w:t>
      </w:r>
    </w:p>
    <w:tbl>
      <w:tblPr>
        <w:tblStyle w:val="15"/>
        <w:tblW w:w="880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4"/>
        <w:gridCol w:w="1853"/>
        <w:gridCol w:w="920"/>
        <w:gridCol w:w="853"/>
        <w:gridCol w:w="827"/>
        <w:gridCol w:w="840"/>
        <w:gridCol w:w="800"/>
        <w:gridCol w:w="920"/>
        <w:gridCol w:w="1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5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评价指标及分值</w:t>
            </w:r>
          </w:p>
        </w:tc>
        <w:tc>
          <w:tcPr>
            <w:tcW w:w="5240" w:type="dxa"/>
            <w:gridSpan w:val="6"/>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专家评分汇总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47"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评价指标</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分值</w:t>
            </w:r>
          </w:p>
        </w:tc>
        <w:tc>
          <w:tcPr>
            <w:tcW w:w="85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专家1</w:t>
            </w:r>
          </w:p>
        </w:tc>
        <w:tc>
          <w:tcPr>
            <w:tcW w:w="82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专家2</w:t>
            </w:r>
          </w:p>
        </w:tc>
        <w:tc>
          <w:tcPr>
            <w:tcW w:w="8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专家3</w:t>
            </w:r>
          </w:p>
        </w:tc>
        <w:tc>
          <w:tcPr>
            <w:tcW w:w="8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专家4</w:t>
            </w:r>
          </w:p>
        </w:tc>
        <w:tc>
          <w:tcPr>
            <w:tcW w:w="9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专家5</w:t>
            </w:r>
          </w:p>
        </w:tc>
        <w:tc>
          <w:tcPr>
            <w:tcW w:w="10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平均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4"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（10分）</w:t>
            </w: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项目立项</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立项依据充分性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立项程序规范性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绩效目标</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3.5</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绩效目标合理性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绩效指标明确性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资金投入</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2.7</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2.7</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预算编制科学性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资金分配合理性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过程</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（20分）</w:t>
            </w: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资金管理</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9.5</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资金到位率</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组织实施</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9.5</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8.5</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管理制度健全性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制度执行有效性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产出</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（40分）</w:t>
            </w: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产出数量</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产出质量</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质量达标率</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产出时效</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完成及时性</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产出成本</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成本节约率</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4"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效益</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（30分）</w:t>
            </w: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项目效益</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实施效益</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满意度</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47"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8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88</w:t>
            </w:r>
          </w:p>
        </w:tc>
        <w:tc>
          <w:tcPr>
            <w:tcW w:w="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87.7</w:t>
            </w:r>
          </w:p>
        </w:tc>
        <w:tc>
          <w:tcPr>
            <w:tcW w:w="8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88.5</w:t>
            </w:r>
          </w:p>
        </w:tc>
        <w:tc>
          <w:tcPr>
            <w:tcW w:w="9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89.1</w:t>
            </w:r>
          </w:p>
        </w:tc>
        <w:tc>
          <w:tcPr>
            <w:tcW w:w="10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88.66</w:t>
            </w:r>
          </w:p>
        </w:tc>
      </w:tr>
    </w:tbl>
    <w:p>
      <w:pPr>
        <w:pStyle w:val="11"/>
        <w:numPr>
          <w:ilvl w:val="0"/>
          <w:numId w:val="0"/>
        </w:numPr>
        <w:rPr>
          <w:rFonts w:hint="default"/>
          <w:lang w:val="en-US" w:eastAsia="zh-CN"/>
        </w:rPr>
      </w:pPr>
    </w:p>
    <w:p>
      <w:pPr>
        <w:keepNext w:val="0"/>
        <w:keepLines w:val="0"/>
        <w:pageBreakBefore w:val="0"/>
        <w:widowControl/>
        <w:numPr>
          <w:ilvl w:val="0"/>
          <w:numId w:val="5"/>
        </w:numPr>
        <w:kinsoku/>
        <w:wordWrap/>
        <w:overflowPunct/>
        <w:topLinePunct w:val="0"/>
        <w:autoSpaceDE/>
        <w:autoSpaceDN/>
        <w:bidi w:val="0"/>
        <w:adjustRightInd/>
        <w:snapToGrid/>
        <w:spacing w:after="157" w:afterLines="50"/>
        <w:jc w:val="left"/>
        <w:textAlignment w:val="auto"/>
        <w:outlineLvl w:val="0"/>
        <w:rPr>
          <w:rFonts w:ascii="仿宋_GB2312" w:eastAsia="仿宋_GB2312"/>
          <w:b/>
          <w:bCs/>
          <w:sz w:val="28"/>
          <w:szCs w:val="32"/>
        </w:rPr>
      </w:pPr>
      <w:r>
        <w:rPr>
          <w:rFonts w:ascii="仿宋_GB2312" w:hAnsi="Times New Roman" w:eastAsia="仿宋_GB2312" w:cs="Times New Roman"/>
          <w:bCs/>
          <w:kern w:val="0"/>
          <w:sz w:val="32"/>
          <w:szCs w:val="32"/>
        </w:rPr>
        <w:t>专家评价综合意见</w:t>
      </w:r>
      <w:bookmarkEnd w:id="283"/>
      <w:bookmarkEnd w:id="284"/>
      <w:bookmarkEnd w:id="285"/>
      <w:bookmarkEnd w:id="286"/>
      <w:bookmarkEnd w:id="287"/>
      <w:bookmarkEnd w:id="288"/>
      <w:bookmarkEnd w:id="289"/>
      <w:bookmarkEnd w:id="290"/>
    </w:p>
    <w:tbl>
      <w:tblPr>
        <w:tblStyle w:val="15"/>
        <w:tblW w:w="4873" w:type="pct"/>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1"/>
        <w:gridCol w:w="6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989" w:type="dxa"/>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hint="eastAsia" w:ascii="宋体" w:hAnsi="宋体" w:eastAsia="宋体" w:cs="宋体"/>
                <w:b/>
                <w:sz w:val="22"/>
                <w:szCs w:val="22"/>
                <w:lang w:bidi="ar"/>
              </w:rPr>
            </w:pPr>
            <w:r>
              <w:rPr>
                <w:rFonts w:hint="eastAsia" w:ascii="宋体" w:hAnsi="宋体" w:eastAsia="宋体" w:cs="宋体"/>
                <w:b/>
                <w:sz w:val="22"/>
                <w:szCs w:val="22"/>
                <w:lang w:bidi="ar"/>
              </w:rPr>
              <w:t>评价得分</w:t>
            </w:r>
          </w:p>
        </w:tc>
        <w:tc>
          <w:tcPr>
            <w:tcW w:w="6317" w:type="dxa"/>
            <w:tcBorders>
              <w:top w:val="single" w:color="000000" w:sz="4" w:space="0"/>
              <w:left w:val="single" w:color="000000" w:sz="4" w:space="0"/>
              <w:bottom w:val="single" w:color="000000" w:sz="4" w:space="0"/>
              <w:right w:val="single" w:color="000000" w:sz="4" w:space="0"/>
              <w:tl2br w:val="nil"/>
              <w:tr2bl w:val="nil"/>
            </w:tcBorders>
            <w:vAlign w:val="center"/>
          </w:tcPr>
          <w:p>
            <w:pPr>
              <w:jc w:val="center"/>
              <w:textAlignment w:val="center"/>
              <w:rPr>
                <w:rFonts w:hint="eastAsia" w:ascii="宋体" w:hAnsi="宋体" w:eastAsia="宋体" w:cs="宋体"/>
                <w:b/>
                <w:sz w:val="22"/>
                <w:szCs w:val="22"/>
                <w:lang w:eastAsia="zh-CN" w:bidi="ar"/>
              </w:rPr>
            </w:pPr>
            <w:r>
              <w:rPr>
                <w:rFonts w:hint="eastAsia" w:ascii="宋体" w:hAnsi="宋体" w:eastAsia="宋体" w:cs="宋体"/>
                <w:b/>
                <w:sz w:val="22"/>
                <w:szCs w:val="22"/>
                <w:lang w:val="en-US" w:eastAsia="zh-CN" w:bidi="ar"/>
              </w:rPr>
              <w:t>88.66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989" w:type="dxa"/>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hint="eastAsia" w:ascii="宋体" w:hAnsi="宋体" w:eastAsia="宋体" w:cs="宋体"/>
                <w:b/>
                <w:sz w:val="22"/>
                <w:szCs w:val="22"/>
                <w:lang w:bidi="ar"/>
              </w:rPr>
            </w:pPr>
            <w:r>
              <w:rPr>
                <w:rFonts w:hint="eastAsia" w:ascii="宋体" w:hAnsi="宋体" w:eastAsia="宋体" w:cs="宋体"/>
                <w:b/>
                <w:sz w:val="22"/>
                <w:szCs w:val="22"/>
                <w:lang w:bidi="ar"/>
              </w:rPr>
              <w:t>绩效级别</w:t>
            </w:r>
          </w:p>
        </w:tc>
        <w:tc>
          <w:tcPr>
            <w:tcW w:w="6317" w:type="dxa"/>
            <w:tcBorders>
              <w:top w:val="single" w:color="000000" w:sz="4" w:space="0"/>
              <w:left w:val="single" w:color="000000" w:sz="4" w:space="0"/>
              <w:bottom w:val="single" w:color="000000" w:sz="4" w:space="0"/>
              <w:right w:val="single" w:color="000000" w:sz="4" w:space="0"/>
              <w:tl2br w:val="nil"/>
              <w:tr2bl w:val="nil"/>
            </w:tcBorders>
            <w:vAlign w:val="center"/>
          </w:tcPr>
          <w:p>
            <w:pPr>
              <w:jc w:val="center"/>
              <w:textAlignment w:val="center"/>
              <w:rPr>
                <w:rFonts w:hint="eastAsia" w:ascii="宋体" w:hAnsi="宋体" w:eastAsia="宋体" w:cs="宋体"/>
                <w:b/>
                <w:sz w:val="22"/>
                <w:szCs w:val="22"/>
                <w:lang w:bidi="ar"/>
              </w:rPr>
            </w:pPr>
            <w:r>
              <w:rPr>
                <w:rFonts w:hint="eastAsia" w:ascii="宋体" w:hAnsi="宋体" w:eastAsia="宋体" w:cs="宋体"/>
                <w:b/>
                <w:sz w:val="22"/>
                <w:szCs w:val="22"/>
                <w:lang w:bidi="ar"/>
              </w:rPr>
              <w:t xml:space="preserve">优(90分以上)□           良(80-90分)☑       </w:t>
            </w:r>
          </w:p>
          <w:p>
            <w:pPr>
              <w:jc w:val="center"/>
              <w:textAlignment w:val="center"/>
              <w:rPr>
                <w:rFonts w:hint="eastAsia" w:ascii="宋体" w:hAnsi="宋体" w:eastAsia="宋体" w:cs="宋体"/>
                <w:b/>
                <w:sz w:val="22"/>
                <w:szCs w:val="22"/>
                <w:lang w:bidi="ar"/>
              </w:rPr>
            </w:pPr>
            <w:r>
              <w:rPr>
                <w:rFonts w:hint="eastAsia" w:ascii="宋体" w:hAnsi="宋体" w:eastAsia="宋体" w:cs="宋体"/>
                <w:b/>
                <w:sz w:val="22"/>
                <w:szCs w:val="22"/>
                <w:lang w:bidi="ar"/>
              </w:rPr>
              <w:t xml:space="preserve">  中（60-80分）□          差（60分以下）□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8306" w:type="dxa"/>
            <w:gridSpan w:val="2"/>
            <w:tcBorders>
              <w:top w:val="single" w:color="000000" w:sz="4" w:space="0"/>
              <w:left w:val="single" w:color="auto" w:sz="4" w:space="0"/>
              <w:bottom w:val="single" w:color="auto" w:sz="4" w:space="0"/>
              <w:right w:val="single" w:color="auto" w:sz="4" w:space="0"/>
              <w:tl2br w:val="nil"/>
              <w:tr2bl w:val="nil"/>
            </w:tcBorders>
          </w:tcPr>
          <w:p>
            <w:pPr>
              <w:snapToGrid w:val="0"/>
              <w:spacing w:before="163" w:beforeLines="50"/>
              <w:ind w:firstLine="440" w:firstLineChars="200"/>
              <w:rPr>
                <w:rFonts w:hint="eastAsia" w:ascii="宋体" w:hAnsi="宋体" w:eastAsia="宋体" w:cs="宋体"/>
                <w:b/>
                <w:sz w:val="22"/>
                <w:szCs w:val="22"/>
                <w:highlight w:val="none"/>
              </w:rPr>
            </w:pPr>
            <w:r>
              <w:rPr>
                <w:rFonts w:hint="eastAsia" w:ascii="宋体" w:hAnsi="宋体" w:eastAsia="宋体" w:cs="宋体"/>
                <w:b/>
                <w:sz w:val="22"/>
                <w:szCs w:val="22"/>
                <w:highlight w:val="none"/>
              </w:rPr>
              <w:t>问题：</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决策方面</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项目绩效指标设置的明确性、细化量化及可评价性不足，缺乏量化指标值。如数量指标仅设定活动场次及人数，未明确活动的内容及评选榜样所涉及的行业；时效指标未明确北京榜样年度活动的时间节点安排；未设定成本指标，效益指标仅设定社会效益指标和满意度指标，未设定可持续影响指标，所设定的社会效益指标缺乏榜样引领、活动宣传等所产生效益的量化指标。</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二、</w:t>
            </w:r>
            <w:r>
              <w:rPr>
                <w:rFonts w:hint="eastAsia" w:ascii="宋体" w:hAnsi="宋体" w:eastAsia="宋体" w:cs="宋体"/>
                <w:sz w:val="22"/>
                <w:szCs w:val="22"/>
                <w:highlight w:val="none"/>
              </w:rPr>
              <w:t>管理方面</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项目全过程管理不够严谨。未细化委托事项工作标准，各方职责分工不够具体明确。</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验收工作的规范性有待提升。对于项目完成质量的验收要求和标准不够清晰。</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3.</w:t>
            </w:r>
            <w:r>
              <w:rPr>
                <w:rFonts w:hint="eastAsia" w:ascii="宋体" w:hAnsi="宋体" w:eastAsia="宋体" w:cs="宋体"/>
                <w:sz w:val="22"/>
                <w:szCs w:val="22"/>
                <w:highlight w:val="none"/>
              </w:rPr>
              <w:t>项目实施的规范性不足，存在先遴选月度榜样，后确定中标单位现象。项目6月13日签订合同，组委会第一次确定榜样的时间2023年4月24日、第二次为2023年5月29日。</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三、</w:t>
            </w:r>
            <w:r>
              <w:rPr>
                <w:rFonts w:hint="eastAsia" w:ascii="宋体" w:hAnsi="宋体" w:eastAsia="宋体" w:cs="宋体"/>
                <w:sz w:val="22"/>
                <w:szCs w:val="22"/>
                <w:highlight w:val="none"/>
              </w:rPr>
              <w:t>效益方面</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项目绩效效果分析缺乏分类量化分析，对榜样的引领深挖及跟踪不够。</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满意度问卷过于简单，样本量不明确，未进行满意度分析，问卷与2023年北京榜样年度活动内容的直接相关性不足。</w:t>
            </w:r>
          </w:p>
          <w:p>
            <w:pPr>
              <w:pStyle w:val="2"/>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306" w:type="dxa"/>
            <w:gridSpan w:val="2"/>
            <w:tcBorders>
              <w:top w:val="single" w:color="auto" w:sz="4" w:space="0"/>
              <w:left w:val="single" w:color="auto" w:sz="4" w:space="0"/>
              <w:bottom w:val="single" w:color="auto" w:sz="4" w:space="0"/>
              <w:right w:val="single" w:color="auto" w:sz="4" w:space="0"/>
              <w:tl2br w:val="nil"/>
              <w:tr2bl w:val="nil"/>
            </w:tcBorders>
          </w:tcPr>
          <w:p>
            <w:pPr>
              <w:snapToGrid w:val="0"/>
              <w:spacing w:before="163" w:beforeLines="50"/>
              <w:ind w:firstLine="440" w:firstLineChars="200"/>
              <w:rPr>
                <w:rFonts w:hint="eastAsia" w:ascii="宋体" w:hAnsi="宋体" w:eastAsia="宋体" w:cs="宋体"/>
                <w:b/>
                <w:sz w:val="22"/>
                <w:szCs w:val="22"/>
                <w:highlight w:val="none"/>
              </w:rPr>
            </w:pPr>
            <w:r>
              <w:rPr>
                <w:rFonts w:hint="eastAsia" w:ascii="宋体" w:hAnsi="宋体" w:eastAsia="宋体" w:cs="宋体"/>
                <w:b/>
                <w:sz w:val="22"/>
                <w:szCs w:val="22"/>
                <w:highlight w:val="none"/>
              </w:rPr>
              <w:t>建议：</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决策方面</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树立绩效管理的理念。在绩效目标和指标设定上，加强项目绩效指标设置的明确性、细化量化及可评价性，充分反映年度北京榜样评选及宣传活动的内容及其引领、宣传的量化绩效效果。</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二、</w:t>
            </w:r>
            <w:r>
              <w:rPr>
                <w:rFonts w:hint="eastAsia" w:ascii="宋体" w:hAnsi="宋体" w:eastAsia="宋体" w:cs="宋体"/>
                <w:sz w:val="22"/>
                <w:szCs w:val="22"/>
                <w:highlight w:val="none"/>
              </w:rPr>
              <w:t>管理方面</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合理编制项目管理流程和制度，完善对委托业务的过程监督管理流程，明确各方职责分工，提高项目实施质量。</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应进一步提高验收工作的规范性，完善验收程序，明确验收标准。</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3.</w:t>
            </w:r>
            <w:r>
              <w:rPr>
                <w:rFonts w:hint="eastAsia" w:ascii="宋体" w:hAnsi="宋体" w:eastAsia="宋体" w:cs="宋体"/>
                <w:sz w:val="22"/>
                <w:szCs w:val="22"/>
                <w:highlight w:val="none"/>
              </w:rPr>
              <w:t>应进一步规范项目实施，对于全部委托的项目，在项目委托单位采购完成并签订合同后方可开展相关工作，避免先干活后履行采购程序现象。</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三、</w:t>
            </w:r>
            <w:r>
              <w:rPr>
                <w:rFonts w:hint="eastAsia" w:ascii="宋体" w:hAnsi="宋体" w:eastAsia="宋体" w:cs="宋体"/>
                <w:sz w:val="22"/>
                <w:szCs w:val="22"/>
                <w:highlight w:val="none"/>
              </w:rPr>
              <w:t>效益方面</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对项目绩效效果分类进行分析，提炼量化效果指标，强化对榜样的引领深挖及跟踪，确保北京榜样的品牌作用及榜样奋发向上的引领作用，用新媒体手段创新榜样的宣传形式，让榜样力量家喻户晓</w:t>
            </w:r>
            <w:r>
              <w:rPr>
                <w:rFonts w:hint="eastAsia" w:ascii="宋体" w:hAnsi="宋体" w:eastAsia="宋体" w:cs="宋体"/>
                <w:sz w:val="22"/>
                <w:szCs w:val="22"/>
                <w:highlight w:val="none"/>
                <w:lang w:eastAsia="zh-CN"/>
              </w:rPr>
              <w:t>。</w:t>
            </w:r>
          </w:p>
          <w:p>
            <w:pPr>
              <w:keepNext w:val="0"/>
              <w:keepLines w:val="0"/>
              <w:pageBreakBefore w:val="0"/>
              <w:widowControl/>
              <w:kinsoku/>
              <w:wordWrap/>
              <w:overflowPunct/>
              <w:topLinePunct w:val="0"/>
              <w:autoSpaceDE/>
              <w:autoSpaceDN/>
              <w:bidi w:val="0"/>
              <w:adjustRightInd/>
              <w:snapToGrid w:val="0"/>
              <w:ind w:firstLine="440" w:firstLineChars="200"/>
              <w:textAlignment w:val="auto"/>
              <w:rPr>
                <w:rFonts w:hint="eastAsia" w:ascii="宋体" w:hAnsi="宋体" w:eastAsia="宋体" w:cs="宋体"/>
                <w:sz w:val="22"/>
                <w:szCs w:val="22"/>
                <w:highlight w:val="yellow"/>
              </w:rPr>
            </w:pPr>
            <w:r>
              <w:rPr>
                <w:rFonts w:hint="eastAsia" w:ascii="宋体" w:hAnsi="宋体" w:eastAsia="宋体" w:cs="宋体"/>
                <w:sz w:val="22"/>
                <w:szCs w:val="22"/>
                <w:highlight w:val="none"/>
                <w:lang w:val="en-US" w:eastAsia="zh-CN"/>
              </w:rPr>
              <w:t>2.加</w:t>
            </w:r>
            <w:r>
              <w:rPr>
                <w:rFonts w:hint="eastAsia" w:ascii="宋体" w:hAnsi="宋体" w:eastAsia="宋体" w:cs="宋体"/>
                <w:sz w:val="22"/>
                <w:szCs w:val="22"/>
                <w:highlight w:val="none"/>
              </w:rPr>
              <w:t>强满意度指标的管理，结合北京榜样实施多年实际及年度评选及活动开展情况，设定规范的满意度问卷调查内容，合理确定样本量，并对问卷进行满意度分析，提高满意度指标对项目绩效效果的支撑。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306" w:type="dxa"/>
            <w:gridSpan w:val="2"/>
            <w:tcBorders>
              <w:top w:val="single" w:color="auto" w:sz="4" w:space="0"/>
              <w:left w:val="single" w:color="auto" w:sz="4" w:space="0"/>
              <w:bottom w:val="single" w:color="auto" w:sz="4" w:space="0"/>
              <w:right w:val="single" w:color="auto" w:sz="4" w:space="0"/>
              <w:tl2br w:val="nil"/>
              <w:tr2bl w:val="nil"/>
            </w:tcBorders>
            <w:vAlign w:val="center"/>
          </w:tcPr>
          <w:p>
            <w:pPr>
              <w:ind w:right="840" w:firstLine="3080" w:firstLineChars="1400"/>
              <w:jc w:val="right"/>
              <w:rPr>
                <w:rFonts w:hint="eastAsia" w:ascii="宋体" w:hAnsi="宋体" w:eastAsia="宋体" w:cs="宋体"/>
                <w:sz w:val="22"/>
                <w:szCs w:val="22"/>
              </w:rPr>
            </w:pPr>
            <w:r>
              <w:rPr>
                <w:rFonts w:hint="eastAsia" w:ascii="宋体" w:hAnsi="宋体" w:eastAsia="宋体" w:cs="宋体"/>
                <w:sz w:val="22"/>
                <w:szCs w:val="22"/>
                <w:lang w:bidi="ar"/>
              </w:rPr>
              <w:t>专家组组长签字：</w:t>
            </w:r>
            <w:r>
              <w:drawing>
                <wp:inline distT="0" distB="0" distL="114300" distR="114300">
                  <wp:extent cx="1083310" cy="447675"/>
                  <wp:effectExtent l="0" t="0" r="13970" b="9525"/>
                  <wp:docPr id="11" name="图片 10" descr="签名"/>
                  <wp:cNvGraphicFramePr/>
                  <a:graphic xmlns:a="http://schemas.openxmlformats.org/drawingml/2006/main">
                    <a:graphicData uri="http://schemas.openxmlformats.org/drawingml/2006/picture">
                      <pic:pic xmlns:pic="http://schemas.openxmlformats.org/drawingml/2006/picture">
                        <pic:nvPicPr>
                          <pic:cNvPr id="11" name="图片 10" descr="签名"/>
                          <pic:cNvPicPr/>
                        </pic:nvPicPr>
                        <pic:blipFill>
                          <a:blip r:embed="rId9"/>
                          <a:stretch>
                            <a:fillRect/>
                          </a:stretch>
                        </pic:blipFill>
                        <pic:spPr>
                          <a:xfrm>
                            <a:off x="0" y="0"/>
                            <a:ext cx="1083310" cy="447675"/>
                          </a:xfrm>
                          <a:prstGeom prst="rect">
                            <a:avLst/>
                          </a:prstGeom>
                          <a:noFill/>
                          <a:ln>
                            <a:noFill/>
                          </a:ln>
                        </pic:spPr>
                      </pic:pic>
                    </a:graphicData>
                  </a:graphic>
                </wp:inline>
              </w:drawing>
            </w:r>
          </w:p>
          <w:p>
            <w:pPr>
              <w:ind w:right="840" w:firstLine="3080" w:firstLineChars="1400"/>
              <w:jc w:val="right"/>
              <w:rPr>
                <w:rFonts w:hint="default" w:ascii="宋体" w:hAnsi="宋体" w:eastAsia="宋体" w:cs="宋体"/>
                <w:sz w:val="22"/>
                <w:szCs w:val="22"/>
                <w:lang w:val="en-US" w:eastAsia="zh-CN"/>
              </w:rPr>
            </w:pPr>
            <w:r>
              <w:rPr>
                <w:rFonts w:hint="eastAsia" w:ascii="宋体" w:hAnsi="宋体" w:eastAsia="宋体" w:cs="宋体"/>
                <w:sz w:val="22"/>
                <w:szCs w:val="22"/>
                <w:lang w:bidi="ar"/>
              </w:rPr>
              <w:t>日         期：202</w:t>
            </w:r>
            <w:r>
              <w:rPr>
                <w:rFonts w:hint="eastAsia" w:ascii="宋体" w:hAnsi="宋体" w:eastAsia="宋体" w:cs="宋体"/>
                <w:sz w:val="22"/>
                <w:szCs w:val="22"/>
                <w:lang w:val="en-US" w:eastAsia="zh-CN" w:bidi="ar"/>
              </w:rPr>
              <w:t>4</w:t>
            </w:r>
            <w:r>
              <w:rPr>
                <w:rFonts w:hint="eastAsia" w:ascii="宋体" w:hAnsi="宋体" w:eastAsia="宋体" w:cs="宋体"/>
                <w:sz w:val="22"/>
                <w:szCs w:val="22"/>
                <w:lang w:bidi="ar"/>
              </w:rPr>
              <w:t>.</w:t>
            </w:r>
            <w:r>
              <w:rPr>
                <w:rFonts w:hint="eastAsia" w:ascii="宋体" w:hAnsi="宋体" w:eastAsia="宋体" w:cs="宋体"/>
                <w:sz w:val="22"/>
                <w:szCs w:val="22"/>
                <w:lang w:val="en-US" w:eastAsia="zh-CN" w:bidi="ar"/>
              </w:rPr>
              <w:t>5</w:t>
            </w:r>
            <w:r>
              <w:rPr>
                <w:rFonts w:hint="eastAsia" w:ascii="宋体" w:hAnsi="宋体" w:eastAsia="宋体" w:cs="宋体"/>
                <w:sz w:val="22"/>
                <w:szCs w:val="22"/>
                <w:lang w:bidi="ar"/>
              </w:rPr>
              <w:t>.</w:t>
            </w:r>
            <w:r>
              <w:rPr>
                <w:rFonts w:hint="eastAsia" w:ascii="宋体" w:hAnsi="宋体" w:eastAsia="宋体" w:cs="宋体"/>
                <w:sz w:val="22"/>
                <w:szCs w:val="22"/>
                <w:lang w:val="en-US" w:eastAsia="zh-CN" w:bidi="ar"/>
              </w:rPr>
              <w:t>15</w:t>
            </w:r>
          </w:p>
        </w:tc>
      </w:tr>
    </w:tbl>
    <w:p>
      <w:pPr>
        <w:pStyle w:val="19"/>
        <w:widowControl/>
        <w:spacing w:line="360" w:lineRule="auto"/>
        <w:ind w:firstLine="0" w:firstLineChars="0"/>
        <w:rPr>
          <w:rFonts w:ascii="仿宋_GB2312" w:hAnsi="Times New Roman" w:eastAsia="仿宋_GB2312" w:cs="Times New Roman"/>
          <w:bCs/>
          <w:kern w:val="0"/>
          <w:sz w:val="32"/>
          <w:szCs w:val="32"/>
        </w:rPr>
        <w:sectPr>
          <w:footerReference r:id="rId5" w:type="default"/>
          <w:pgSz w:w="11906" w:h="16838"/>
          <w:pgMar w:top="1418" w:right="1701" w:bottom="1418" w:left="1418" w:header="851" w:footer="851" w:gutter="0"/>
          <w:pgNumType w:start="1"/>
          <w:cols w:space="425" w:num="1"/>
          <w:docGrid w:type="linesAndChars" w:linePitch="312" w:charSpace="0"/>
        </w:sectPr>
      </w:pPr>
    </w:p>
    <w:p>
      <w:pPr>
        <w:pStyle w:val="19"/>
        <w:widowControl/>
        <w:spacing w:line="360" w:lineRule="auto"/>
        <w:ind w:firstLine="0" w:firstLineChars="0"/>
        <w:outlineLvl w:val="0"/>
        <w:rPr>
          <w:rFonts w:ascii="仿宋_GB2312" w:hAnsi="Times New Roman" w:eastAsia="仿宋_GB2312" w:cs="Times New Roman"/>
          <w:bCs/>
          <w:kern w:val="0"/>
          <w:sz w:val="28"/>
          <w:szCs w:val="28"/>
        </w:rPr>
      </w:pPr>
      <w:bookmarkStart w:id="291" w:name="_Toc12802"/>
      <w:bookmarkStart w:id="292" w:name="_Toc29354"/>
      <w:bookmarkStart w:id="293" w:name="_Toc137389890"/>
      <w:bookmarkStart w:id="294" w:name="_Toc6639"/>
      <w:bookmarkStart w:id="295" w:name="_Toc15241"/>
      <w:bookmarkStart w:id="296" w:name="_Toc23619"/>
      <w:bookmarkStart w:id="297" w:name="_Toc32039"/>
      <w:bookmarkStart w:id="298" w:name="_Toc16376"/>
      <w:bookmarkStart w:id="299" w:name="_Toc137420090"/>
      <w:bookmarkStart w:id="300" w:name="_Toc137402613"/>
      <w:r>
        <w:rPr>
          <w:rFonts w:hint="eastAsia" w:ascii="仿宋_GB2312" w:hAnsi="Times New Roman" w:eastAsia="仿宋_GB2312" w:cs="Times New Roman"/>
          <w:bCs/>
          <w:kern w:val="0"/>
          <w:sz w:val="28"/>
          <w:szCs w:val="28"/>
        </w:rPr>
        <w:t>附件</w:t>
      </w:r>
      <w:r>
        <w:rPr>
          <w:rFonts w:ascii="仿宋_GB2312" w:hAnsi="Times New Roman" w:eastAsia="仿宋_GB2312" w:cs="Times New Roman"/>
          <w:bCs/>
          <w:kern w:val="0"/>
          <w:sz w:val="28"/>
          <w:szCs w:val="28"/>
        </w:rPr>
        <w:t xml:space="preserve">3 </w:t>
      </w:r>
      <w:r>
        <w:rPr>
          <w:rFonts w:hint="eastAsia" w:ascii="仿宋_GB2312" w:hAnsi="Times New Roman" w:eastAsia="仿宋_GB2312" w:cs="Times New Roman"/>
          <w:bCs/>
          <w:kern w:val="0"/>
          <w:sz w:val="28"/>
          <w:szCs w:val="28"/>
        </w:rPr>
        <w:t>指标体系及打分情况表</w:t>
      </w:r>
      <w:bookmarkEnd w:id="291"/>
      <w:bookmarkEnd w:id="292"/>
      <w:bookmarkEnd w:id="293"/>
      <w:bookmarkEnd w:id="294"/>
      <w:bookmarkEnd w:id="295"/>
      <w:bookmarkEnd w:id="296"/>
      <w:bookmarkEnd w:id="297"/>
      <w:bookmarkEnd w:id="298"/>
      <w:bookmarkEnd w:id="299"/>
      <w:bookmarkEnd w:id="300"/>
    </w:p>
    <w:p>
      <w:pPr>
        <w:pStyle w:val="19"/>
        <w:widowControl/>
        <w:spacing w:line="360" w:lineRule="auto"/>
        <w:ind w:firstLine="0" w:firstLineChars="0"/>
        <w:rPr>
          <w:rFonts w:ascii="仿宋_GB2312" w:hAnsi="Times New Roman" w:eastAsia="仿宋_GB2312" w:cs="Times New Roman"/>
          <w:bCs/>
          <w:kern w:val="0"/>
          <w:sz w:val="32"/>
          <w:szCs w:val="32"/>
        </w:rPr>
      </w:pPr>
    </w:p>
    <w:tbl>
      <w:tblPr>
        <w:tblStyle w:val="15"/>
        <w:tblW w:w="13840" w:type="dxa"/>
        <w:tblInd w:w="11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6"/>
        <w:gridCol w:w="800"/>
        <w:gridCol w:w="760"/>
        <w:gridCol w:w="833"/>
        <w:gridCol w:w="1762"/>
        <w:gridCol w:w="2298"/>
        <w:gridCol w:w="756"/>
        <w:gridCol w:w="3166"/>
        <w:gridCol w:w="1040"/>
        <w:gridCol w:w="1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80" w:hRule="atLeast"/>
          <w:tblHeader/>
        </w:trPr>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分值</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指标解释</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指标说明</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分值</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评分标准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得分</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扣分理由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决策（10分）</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项目立项　</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立项依据充分性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项目立项是否符合法律法规、相关政策、发展规划以及部门职责，用以反映和考核项目立项依据情况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①项目立项是否符合国家法律法规、国民经济发展规划和相关政策；</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与法律法规、规划及政策相符，得满分；与法律法规、规划及政策基本相符，根据相关程度打分；与法律法规、规划及政策不符，不得分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②项目立项是否符合行业发展规划和政策要求；</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与行业规划及政策相符，得满分；与行业规划及政策基本相符，根据相关程度打分；与行业规划及政策不符，不得分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③项目立项是否与部门职责范围相符，属于部门履职所需；</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与部门职责相符，符合实际需求得满分；与部门职责不符，不符合实际需求不得分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④项目是否与相关部门同类项目或部门内部相关项目重复</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与其他部门或部门内部相关项目不存在重复，得满分；与其他部门或部门内部相关项目重复不得分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立项程序规范性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项目申请、设立过程是否符合相关要求，用以反映和考核项目立项的规范情况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①项目是否按照规定的程序申请设立；</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按照规定程序进行业务立项得满分，按照规定程序进行预算立项得0.25分；存在立项程序不规范的情况酌情扣分；项目未按照规定的程序申请设立不得分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②审批文件、材料是否符合相关要求；</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审批文件及材料完全符合要求得满分，有一项不符合要求扣0.1分，扣完为止</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　</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绩效目标合理性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项目所设定的绩效目标是否依据充分，是否符合客观实际，用以反映和考核项目绩效目标与项目实施的相符情况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①项目是否有绩效目标；</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项目有绩效目标，得满分；项目无绩效目标，不得分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②项目绩效目标与实际工作内容是否具有相关性；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项目绩效目标与实际工作内容具有相关性得满分；项目绩效目标基本与实际工作内容相关，根据符合程度打分；项目绩效目标与实际工作内容不具有相关性，不得分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0.42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部分绩效目标合理性不足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③项目预期产出效益和效果是否符合正常的业绩水平；</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项目预期产出和效益符合正常的业绩水平，得满分；项目预期产出和效益基本符合正常的业绩水平，根据符合程度打分；项目预期产出和效益不符合正常的业绩水平，不得分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0.44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项目预期产出和效益部分指标细化量化不足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④是否与预算确定的项目投资额或资金量相匹配</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绩效目标与预算确定的项目投资额或资金量相匹配，得满分；绩效目标与预算确定的项目投资额或资金量基本匹配，根据符合程度打分；绩效目标与预算确定的项目投资额或资金量不匹配，不得分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0.46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绩效目标与预算确定的项目投资额，对应性不够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绩效指标明确性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依据绩效目标设定的绩效指标是否清晰、细化、可衡量等，用以反映和考核项目绩效目标的明细化情况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①是否将项目绩效目标细化分解为具体的绩效指标；</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将项目绩效目标细化分解为具体的绩效指标，得满分；未将项目绩效目标细化分解为具体的绩效指标，不得分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②是否通过清晰、可衡量的指标值予以体现；</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绩效指标通过清晰、可衡量的指标值予以体现，得满分；绩效指标未通过清晰、可衡量的指标值予以体现，不得分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0.48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部分指标合理性不足，如质量指标、效益指标可衡量性弱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③是否与项目目标任务数或计划数相对应</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绩效指标与项目年度任务数或计划数相对应，得满分；绩效指标基本与项目年度任务数或计划数相对应，根据符合程度打分；绩效指标与项目年度任务数或计划数不对应，不得分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0.48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绩效指标基本与项目年度任务数或计划数基本对应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资金投入</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预算编制科学性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项目预算编制是否经过科学论证、有明确标准，资金额度与年度目标是否相适应，用以反映和考核项目预算编制的科学性、合理性情况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①预算编制是否经过科学论证；</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项目预算编制履行了需求调研、预算评审、内部决策程序且程序规范，按照实际需求编制项目预算，得0.5分，存在1项缺失或不规范现象扣0.1分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②预算内容与项目内容是否匹配；</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预算内容与项目内容匹配，得满分；预算内容与项目内容不匹配，不得分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③预算额度测算依据是否充分，是否按照标准编制；</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预算额度测算依据充分，按照标准编制，得满分；预算额度测算依据基本充分，按照标准编制，根据符合程度打分；预算额度测算依据不充分，未按照标准编制，不得分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0.46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预算额度测算依据是不充分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④预算确定的项目投资额或资金量是否与工作任务相匹配</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预算确定的项目预算资金量与工作任务相匹配，得满分；预算确定的项目资金量与工作任务基本匹配，根据符合程度打分；预算确定的项目资金量与工作任务不匹配，不得分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0.46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预算确定的项目预算资金量与工作任务细化量化不足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资金分配合理性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项目预算资金分配是否有测算依据，与补助单位或地方实际是否相适应，用以反映和考核项目预算资金分配的科学性、合理性情况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①预算资金分配依据是否充分；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预算资金分配依据充分，得满分；预算资金分配依据基本充分，根据符合程度打分；预算资金分配依据不充分，不得分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0.48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预算资金分配依据充分不够明确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②资金分配额度是否合理，与项目单位或地方实际是否相适应</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资金分配额度合理，与项目实际需求相适应，得满分；资金分配额度基本合理，基本与项目实际需求相适应，根据符合程度打分；资金分配额度不合理，与项目实际需求不适应，不得分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0.48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资金分配额度基本合理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过程（20分）</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资金到位率</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实际到位资金与预算资金的比率，用以反映和考核资金落实情况对项目实施的总体保障程度</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①资金到位率=（实际到位资金/预算资金）×100%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得分=实际到位资金/预算资金*100%*1分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②资金支付的及时性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资金及时下拨，得满分；资金未及时下拨，不得分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项目预算资金是否按照计划执行，用以反映或考核项目预算执行情况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①预算执行率=（实际支出资金/实际到位资金）×100%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预算执行率超过90%得3分，预算执行率在80-90%之间得2.4分，预算执行率在70-80%之间得1.8分，预算执行率在50-70%得1.2分，预算执行率在50%以下不得分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项目资金使用是否符合相关的财务管理制度规定，用以反映和考核项目资金的规范运行情况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①是否符合国家财经法规和财务管理制度以及有关专项资金管理办法的规定；</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出符合国家财经法规和财务管理制度以及有关专项资金管理办法的规定，得满分；资金支出基本符合国家财经法规和财务管理制度以及有关专项资金管理办法的规定，根据符合程度打分；资金支出不符合国家财经法规和财务管理制度以及有关专项资金管理办法的规定，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资金支付欠规范，在支付资金尾款时未提供项目验收资料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②资金的拨付是否有完整的审批程序和手续；</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资金的拨付有完整的审批程序和手续，得满分；资金的拨付没有完整的审批程序和手续，不得分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0.80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项目未招标前相关工作已开展。少验收报告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③是否符合项目预算批复或合同规定的用途；</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资金支出符合项目预算批复或合同规定的用途，得满分；资金支出不符合项目预算批复或合同规定的用途，不得分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④是否存在截留、挤占、挪用、虚列支出等情况</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不存在截留、挤占、挪用、虚列支出等情况，得满分；存在截留、挤占、挪用、虚列支出等情况，不得分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组织实施</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管理制度健全性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项目实施单位的财务和业务管理制度是否健全，用以反映和考核财务和业务管理制度对项目顺利实施的保障情况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①是否已制定或具有相应的财务和业务管理制度；</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项目已制定或具有相应的财务和业务管理制度得满分，存在一项缺失或不规范扣1.5分，扣完为止</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本项目的管理制度内容尚需完善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②财务和业务管理制度是否合法、合规、完整</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项目财务和业务管理制度合法、合规、完整得满分，存在一项缺失或不规范扣0.5分，扣完为止</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绩效管理制度尚需完善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制度执行有效性</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项目实施是否符合相关管理规定，用以反映和考核相关管理制度的有效执行情况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①是否遵守相关法律法规和相关管理规定；</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每存在一项不合规现象扣0.5分，扣完为止</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②项目调整及支出调整手续是否完备；</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每存在一项手续不完备或不规范扣0.5分，扣完为止</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存在先干活后采购现象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③项目合同书、验收报告、技术鉴定等资料是否齐全并及时归档；</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每存在一项不齐全扣0.5分，扣完为止</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0.80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缺少完整的验收报告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④项目实施的人员条件、场地设备、信息支撑等是否落实到位</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每存在一项配套条件不匹配扣0.5分，扣完为止</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产出（40分）</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产出数量</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项目实施的实际产出数与计划产出数的比率，用以反映和考核项目产出数量目标的实现程度</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项目各项产出数量指标的完成情况</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实际完成率=（实际产出数/计划产出数）×100%*10分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数量指标仅设定活动场次及人数，未明确活动的内容及评选榜样所涉及的行业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质量达标率</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项目完成的质量达标产出数与实际产出数的比率，用以反映和考核项目产出质量目标的实现程度</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项目各项产出质量指标的完成情况</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质量达标率=（质量达标产出数/实际产出数）×100%*10分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缺少可衡量的质量指标，评价依据不足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产出时效</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完成及时性</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项目实际完成时间与计划完成时间的比较，用以反映和考核项目产出时效目标的实现程度。</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方案制定和前期准备工作、方案、启动、总结的及时性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按照项目实施计划或相关规定完成该项目得满分，存在一项进度滞后扣2.5分。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时效指标未明确具体的进度要求，可考核性较弱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产出成本</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成本节约率</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完成项目计划工作目标的实际节约成本与计划成本的比率，用以反映和考核项目的成本节约程度</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成本控制及节约情况</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得分=（计划支出金额-实际支出金额）/计划支出金额*100%，成本节约率为负值得0分；成本节约率为0，得6分；成本节约率在0-10%之间，得8分；成本节约率在10%以上，得满分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7.80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成本节约率为0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74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效益　（20分）</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项目效益　</w:t>
            </w:r>
          </w:p>
        </w:tc>
        <w:tc>
          <w:tcPr>
            <w:tcW w:w="7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实施效益</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76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项目实施所产生的效益的实现情况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通过开展相关系列活动，选树一批“崇德向善 奋发向上”的榜样人物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达成年度指标得8分及以上、部分达成年度指标且有一定效果得6分及以上、未达成年度指标且效果较差得6分以下。</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榜样人物选树的类型和覆盖面进一步拓展；应该数值可量化；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74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76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项目实施所产生的效益的实现情况</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通过开展相关系列活动，打造符合社会主义核心价值观的品牌活动，汇聚实现中国梦的精神力量</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达成年度指标得8分及以上、部分达成年度指标且有一定效果得6分及以上、未达成年度指标且效果较差得6分以下。</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宣传手段需要进一步提升；考核指标需要具体明确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74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服务对象对项目实施效果的满意程度</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社会满意度</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达成预期指标得分9-10分；基本达成预期指标且效果较好效果得8-9分、部分达成预期指标且具有一定效果得6-8分、未达成预期指标且效果较差得6分以下</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7.40 </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缺乏深入专门的满意度调查；需要改进统计方式并对结果进行分析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100.00 </w:t>
            </w:r>
          </w:p>
        </w:tc>
        <w:tc>
          <w:tcPr>
            <w:tcW w:w="798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88.66 </w:t>
            </w:r>
          </w:p>
        </w:tc>
        <w:tc>
          <w:tcPr>
            <w:tcW w:w="1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r>
    </w:tbl>
    <w:p>
      <w:pPr>
        <w:pStyle w:val="19"/>
        <w:widowControl/>
        <w:spacing w:line="360" w:lineRule="auto"/>
        <w:ind w:firstLine="0" w:firstLineChars="0"/>
        <w:rPr>
          <w:rFonts w:ascii="仿宋_GB2312" w:hAnsi="Times New Roman" w:eastAsia="仿宋_GB2312" w:cs="Times New Roman"/>
          <w:bCs/>
          <w:kern w:val="0"/>
          <w:sz w:val="32"/>
          <w:szCs w:val="32"/>
        </w:rPr>
        <w:sectPr>
          <w:pgSz w:w="16838" w:h="11906" w:orient="landscape"/>
          <w:pgMar w:top="1418" w:right="1418" w:bottom="1701" w:left="1418" w:header="851" w:footer="851" w:gutter="0"/>
          <w:cols w:space="425" w:num="1"/>
          <w:docGrid w:type="linesAndChars" w:linePitch="312" w:charSpace="0"/>
        </w:sectPr>
      </w:pPr>
    </w:p>
    <w:p>
      <w:pPr>
        <w:outlineLvl w:val="0"/>
        <w:rPr>
          <w:rFonts w:ascii="仿宋_GB2312" w:hAnsi="Times New Roman" w:eastAsia="仿宋_GB2312" w:cs="Times New Roman"/>
          <w:bCs/>
          <w:kern w:val="0"/>
          <w:sz w:val="28"/>
          <w:szCs w:val="28"/>
        </w:rPr>
      </w:pPr>
      <w:bookmarkStart w:id="301" w:name="_Toc12905"/>
      <w:bookmarkStart w:id="302" w:name="_Toc137420091"/>
      <w:bookmarkStart w:id="303" w:name="_Toc12028"/>
      <w:bookmarkStart w:id="304" w:name="_Toc29261"/>
      <w:bookmarkStart w:id="305" w:name="_Toc137402614"/>
      <w:bookmarkStart w:id="306" w:name="_Toc137389891"/>
      <w:bookmarkStart w:id="307" w:name="_Toc6752"/>
      <w:bookmarkStart w:id="308" w:name="_Toc14219"/>
      <w:r>
        <w:rPr>
          <w:rFonts w:hint="eastAsia" w:ascii="仿宋_GB2312" w:hAnsi="Times New Roman" w:eastAsia="仿宋_GB2312" w:cs="Times New Roman"/>
          <w:bCs/>
          <w:kern w:val="0"/>
          <w:sz w:val="28"/>
          <w:szCs w:val="28"/>
        </w:rPr>
        <w:t>附件四 北京市财政支出绩效评价报告意见反馈表</w:t>
      </w:r>
      <w:bookmarkEnd w:id="301"/>
      <w:bookmarkEnd w:id="302"/>
      <w:bookmarkEnd w:id="303"/>
      <w:bookmarkEnd w:id="304"/>
      <w:bookmarkEnd w:id="305"/>
      <w:bookmarkEnd w:id="306"/>
      <w:bookmarkEnd w:id="307"/>
      <w:bookmarkEnd w:id="308"/>
    </w:p>
    <w:p>
      <w:pPr>
        <w:spacing w:before="100" w:beforeAutospacing="1" w:after="100" w:afterAutospacing="1" w:line="360" w:lineRule="auto"/>
        <w:jc w:val="center"/>
        <w:outlineLvl w:val="0"/>
        <w:rPr>
          <w:rFonts w:ascii="宋体" w:hAnsi="宋体"/>
          <w:b/>
          <w:sz w:val="32"/>
          <w:szCs w:val="32"/>
        </w:rPr>
      </w:pPr>
      <w:bookmarkStart w:id="309" w:name="_Toc15098"/>
      <w:bookmarkStart w:id="310" w:name="_Toc137420092"/>
      <w:bookmarkStart w:id="311" w:name="_Toc137402615"/>
      <w:bookmarkStart w:id="312" w:name="_Toc20294"/>
      <w:bookmarkStart w:id="313" w:name="_Toc14247"/>
      <w:bookmarkStart w:id="314" w:name="_Toc137389892"/>
      <w:bookmarkStart w:id="315" w:name="_Toc4404"/>
      <w:bookmarkStart w:id="316" w:name="_Toc14293"/>
      <w:r>
        <w:rPr>
          <w:rFonts w:hint="eastAsia" w:ascii="宋体" w:hAnsi="宋体"/>
          <w:b/>
          <w:sz w:val="32"/>
          <w:szCs w:val="32"/>
        </w:rPr>
        <w:t>北京市财政支出绩效评价报告意见反馈表</w:t>
      </w:r>
      <w:bookmarkEnd w:id="309"/>
      <w:bookmarkEnd w:id="310"/>
      <w:bookmarkEnd w:id="311"/>
      <w:bookmarkEnd w:id="312"/>
      <w:bookmarkEnd w:id="313"/>
      <w:bookmarkEnd w:id="314"/>
      <w:bookmarkEnd w:id="315"/>
      <w:bookmarkEnd w:id="316"/>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sz w:val="28"/>
                <w:szCs w:val="28"/>
              </w:rPr>
            </w:pPr>
            <w:r>
              <w:rPr>
                <w:rFonts w:hint="eastAsia" w:ascii="宋体" w:hAnsi="宋体"/>
                <w:b/>
                <w:sz w:val="28"/>
                <w:szCs w:val="28"/>
              </w:rPr>
              <w:t>部门名称</w:t>
            </w:r>
          </w:p>
        </w:tc>
        <w:tc>
          <w:tcPr>
            <w:tcW w:w="6434" w:type="dxa"/>
            <w:tcBorders>
              <w:top w:val="single" w:color="auto" w:sz="4" w:space="0"/>
              <w:left w:val="single" w:color="auto" w:sz="4" w:space="0"/>
              <w:bottom w:val="single" w:color="auto" w:sz="4" w:space="0"/>
              <w:right w:val="single" w:color="auto" w:sz="4" w:space="0"/>
            </w:tcBorders>
          </w:tcPr>
          <w:p>
            <w:pPr>
              <w:spacing w:line="360" w:lineRule="auto"/>
              <w:jc w:val="center"/>
              <w:rPr>
                <w:rFonts w:hint="default" w:ascii="宋体" w:hAnsi="宋体" w:eastAsiaTheme="minorEastAsia"/>
                <w:sz w:val="28"/>
                <w:szCs w:val="28"/>
                <w:lang w:val="en-US" w:eastAsia="zh-CN"/>
              </w:rPr>
            </w:pPr>
            <w:r>
              <w:rPr>
                <w:rFonts w:hint="eastAsia" w:ascii="宋体" w:hAnsi="宋体"/>
                <w:sz w:val="28"/>
                <w:szCs w:val="28"/>
                <w:lang w:val="en-US" w:eastAsia="zh-CN"/>
              </w:rPr>
              <w:t>北京广播电视台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sz w:val="28"/>
                <w:szCs w:val="28"/>
              </w:rPr>
            </w:pPr>
            <w:r>
              <w:rPr>
                <w:rFonts w:hint="eastAsia" w:ascii="宋体" w:hAnsi="宋体"/>
                <w:b/>
                <w:sz w:val="28"/>
                <w:szCs w:val="28"/>
              </w:rPr>
              <w:t>项目名称</w:t>
            </w:r>
          </w:p>
        </w:tc>
        <w:tc>
          <w:tcPr>
            <w:tcW w:w="6434" w:type="dxa"/>
            <w:tcBorders>
              <w:top w:val="single" w:color="auto" w:sz="4" w:space="0"/>
              <w:left w:val="single" w:color="auto" w:sz="4" w:space="0"/>
              <w:bottom w:val="single" w:color="auto" w:sz="4" w:space="0"/>
              <w:right w:val="single" w:color="auto" w:sz="4" w:space="0"/>
            </w:tcBorders>
          </w:tcPr>
          <w:p>
            <w:pPr>
              <w:spacing w:line="360" w:lineRule="auto"/>
              <w:jc w:val="center"/>
              <w:rPr>
                <w:rFonts w:hint="default" w:ascii="宋体" w:hAnsi="宋体" w:eastAsiaTheme="minorEastAsia"/>
                <w:sz w:val="28"/>
                <w:szCs w:val="28"/>
                <w:lang w:val="en-US" w:eastAsia="zh-CN"/>
              </w:rPr>
            </w:pPr>
            <w:r>
              <w:rPr>
                <w:rFonts w:hint="eastAsia" w:ascii="宋体" w:hAnsi="宋体"/>
                <w:sz w:val="28"/>
                <w:szCs w:val="28"/>
                <w:lang w:val="en-US" w:eastAsia="zh-CN"/>
              </w:rPr>
              <w:t>北京榜样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sz w:val="28"/>
                <w:szCs w:val="28"/>
              </w:rPr>
            </w:pPr>
            <w:r>
              <w:rPr>
                <w:rFonts w:hint="eastAsia" w:ascii="宋体" w:hAnsi="宋体"/>
                <w:b/>
                <w:sz w:val="28"/>
                <w:szCs w:val="28"/>
              </w:rPr>
              <w:t>项目单位名称</w:t>
            </w:r>
          </w:p>
        </w:tc>
        <w:tc>
          <w:tcPr>
            <w:tcW w:w="6434" w:type="dxa"/>
            <w:tcBorders>
              <w:top w:val="single" w:color="auto" w:sz="4" w:space="0"/>
              <w:left w:val="single" w:color="auto" w:sz="4" w:space="0"/>
              <w:bottom w:val="single" w:color="auto" w:sz="4" w:space="0"/>
              <w:right w:val="single" w:color="auto" w:sz="4" w:space="0"/>
            </w:tcBorders>
          </w:tcPr>
          <w:p>
            <w:pPr>
              <w:spacing w:line="360" w:lineRule="auto"/>
              <w:jc w:val="center"/>
              <w:rPr>
                <w:rFonts w:hint="default" w:ascii="宋体" w:hAnsi="宋体" w:eastAsiaTheme="minorEastAsia"/>
                <w:sz w:val="28"/>
                <w:szCs w:val="28"/>
                <w:lang w:val="en-US" w:eastAsia="zh-CN"/>
              </w:rPr>
            </w:pPr>
            <w:r>
              <w:rPr>
                <w:rFonts w:hint="eastAsia" w:ascii="宋体" w:hAnsi="宋体"/>
                <w:sz w:val="28"/>
                <w:szCs w:val="28"/>
                <w:lang w:val="en-US" w:eastAsia="zh-CN"/>
              </w:rPr>
              <w:t>北京广播电视台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sz w:val="28"/>
                <w:szCs w:val="28"/>
              </w:rPr>
            </w:pPr>
            <w:r>
              <w:rPr>
                <w:rFonts w:hint="eastAsia" w:ascii="宋体" w:hAnsi="宋体"/>
                <w:b/>
                <w:sz w:val="28"/>
                <w:szCs w:val="28"/>
              </w:rPr>
              <w:t>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9" w:hRule="atLeast"/>
          <w:jc w:val="center"/>
        </w:trPr>
        <w:tc>
          <w:tcPr>
            <w:tcW w:w="852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ind w:right="480"/>
              <w:rPr>
                <w:rFonts w:ascii="宋体" w:hAnsi="宋体"/>
              </w:rPr>
            </w:pPr>
          </w:p>
          <w:p>
            <w:pPr>
              <w:spacing w:line="360" w:lineRule="auto"/>
              <w:ind w:right="480"/>
              <w:jc w:val="center"/>
              <w:rPr>
                <w:rFonts w:ascii="宋体" w:hAnsi="宋体"/>
              </w:rPr>
            </w:pPr>
            <w:r>
              <w:rPr>
                <w:rFonts w:hint="eastAsia" w:ascii="宋体" w:hAnsi="宋体"/>
              </w:rPr>
              <w:t xml:space="preserve">                  部门（公章）：</w:t>
            </w:r>
          </w:p>
          <w:p>
            <w:pPr>
              <w:spacing w:line="360" w:lineRule="auto"/>
              <w:ind w:right="480"/>
              <w:jc w:val="center"/>
              <w:rPr>
                <w:rFonts w:ascii="宋体" w:hAnsi="宋体"/>
              </w:rPr>
            </w:pPr>
          </w:p>
          <w:p>
            <w:pPr>
              <w:spacing w:line="360" w:lineRule="auto"/>
              <w:ind w:right="480"/>
              <w:jc w:val="center"/>
              <w:rPr>
                <w:rFonts w:ascii="宋体" w:hAnsi="宋体"/>
                <w:sz w:val="28"/>
                <w:szCs w:val="28"/>
              </w:rPr>
            </w:pPr>
            <w:r>
              <w:rPr>
                <w:rFonts w:hint="eastAsia" w:ascii="宋体" w:hAnsi="宋体"/>
              </w:rPr>
              <w:t xml:space="preserve">            </w:t>
            </w:r>
            <w:r>
              <w:rPr>
                <w:rFonts w:ascii="宋体" w:hAnsi="宋体"/>
              </w:rPr>
              <w:t xml:space="preserve">   </w:t>
            </w:r>
            <w:r>
              <w:rPr>
                <w:rFonts w:hint="eastAsia" w:ascii="宋体" w:hAnsi="宋体"/>
              </w:rPr>
              <w:t>日期：</w:t>
            </w:r>
          </w:p>
        </w:tc>
      </w:tr>
    </w:tbl>
    <w:p>
      <w:pPr>
        <w:rPr>
          <w:rFonts w:ascii="仿宋_GB2312" w:hAnsi="Times New Roman" w:eastAsia="仿宋_GB2312" w:cs="Times New Roman"/>
          <w:bCs/>
          <w:kern w:val="0"/>
          <w:sz w:val="28"/>
          <w:szCs w:val="28"/>
        </w:rPr>
      </w:pPr>
    </w:p>
    <w:sectPr>
      <w:footerReference r:id="rId6" w:type="default"/>
      <w:pgSz w:w="11906" w:h="16838"/>
      <w:pgMar w:top="1701" w:right="851" w:bottom="1418" w:left="1418" w:header="851" w:footer="851"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A1C55B0-F031-402F-A2E4-FD8917012E3E}"/>
  </w:font>
  <w:font w:name="黑体">
    <w:panose1 w:val="02010609060101010101"/>
    <w:charset w:val="86"/>
    <w:family w:val="auto"/>
    <w:pitch w:val="default"/>
    <w:sig w:usb0="800002BF" w:usb1="38CF7CFA" w:usb2="00000016" w:usb3="00000000" w:csb0="00040001" w:csb1="00000000"/>
    <w:embedRegular r:id="rId2" w:fontKey="{F1B067F3-019C-452C-94DE-295FF24F26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09B9008F-8138-4FC6-A737-D52EF279A507}"/>
  </w:font>
  <w:font w:name="方正小标宋简体">
    <w:panose1 w:val="02000000000000000000"/>
    <w:charset w:val="86"/>
    <w:family w:val="script"/>
    <w:pitch w:val="default"/>
    <w:sig w:usb0="00000001" w:usb1="08000000" w:usb2="00000000" w:usb3="00000000" w:csb0="00040000" w:csb1="00000000"/>
    <w:embedRegular r:id="rId4" w:fontKey="{E7BAB5DA-A62E-4DA7-85DE-03402BF42C9E}"/>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0355001"/>
    </w:sdtPr>
    <w:sdtContent>
      <w:p>
        <w:pPr>
          <w:pStyle w:val="11"/>
          <w:jc w:val="center"/>
        </w:pPr>
        <w:r>
          <w:fldChar w:fldCharType="begin"/>
        </w:r>
        <w:r>
          <w:instrText xml:space="preserve">PAGE   \* MERGEFORMAT</w:instrText>
        </w:r>
        <w:r>
          <w:fldChar w:fldCharType="separate"/>
        </w:r>
        <w:r>
          <w:rPr>
            <w:lang w:val="zh-CN"/>
          </w:rPr>
          <w:t>26</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left" w:pos="660"/>
        <w:tab w:val="clear" w:pos="4153"/>
        <w:tab w:val="clear" w:pos="8306"/>
      </w:tabs>
      <w:jc w:val="both"/>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A9EED"/>
    <w:multiLevelType w:val="singleLevel"/>
    <w:tmpl w:val="BFDA9EED"/>
    <w:lvl w:ilvl="0" w:tentative="0">
      <w:start w:val="2"/>
      <w:numFmt w:val="decimal"/>
      <w:suff w:val="nothing"/>
      <w:lvlText w:val="（%1）"/>
      <w:lvlJc w:val="left"/>
    </w:lvl>
  </w:abstractNum>
  <w:abstractNum w:abstractNumId="1">
    <w:nsid w:val="E42351C2"/>
    <w:multiLevelType w:val="singleLevel"/>
    <w:tmpl w:val="E42351C2"/>
    <w:lvl w:ilvl="0" w:tentative="0">
      <w:start w:val="1"/>
      <w:numFmt w:val="chineseCounting"/>
      <w:suff w:val="nothing"/>
      <w:lvlText w:val="%1、"/>
      <w:lvlJc w:val="left"/>
      <w:rPr>
        <w:rFonts w:hint="eastAsia"/>
      </w:rPr>
    </w:lvl>
  </w:abstractNum>
  <w:abstractNum w:abstractNumId="2">
    <w:nsid w:val="18BD4555"/>
    <w:multiLevelType w:val="multilevel"/>
    <w:tmpl w:val="18BD455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2312152"/>
    <w:multiLevelType w:val="singleLevel"/>
    <w:tmpl w:val="62312152"/>
    <w:lvl w:ilvl="0" w:tentative="0">
      <w:start w:val="2"/>
      <w:numFmt w:val="chineseCounting"/>
      <w:suff w:val="nothing"/>
      <w:lvlText w:val="%1、"/>
      <w:lvlJc w:val="left"/>
      <w:rPr>
        <w:rFonts w:hint="eastAsia"/>
      </w:rPr>
    </w:lvl>
  </w:abstractNum>
  <w:abstractNum w:abstractNumId="4">
    <w:nsid w:val="7CCA5AB6"/>
    <w:multiLevelType w:val="singleLevel"/>
    <w:tmpl w:val="7CCA5AB6"/>
    <w:lvl w:ilvl="0" w:tentative="0">
      <w:start w:val="5"/>
      <w:numFmt w:val="chineseCounting"/>
      <w:suff w:val="nothing"/>
      <w:lvlText w:val="%1、"/>
      <w:lvlJc w:val="left"/>
      <w:rPr>
        <w:rFonts w:hint="eastAsia"/>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zOWRkNmZhN2MzNTRkNTY4MTM4OTcyN2U1MTVkMWEifQ=="/>
  </w:docVars>
  <w:rsids>
    <w:rsidRoot w:val="78E67327"/>
    <w:rsid w:val="044955CA"/>
    <w:rsid w:val="059E36F3"/>
    <w:rsid w:val="0D5458F1"/>
    <w:rsid w:val="0D5D02C7"/>
    <w:rsid w:val="123C2B4E"/>
    <w:rsid w:val="1BA44DEB"/>
    <w:rsid w:val="1D271DC8"/>
    <w:rsid w:val="25C02597"/>
    <w:rsid w:val="273A336E"/>
    <w:rsid w:val="30E12B63"/>
    <w:rsid w:val="33226E62"/>
    <w:rsid w:val="43080D91"/>
    <w:rsid w:val="4DEF114A"/>
    <w:rsid w:val="4E8C5DAC"/>
    <w:rsid w:val="50B45146"/>
    <w:rsid w:val="58E40592"/>
    <w:rsid w:val="628726BA"/>
    <w:rsid w:val="77E207D4"/>
    <w:rsid w:val="78E67327"/>
    <w:rsid w:val="7913636B"/>
    <w:rsid w:val="7C2D3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0"/>
    <w:qFormat/>
    <w:uiPriority w:val="9"/>
    <w:pPr>
      <w:keepNext/>
      <w:keepLines/>
      <w:spacing w:line="440" w:lineRule="exact"/>
      <w:ind w:firstLine="200" w:firstLineChars="200"/>
      <w:jc w:val="left"/>
      <w:outlineLvl w:val="0"/>
    </w:pPr>
    <w:rPr>
      <w:rFonts w:eastAsia="仿宋"/>
      <w:b/>
      <w:bCs/>
      <w:kern w:val="44"/>
      <w:sz w:val="28"/>
      <w:szCs w:val="44"/>
    </w:rPr>
  </w:style>
  <w:style w:type="paragraph" w:styleId="5">
    <w:name w:val="heading 2"/>
    <w:basedOn w:val="1"/>
    <w:next w:val="1"/>
    <w:unhideWhenUsed/>
    <w:qFormat/>
    <w:uiPriority w:val="9"/>
    <w:pPr>
      <w:keepNext/>
      <w:keepLines/>
      <w:spacing w:line="360" w:lineRule="auto"/>
      <w:ind w:firstLine="643" w:firstLineChars="200"/>
      <w:jc w:val="left"/>
      <w:outlineLvl w:val="1"/>
    </w:pPr>
    <w:rPr>
      <w:rFonts w:ascii="Times New Roman" w:hAnsi="Times New Roman" w:eastAsia="楷体_GB2312" w:cs="Times New Roman"/>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rPr>
      <w:rFonts w:ascii="Calibri" w:hAnsi="Calibri" w:eastAsia="宋体" w:cs="Times New Roman"/>
      <w:sz w:val="21"/>
    </w:rPr>
  </w:style>
  <w:style w:type="paragraph" w:styleId="3">
    <w:name w:val="Body Text Indent"/>
    <w:basedOn w:val="1"/>
    <w:qFormat/>
    <w:uiPriority w:val="0"/>
    <w:pPr>
      <w:ind w:firstLine="560" w:firstLineChars="200"/>
    </w:pPr>
    <w:rPr>
      <w:rFonts w:ascii="仿宋_GB2312" w:eastAsia="仿宋_GB2312"/>
      <w:sz w:val="28"/>
      <w:szCs w:val="32"/>
    </w:rPr>
  </w:style>
  <w:style w:type="paragraph" w:styleId="6">
    <w:name w:val="annotation text"/>
    <w:basedOn w:val="1"/>
    <w:uiPriority w:val="0"/>
    <w:pPr>
      <w:jc w:val="left"/>
    </w:pPr>
  </w:style>
  <w:style w:type="paragraph" w:styleId="7">
    <w:name w:val="Body Text"/>
    <w:basedOn w:val="1"/>
    <w:next w:val="8"/>
    <w:qFormat/>
    <w:uiPriority w:val="0"/>
    <w:pPr>
      <w:tabs>
        <w:tab w:val="left" w:pos="567"/>
      </w:tabs>
      <w:spacing w:before="120" w:line="22" w:lineRule="atLeast"/>
    </w:pPr>
    <w:rPr>
      <w:rFonts w:ascii="宋体" w:hAnsi="宋体"/>
      <w:sz w:val="24"/>
    </w:rPr>
  </w:style>
  <w:style w:type="paragraph" w:customStyle="1" w:styleId="8">
    <w:name w:val="TOC 11"/>
    <w:next w:val="1"/>
    <w:qFormat/>
    <w:uiPriority w:val="0"/>
    <w:pPr>
      <w:wordWrap w:val="0"/>
      <w:jc w:val="both"/>
    </w:pPr>
    <w:rPr>
      <w:rFonts w:ascii="Calibri" w:hAnsi="Calibri" w:eastAsia="宋体" w:cs="Times New Roman"/>
      <w:sz w:val="21"/>
      <w:szCs w:val="22"/>
      <w:lang w:val="en-US" w:eastAsia="zh-CN" w:bidi="ar-SA"/>
    </w:rPr>
  </w:style>
  <w:style w:type="paragraph" w:styleId="9">
    <w:name w:val="Plain Text"/>
    <w:basedOn w:val="1"/>
    <w:qFormat/>
    <w:uiPriority w:val="0"/>
    <w:rPr>
      <w:rFonts w:ascii="宋体" w:hAnsi="Courier New"/>
    </w:rPr>
  </w:style>
  <w:style w:type="paragraph" w:styleId="10">
    <w:name w:val="Body Text Indent 2"/>
    <w:basedOn w:val="1"/>
    <w:qFormat/>
    <w:uiPriority w:val="0"/>
    <w:pPr>
      <w:spacing w:after="120" w:line="480" w:lineRule="auto"/>
      <w:ind w:left="420" w:leftChars="200"/>
    </w:pPr>
    <w:rPr>
      <w:kern w:val="0"/>
    </w:rPr>
  </w:style>
  <w:style w:type="paragraph" w:styleId="11">
    <w:name w:val="footer"/>
    <w:basedOn w:val="1"/>
    <w:next w:val="1"/>
    <w:unhideWhenUsed/>
    <w:qFormat/>
    <w:uiPriority w:val="99"/>
    <w:pPr>
      <w:tabs>
        <w:tab w:val="center" w:pos="4153"/>
        <w:tab w:val="right" w:pos="8306"/>
      </w:tabs>
      <w:snapToGrid w:val="0"/>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right" w:leader="dot" w:pos="8777"/>
      </w:tabs>
      <w:spacing w:line="520" w:lineRule="exact"/>
    </w:pPr>
    <w:rPr>
      <w:rFonts w:ascii="仿宋" w:hAnsi="仿宋" w:eastAsia="仿宋"/>
      <w:b/>
      <w:sz w:val="24"/>
      <w:szCs w:val="24"/>
    </w:rPr>
  </w:style>
  <w:style w:type="paragraph" w:styleId="14">
    <w:name w:val="toc 2"/>
    <w:basedOn w:val="1"/>
    <w:next w:val="1"/>
    <w:unhideWhenUsed/>
    <w:qFormat/>
    <w:uiPriority w:val="39"/>
    <w:pPr>
      <w:tabs>
        <w:tab w:val="right" w:leader="dot" w:pos="8777"/>
      </w:tabs>
    </w:p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15"/>
    <w:basedOn w:val="17"/>
    <w:qFormat/>
    <w:uiPriority w:val="0"/>
    <w:rPr>
      <w:rFonts w:hint="eastAsia" w:ascii="宋体" w:hAnsi="宋体" w:eastAsia="宋体" w:cs="宋体"/>
      <w:color w:val="000000"/>
      <w:sz w:val="20"/>
      <w:szCs w:val="20"/>
    </w:rPr>
  </w:style>
  <w:style w:type="paragraph" w:customStyle="1" w:styleId="19">
    <w:name w:val="列出段落1"/>
    <w:basedOn w:val="1"/>
    <w:qFormat/>
    <w:uiPriority w:val="99"/>
    <w:pPr>
      <w:ind w:firstLine="420" w:firstLineChars="200"/>
    </w:pPr>
  </w:style>
  <w:style w:type="character" w:customStyle="1" w:styleId="20">
    <w:name w:val="标题 1 Char"/>
    <w:basedOn w:val="17"/>
    <w:link w:val="4"/>
    <w:qFormat/>
    <w:uiPriority w:val="9"/>
    <w:rPr>
      <w:rFonts w:eastAsia="仿宋"/>
      <w:b/>
      <w:bCs/>
      <w:kern w:val="44"/>
      <w:sz w:val="28"/>
      <w:szCs w:val="44"/>
    </w:rPr>
  </w:style>
  <w:style w:type="character" w:customStyle="1" w:styleId="21">
    <w:name w:val="font01"/>
    <w:basedOn w:val="17"/>
    <w:qFormat/>
    <w:uiPriority w:val="0"/>
    <w:rPr>
      <w:rFonts w:hint="eastAsia" w:ascii="宋体" w:hAnsi="宋体" w:eastAsia="宋体" w:cs="宋体"/>
      <w:color w:val="000000"/>
      <w:sz w:val="20"/>
      <w:szCs w:val="20"/>
      <w:u w:val="none"/>
    </w:rPr>
  </w:style>
  <w:style w:type="character" w:customStyle="1" w:styleId="22">
    <w:name w:val="font31"/>
    <w:basedOn w:val="17"/>
    <w:qFormat/>
    <w:uiPriority w:val="0"/>
    <w:rPr>
      <w:rFonts w:hint="eastAsia" w:ascii="宋体" w:hAnsi="宋体" w:eastAsia="宋体" w:cs="宋体"/>
      <w:color w:val="000000"/>
      <w:sz w:val="18"/>
      <w:szCs w:val="18"/>
      <w:u w:val="none"/>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16573</Words>
  <Characters>17771</Characters>
  <Lines>0</Lines>
  <Paragraphs>0</Paragraphs>
  <TotalTime>4</TotalTime>
  <ScaleCrop>false</ScaleCrop>
  <LinksUpToDate>false</LinksUpToDate>
  <CharactersWithSpaces>18180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2024-05-14T14:46:00Z</dcterms:created>
  <dc:creator>瑞瑞</dc:creator>
  <cp:lastModifiedBy>瑞瑞</cp:lastModifiedBy>
  <dcterms:modified xsi:type="dcterms:W3CDTF">2024-05-17T01:03:21Z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215DC151160F4A1C9614651B9665988C_11</vt:lpwstr>
  </property>
</Properties>
</file>