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spacing w:line="560" w:lineRule="exact"/>
      </w:pPr>
    </w:p>
    <w:p>
      <w:pPr>
        <w:spacing w:line="560" w:lineRule="exact"/>
        <w:jc w:val="center"/>
        <w:rPr>
          <w:b/>
          <w:bCs/>
          <w:sz w:val="52"/>
          <w:szCs w:val="52"/>
        </w:rPr>
      </w:pPr>
    </w:p>
    <w:p>
      <w:pPr>
        <w:spacing w:line="560" w:lineRule="exact"/>
        <w:jc w:val="center"/>
        <w:rPr>
          <w:b/>
          <w:bCs/>
          <w:sz w:val="52"/>
          <w:szCs w:val="52"/>
        </w:rPr>
      </w:pPr>
      <w:r>
        <w:rPr>
          <w:rFonts w:hint="eastAsia"/>
          <w:b/>
          <w:bCs/>
          <w:sz w:val="52"/>
          <w:szCs w:val="52"/>
        </w:rPr>
        <w:t>北京市大兴区人民法院</w:t>
      </w:r>
    </w:p>
    <w:p>
      <w:pPr>
        <w:spacing w:line="560" w:lineRule="exact"/>
        <w:jc w:val="center"/>
        <w:rPr>
          <w:b/>
          <w:bCs/>
          <w:sz w:val="52"/>
          <w:szCs w:val="52"/>
        </w:rPr>
      </w:pPr>
      <w:r>
        <w:rPr>
          <w:rFonts w:hint="eastAsia"/>
          <w:b/>
          <w:bCs/>
          <w:sz w:val="52"/>
          <w:szCs w:val="52"/>
        </w:rPr>
        <w:t>法院办案业务费项目</w:t>
      </w:r>
    </w:p>
    <w:p>
      <w:pPr>
        <w:spacing w:line="560" w:lineRule="exact"/>
        <w:jc w:val="center"/>
        <w:rPr>
          <w:b/>
          <w:bCs/>
          <w:sz w:val="52"/>
        </w:rPr>
      </w:pPr>
      <w:r>
        <w:rPr>
          <w:rFonts w:hint="eastAsia"/>
          <w:b/>
          <w:bCs/>
          <w:sz w:val="52"/>
          <w:szCs w:val="52"/>
        </w:rPr>
        <w:t>绩效评价报告</w:t>
      </w:r>
    </w:p>
    <w:p>
      <w:pPr>
        <w:spacing w:line="560" w:lineRule="exact"/>
        <w:jc w:val="center"/>
        <w:rPr>
          <w:rFonts w:eastAsia="黑体"/>
          <w:sz w:val="30"/>
        </w:rPr>
      </w:pPr>
    </w:p>
    <w:p>
      <w:pPr>
        <w:spacing w:line="560" w:lineRule="exact"/>
        <w:jc w:val="center"/>
        <w:rPr>
          <w:rFonts w:eastAsia="黑体"/>
          <w:sz w:val="30"/>
        </w:rPr>
      </w:pPr>
    </w:p>
    <w:p>
      <w:pPr>
        <w:spacing w:line="560" w:lineRule="exact"/>
        <w:jc w:val="center"/>
        <w:rPr>
          <w:rFonts w:eastAsia="黑体"/>
          <w:sz w:val="30"/>
        </w:rPr>
      </w:pPr>
    </w:p>
    <w:p>
      <w:pPr>
        <w:spacing w:line="560" w:lineRule="exact"/>
        <w:jc w:val="center"/>
        <w:rPr>
          <w:rFonts w:eastAsia="黑体"/>
          <w:sz w:val="30"/>
        </w:rPr>
      </w:pPr>
    </w:p>
    <w:p>
      <w:pPr>
        <w:spacing w:line="560" w:lineRule="exact"/>
        <w:jc w:val="center"/>
        <w:rPr>
          <w:rFonts w:eastAsia="黑体"/>
          <w:sz w:val="30"/>
        </w:rPr>
      </w:pPr>
    </w:p>
    <w:p>
      <w:pPr>
        <w:spacing w:before="156" w:beforeLines="50" w:line="560" w:lineRule="exact"/>
        <w:ind w:firstLine="960" w:firstLineChars="300"/>
        <w:rPr>
          <w:rFonts w:ascii="仿宋_GB2312" w:hAnsi="宋体" w:eastAsia="仿宋_GB2312"/>
          <w:sz w:val="32"/>
          <w:szCs w:val="32"/>
          <w:u w:val="single"/>
        </w:rPr>
      </w:pPr>
      <w:r>
        <w:rPr>
          <w:rFonts w:hint="eastAsia" w:ascii="仿宋_GB2312" w:hAnsi="宋体" w:eastAsia="仿宋_GB2312"/>
          <w:sz w:val="32"/>
          <w:szCs w:val="32"/>
        </w:rPr>
        <w:t xml:space="preserve">项目单位  </w:t>
      </w:r>
      <w:r>
        <w:rPr>
          <w:rFonts w:hint="eastAsia" w:ascii="仿宋_GB2312" w:hAnsi="宋体" w:eastAsia="仿宋_GB2312"/>
          <w:sz w:val="32"/>
          <w:szCs w:val="32"/>
          <w:u w:val="single"/>
        </w:rPr>
        <w:t xml:space="preserve">    北京市大兴区人民法院          </w:t>
      </w:r>
    </w:p>
    <w:p>
      <w:pPr>
        <w:spacing w:before="156" w:beforeLines="50" w:line="560" w:lineRule="exact"/>
        <w:ind w:left="4478" w:leftChars="456" w:hanging="3520" w:hangingChars="1100"/>
        <w:rPr>
          <w:rFonts w:ascii="仿宋_GB2312" w:hAnsi="宋体" w:eastAsia="仿宋_GB2312"/>
          <w:sz w:val="32"/>
          <w:szCs w:val="32"/>
          <w:u w:val="single"/>
        </w:rPr>
      </w:pPr>
      <w:r>
        <w:rPr>
          <w:rFonts w:hint="eastAsia" w:ascii="仿宋_GB2312" w:hAnsi="宋体" w:eastAsia="仿宋_GB2312"/>
          <w:sz w:val="32"/>
          <w:szCs w:val="32"/>
        </w:rPr>
        <w:t xml:space="preserve">项目名称  </w:t>
      </w:r>
      <w:r>
        <w:rPr>
          <w:rFonts w:hint="eastAsia" w:ascii="仿宋_GB2312" w:hAnsi="宋体" w:eastAsia="仿宋_GB2312"/>
          <w:sz w:val="32"/>
          <w:szCs w:val="32"/>
          <w:u w:val="single"/>
        </w:rPr>
        <w:t xml:space="preserve">     法院办案业务费项目           </w:t>
      </w:r>
    </w:p>
    <w:p>
      <w:pPr>
        <w:spacing w:before="156" w:beforeLines="50" w:line="560" w:lineRule="exact"/>
        <w:ind w:firstLine="960" w:firstLineChars="300"/>
        <w:jc w:val="left"/>
        <w:rPr>
          <w:rFonts w:ascii="仿宋_GB2312" w:hAnsi="宋体" w:eastAsia="仿宋_GB2312"/>
          <w:sz w:val="32"/>
          <w:szCs w:val="32"/>
        </w:rPr>
      </w:pPr>
      <w:r>
        <w:rPr>
          <w:rFonts w:hint="eastAsia" w:ascii="仿宋_GB2312" w:hAnsi="宋体" w:eastAsia="仿宋_GB2312"/>
          <w:sz w:val="32"/>
          <w:szCs w:val="32"/>
        </w:rPr>
        <w:t>参与评价</w:t>
      </w:r>
    </w:p>
    <w:p>
      <w:pPr>
        <w:spacing w:before="156" w:beforeLines="50" w:line="560" w:lineRule="exact"/>
        <w:ind w:firstLine="937" w:firstLineChars="293"/>
        <w:jc w:val="left"/>
        <w:rPr>
          <w:rFonts w:ascii="仿宋_GB2312" w:eastAsia="仿宋_GB2312"/>
          <w:sz w:val="30"/>
          <w:u w:val="single"/>
        </w:rPr>
      </w:pPr>
      <w:r>
        <w:rPr>
          <w:rFonts w:hint="eastAsia" w:ascii="仿宋_GB2312" w:hAnsi="宋体" w:eastAsia="仿宋_GB2312"/>
          <w:sz w:val="32"/>
          <w:szCs w:val="32"/>
        </w:rPr>
        <w:t xml:space="preserve">中介机构  </w:t>
      </w:r>
      <w:r>
        <w:rPr>
          <w:rFonts w:hint="eastAsia" w:ascii="仿宋_GB2312" w:hAnsi="宋体" w:eastAsia="仿宋_GB2312"/>
          <w:sz w:val="32"/>
          <w:szCs w:val="32"/>
          <w:u w:val="single"/>
        </w:rPr>
        <w:t xml:space="preserve"> 北京正衡东亚会计师事务所有限公司 </w:t>
      </w:r>
    </w:p>
    <w:p>
      <w:pPr>
        <w:spacing w:before="156" w:beforeLines="50" w:line="560" w:lineRule="exact"/>
        <w:rPr>
          <w:rFonts w:eastAsia="黑体"/>
          <w:sz w:val="36"/>
          <w:szCs w:val="36"/>
        </w:rPr>
      </w:pPr>
    </w:p>
    <w:p>
      <w:pPr>
        <w:spacing w:line="560" w:lineRule="exact"/>
        <w:rPr>
          <w:rFonts w:eastAsia="黑体"/>
          <w:sz w:val="36"/>
          <w:szCs w:val="36"/>
        </w:rPr>
      </w:pPr>
    </w:p>
    <w:p>
      <w:pPr>
        <w:spacing w:line="560" w:lineRule="exact"/>
        <w:rPr>
          <w:rFonts w:eastAsia="黑体"/>
          <w:sz w:val="36"/>
          <w:szCs w:val="36"/>
        </w:rPr>
      </w:pPr>
    </w:p>
    <w:p>
      <w:pPr>
        <w:spacing w:line="560" w:lineRule="exact"/>
        <w:jc w:val="center"/>
        <w:rPr>
          <w:rFonts w:ascii="宋体" w:hAnsi="宋体"/>
          <w:sz w:val="32"/>
          <w:szCs w:val="32"/>
          <w:u w:val="single"/>
        </w:rPr>
      </w:pPr>
    </w:p>
    <w:p>
      <w:pPr>
        <w:spacing w:line="560" w:lineRule="exact"/>
        <w:jc w:val="center"/>
        <w:rPr>
          <w:rFonts w:ascii="黑体" w:eastAsia="黑体"/>
          <w:sz w:val="36"/>
          <w:szCs w:val="36"/>
        </w:rPr>
      </w:pPr>
    </w:p>
    <w:p>
      <w:pPr>
        <w:spacing w:line="560" w:lineRule="exact"/>
        <w:jc w:val="center"/>
        <w:rPr>
          <w:rFonts w:ascii="黑体" w:eastAsia="黑体"/>
          <w:sz w:val="36"/>
          <w:szCs w:val="36"/>
        </w:rPr>
      </w:pPr>
    </w:p>
    <w:p>
      <w:pPr>
        <w:spacing w:line="560" w:lineRule="exact"/>
        <w:jc w:val="center"/>
        <w:rPr>
          <w:rFonts w:ascii="黑体" w:eastAsia="黑体"/>
          <w:sz w:val="36"/>
          <w:szCs w:val="36"/>
        </w:rPr>
      </w:pPr>
    </w:p>
    <w:p>
      <w:pPr>
        <w:spacing w:line="560" w:lineRule="exact"/>
        <w:jc w:val="center"/>
        <w:rPr>
          <w:rFonts w:ascii="黑体" w:eastAsia="黑体"/>
          <w:sz w:val="36"/>
          <w:szCs w:val="36"/>
        </w:rPr>
      </w:pPr>
    </w:p>
    <w:p>
      <w:pPr>
        <w:spacing w:line="560" w:lineRule="exact"/>
        <w:rPr>
          <w:rFonts w:ascii="黑体" w:hAnsi="黑体" w:eastAsia="黑体" w:cs="黑体"/>
          <w:sz w:val="32"/>
          <w:szCs w:val="32"/>
        </w:rPr>
      </w:pPr>
      <w:r>
        <w:rPr>
          <w:rFonts w:ascii="黑体" w:hAnsi="黑体" w:eastAsia="黑体" w:cs="黑体"/>
          <w:sz w:val="32"/>
          <w:szCs w:val="32"/>
        </w:rPr>
        <w:t xml:space="preserve"> </w:t>
      </w:r>
    </w:p>
    <w:p>
      <w:pPr>
        <w:spacing w:line="560" w:lineRule="exact"/>
        <w:jc w:val="center"/>
        <w:rPr>
          <w:rFonts w:ascii="黑体" w:hAnsi="黑体" w:eastAsia="黑体" w:cs="宋体"/>
          <w:sz w:val="30"/>
          <w:szCs w:val="30"/>
        </w:rPr>
      </w:pPr>
      <w:r>
        <w:rPr>
          <w:rFonts w:hint="eastAsia" w:ascii="黑体" w:hAnsi="黑体" w:eastAsia="黑体" w:cs="宋体"/>
          <w:sz w:val="30"/>
          <w:szCs w:val="30"/>
        </w:rPr>
        <w:t>目   录</w:t>
      </w:r>
    </w:p>
    <w:p>
      <w:pPr>
        <w:spacing w:line="560" w:lineRule="exact"/>
        <w:jc w:val="center"/>
        <w:rPr>
          <w:rFonts w:ascii="宋体" w:hAnsi="宋体" w:cs="宋体"/>
          <w:sz w:val="28"/>
          <w:szCs w:val="28"/>
        </w:rPr>
      </w:pPr>
    </w:p>
    <w:p>
      <w:pPr>
        <w:pStyle w:val="10"/>
        <w:tabs>
          <w:tab w:val="right" w:leader="dot" w:pos="8306"/>
        </w:tabs>
      </w:pPr>
      <w:r>
        <w:rPr>
          <w:rFonts w:hint="eastAsia" w:cs="宋体" w:asciiTheme="minorEastAsia" w:hAnsiTheme="minorEastAsia" w:eastAsiaTheme="minorEastAsia"/>
          <w:sz w:val="28"/>
          <w:szCs w:val="28"/>
        </w:rPr>
        <w:fldChar w:fldCharType="begin"/>
      </w:r>
      <w:r>
        <w:rPr>
          <w:rFonts w:hint="eastAsia" w:cs="宋体" w:asciiTheme="minorEastAsia" w:hAnsiTheme="minorEastAsia" w:eastAsiaTheme="minorEastAsia"/>
          <w:sz w:val="28"/>
          <w:szCs w:val="28"/>
        </w:rPr>
        <w:instrText xml:space="preserve"> TOC \o "1-3" \h \z \u </w:instrText>
      </w:r>
      <w:r>
        <w:rPr>
          <w:rFonts w:hint="eastAsia" w:cs="宋体" w:asciiTheme="minorEastAsia" w:hAnsiTheme="minorEastAsia" w:eastAsiaTheme="minorEastAsia"/>
          <w:sz w:val="28"/>
          <w:szCs w:val="28"/>
        </w:rPr>
        <w:fldChar w:fldCharType="separate"/>
      </w:r>
      <w:r>
        <w:fldChar w:fldCharType="begin"/>
      </w:r>
      <w:r>
        <w:instrText xml:space="preserve"> HYPERLINK \l "_Toc27395" </w:instrText>
      </w:r>
      <w:r>
        <w:fldChar w:fldCharType="separate"/>
      </w:r>
      <w:r>
        <w:rPr>
          <w:rFonts w:hint="eastAsia" w:ascii="黑体" w:hAnsi="黑体" w:eastAsia="黑体" w:cs="黑体"/>
          <w:sz w:val="28"/>
          <w:szCs w:val="28"/>
        </w:rPr>
        <w:t>一、基本情况</w:t>
      </w:r>
      <w:r>
        <w:rPr>
          <w:rFonts w:hint="eastAsia" w:ascii="黑体" w:hAnsi="黑体" w:eastAsia="黑体" w:cs="黑体"/>
          <w:sz w:val="28"/>
          <w:szCs w:val="28"/>
        </w:rPr>
        <w:tab/>
      </w:r>
      <w:r>
        <w:rPr>
          <w:rFonts w:eastAsia="黑体"/>
          <w:sz w:val="28"/>
          <w:szCs w:val="28"/>
        </w:rPr>
        <w:fldChar w:fldCharType="begin"/>
      </w:r>
      <w:r>
        <w:rPr>
          <w:rFonts w:eastAsia="黑体"/>
          <w:sz w:val="28"/>
          <w:szCs w:val="28"/>
        </w:rPr>
        <w:instrText xml:space="preserve"> PAGEREF _Toc27395 \h </w:instrText>
      </w:r>
      <w:r>
        <w:rPr>
          <w:rFonts w:eastAsia="黑体"/>
          <w:sz w:val="28"/>
          <w:szCs w:val="28"/>
        </w:rPr>
        <w:fldChar w:fldCharType="separate"/>
      </w:r>
      <w:r>
        <w:rPr>
          <w:rFonts w:eastAsia="黑体"/>
          <w:sz w:val="28"/>
          <w:szCs w:val="28"/>
        </w:rPr>
        <w:t>1</w:t>
      </w:r>
      <w:r>
        <w:rPr>
          <w:rFonts w:eastAsia="黑体"/>
          <w:sz w:val="28"/>
          <w:szCs w:val="28"/>
        </w:rPr>
        <w:fldChar w:fldCharType="end"/>
      </w:r>
      <w:r>
        <w:rPr>
          <w:rFonts w:eastAsia="黑体"/>
          <w:sz w:val="28"/>
          <w:szCs w:val="28"/>
        </w:rPr>
        <w:fldChar w:fldCharType="end"/>
      </w:r>
    </w:p>
    <w:p>
      <w:pPr>
        <w:pStyle w:val="11"/>
        <w:tabs>
          <w:tab w:val="right" w:leader="dot" w:pos="8306"/>
        </w:tabs>
        <w:rPr>
          <w:rFonts w:ascii="仿宋_GB2312" w:hAnsi="仿宋_GB2312" w:eastAsia="仿宋_GB2312" w:cs="仿宋_GB2312"/>
          <w:sz w:val="28"/>
          <w:szCs w:val="28"/>
        </w:rPr>
      </w:pPr>
      <w:r>
        <w:fldChar w:fldCharType="begin"/>
      </w:r>
      <w:r>
        <w:instrText xml:space="preserve"> HYPERLINK \l "_Toc23203" </w:instrText>
      </w:r>
      <w:r>
        <w:fldChar w:fldCharType="separate"/>
      </w:r>
      <w:r>
        <w:rPr>
          <w:rFonts w:hint="eastAsia" w:ascii="仿宋_GB2312" w:hAnsi="仿宋_GB2312" w:eastAsia="仿宋_GB2312" w:cs="仿宋_GB2312"/>
          <w:bCs/>
          <w:sz w:val="28"/>
          <w:szCs w:val="28"/>
        </w:rPr>
        <w:t>（一）项目概况</w:t>
      </w:r>
      <w:r>
        <w:rPr>
          <w:rFonts w:hint="eastAsia" w:ascii="仿宋_GB2312" w:hAnsi="仿宋_GB2312" w:eastAsia="仿宋_GB2312" w:cs="仿宋_GB2312"/>
          <w:sz w:val="28"/>
          <w:szCs w:val="28"/>
        </w:rPr>
        <w:tab/>
      </w:r>
      <w:r>
        <w:rPr>
          <w:rFonts w:eastAsia="仿宋_GB2312"/>
          <w:sz w:val="28"/>
          <w:szCs w:val="28"/>
        </w:rPr>
        <w:fldChar w:fldCharType="begin"/>
      </w:r>
      <w:r>
        <w:rPr>
          <w:rFonts w:eastAsia="仿宋_GB2312"/>
          <w:sz w:val="28"/>
          <w:szCs w:val="28"/>
        </w:rPr>
        <w:instrText xml:space="preserve"> PAGEREF _Toc23203 \h </w:instrText>
      </w:r>
      <w:r>
        <w:rPr>
          <w:rFonts w:eastAsia="仿宋_GB2312"/>
          <w:sz w:val="28"/>
          <w:szCs w:val="28"/>
        </w:rPr>
        <w:fldChar w:fldCharType="separate"/>
      </w:r>
      <w:r>
        <w:rPr>
          <w:rFonts w:eastAsia="仿宋_GB2312"/>
          <w:sz w:val="28"/>
          <w:szCs w:val="28"/>
        </w:rPr>
        <w:t>1</w:t>
      </w:r>
      <w:r>
        <w:rPr>
          <w:rFonts w:eastAsia="仿宋_GB2312"/>
          <w:sz w:val="28"/>
          <w:szCs w:val="28"/>
        </w:rPr>
        <w:fldChar w:fldCharType="end"/>
      </w:r>
      <w:r>
        <w:rPr>
          <w:rFonts w:eastAsia="仿宋_GB2312"/>
          <w:sz w:val="28"/>
          <w:szCs w:val="28"/>
        </w:rPr>
        <w:fldChar w:fldCharType="end"/>
      </w:r>
    </w:p>
    <w:p>
      <w:pPr>
        <w:pStyle w:val="11"/>
        <w:tabs>
          <w:tab w:val="right" w:leader="dot" w:pos="8306"/>
        </w:tabs>
      </w:pPr>
      <w:r>
        <w:fldChar w:fldCharType="begin"/>
      </w:r>
      <w:r>
        <w:instrText xml:space="preserve"> HYPERLINK \l "_Toc1471" </w:instrText>
      </w:r>
      <w:r>
        <w:fldChar w:fldCharType="separate"/>
      </w:r>
      <w:r>
        <w:rPr>
          <w:rFonts w:hint="eastAsia" w:ascii="仿宋_GB2312" w:hAnsi="仿宋_GB2312" w:eastAsia="仿宋_GB2312" w:cs="仿宋_GB2312"/>
          <w:bCs/>
          <w:sz w:val="28"/>
          <w:szCs w:val="28"/>
        </w:rPr>
        <w:t>（二）项目绩效目标</w:t>
      </w:r>
      <w:r>
        <w:rPr>
          <w:rFonts w:hint="eastAsia" w:ascii="仿宋_GB2312" w:hAnsi="仿宋_GB2312" w:eastAsia="仿宋_GB2312" w:cs="仿宋_GB2312"/>
          <w:sz w:val="28"/>
          <w:szCs w:val="28"/>
        </w:rPr>
        <w:tab/>
      </w:r>
      <w:r>
        <w:rPr>
          <w:rFonts w:eastAsia="仿宋_GB2312"/>
          <w:sz w:val="28"/>
          <w:szCs w:val="28"/>
        </w:rPr>
        <w:fldChar w:fldCharType="begin"/>
      </w:r>
      <w:r>
        <w:rPr>
          <w:rFonts w:eastAsia="仿宋_GB2312"/>
          <w:sz w:val="28"/>
          <w:szCs w:val="28"/>
        </w:rPr>
        <w:instrText xml:space="preserve"> PAGEREF _Toc1471 \h </w:instrText>
      </w:r>
      <w:r>
        <w:rPr>
          <w:rFonts w:eastAsia="仿宋_GB2312"/>
          <w:sz w:val="28"/>
          <w:szCs w:val="28"/>
        </w:rPr>
        <w:fldChar w:fldCharType="separate"/>
      </w:r>
      <w:r>
        <w:rPr>
          <w:rFonts w:eastAsia="仿宋_GB2312"/>
          <w:sz w:val="28"/>
          <w:szCs w:val="28"/>
        </w:rPr>
        <w:t>3</w:t>
      </w:r>
      <w:r>
        <w:rPr>
          <w:rFonts w:eastAsia="仿宋_GB2312"/>
          <w:sz w:val="28"/>
          <w:szCs w:val="28"/>
        </w:rPr>
        <w:fldChar w:fldCharType="end"/>
      </w:r>
      <w:r>
        <w:rPr>
          <w:rFonts w:eastAsia="仿宋_GB2312"/>
          <w:sz w:val="28"/>
          <w:szCs w:val="28"/>
        </w:rPr>
        <w:fldChar w:fldCharType="end"/>
      </w:r>
    </w:p>
    <w:p>
      <w:pPr>
        <w:pStyle w:val="10"/>
        <w:tabs>
          <w:tab w:val="right" w:leader="dot" w:pos="8306"/>
        </w:tabs>
      </w:pPr>
      <w:r>
        <w:fldChar w:fldCharType="begin"/>
      </w:r>
      <w:r>
        <w:instrText xml:space="preserve"> HYPERLINK \l "_Toc23074" </w:instrText>
      </w:r>
      <w:r>
        <w:fldChar w:fldCharType="separate"/>
      </w:r>
      <w:r>
        <w:rPr>
          <w:rFonts w:hint="eastAsia" w:ascii="黑体" w:hAnsi="黑体" w:eastAsia="黑体" w:cs="黑体"/>
          <w:sz w:val="28"/>
          <w:szCs w:val="28"/>
        </w:rPr>
        <w:t>二、绩效评价工作开展情况</w:t>
      </w:r>
      <w:r>
        <w:rPr>
          <w:rFonts w:hint="eastAsia" w:ascii="黑体" w:hAnsi="黑体" w:eastAsia="黑体" w:cs="黑体"/>
          <w:sz w:val="28"/>
          <w:szCs w:val="28"/>
        </w:rPr>
        <w:tab/>
      </w:r>
      <w:r>
        <w:rPr>
          <w:rFonts w:eastAsia="黑体"/>
          <w:sz w:val="28"/>
          <w:szCs w:val="28"/>
        </w:rPr>
        <w:fldChar w:fldCharType="begin"/>
      </w:r>
      <w:r>
        <w:rPr>
          <w:rFonts w:eastAsia="黑体"/>
          <w:sz w:val="28"/>
          <w:szCs w:val="28"/>
        </w:rPr>
        <w:instrText xml:space="preserve"> PAGEREF _Toc23074 \h </w:instrText>
      </w:r>
      <w:r>
        <w:rPr>
          <w:rFonts w:eastAsia="黑体"/>
          <w:sz w:val="28"/>
          <w:szCs w:val="28"/>
        </w:rPr>
        <w:fldChar w:fldCharType="separate"/>
      </w:r>
      <w:r>
        <w:rPr>
          <w:rFonts w:eastAsia="黑体"/>
          <w:sz w:val="28"/>
          <w:szCs w:val="28"/>
        </w:rPr>
        <w:t>4</w:t>
      </w:r>
      <w:r>
        <w:rPr>
          <w:rFonts w:eastAsia="黑体"/>
          <w:sz w:val="28"/>
          <w:szCs w:val="28"/>
        </w:rPr>
        <w:fldChar w:fldCharType="end"/>
      </w:r>
      <w:r>
        <w:rPr>
          <w:rFonts w:eastAsia="黑体"/>
          <w:sz w:val="28"/>
          <w:szCs w:val="28"/>
        </w:rPr>
        <w:fldChar w:fldCharType="end"/>
      </w:r>
    </w:p>
    <w:p>
      <w:pPr>
        <w:pStyle w:val="11"/>
        <w:tabs>
          <w:tab w:val="right" w:leader="dot" w:pos="8306"/>
        </w:tabs>
        <w:rPr>
          <w:rFonts w:ascii="仿宋_GB2312" w:hAnsi="仿宋_GB2312" w:eastAsia="仿宋_GB2312" w:cs="仿宋_GB2312"/>
          <w:sz w:val="28"/>
          <w:szCs w:val="28"/>
        </w:rPr>
      </w:pPr>
      <w:r>
        <w:fldChar w:fldCharType="begin"/>
      </w:r>
      <w:r>
        <w:instrText xml:space="preserve"> HYPERLINK \l "_Toc20673" </w:instrText>
      </w:r>
      <w:r>
        <w:fldChar w:fldCharType="separate"/>
      </w:r>
      <w:r>
        <w:rPr>
          <w:rFonts w:hint="eastAsia" w:ascii="仿宋_GB2312" w:hAnsi="仿宋_GB2312" w:eastAsia="仿宋_GB2312" w:cs="仿宋_GB2312"/>
          <w:kern w:val="0"/>
          <w:sz w:val="28"/>
          <w:szCs w:val="28"/>
        </w:rPr>
        <w:t>（一）绩效评价目的、对象和范围</w:t>
      </w:r>
      <w:r>
        <w:rPr>
          <w:rFonts w:hint="eastAsia" w:ascii="仿宋_GB2312" w:hAnsi="仿宋_GB2312" w:eastAsia="仿宋_GB2312" w:cs="仿宋_GB2312"/>
          <w:sz w:val="28"/>
          <w:szCs w:val="28"/>
        </w:rPr>
        <w:tab/>
      </w:r>
      <w:r>
        <w:rPr>
          <w:rFonts w:eastAsia="仿宋_GB2312"/>
          <w:sz w:val="28"/>
          <w:szCs w:val="28"/>
        </w:rPr>
        <w:fldChar w:fldCharType="begin"/>
      </w:r>
      <w:r>
        <w:rPr>
          <w:rFonts w:eastAsia="仿宋_GB2312"/>
          <w:sz w:val="28"/>
          <w:szCs w:val="28"/>
        </w:rPr>
        <w:instrText xml:space="preserve"> PAGEREF _Toc20673 \h </w:instrText>
      </w:r>
      <w:r>
        <w:rPr>
          <w:rFonts w:eastAsia="仿宋_GB2312"/>
          <w:sz w:val="28"/>
          <w:szCs w:val="28"/>
        </w:rPr>
        <w:fldChar w:fldCharType="separate"/>
      </w:r>
      <w:r>
        <w:rPr>
          <w:rFonts w:eastAsia="仿宋_GB2312"/>
          <w:sz w:val="28"/>
          <w:szCs w:val="28"/>
        </w:rPr>
        <w:t>4</w:t>
      </w:r>
      <w:r>
        <w:rPr>
          <w:rFonts w:eastAsia="仿宋_GB2312"/>
          <w:sz w:val="28"/>
          <w:szCs w:val="28"/>
        </w:rPr>
        <w:fldChar w:fldCharType="end"/>
      </w:r>
      <w:r>
        <w:rPr>
          <w:rFonts w:eastAsia="仿宋_GB2312"/>
          <w:sz w:val="28"/>
          <w:szCs w:val="28"/>
        </w:rPr>
        <w:fldChar w:fldCharType="end"/>
      </w:r>
    </w:p>
    <w:p>
      <w:pPr>
        <w:pStyle w:val="11"/>
        <w:tabs>
          <w:tab w:val="right" w:leader="dot" w:pos="8306"/>
        </w:tabs>
        <w:rPr>
          <w:rFonts w:ascii="仿宋_GB2312" w:hAnsi="仿宋_GB2312" w:eastAsia="仿宋_GB2312" w:cs="仿宋_GB2312"/>
          <w:sz w:val="28"/>
          <w:szCs w:val="28"/>
        </w:rPr>
      </w:pPr>
      <w:r>
        <w:fldChar w:fldCharType="begin"/>
      </w:r>
      <w:r>
        <w:instrText xml:space="preserve"> HYPERLINK \l "_Toc29375" </w:instrText>
      </w:r>
      <w:r>
        <w:fldChar w:fldCharType="separate"/>
      </w:r>
      <w:r>
        <w:rPr>
          <w:rFonts w:hint="eastAsia" w:ascii="仿宋_GB2312" w:hAnsi="仿宋_GB2312" w:eastAsia="仿宋_GB2312" w:cs="仿宋_GB2312"/>
          <w:kern w:val="0"/>
          <w:sz w:val="28"/>
          <w:szCs w:val="28"/>
        </w:rPr>
        <w:t>（二）绩效评价原则、评价指标体系、评价方法、评价标准</w:t>
      </w:r>
      <w:r>
        <w:rPr>
          <w:rFonts w:hint="eastAsia" w:ascii="仿宋_GB2312" w:hAnsi="仿宋_GB2312" w:eastAsia="仿宋_GB2312" w:cs="仿宋_GB2312"/>
          <w:sz w:val="28"/>
          <w:szCs w:val="28"/>
        </w:rPr>
        <w:tab/>
      </w:r>
      <w:r>
        <w:rPr>
          <w:rFonts w:eastAsia="仿宋_GB2312"/>
          <w:sz w:val="28"/>
          <w:szCs w:val="28"/>
        </w:rPr>
        <w:fldChar w:fldCharType="begin"/>
      </w:r>
      <w:r>
        <w:rPr>
          <w:rFonts w:eastAsia="仿宋_GB2312"/>
          <w:sz w:val="28"/>
          <w:szCs w:val="28"/>
        </w:rPr>
        <w:instrText xml:space="preserve"> PAGEREF _Toc29375 \h </w:instrText>
      </w:r>
      <w:r>
        <w:rPr>
          <w:rFonts w:eastAsia="仿宋_GB2312"/>
          <w:sz w:val="28"/>
          <w:szCs w:val="28"/>
        </w:rPr>
        <w:fldChar w:fldCharType="separate"/>
      </w:r>
      <w:r>
        <w:rPr>
          <w:rFonts w:eastAsia="仿宋_GB2312"/>
          <w:sz w:val="28"/>
          <w:szCs w:val="28"/>
        </w:rPr>
        <w:t>5</w:t>
      </w:r>
      <w:r>
        <w:rPr>
          <w:rFonts w:eastAsia="仿宋_GB2312"/>
          <w:sz w:val="28"/>
          <w:szCs w:val="28"/>
        </w:rPr>
        <w:fldChar w:fldCharType="end"/>
      </w:r>
      <w:r>
        <w:rPr>
          <w:rFonts w:eastAsia="仿宋_GB2312"/>
          <w:sz w:val="28"/>
          <w:szCs w:val="28"/>
        </w:rPr>
        <w:fldChar w:fldCharType="end"/>
      </w:r>
    </w:p>
    <w:p>
      <w:pPr>
        <w:pStyle w:val="11"/>
        <w:tabs>
          <w:tab w:val="right" w:leader="dot" w:pos="8306"/>
        </w:tabs>
      </w:pPr>
      <w:r>
        <w:fldChar w:fldCharType="begin"/>
      </w:r>
      <w:r>
        <w:instrText xml:space="preserve"> HYPERLINK \l "_Toc6050" </w:instrText>
      </w:r>
      <w:r>
        <w:fldChar w:fldCharType="separate"/>
      </w:r>
      <w:r>
        <w:rPr>
          <w:rFonts w:hint="eastAsia" w:ascii="仿宋_GB2312" w:hAnsi="仿宋_GB2312" w:eastAsia="仿宋_GB2312" w:cs="仿宋_GB2312"/>
          <w:kern w:val="0"/>
          <w:sz w:val="28"/>
          <w:szCs w:val="28"/>
        </w:rPr>
        <w:t>（三）绩效评价工作过程</w:t>
      </w:r>
      <w:r>
        <w:rPr>
          <w:rFonts w:hint="eastAsia" w:ascii="仿宋_GB2312" w:hAnsi="仿宋_GB2312" w:eastAsia="仿宋_GB2312" w:cs="仿宋_GB2312"/>
          <w:sz w:val="28"/>
          <w:szCs w:val="28"/>
        </w:rPr>
        <w:tab/>
      </w:r>
      <w:r>
        <w:rPr>
          <w:rFonts w:eastAsia="仿宋_GB2312"/>
          <w:sz w:val="28"/>
          <w:szCs w:val="28"/>
        </w:rPr>
        <w:fldChar w:fldCharType="begin"/>
      </w:r>
      <w:r>
        <w:rPr>
          <w:rFonts w:eastAsia="仿宋_GB2312"/>
          <w:sz w:val="28"/>
          <w:szCs w:val="28"/>
        </w:rPr>
        <w:instrText xml:space="preserve"> PAGEREF _Toc6050 \h </w:instrText>
      </w:r>
      <w:r>
        <w:rPr>
          <w:rFonts w:eastAsia="仿宋_GB2312"/>
          <w:sz w:val="28"/>
          <w:szCs w:val="28"/>
        </w:rPr>
        <w:fldChar w:fldCharType="separate"/>
      </w:r>
      <w:r>
        <w:rPr>
          <w:rFonts w:eastAsia="仿宋_GB2312"/>
          <w:sz w:val="28"/>
          <w:szCs w:val="28"/>
        </w:rPr>
        <w:t>7</w:t>
      </w:r>
      <w:r>
        <w:rPr>
          <w:rFonts w:eastAsia="仿宋_GB2312"/>
          <w:sz w:val="28"/>
          <w:szCs w:val="28"/>
        </w:rPr>
        <w:fldChar w:fldCharType="end"/>
      </w:r>
      <w:r>
        <w:rPr>
          <w:rFonts w:eastAsia="仿宋_GB2312"/>
          <w:sz w:val="28"/>
          <w:szCs w:val="28"/>
        </w:rPr>
        <w:fldChar w:fldCharType="end"/>
      </w:r>
    </w:p>
    <w:p>
      <w:pPr>
        <w:pStyle w:val="10"/>
        <w:tabs>
          <w:tab w:val="right" w:leader="dot" w:pos="8306"/>
        </w:tabs>
        <w:rPr>
          <w:rFonts w:ascii="黑体" w:hAnsi="黑体" w:eastAsia="黑体" w:cs="黑体"/>
          <w:sz w:val="28"/>
          <w:szCs w:val="28"/>
        </w:rPr>
      </w:pPr>
      <w:r>
        <w:fldChar w:fldCharType="begin"/>
      </w:r>
      <w:r>
        <w:instrText xml:space="preserve"> HYPERLINK \l "_Toc29464" </w:instrText>
      </w:r>
      <w:r>
        <w:fldChar w:fldCharType="separate"/>
      </w:r>
      <w:r>
        <w:rPr>
          <w:rFonts w:hint="eastAsia" w:ascii="黑体" w:hAnsi="黑体" w:eastAsia="黑体" w:cs="黑体"/>
          <w:sz w:val="28"/>
          <w:szCs w:val="28"/>
        </w:rPr>
        <w:t>三、综合评价情况及评价结论</w:t>
      </w:r>
      <w:r>
        <w:rPr>
          <w:rFonts w:hint="eastAsia" w:ascii="黑体" w:hAnsi="黑体" w:eastAsia="黑体" w:cs="黑体"/>
          <w:sz w:val="28"/>
          <w:szCs w:val="28"/>
        </w:rPr>
        <w:tab/>
      </w:r>
      <w:r>
        <w:rPr>
          <w:rFonts w:eastAsia="黑体"/>
          <w:sz w:val="28"/>
          <w:szCs w:val="28"/>
        </w:rPr>
        <w:fldChar w:fldCharType="begin"/>
      </w:r>
      <w:r>
        <w:rPr>
          <w:rFonts w:eastAsia="黑体"/>
          <w:sz w:val="28"/>
          <w:szCs w:val="28"/>
        </w:rPr>
        <w:instrText xml:space="preserve"> PAGEREF _Toc29464 \h </w:instrText>
      </w:r>
      <w:r>
        <w:rPr>
          <w:rFonts w:eastAsia="黑体"/>
          <w:sz w:val="28"/>
          <w:szCs w:val="28"/>
        </w:rPr>
        <w:fldChar w:fldCharType="separate"/>
      </w:r>
      <w:r>
        <w:rPr>
          <w:rFonts w:eastAsia="黑体"/>
          <w:sz w:val="28"/>
          <w:szCs w:val="28"/>
        </w:rPr>
        <w:t>8</w:t>
      </w:r>
      <w:r>
        <w:rPr>
          <w:rFonts w:eastAsia="黑体"/>
          <w:sz w:val="28"/>
          <w:szCs w:val="28"/>
        </w:rPr>
        <w:fldChar w:fldCharType="end"/>
      </w:r>
      <w:r>
        <w:rPr>
          <w:rFonts w:eastAsia="黑体"/>
          <w:sz w:val="28"/>
          <w:szCs w:val="28"/>
        </w:rPr>
        <w:fldChar w:fldCharType="end"/>
      </w:r>
    </w:p>
    <w:p>
      <w:pPr>
        <w:pStyle w:val="10"/>
        <w:tabs>
          <w:tab w:val="right" w:leader="dot" w:pos="8306"/>
        </w:tabs>
      </w:pPr>
      <w:r>
        <w:fldChar w:fldCharType="begin"/>
      </w:r>
      <w:r>
        <w:instrText xml:space="preserve"> HYPERLINK \l "_Toc585" </w:instrText>
      </w:r>
      <w:r>
        <w:fldChar w:fldCharType="separate"/>
      </w:r>
      <w:r>
        <w:rPr>
          <w:rFonts w:hint="eastAsia" w:ascii="黑体" w:hAnsi="黑体" w:eastAsia="黑体" w:cs="黑体"/>
          <w:sz w:val="28"/>
          <w:szCs w:val="28"/>
        </w:rPr>
        <w:t>四、绩效评价指标分析</w:t>
      </w:r>
      <w:r>
        <w:rPr>
          <w:rFonts w:hint="eastAsia" w:ascii="黑体" w:hAnsi="黑体" w:eastAsia="黑体" w:cs="黑体"/>
          <w:sz w:val="28"/>
          <w:szCs w:val="28"/>
        </w:rPr>
        <w:tab/>
      </w:r>
      <w:r>
        <w:rPr>
          <w:rFonts w:eastAsia="黑体"/>
          <w:sz w:val="28"/>
          <w:szCs w:val="28"/>
        </w:rPr>
        <w:fldChar w:fldCharType="begin"/>
      </w:r>
      <w:r>
        <w:rPr>
          <w:rFonts w:eastAsia="黑体"/>
          <w:sz w:val="28"/>
          <w:szCs w:val="28"/>
        </w:rPr>
        <w:instrText xml:space="preserve"> PAGEREF _Toc585 \h </w:instrText>
      </w:r>
      <w:r>
        <w:rPr>
          <w:rFonts w:eastAsia="黑体"/>
          <w:sz w:val="28"/>
          <w:szCs w:val="28"/>
        </w:rPr>
        <w:fldChar w:fldCharType="separate"/>
      </w:r>
      <w:r>
        <w:rPr>
          <w:rFonts w:eastAsia="黑体"/>
          <w:sz w:val="28"/>
          <w:szCs w:val="28"/>
        </w:rPr>
        <w:t>9</w:t>
      </w:r>
      <w:r>
        <w:rPr>
          <w:rFonts w:eastAsia="黑体"/>
          <w:sz w:val="28"/>
          <w:szCs w:val="28"/>
        </w:rPr>
        <w:fldChar w:fldCharType="end"/>
      </w:r>
      <w:r>
        <w:rPr>
          <w:rFonts w:eastAsia="黑体"/>
          <w:sz w:val="28"/>
          <w:szCs w:val="28"/>
        </w:rPr>
        <w:fldChar w:fldCharType="end"/>
      </w:r>
    </w:p>
    <w:p>
      <w:pPr>
        <w:pStyle w:val="11"/>
        <w:tabs>
          <w:tab w:val="right" w:leader="dot" w:pos="8306"/>
        </w:tabs>
        <w:rPr>
          <w:rFonts w:ascii="仿宋_GB2312" w:hAnsi="仿宋_GB2312" w:eastAsia="仿宋_GB2312" w:cs="仿宋_GB2312"/>
          <w:sz w:val="28"/>
          <w:szCs w:val="28"/>
        </w:rPr>
      </w:pPr>
      <w:r>
        <w:fldChar w:fldCharType="begin"/>
      </w:r>
      <w:r>
        <w:instrText xml:space="preserve"> HYPERLINK \l "_Toc12335" </w:instrText>
      </w:r>
      <w:r>
        <w:fldChar w:fldCharType="separate"/>
      </w:r>
      <w:r>
        <w:rPr>
          <w:rFonts w:hint="eastAsia" w:ascii="仿宋_GB2312" w:hAnsi="仿宋_GB2312" w:eastAsia="仿宋_GB2312" w:cs="仿宋_GB2312"/>
          <w:bCs/>
          <w:sz w:val="28"/>
          <w:szCs w:val="28"/>
        </w:rPr>
        <w:t>（一）项目决策情况</w:t>
      </w:r>
      <w:r>
        <w:rPr>
          <w:rFonts w:hint="eastAsia" w:ascii="仿宋_GB2312" w:hAnsi="仿宋_GB2312" w:eastAsia="仿宋_GB2312" w:cs="仿宋_GB2312"/>
          <w:sz w:val="28"/>
          <w:szCs w:val="28"/>
        </w:rPr>
        <w:tab/>
      </w:r>
      <w:r>
        <w:rPr>
          <w:rFonts w:eastAsia="仿宋_GB2312"/>
          <w:sz w:val="28"/>
          <w:szCs w:val="28"/>
        </w:rPr>
        <w:fldChar w:fldCharType="begin"/>
      </w:r>
      <w:r>
        <w:rPr>
          <w:rFonts w:eastAsia="仿宋_GB2312"/>
          <w:sz w:val="28"/>
          <w:szCs w:val="28"/>
        </w:rPr>
        <w:instrText xml:space="preserve"> PAGEREF _Toc12335 \h </w:instrText>
      </w:r>
      <w:r>
        <w:rPr>
          <w:rFonts w:eastAsia="仿宋_GB2312"/>
          <w:sz w:val="28"/>
          <w:szCs w:val="28"/>
        </w:rPr>
        <w:fldChar w:fldCharType="separate"/>
      </w:r>
      <w:r>
        <w:rPr>
          <w:rFonts w:eastAsia="仿宋_GB2312"/>
          <w:sz w:val="28"/>
          <w:szCs w:val="28"/>
        </w:rPr>
        <w:t>9</w:t>
      </w:r>
      <w:r>
        <w:rPr>
          <w:rFonts w:eastAsia="仿宋_GB2312"/>
          <w:sz w:val="28"/>
          <w:szCs w:val="28"/>
        </w:rPr>
        <w:fldChar w:fldCharType="end"/>
      </w:r>
      <w:r>
        <w:rPr>
          <w:rFonts w:eastAsia="仿宋_GB2312"/>
          <w:sz w:val="28"/>
          <w:szCs w:val="28"/>
        </w:rPr>
        <w:fldChar w:fldCharType="end"/>
      </w:r>
    </w:p>
    <w:p>
      <w:pPr>
        <w:pStyle w:val="11"/>
        <w:tabs>
          <w:tab w:val="right" w:leader="dot" w:pos="8306"/>
        </w:tabs>
        <w:rPr>
          <w:rFonts w:ascii="仿宋_GB2312" w:hAnsi="仿宋_GB2312" w:eastAsia="仿宋_GB2312" w:cs="仿宋_GB2312"/>
          <w:sz w:val="28"/>
          <w:szCs w:val="28"/>
        </w:rPr>
      </w:pPr>
      <w:r>
        <w:fldChar w:fldCharType="begin"/>
      </w:r>
      <w:r>
        <w:instrText xml:space="preserve"> HYPERLINK \l "_Toc4993" </w:instrText>
      </w:r>
      <w:r>
        <w:fldChar w:fldCharType="separate"/>
      </w:r>
      <w:r>
        <w:rPr>
          <w:rFonts w:hint="eastAsia" w:ascii="仿宋_GB2312" w:hAnsi="仿宋_GB2312" w:eastAsia="仿宋_GB2312" w:cs="仿宋_GB2312"/>
          <w:bCs/>
          <w:sz w:val="28"/>
          <w:szCs w:val="28"/>
        </w:rPr>
        <w:t>（二）项目过程情况</w:t>
      </w:r>
      <w:r>
        <w:rPr>
          <w:rFonts w:hint="eastAsia" w:ascii="仿宋_GB2312" w:hAnsi="仿宋_GB2312" w:eastAsia="仿宋_GB2312" w:cs="仿宋_GB2312"/>
          <w:sz w:val="28"/>
          <w:szCs w:val="28"/>
        </w:rPr>
        <w:tab/>
      </w:r>
      <w:r>
        <w:rPr>
          <w:rFonts w:eastAsia="仿宋_GB2312"/>
          <w:sz w:val="28"/>
          <w:szCs w:val="28"/>
        </w:rPr>
        <w:fldChar w:fldCharType="begin"/>
      </w:r>
      <w:r>
        <w:rPr>
          <w:rFonts w:eastAsia="仿宋_GB2312"/>
          <w:sz w:val="28"/>
          <w:szCs w:val="28"/>
        </w:rPr>
        <w:instrText xml:space="preserve"> PAGEREF _Toc4993 \h </w:instrText>
      </w:r>
      <w:r>
        <w:rPr>
          <w:rFonts w:eastAsia="仿宋_GB2312"/>
          <w:sz w:val="28"/>
          <w:szCs w:val="28"/>
        </w:rPr>
        <w:fldChar w:fldCharType="separate"/>
      </w:r>
      <w:r>
        <w:rPr>
          <w:rFonts w:eastAsia="仿宋_GB2312"/>
          <w:sz w:val="28"/>
          <w:szCs w:val="28"/>
        </w:rPr>
        <w:t>10</w:t>
      </w:r>
      <w:r>
        <w:rPr>
          <w:rFonts w:eastAsia="仿宋_GB2312"/>
          <w:sz w:val="28"/>
          <w:szCs w:val="28"/>
        </w:rPr>
        <w:fldChar w:fldCharType="end"/>
      </w:r>
      <w:r>
        <w:rPr>
          <w:rFonts w:eastAsia="仿宋_GB2312"/>
          <w:sz w:val="28"/>
          <w:szCs w:val="28"/>
        </w:rPr>
        <w:fldChar w:fldCharType="end"/>
      </w:r>
    </w:p>
    <w:p>
      <w:pPr>
        <w:pStyle w:val="11"/>
        <w:tabs>
          <w:tab w:val="right" w:leader="dot" w:pos="8306"/>
        </w:tabs>
        <w:rPr>
          <w:rFonts w:ascii="仿宋_GB2312" w:hAnsi="仿宋_GB2312" w:eastAsia="仿宋_GB2312" w:cs="仿宋_GB2312"/>
          <w:sz w:val="28"/>
          <w:szCs w:val="28"/>
        </w:rPr>
      </w:pPr>
      <w:r>
        <w:fldChar w:fldCharType="begin"/>
      </w:r>
      <w:r>
        <w:instrText xml:space="preserve"> HYPERLINK \l "_Toc25645" </w:instrText>
      </w:r>
      <w:r>
        <w:fldChar w:fldCharType="separate"/>
      </w:r>
      <w:r>
        <w:rPr>
          <w:rFonts w:hint="eastAsia" w:ascii="仿宋_GB2312" w:hAnsi="仿宋_GB2312" w:eastAsia="仿宋_GB2312" w:cs="仿宋_GB2312"/>
          <w:bCs/>
          <w:sz w:val="28"/>
          <w:szCs w:val="28"/>
        </w:rPr>
        <w:t>（三）项目产出情况</w:t>
      </w:r>
      <w:r>
        <w:rPr>
          <w:rFonts w:hint="eastAsia" w:ascii="仿宋_GB2312" w:hAnsi="仿宋_GB2312" w:eastAsia="仿宋_GB2312" w:cs="仿宋_GB2312"/>
          <w:sz w:val="28"/>
          <w:szCs w:val="28"/>
        </w:rPr>
        <w:tab/>
      </w:r>
      <w:r>
        <w:rPr>
          <w:rFonts w:eastAsia="仿宋_GB2312"/>
          <w:sz w:val="28"/>
          <w:szCs w:val="28"/>
        </w:rPr>
        <w:fldChar w:fldCharType="begin"/>
      </w:r>
      <w:r>
        <w:rPr>
          <w:rFonts w:eastAsia="仿宋_GB2312"/>
          <w:sz w:val="28"/>
          <w:szCs w:val="28"/>
        </w:rPr>
        <w:instrText xml:space="preserve"> PAGEREF _Toc25645 \h </w:instrText>
      </w:r>
      <w:r>
        <w:rPr>
          <w:rFonts w:eastAsia="仿宋_GB2312"/>
          <w:sz w:val="28"/>
          <w:szCs w:val="28"/>
        </w:rPr>
        <w:fldChar w:fldCharType="separate"/>
      </w:r>
      <w:r>
        <w:rPr>
          <w:rFonts w:eastAsia="仿宋_GB2312"/>
          <w:sz w:val="28"/>
          <w:szCs w:val="28"/>
        </w:rPr>
        <w:t>11</w:t>
      </w:r>
      <w:r>
        <w:rPr>
          <w:rFonts w:eastAsia="仿宋_GB2312"/>
          <w:sz w:val="28"/>
          <w:szCs w:val="28"/>
        </w:rPr>
        <w:fldChar w:fldCharType="end"/>
      </w:r>
      <w:r>
        <w:rPr>
          <w:rFonts w:eastAsia="仿宋_GB2312"/>
          <w:sz w:val="28"/>
          <w:szCs w:val="28"/>
        </w:rPr>
        <w:fldChar w:fldCharType="end"/>
      </w:r>
    </w:p>
    <w:p>
      <w:pPr>
        <w:pStyle w:val="11"/>
        <w:tabs>
          <w:tab w:val="right" w:leader="dot" w:pos="8306"/>
        </w:tabs>
        <w:rPr>
          <w:rFonts w:ascii="仿宋_GB2312" w:hAnsi="仿宋_GB2312" w:eastAsia="仿宋_GB2312" w:cs="仿宋_GB2312"/>
          <w:sz w:val="28"/>
          <w:szCs w:val="28"/>
        </w:rPr>
      </w:pPr>
      <w:r>
        <w:fldChar w:fldCharType="begin"/>
      </w:r>
      <w:r>
        <w:instrText xml:space="preserve"> HYPERLINK \l "_Toc32050" </w:instrText>
      </w:r>
      <w:r>
        <w:fldChar w:fldCharType="separate"/>
      </w:r>
      <w:r>
        <w:rPr>
          <w:rFonts w:hint="eastAsia" w:ascii="仿宋_GB2312" w:hAnsi="仿宋_GB2312" w:eastAsia="仿宋_GB2312" w:cs="仿宋_GB2312"/>
          <w:bCs/>
          <w:sz w:val="28"/>
          <w:szCs w:val="28"/>
        </w:rPr>
        <w:t>（四）项目效益情况</w:t>
      </w:r>
      <w:r>
        <w:rPr>
          <w:rFonts w:hint="eastAsia" w:ascii="仿宋_GB2312" w:hAnsi="仿宋_GB2312" w:eastAsia="仿宋_GB2312" w:cs="仿宋_GB2312"/>
          <w:sz w:val="28"/>
          <w:szCs w:val="28"/>
        </w:rPr>
        <w:tab/>
      </w:r>
      <w:r>
        <w:rPr>
          <w:rFonts w:eastAsia="仿宋_GB2312"/>
          <w:sz w:val="28"/>
          <w:szCs w:val="28"/>
        </w:rPr>
        <w:fldChar w:fldCharType="begin"/>
      </w:r>
      <w:r>
        <w:rPr>
          <w:rFonts w:eastAsia="仿宋_GB2312"/>
          <w:sz w:val="28"/>
          <w:szCs w:val="28"/>
        </w:rPr>
        <w:instrText xml:space="preserve"> PAGEREF _Toc32050 \h </w:instrText>
      </w:r>
      <w:r>
        <w:rPr>
          <w:rFonts w:eastAsia="仿宋_GB2312"/>
          <w:sz w:val="28"/>
          <w:szCs w:val="28"/>
        </w:rPr>
        <w:fldChar w:fldCharType="separate"/>
      </w:r>
      <w:r>
        <w:rPr>
          <w:rFonts w:eastAsia="仿宋_GB2312"/>
          <w:sz w:val="28"/>
          <w:szCs w:val="28"/>
        </w:rPr>
        <w:t>12</w:t>
      </w:r>
      <w:r>
        <w:rPr>
          <w:rFonts w:eastAsia="仿宋_GB2312"/>
          <w:sz w:val="28"/>
          <w:szCs w:val="28"/>
        </w:rPr>
        <w:fldChar w:fldCharType="end"/>
      </w:r>
      <w:r>
        <w:rPr>
          <w:rFonts w:eastAsia="仿宋_GB2312"/>
          <w:sz w:val="28"/>
          <w:szCs w:val="28"/>
        </w:rPr>
        <w:fldChar w:fldCharType="end"/>
      </w:r>
    </w:p>
    <w:p>
      <w:pPr>
        <w:pStyle w:val="10"/>
        <w:tabs>
          <w:tab w:val="right" w:leader="dot" w:pos="8306"/>
        </w:tabs>
      </w:pPr>
      <w:r>
        <w:fldChar w:fldCharType="begin"/>
      </w:r>
      <w:r>
        <w:instrText xml:space="preserve"> HYPERLINK \l "_Toc24628" </w:instrText>
      </w:r>
      <w:r>
        <w:fldChar w:fldCharType="separate"/>
      </w:r>
      <w:r>
        <w:rPr>
          <w:rFonts w:hint="eastAsia" w:ascii="黑体" w:hAnsi="黑体" w:eastAsia="黑体" w:cs="黑体"/>
          <w:sz w:val="28"/>
          <w:szCs w:val="28"/>
        </w:rPr>
        <w:t>五、主要经验及做法、存在的问题及原因分析</w:t>
      </w:r>
      <w:r>
        <w:rPr>
          <w:rFonts w:hint="eastAsia" w:ascii="黑体" w:hAnsi="黑体" w:eastAsia="黑体" w:cs="黑体"/>
          <w:sz w:val="28"/>
          <w:szCs w:val="28"/>
        </w:rPr>
        <w:tab/>
      </w:r>
      <w:r>
        <w:rPr>
          <w:rFonts w:eastAsia="黑体"/>
          <w:sz w:val="28"/>
          <w:szCs w:val="28"/>
        </w:rPr>
        <w:fldChar w:fldCharType="begin"/>
      </w:r>
      <w:r>
        <w:rPr>
          <w:rFonts w:eastAsia="黑体"/>
          <w:sz w:val="28"/>
          <w:szCs w:val="28"/>
        </w:rPr>
        <w:instrText xml:space="preserve"> PAGEREF _Toc24628 \h </w:instrText>
      </w:r>
      <w:r>
        <w:rPr>
          <w:rFonts w:eastAsia="黑体"/>
          <w:sz w:val="28"/>
          <w:szCs w:val="28"/>
        </w:rPr>
        <w:fldChar w:fldCharType="separate"/>
      </w:r>
      <w:r>
        <w:rPr>
          <w:rFonts w:eastAsia="黑体"/>
          <w:sz w:val="28"/>
          <w:szCs w:val="28"/>
        </w:rPr>
        <w:t>13</w:t>
      </w:r>
      <w:r>
        <w:rPr>
          <w:rFonts w:eastAsia="黑体"/>
          <w:sz w:val="28"/>
          <w:szCs w:val="28"/>
        </w:rPr>
        <w:fldChar w:fldCharType="end"/>
      </w:r>
      <w:r>
        <w:rPr>
          <w:rFonts w:eastAsia="黑体"/>
          <w:sz w:val="28"/>
          <w:szCs w:val="28"/>
        </w:rPr>
        <w:fldChar w:fldCharType="end"/>
      </w:r>
    </w:p>
    <w:p>
      <w:pPr>
        <w:pStyle w:val="11"/>
        <w:tabs>
          <w:tab w:val="right" w:leader="dot" w:pos="8306"/>
        </w:tabs>
        <w:rPr>
          <w:rFonts w:ascii="仿宋_GB2312" w:hAnsi="仿宋_GB2312" w:eastAsia="仿宋_GB2312" w:cs="仿宋_GB2312"/>
          <w:sz w:val="28"/>
          <w:szCs w:val="28"/>
        </w:rPr>
      </w:pPr>
      <w:r>
        <w:fldChar w:fldCharType="begin"/>
      </w:r>
      <w:r>
        <w:instrText xml:space="preserve"> HYPERLINK \l "_Toc32617" </w:instrText>
      </w:r>
      <w:r>
        <w:fldChar w:fldCharType="separate"/>
      </w:r>
      <w:r>
        <w:rPr>
          <w:rFonts w:hint="eastAsia" w:ascii="仿宋_GB2312" w:hAnsi="仿宋_GB2312" w:eastAsia="仿宋_GB2312" w:cs="仿宋_GB2312"/>
          <w:bCs/>
          <w:sz w:val="28"/>
          <w:szCs w:val="28"/>
        </w:rPr>
        <w:t>（一）主要经验及做法</w:t>
      </w:r>
      <w:r>
        <w:rPr>
          <w:rFonts w:hint="eastAsia" w:ascii="仿宋_GB2312" w:hAnsi="仿宋_GB2312" w:eastAsia="仿宋_GB2312" w:cs="仿宋_GB2312"/>
          <w:sz w:val="28"/>
          <w:szCs w:val="28"/>
        </w:rPr>
        <w:tab/>
      </w:r>
      <w:r>
        <w:rPr>
          <w:rFonts w:eastAsia="仿宋_GB2312"/>
          <w:sz w:val="28"/>
          <w:szCs w:val="28"/>
        </w:rPr>
        <w:fldChar w:fldCharType="begin"/>
      </w:r>
      <w:r>
        <w:rPr>
          <w:rFonts w:eastAsia="仿宋_GB2312"/>
          <w:sz w:val="28"/>
          <w:szCs w:val="28"/>
        </w:rPr>
        <w:instrText xml:space="preserve"> PAGEREF _Toc32617 \h </w:instrText>
      </w:r>
      <w:r>
        <w:rPr>
          <w:rFonts w:eastAsia="仿宋_GB2312"/>
          <w:sz w:val="28"/>
          <w:szCs w:val="28"/>
        </w:rPr>
        <w:fldChar w:fldCharType="separate"/>
      </w:r>
      <w:r>
        <w:rPr>
          <w:rFonts w:eastAsia="仿宋_GB2312"/>
          <w:sz w:val="28"/>
          <w:szCs w:val="28"/>
        </w:rPr>
        <w:t>13</w:t>
      </w:r>
      <w:r>
        <w:rPr>
          <w:rFonts w:eastAsia="仿宋_GB2312"/>
          <w:sz w:val="28"/>
          <w:szCs w:val="28"/>
        </w:rPr>
        <w:fldChar w:fldCharType="end"/>
      </w:r>
      <w:r>
        <w:rPr>
          <w:rFonts w:eastAsia="仿宋_GB2312"/>
          <w:sz w:val="28"/>
          <w:szCs w:val="28"/>
        </w:rPr>
        <w:fldChar w:fldCharType="end"/>
      </w:r>
    </w:p>
    <w:p>
      <w:pPr>
        <w:pStyle w:val="11"/>
        <w:tabs>
          <w:tab w:val="right" w:leader="dot" w:pos="8306"/>
        </w:tabs>
        <w:rPr>
          <w:rFonts w:ascii="仿宋_GB2312" w:hAnsi="仿宋_GB2312" w:eastAsia="仿宋_GB2312" w:cs="仿宋_GB2312"/>
          <w:sz w:val="28"/>
          <w:szCs w:val="28"/>
        </w:rPr>
      </w:pPr>
      <w:r>
        <w:fldChar w:fldCharType="begin"/>
      </w:r>
      <w:r>
        <w:instrText xml:space="preserve"> HYPERLINK \l "_Toc4557" </w:instrText>
      </w:r>
      <w:r>
        <w:fldChar w:fldCharType="separate"/>
      </w:r>
      <w:r>
        <w:rPr>
          <w:rFonts w:hint="eastAsia" w:ascii="仿宋_GB2312" w:hAnsi="仿宋_GB2312" w:eastAsia="仿宋_GB2312" w:cs="仿宋_GB2312"/>
          <w:bCs/>
          <w:sz w:val="28"/>
          <w:szCs w:val="28"/>
        </w:rPr>
        <w:t>（二）存在的问题及原因分析</w:t>
      </w:r>
      <w:r>
        <w:rPr>
          <w:rFonts w:hint="eastAsia" w:ascii="仿宋_GB2312" w:hAnsi="仿宋_GB2312" w:eastAsia="仿宋_GB2312" w:cs="仿宋_GB2312"/>
          <w:sz w:val="28"/>
          <w:szCs w:val="28"/>
        </w:rPr>
        <w:tab/>
      </w:r>
      <w:r>
        <w:rPr>
          <w:rFonts w:eastAsia="仿宋_GB2312"/>
          <w:sz w:val="28"/>
          <w:szCs w:val="28"/>
        </w:rPr>
        <w:fldChar w:fldCharType="begin"/>
      </w:r>
      <w:r>
        <w:rPr>
          <w:rFonts w:eastAsia="仿宋_GB2312"/>
          <w:sz w:val="28"/>
          <w:szCs w:val="28"/>
        </w:rPr>
        <w:instrText xml:space="preserve"> PAGEREF _Toc4557 \h </w:instrText>
      </w:r>
      <w:r>
        <w:rPr>
          <w:rFonts w:eastAsia="仿宋_GB2312"/>
          <w:sz w:val="28"/>
          <w:szCs w:val="28"/>
        </w:rPr>
        <w:fldChar w:fldCharType="separate"/>
      </w:r>
      <w:r>
        <w:rPr>
          <w:rFonts w:eastAsia="仿宋_GB2312"/>
          <w:sz w:val="28"/>
          <w:szCs w:val="28"/>
        </w:rPr>
        <w:t>14</w:t>
      </w:r>
      <w:r>
        <w:rPr>
          <w:rFonts w:eastAsia="仿宋_GB2312"/>
          <w:sz w:val="28"/>
          <w:szCs w:val="28"/>
        </w:rPr>
        <w:fldChar w:fldCharType="end"/>
      </w:r>
      <w:r>
        <w:rPr>
          <w:rFonts w:eastAsia="仿宋_GB2312"/>
          <w:sz w:val="28"/>
          <w:szCs w:val="28"/>
        </w:rPr>
        <w:fldChar w:fldCharType="end"/>
      </w:r>
    </w:p>
    <w:p>
      <w:pPr>
        <w:pStyle w:val="10"/>
        <w:tabs>
          <w:tab w:val="right" w:leader="dot" w:pos="8306"/>
        </w:tabs>
        <w:rPr>
          <w:rFonts w:ascii="黑体" w:hAnsi="黑体" w:eastAsia="黑体" w:cs="黑体"/>
          <w:sz w:val="28"/>
          <w:szCs w:val="28"/>
        </w:rPr>
      </w:pPr>
      <w:r>
        <w:fldChar w:fldCharType="begin"/>
      </w:r>
      <w:r>
        <w:instrText xml:space="preserve"> HYPERLINK \l "_Toc28814" </w:instrText>
      </w:r>
      <w:r>
        <w:fldChar w:fldCharType="separate"/>
      </w:r>
      <w:r>
        <w:rPr>
          <w:rFonts w:hint="eastAsia" w:ascii="黑体" w:hAnsi="黑体" w:eastAsia="黑体" w:cs="黑体"/>
          <w:sz w:val="28"/>
          <w:szCs w:val="28"/>
        </w:rPr>
        <w:t>六、有关建议</w:t>
      </w:r>
      <w:r>
        <w:rPr>
          <w:rFonts w:hint="eastAsia" w:ascii="黑体" w:hAnsi="黑体" w:eastAsia="黑体" w:cs="黑体"/>
          <w:sz w:val="28"/>
          <w:szCs w:val="28"/>
        </w:rPr>
        <w:tab/>
      </w:r>
      <w:r>
        <w:rPr>
          <w:rFonts w:eastAsia="黑体"/>
          <w:sz w:val="28"/>
          <w:szCs w:val="28"/>
        </w:rPr>
        <w:fldChar w:fldCharType="begin"/>
      </w:r>
      <w:r>
        <w:rPr>
          <w:rFonts w:eastAsia="黑体"/>
          <w:sz w:val="28"/>
          <w:szCs w:val="28"/>
        </w:rPr>
        <w:instrText xml:space="preserve"> PAGEREF _Toc28814 \h </w:instrText>
      </w:r>
      <w:r>
        <w:rPr>
          <w:rFonts w:eastAsia="黑体"/>
          <w:sz w:val="28"/>
          <w:szCs w:val="28"/>
        </w:rPr>
        <w:fldChar w:fldCharType="separate"/>
      </w:r>
      <w:r>
        <w:rPr>
          <w:rFonts w:eastAsia="黑体"/>
          <w:sz w:val="28"/>
          <w:szCs w:val="28"/>
        </w:rPr>
        <w:t>14</w:t>
      </w:r>
      <w:r>
        <w:rPr>
          <w:rFonts w:eastAsia="黑体"/>
          <w:sz w:val="28"/>
          <w:szCs w:val="28"/>
        </w:rPr>
        <w:fldChar w:fldCharType="end"/>
      </w:r>
      <w:r>
        <w:rPr>
          <w:rFonts w:eastAsia="黑体"/>
          <w:sz w:val="28"/>
          <w:szCs w:val="28"/>
        </w:rPr>
        <w:fldChar w:fldCharType="end"/>
      </w:r>
    </w:p>
    <w:p>
      <w:pPr>
        <w:pStyle w:val="10"/>
        <w:tabs>
          <w:tab w:val="right" w:leader="dot" w:pos="8306"/>
        </w:tabs>
      </w:pPr>
      <w:r>
        <w:fldChar w:fldCharType="begin"/>
      </w:r>
      <w:r>
        <w:instrText xml:space="preserve"> HYPERLINK \l "_Toc8369" </w:instrText>
      </w:r>
      <w:r>
        <w:fldChar w:fldCharType="separate"/>
      </w:r>
      <w:r>
        <w:rPr>
          <w:rFonts w:hint="eastAsia" w:ascii="黑体" w:hAnsi="黑体" w:eastAsia="黑体" w:cs="黑体"/>
          <w:sz w:val="28"/>
          <w:szCs w:val="28"/>
        </w:rPr>
        <w:t>七、其他需要说明的问题</w:t>
      </w:r>
      <w:r>
        <w:rPr>
          <w:rFonts w:hint="eastAsia" w:ascii="黑体" w:hAnsi="黑体" w:eastAsia="黑体" w:cs="黑体"/>
          <w:sz w:val="28"/>
          <w:szCs w:val="28"/>
        </w:rPr>
        <w:tab/>
      </w:r>
      <w:r>
        <w:rPr>
          <w:rFonts w:eastAsia="黑体"/>
          <w:sz w:val="28"/>
          <w:szCs w:val="28"/>
        </w:rPr>
        <w:fldChar w:fldCharType="begin"/>
      </w:r>
      <w:r>
        <w:rPr>
          <w:rFonts w:eastAsia="黑体"/>
          <w:sz w:val="28"/>
          <w:szCs w:val="28"/>
        </w:rPr>
        <w:instrText xml:space="preserve"> PAGEREF _Toc8369 \h </w:instrText>
      </w:r>
      <w:r>
        <w:rPr>
          <w:rFonts w:eastAsia="黑体"/>
          <w:sz w:val="28"/>
          <w:szCs w:val="28"/>
        </w:rPr>
        <w:fldChar w:fldCharType="separate"/>
      </w:r>
      <w:r>
        <w:rPr>
          <w:rFonts w:eastAsia="黑体"/>
          <w:sz w:val="28"/>
          <w:szCs w:val="28"/>
        </w:rPr>
        <w:t>15</w:t>
      </w:r>
      <w:r>
        <w:rPr>
          <w:rFonts w:eastAsia="黑体"/>
          <w:sz w:val="28"/>
          <w:szCs w:val="28"/>
        </w:rPr>
        <w:fldChar w:fldCharType="end"/>
      </w:r>
      <w:r>
        <w:rPr>
          <w:rFonts w:eastAsia="黑体"/>
          <w:sz w:val="28"/>
          <w:szCs w:val="28"/>
        </w:rPr>
        <w:fldChar w:fldCharType="end"/>
      </w:r>
    </w:p>
    <w:p>
      <w:pPr>
        <w:spacing w:line="560" w:lineRule="exact"/>
        <w:rPr>
          <w:rFonts w:ascii="宋体" w:hAnsi="宋体"/>
          <w:sz w:val="28"/>
          <w:szCs w:val="28"/>
        </w:rPr>
        <w:sectPr>
          <w:pgSz w:w="11906" w:h="16838"/>
          <w:pgMar w:top="1440" w:right="1800" w:bottom="1440" w:left="1800" w:header="851" w:footer="992" w:gutter="0"/>
          <w:pgNumType w:start="1"/>
          <w:cols w:space="720" w:num="1"/>
          <w:docGrid w:type="lines" w:linePitch="312" w:charSpace="0"/>
        </w:sectPr>
      </w:pPr>
      <w:r>
        <w:rPr>
          <w:rFonts w:hint="eastAsia" w:cs="宋体" w:asciiTheme="minorEastAsia" w:hAnsiTheme="minorEastAsia" w:eastAsiaTheme="minorEastAsia"/>
          <w:szCs w:val="28"/>
        </w:rPr>
        <w:fldChar w:fldCharType="end"/>
      </w:r>
    </w:p>
    <w:p>
      <w:pPr>
        <w:spacing w:line="560" w:lineRule="exact"/>
        <w:rPr>
          <w:rFonts w:ascii="宋体" w:hAnsi="宋体"/>
          <w:b/>
          <w:snapToGrid w:val="0"/>
          <w:kern w:val="0"/>
          <w:sz w:val="44"/>
          <w:szCs w:val="44"/>
        </w:rPr>
        <w:sectPr>
          <w:type w:val="continuous"/>
          <w:pgSz w:w="11906" w:h="16838"/>
          <w:pgMar w:top="1440" w:right="1800" w:bottom="1440" w:left="1800" w:header="851" w:footer="992" w:gutter="0"/>
          <w:pgNumType w:start="1"/>
          <w:cols w:space="720" w:num="1"/>
          <w:docGrid w:type="lines" w:linePitch="312" w:charSpace="0"/>
        </w:sectPr>
      </w:pPr>
    </w:p>
    <w:p>
      <w:pPr>
        <w:adjustRightInd w:val="0"/>
        <w:spacing w:line="560" w:lineRule="exact"/>
        <w:rPr>
          <w:rFonts w:ascii="仿宋" w:hAnsi="仿宋" w:eastAsia="仿宋"/>
          <w:sz w:val="28"/>
          <w:szCs w:val="28"/>
        </w:rPr>
      </w:pPr>
      <w:bookmarkStart w:id="0" w:name="_Toc429685098"/>
      <w:bookmarkStart w:id="1" w:name="_Toc485728084"/>
      <w:bookmarkStart w:id="2" w:name="_Toc26449"/>
      <w:bookmarkStart w:id="3" w:name="_Toc428717947"/>
      <w:bookmarkStart w:id="4" w:name="_Toc30166268"/>
      <w:bookmarkStart w:id="5" w:name="_Toc485728072"/>
      <w:bookmarkStart w:id="6" w:name="_Toc428414998"/>
      <w:bookmarkStart w:id="7" w:name="_Toc425537590"/>
      <w:bookmarkStart w:id="8" w:name="_Toc428524876"/>
      <w:bookmarkStart w:id="9" w:name="_Toc428415223"/>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北京市大兴区人民法院</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法院办案业务费项目绩效评价报告</w:t>
      </w:r>
    </w:p>
    <w:p>
      <w:pPr>
        <w:spacing w:before="156" w:beforeLines="50"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为加强预算绩效管理，强化支出责任，建立科学、合理的财政支出绩效评价管理体系，提高财政资金使用效益，同时为提高财政支出管理水平，检验财政支出预期目标实现程度，考核财政支出效率和综合效果，为以后年度财政资金安排提供重要依据，根据《中共北京市委 北京市人民政府关于全面实施预算绩效管理的实施意见》（京发〔2019〕12号）《北京市项目支出绩效评价管理办法》（京财绩效〔2020〕2146号）等文件规定，北京正衡东亚会计师事务所有限公司接受北京市大兴区人民法院（以下简称“区法院”）的委托，成立了项目绩效考评工作组，对区法院实施的“法院办案业务费”项目（以下简称“该项目”）的绩效情况实施评价，形成本绩效评价报告。</w:t>
      </w:r>
    </w:p>
    <w:p>
      <w:pPr>
        <w:pStyle w:val="2"/>
        <w:tabs>
          <w:tab w:val="left" w:pos="588"/>
        </w:tabs>
        <w:spacing w:before="0" w:after="0" w:line="560" w:lineRule="exact"/>
        <w:ind w:firstLine="640" w:firstLineChars="200"/>
        <w:rPr>
          <w:rFonts w:ascii="黑体" w:hAnsi="黑体" w:eastAsia="黑体"/>
          <w:b w:val="0"/>
          <w:sz w:val="32"/>
          <w:szCs w:val="32"/>
        </w:rPr>
      </w:pPr>
      <w:bookmarkStart w:id="10" w:name="_Toc27395"/>
      <w:r>
        <w:rPr>
          <w:rFonts w:hint="eastAsia" w:ascii="黑体" w:hAnsi="黑体" w:eastAsia="黑体"/>
          <w:b w:val="0"/>
          <w:bCs w:val="0"/>
          <w:sz w:val="32"/>
          <w:szCs w:val="32"/>
        </w:rPr>
        <w:t>一、基本情况</w:t>
      </w:r>
      <w:bookmarkEnd w:id="10"/>
    </w:p>
    <w:p>
      <w:pPr>
        <w:widowControl/>
        <w:spacing w:line="560" w:lineRule="exact"/>
        <w:ind w:firstLine="640" w:firstLineChars="200"/>
        <w:outlineLvl w:val="1"/>
        <w:rPr>
          <w:rFonts w:ascii="楷体_GB2312" w:hAnsi="Arial" w:eastAsia="楷体_GB2312" w:cs="Arial"/>
          <w:bCs/>
          <w:sz w:val="32"/>
          <w:szCs w:val="32"/>
        </w:rPr>
      </w:pPr>
      <w:bookmarkStart w:id="11" w:name="_Toc23203"/>
      <w:r>
        <w:rPr>
          <w:rFonts w:hint="eastAsia" w:ascii="楷体_GB2312" w:hAnsi="Arial" w:eastAsia="楷体_GB2312" w:cs="Arial"/>
          <w:bCs/>
          <w:sz w:val="32"/>
          <w:szCs w:val="32"/>
        </w:rPr>
        <w:t>（一）项目概况</w:t>
      </w:r>
      <w:bookmarkEnd w:id="11"/>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1.项目背景</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为保障区法院依法履行审判职能，保障审判执行工作顺利开展，通过提供必要的办案业务经费支持，提高区法院办案效率和质量，更好地维护社会公平正义，保障社会和谐稳定。同时，法院办案业务费项目也体现了政府对司法工作的重视和支持，有助于推动司法体制的改革和完善，提高司法公信力。</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2.项目主要内容及实施情况</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该项目主要用于法院办案费、陪审人员劳务费、司法专邮通讯费、国家赔偿费、诉讼文书布告公告及印刷费、审判执行专业会议费、法官培训费、法制宣传费、协助办案费，以及根据最高法院和北京市关于审判执行等工作要求开展的集约送达等委托社会力量承担的审判执行辅助事项。</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区法院根据《人民陪审员工作相关制度汇编》，结合区法院人民陪审员工作实际情况制定了《北京市大兴区人民法院人民陪审员工作管理办法（试行）》，并按照文件规定发放人民陪审员补助。区法院按照内控制度中的采购业务控制环节流程选取确定服务单位，根据《北京市大兴区人民法院财务管理制度》《北京市大兴区人民法院诉讼档案数字化及随案同步生成档案扫描项目合同书》《北京市大兴区人民法院司法文书送达服务项目合同》等支付服务费用。</w:t>
      </w:r>
    </w:p>
    <w:p>
      <w:pPr>
        <w:widowControl/>
        <w:shd w:val="clear" w:color="auto" w:fill="FFFFFF"/>
        <w:spacing w:line="56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3.资金投入和使用情况</w:t>
      </w:r>
    </w:p>
    <w:p>
      <w:pPr>
        <w:widowControl/>
        <w:spacing w:line="560" w:lineRule="exact"/>
        <w:ind w:firstLine="640" w:firstLineChars="200"/>
        <w:rPr>
          <w:rFonts w:ascii="仿宋_GB2312" w:hAnsi="仿宋" w:eastAsia="仿宋_GB2312"/>
          <w:sz w:val="32"/>
          <w:szCs w:val="32"/>
        </w:rPr>
      </w:pPr>
      <w:bookmarkStart w:id="12" w:name="_Toc428415212"/>
      <w:bookmarkStart w:id="13" w:name="_Toc428524865"/>
      <w:bookmarkStart w:id="14" w:name="_Toc485728073"/>
      <w:bookmarkStart w:id="15" w:name="_Toc425537579"/>
      <w:bookmarkStart w:id="16" w:name="_Toc428414987"/>
      <w:bookmarkStart w:id="17" w:name="_Toc27528"/>
      <w:r>
        <w:rPr>
          <w:rFonts w:hint="eastAsia" w:ascii="仿宋_GB2312" w:hAnsi="仿宋" w:eastAsia="仿宋_GB2312"/>
          <w:sz w:val="32"/>
          <w:szCs w:val="32"/>
        </w:rPr>
        <w:t>该项目2023年初预算资金1,065.41万元，全年预算资金915.41万元，项目实际支出754.02万元。该项目资金投入及使用的具体情况如下：</w:t>
      </w:r>
    </w:p>
    <w:tbl>
      <w:tblPr>
        <w:tblStyle w:val="13"/>
        <w:tblW w:w="7792" w:type="dxa"/>
        <w:tblInd w:w="392" w:type="dxa"/>
        <w:tblLayout w:type="fixed"/>
        <w:tblCellMar>
          <w:top w:w="0" w:type="dxa"/>
          <w:left w:w="108" w:type="dxa"/>
          <w:bottom w:w="0" w:type="dxa"/>
          <w:right w:w="108" w:type="dxa"/>
        </w:tblCellMar>
      </w:tblPr>
      <w:tblGrid>
        <w:gridCol w:w="5240"/>
        <w:gridCol w:w="2552"/>
      </w:tblGrid>
      <w:tr>
        <w:tblPrEx>
          <w:tblLayout w:type="fixed"/>
          <w:tblCellMar>
            <w:top w:w="0" w:type="dxa"/>
            <w:left w:w="108" w:type="dxa"/>
            <w:bottom w:w="0" w:type="dxa"/>
            <w:right w:w="108" w:type="dxa"/>
          </w:tblCellMar>
        </w:tblPrEx>
        <w:trPr>
          <w:trHeight w:val="260" w:hRule="atLeast"/>
        </w:trPr>
        <w:tc>
          <w:tcPr>
            <w:tcW w:w="524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spacing w:line="560" w:lineRule="exact"/>
              <w:ind w:firstLine="200"/>
              <w:jc w:val="center"/>
              <w:rPr>
                <w:rFonts w:ascii="仿宋_GB2312" w:hAnsi="宋体" w:eastAsia="仿宋_GB2312" w:cs="仿宋_GB2312"/>
                <w:b/>
                <w:bCs/>
                <w:kern w:val="0"/>
                <w:sz w:val="28"/>
                <w:szCs w:val="28"/>
              </w:rPr>
            </w:pPr>
            <w:r>
              <w:rPr>
                <w:rFonts w:hint="eastAsia" w:ascii="仿宋_GB2312" w:hAnsi="宋体" w:eastAsia="仿宋_GB2312" w:cs="仿宋_GB2312"/>
                <w:b/>
                <w:bCs/>
                <w:kern w:val="0"/>
                <w:sz w:val="28"/>
                <w:szCs w:val="28"/>
              </w:rPr>
              <w:t>明细项目名称</w:t>
            </w:r>
          </w:p>
        </w:tc>
        <w:tc>
          <w:tcPr>
            <w:tcW w:w="2552" w:type="dxa"/>
            <w:tcBorders>
              <w:top w:val="single" w:color="auto" w:sz="4" w:space="0"/>
              <w:left w:val="nil"/>
              <w:bottom w:val="single" w:color="auto" w:sz="4" w:space="0"/>
              <w:right w:val="single" w:color="auto" w:sz="4" w:space="0"/>
            </w:tcBorders>
            <w:shd w:val="clear" w:color="000000" w:fill="FFFFFF"/>
            <w:noWrap/>
            <w:vAlign w:val="center"/>
          </w:tcPr>
          <w:p>
            <w:pPr>
              <w:widowControl/>
              <w:spacing w:line="560" w:lineRule="exact"/>
              <w:ind w:firstLine="200"/>
              <w:jc w:val="center"/>
              <w:rPr>
                <w:rFonts w:ascii="仿宋_GB2312" w:hAnsi="宋体" w:eastAsia="仿宋_GB2312" w:cs="仿宋_GB2312"/>
                <w:b/>
                <w:bCs/>
                <w:kern w:val="0"/>
                <w:sz w:val="28"/>
                <w:szCs w:val="28"/>
              </w:rPr>
            </w:pPr>
            <w:r>
              <w:rPr>
                <w:rFonts w:hint="eastAsia" w:ascii="仿宋_GB2312" w:hAnsi="宋体" w:eastAsia="仿宋_GB2312" w:cs="仿宋_GB2312"/>
                <w:b/>
                <w:bCs/>
                <w:kern w:val="0"/>
                <w:sz w:val="28"/>
                <w:szCs w:val="28"/>
              </w:rPr>
              <w:t>金额（万元）</w:t>
            </w:r>
          </w:p>
        </w:tc>
      </w:tr>
      <w:tr>
        <w:tblPrEx>
          <w:tblLayout w:type="fixed"/>
          <w:tblCellMar>
            <w:top w:w="0" w:type="dxa"/>
            <w:left w:w="108" w:type="dxa"/>
            <w:bottom w:w="0" w:type="dxa"/>
            <w:right w:w="108" w:type="dxa"/>
          </w:tblCellMar>
        </w:tblPrEx>
        <w:trPr>
          <w:trHeight w:val="260" w:hRule="atLeast"/>
        </w:trPr>
        <w:tc>
          <w:tcPr>
            <w:tcW w:w="524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spacing w:line="560" w:lineRule="exact"/>
              <w:ind w:firstLine="200"/>
              <w:jc w:val="center"/>
              <w:rPr>
                <w:rFonts w:ascii="仿宋_GB2312" w:hAnsi="宋体" w:eastAsia="仿宋_GB2312" w:cs="仿宋_GB2312"/>
                <w:kern w:val="0"/>
                <w:sz w:val="28"/>
                <w:szCs w:val="28"/>
              </w:rPr>
            </w:pPr>
            <w:r>
              <w:rPr>
                <w:rFonts w:hint="eastAsia" w:ascii="仿宋_GB2312" w:hAnsi="宋体" w:eastAsia="仿宋_GB2312" w:cs="仿宋_GB2312"/>
                <w:kern w:val="0"/>
                <w:sz w:val="28"/>
                <w:szCs w:val="28"/>
              </w:rPr>
              <w:t>业务活动</w:t>
            </w:r>
            <w:r>
              <w:rPr>
                <w:rFonts w:ascii="仿宋_GB2312" w:hAnsi="宋体" w:eastAsia="仿宋_GB2312" w:cs="仿宋_GB2312"/>
                <w:kern w:val="0"/>
                <w:sz w:val="28"/>
                <w:szCs w:val="28"/>
              </w:rPr>
              <w:t>差旅费</w:t>
            </w:r>
          </w:p>
        </w:tc>
        <w:tc>
          <w:tcPr>
            <w:tcW w:w="2552" w:type="dxa"/>
            <w:tcBorders>
              <w:top w:val="single" w:color="auto" w:sz="4" w:space="0"/>
              <w:left w:val="nil"/>
              <w:bottom w:val="single" w:color="auto" w:sz="4" w:space="0"/>
              <w:right w:val="single" w:color="auto" w:sz="4" w:space="0"/>
            </w:tcBorders>
            <w:shd w:val="clear" w:color="000000" w:fill="FFFFFF"/>
            <w:noWrap/>
          </w:tcPr>
          <w:p>
            <w:pPr>
              <w:widowControl/>
              <w:spacing w:line="560" w:lineRule="exact"/>
              <w:ind w:firstLine="200"/>
              <w:jc w:val="right"/>
              <w:rPr>
                <w:rFonts w:ascii="仿宋_GB2312" w:hAnsi="宋体" w:eastAsia="仿宋_GB2312" w:cs="仿宋_GB2312"/>
                <w:kern w:val="0"/>
                <w:sz w:val="28"/>
                <w:szCs w:val="28"/>
              </w:rPr>
            </w:pPr>
            <w:r>
              <w:rPr>
                <w:rFonts w:hint="eastAsia" w:ascii="仿宋_GB2312" w:eastAsia="仿宋_GB2312"/>
                <w:sz w:val="28"/>
                <w:szCs w:val="28"/>
              </w:rPr>
              <w:t xml:space="preserve">15.63 </w:t>
            </w:r>
          </w:p>
        </w:tc>
      </w:tr>
      <w:tr>
        <w:tblPrEx>
          <w:tblLayout w:type="fixed"/>
          <w:tblCellMar>
            <w:top w:w="0" w:type="dxa"/>
            <w:left w:w="108" w:type="dxa"/>
            <w:bottom w:w="0" w:type="dxa"/>
            <w:right w:w="108" w:type="dxa"/>
          </w:tblCellMar>
        </w:tblPrEx>
        <w:trPr>
          <w:trHeight w:val="260" w:hRule="atLeast"/>
        </w:trPr>
        <w:tc>
          <w:tcPr>
            <w:tcW w:w="5240"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560" w:lineRule="exact"/>
              <w:ind w:firstLine="200"/>
              <w:jc w:val="center"/>
              <w:rPr>
                <w:rFonts w:ascii="仿宋_GB2312" w:hAnsi="宋体" w:eastAsia="仿宋_GB2312" w:cs="仿宋_GB2312"/>
                <w:kern w:val="0"/>
                <w:sz w:val="28"/>
                <w:szCs w:val="28"/>
              </w:rPr>
            </w:pPr>
            <w:r>
              <w:rPr>
                <w:rFonts w:ascii="仿宋_GB2312" w:hAnsi="宋体" w:eastAsia="仿宋_GB2312" w:cs="仿宋_GB2312"/>
                <w:kern w:val="0"/>
                <w:sz w:val="28"/>
                <w:szCs w:val="28"/>
              </w:rPr>
              <w:t>档案整理搬运费</w:t>
            </w:r>
          </w:p>
        </w:tc>
        <w:tc>
          <w:tcPr>
            <w:tcW w:w="2552" w:type="dxa"/>
            <w:tcBorders>
              <w:top w:val="nil"/>
              <w:left w:val="nil"/>
              <w:bottom w:val="single" w:color="auto" w:sz="4" w:space="0"/>
              <w:right w:val="single" w:color="auto" w:sz="4" w:space="0"/>
            </w:tcBorders>
            <w:shd w:val="clear" w:color="000000" w:fill="FFFFFF"/>
            <w:noWrap/>
          </w:tcPr>
          <w:p>
            <w:pPr>
              <w:widowControl/>
              <w:spacing w:line="560" w:lineRule="exact"/>
              <w:ind w:firstLine="200"/>
              <w:jc w:val="right"/>
              <w:rPr>
                <w:rFonts w:ascii="仿宋_GB2312" w:hAnsi="宋体" w:eastAsia="仿宋_GB2312" w:cs="仿宋_GB2312"/>
                <w:kern w:val="0"/>
                <w:sz w:val="28"/>
                <w:szCs w:val="28"/>
              </w:rPr>
            </w:pPr>
            <w:r>
              <w:rPr>
                <w:rFonts w:hint="eastAsia" w:ascii="仿宋_GB2312" w:eastAsia="仿宋_GB2312"/>
                <w:sz w:val="28"/>
                <w:szCs w:val="28"/>
              </w:rPr>
              <w:t xml:space="preserve">13.71 </w:t>
            </w:r>
          </w:p>
        </w:tc>
      </w:tr>
      <w:tr>
        <w:tblPrEx>
          <w:tblLayout w:type="fixed"/>
          <w:tblCellMar>
            <w:top w:w="0" w:type="dxa"/>
            <w:left w:w="108" w:type="dxa"/>
            <w:bottom w:w="0" w:type="dxa"/>
            <w:right w:w="108" w:type="dxa"/>
          </w:tblCellMar>
        </w:tblPrEx>
        <w:trPr>
          <w:trHeight w:val="260" w:hRule="atLeast"/>
        </w:trPr>
        <w:tc>
          <w:tcPr>
            <w:tcW w:w="5240"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560" w:lineRule="exact"/>
              <w:ind w:firstLine="200"/>
              <w:jc w:val="center"/>
              <w:rPr>
                <w:rFonts w:ascii="仿宋_GB2312" w:hAnsi="宋体" w:eastAsia="仿宋_GB2312" w:cs="仿宋_GB2312"/>
                <w:kern w:val="0"/>
                <w:sz w:val="28"/>
                <w:szCs w:val="28"/>
              </w:rPr>
            </w:pPr>
            <w:r>
              <w:rPr>
                <w:rFonts w:ascii="仿宋_GB2312" w:hAnsi="宋体" w:eastAsia="仿宋_GB2312" w:cs="仿宋_GB2312"/>
                <w:kern w:val="0"/>
                <w:sz w:val="28"/>
                <w:szCs w:val="28"/>
              </w:rPr>
              <w:t>互联网接入费</w:t>
            </w:r>
          </w:p>
        </w:tc>
        <w:tc>
          <w:tcPr>
            <w:tcW w:w="2552" w:type="dxa"/>
            <w:tcBorders>
              <w:top w:val="nil"/>
              <w:left w:val="nil"/>
              <w:bottom w:val="single" w:color="auto" w:sz="4" w:space="0"/>
              <w:right w:val="single" w:color="auto" w:sz="4" w:space="0"/>
            </w:tcBorders>
            <w:shd w:val="clear" w:color="000000" w:fill="FFFFFF"/>
            <w:noWrap/>
          </w:tcPr>
          <w:p>
            <w:pPr>
              <w:widowControl/>
              <w:spacing w:line="560" w:lineRule="exact"/>
              <w:ind w:firstLine="200"/>
              <w:jc w:val="right"/>
              <w:rPr>
                <w:rFonts w:ascii="仿宋_GB2312" w:hAnsi="宋体" w:eastAsia="仿宋_GB2312" w:cs="仿宋_GB2312"/>
                <w:kern w:val="0"/>
                <w:sz w:val="28"/>
                <w:szCs w:val="28"/>
              </w:rPr>
            </w:pPr>
            <w:r>
              <w:rPr>
                <w:rFonts w:hint="eastAsia" w:ascii="仿宋_GB2312" w:eastAsia="仿宋_GB2312"/>
                <w:sz w:val="28"/>
                <w:szCs w:val="28"/>
              </w:rPr>
              <w:t xml:space="preserve">15.36 </w:t>
            </w:r>
          </w:p>
        </w:tc>
      </w:tr>
      <w:tr>
        <w:tblPrEx>
          <w:tblLayout w:type="fixed"/>
          <w:tblCellMar>
            <w:top w:w="0" w:type="dxa"/>
            <w:left w:w="108" w:type="dxa"/>
            <w:bottom w:w="0" w:type="dxa"/>
            <w:right w:w="108" w:type="dxa"/>
          </w:tblCellMar>
        </w:tblPrEx>
        <w:trPr>
          <w:trHeight w:val="260" w:hRule="atLeast"/>
        </w:trPr>
        <w:tc>
          <w:tcPr>
            <w:tcW w:w="5240"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560" w:lineRule="exact"/>
              <w:ind w:firstLine="200"/>
              <w:jc w:val="center"/>
              <w:rPr>
                <w:rFonts w:ascii="仿宋_GB2312" w:hAnsi="宋体" w:eastAsia="仿宋_GB2312" w:cs="仿宋_GB2312"/>
                <w:kern w:val="0"/>
                <w:sz w:val="28"/>
                <w:szCs w:val="28"/>
              </w:rPr>
            </w:pPr>
            <w:r>
              <w:rPr>
                <w:rFonts w:hint="eastAsia" w:ascii="仿宋_GB2312" w:hAnsi="宋体" w:eastAsia="仿宋_GB2312" w:cs="仿宋_GB2312"/>
                <w:kern w:val="0"/>
                <w:sz w:val="28"/>
                <w:szCs w:val="28"/>
              </w:rPr>
              <w:t>人民</w:t>
            </w:r>
            <w:r>
              <w:rPr>
                <w:rFonts w:ascii="仿宋_GB2312" w:hAnsi="宋体" w:eastAsia="仿宋_GB2312" w:cs="仿宋_GB2312"/>
                <w:kern w:val="0"/>
                <w:sz w:val="28"/>
                <w:szCs w:val="28"/>
              </w:rPr>
              <w:t>陪审</w:t>
            </w:r>
            <w:r>
              <w:rPr>
                <w:rFonts w:hint="eastAsia" w:ascii="仿宋_GB2312" w:hAnsi="宋体" w:eastAsia="仿宋_GB2312" w:cs="仿宋_GB2312"/>
                <w:kern w:val="0"/>
                <w:sz w:val="28"/>
                <w:szCs w:val="28"/>
              </w:rPr>
              <w:t>员</w:t>
            </w:r>
            <w:r>
              <w:rPr>
                <w:rFonts w:ascii="仿宋_GB2312" w:hAnsi="宋体" w:eastAsia="仿宋_GB2312" w:cs="仿宋_GB2312"/>
                <w:kern w:val="0"/>
                <w:sz w:val="28"/>
                <w:szCs w:val="28"/>
              </w:rPr>
              <w:t>补助</w:t>
            </w:r>
          </w:p>
        </w:tc>
        <w:tc>
          <w:tcPr>
            <w:tcW w:w="2552" w:type="dxa"/>
            <w:tcBorders>
              <w:top w:val="nil"/>
              <w:left w:val="nil"/>
              <w:bottom w:val="single" w:color="auto" w:sz="4" w:space="0"/>
              <w:right w:val="single" w:color="auto" w:sz="4" w:space="0"/>
            </w:tcBorders>
            <w:shd w:val="clear" w:color="000000" w:fill="FFFFFF"/>
            <w:noWrap/>
          </w:tcPr>
          <w:p>
            <w:pPr>
              <w:widowControl/>
              <w:spacing w:line="560" w:lineRule="exact"/>
              <w:ind w:firstLine="200"/>
              <w:jc w:val="right"/>
              <w:rPr>
                <w:rFonts w:ascii="仿宋_GB2312" w:hAnsi="宋体" w:eastAsia="仿宋_GB2312" w:cs="仿宋_GB2312"/>
                <w:kern w:val="0"/>
                <w:sz w:val="28"/>
                <w:szCs w:val="28"/>
              </w:rPr>
            </w:pPr>
            <w:r>
              <w:rPr>
                <w:rFonts w:hint="eastAsia" w:ascii="仿宋_GB2312" w:eastAsia="仿宋_GB2312"/>
                <w:sz w:val="28"/>
                <w:szCs w:val="28"/>
              </w:rPr>
              <w:t xml:space="preserve">15.48 </w:t>
            </w:r>
          </w:p>
        </w:tc>
      </w:tr>
      <w:tr>
        <w:tblPrEx>
          <w:tblLayout w:type="fixed"/>
          <w:tblCellMar>
            <w:top w:w="0" w:type="dxa"/>
            <w:left w:w="108" w:type="dxa"/>
            <w:bottom w:w="0" w:type="dxa"/>
            <w:right w:w="108" w:type="dxa"/>
          </w:tblCellMar>
        </w:tblPrEx>
        <w:trPr>
          <w:trHeight w:val="260" w:hRule="atLeast"/>
        </w:trPr>
        <w:tc>
          <w:tcPr>
            <w:tcW w:w="5240"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560" w:lineRule="exact"/>
              <w:ind w:firstLine="200"/>
              <w:jc w:val="center"/>
              <w:rPr>
                <w:rFonts w:ascii="仿宋_GB2312" w:hAnsi="宋体" w:eastAsia="仿宋_GB2312" w:cs="仿宋_GB2312"/>
                <w:kern w:val="0"/>
                <w:sz w:val="28"/>
                <w:szCs w:val="28"/>
              </w:rPr>
            </w:pPr>
            <w:r>
              <w:rPr>
                <w:rFonts w:ascii="仿宋_GB2312" w:hAnsi="宋体" w:eastAsia="仿宋_GB2312" w:cs="仿宋_GB2312"/>
                <w:kern w:val="0"/>
                <w:sz w:val="28"/>
                <w:szCs w:val="28"/>
              </w:rPr>
              <w:t>培训费及授课费</w:t>
            </w:r>
          </w:p>
        </w:tc>
        <w:tc>
          <w:tcPr>
            <w:tcW w:w="2552" w:type="dxa"/>
            <w:tcBorders>
              <w:top w:val="nil"/>
              <w:left w:val="nil"/>
              <w:bottom w:val="single" w:color="auto" w:sz="4" w:space="0"/>
              <w:right w:val="single" w:color="auto" w:sz="4" w:space="0"/>
            </w:tcBorders>
            <w:shd w:val="clear" w:color="000000" w:fill="FFFFFF"/>
            <w:noWrap/>
          </w:tcPr>
          <w:p>
            <w:pPr>
              <w:widowControl/>
              <w:spacing w:line="560" w:lineRule="exact"/>
              <w:ind w:firstLine="200"/>
              <w:jc w:val="right"/>
              <w:rPr>
                <w:rFonts w:ascii="仿宋_GB2312" w:hAnsi="宋体" w:eastAsia="仿宋_GB2312" w:cs="仿宋_GB2312"/>
                <w:kern w:val="0"/>
                <w:sz w:val="28"/>
                <w:szCs w:val="28"/>
              </w:rPr>
            </w:pPr>
            <w:r>
              <w:rPr>
                <w:rFonts w:hint="eastAsia" w:ascii="仿宋_GB2312" w:eastAsia="仿宋_GB2312"/>
                <w:sz w:val="28"/>
                <w:szCs w:val="28"/>
              </w:rPr>
              <w:t xml:space="preserve">49.77 </w:t>
            </w:r>
          </w:p>
        </w:tc>
      </w:tr>
      <w:tr>
        <w:tblPrEx>
          <w:tblLayout w:type="fixed"/>
          <w:tblCellMar>
            <w:top w:w="0" w:type="dxa"/>
            <w:left w:w="108" w:type="dxa"/>
            <w:bottom w:w="0" w:type="dxa"/>
            <w:right w:w="108" w:type="dxa"/>
          </w:tblCellMar>
        </w:tblPrEx>
        <w:trPr>
          <w:trHeight w:val="260" w:hRule="atLeast"/>
        </w:trPr>
        <w:tc>
          <w:tcPr>
            <w:tcW w:w="5240"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560" w:lineRule="exact"/>
              <w:ind w:firstLine="200"/>
              <w:jc w:val="center"/>
              <w:rPr>
                <w:rFonts w:ascii="仿宋_GB2312" w:hAnsi="宋体" w:eastAsia="仿宋_GB2312" w:cs="仿宋_GB2312"/>
                <w:kern w:val="0"/>
                <w:sz w:val="28"/>
                <w:szCs w:val="28"/>
              </w:rPr>
            </w:pPr>
            <w:r>
              <w:rPr>
                <w:rFonts w:ascii="仿宋_GB2312" w:hAnsi="宋体" w:eastAsia="仿宋_GB2312" w:cs="仿宋_GB2312"/>
                <w:kern w:val="0"/>
                <w:sz w:val="28"/>
                <w:szCs w:val="28"/>
              </w:rPr>
              <w:t>其他</w:t>
            </w:r>
          </w:p>
        </w:tc>
        <w:tc>
          <w:tcPr>
            <w:tcW w:w="2552" w:type="dxa"/>
            <w:tcBorders>
              <w:top w:val="nil"/>
              <w:left w:val="nil"/>
              <w:bottom w:val="single" w:color="auto" w:sz="4" w:space="0"/>
              <w:right w:val="single" w:color="auto" w:sz="4" w:space="0"/>
            </w:tcBorders>
            <w:shd w:val="clear" w:color="000000" w:fill="FFFFFF"/>
            <w:noWrap/>
          </w:tcPr>
          <w:p>
            <w:pPr>
              <w:widowControl/>
              <w:spacing w:line="560" w:lineRule="exact"/>
              <w:ind w:firstLine="200"/>
              <w:jc w:val="right"/>
              <w:rPr>
                <w:rFonts w:ascii="仿宋_GB2312" w:hAnsi="宋体" w:eastAsia="仿宋_GB2312" w:cs="仿宋_GB2312"/>
                <w:kern w:val="0"/>
                <w:sz w:val="28"/>
                <w:szCs w:val="28"/>
              </w:rPr>
            </w:pPr>
            <w:r>
              <w:rPr>
                <w:rFonts w:hint="eastAsia" w:ascii="仿宋_GB2312" w:eastAsia="仿宋_GB2312"/>
                <w:sz w:val="28"/>
                <w:szCs w:val="28"/>
              </w:rPr>
              <w:t xml:space="preserve">55.77 </w:t>
            </w:r>
          </w:p>
        </w:tc>
      </w:tr>
      <w:tr>
        <w:tblPrEx>
          <w:tblLayout w:type="fixed"/>
          <w:tblCellMar>
            <w:top w:w="0" w:type="dxa"/>
            <w:left w:w="108" w:type="dxa"/>
            <w:bottom w:w="0" w:type="dxa"/>
            <w:right w:w="108" w:type="dxa"/>
          </w:tblCellMar>
        </w:tblPrEx>
        <w:trPr>
          <w:trHeight w:val="260" w:hRule="atLeast"/>
        </w:trPr>
        <w:tc>
          <w:tcPr>
            <w:tcW w:w="5240"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560" w:lineRule="exact"/>
              <w:ind w:firstLine="200"/>
              <w:jc w:val="center"/>
              <w:rPr>
                <w:rFonts w:ascii="仿宋_GB2312" w:hAnsi="宋体" w:eastAsia="仿宋_GB2312" w:cs="仿宋_GB2312"/>
                <w:kern w:val="0"/>
                <w:sz w:val="28"/>
                <w:szCs w:val="28"/>
              </w:rPr>
            </w:pPr>
            <w:r>
              <w:rPr>
                <w:rFonts w:ascii="仿宋_GB2312" w:hAnsi="宋体" w:eastAsia="仿宋_GB2312" w:cs="仿宋_GB2312"/>
                <w:kern w:val="0"/>
                <w:sz w:val="28"/>
                <w:szCs w:val="28"/>
              </w:rPr>
              <w:t>全包维修服务费</w:t>
            </w:r>
          </w:p>
        </w:tc>
        <w:tc>
          <w:tcPr>
            <w:tcW w:w="2552" w:type="dxa"/>
            <w:tcBorders>
              <w:top w:val="nil"/>
              <w:left w:val="nil"/>
              <w:bottom w:val="single" w:color="auto" w:sz="4" w:space="0"/>
              <w:right w:val="single" w:color="auto" w:sz="4" w:space="0"/>
            </w:tcBorders>
            <w:shd w:val="clear" w:color="000000" w:fill="FFFFFF"/>
            <w:noWrap/>
          </w:tcPr>
          <w:p>
            <w:pPr>
              <w:widowControl/>
              <w:spacing w:line="560" w:lineRule="exact"/>
              <w:ind w:firstLine="200"/>
              <w:jc w:val="right"/>
              <w:rPr>
                <w:rFonts w:ascii="仿宋_GB2312" w:hAnsi="宋体" w:eastAsia="仿宋_GB2312" w:cs="仿宋_GB2312"/>
                <w:kern w:val="0"/>
                <w:sz w:val="28"/>
                <w:szCs w:val="28"/>
              </w:rPr>
            </w:pPr>
            <w:r>
              <w:rPr>
                <w:rFonts w:hint="eastAsia" w:ascii="仿宋_GB2312" w:eastAsia="仿宋_GB2312"/>
                <w:sz w:val="28"/>
                <w:szCs w:val="28"/>
              </w:rPr>
              <w:t xml:space="preserve">14.19 </w:t>
            </w:r>
          </w:p>
        </w:tc>
      </w:tr>
      <w:tr>
        <w:tblPrEx>
          <w:tblLayout w:type="fixed"/>
          <w:tblCellMar>
            <w:top w:w="0" w:type="dxa"/>
            <w:left w:w="108" w:type="dxa"/>
            <w:bottom w:w="0" w:type="dxa"/>
            <w:right w:w="108" w:type="dxa"/>
          </w:tblCellMar>
        </w:tblPrEx>
        <w:trPr>
          <w:trHeight w:val="260" w:hRule="atLeast"/>
        </w:trPr>
        <w:tc>
          <w:tcPr>
            <w:tcW w:w="5240"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560" w:lineRule="exact"/>
              <w:ind w:firstLine="200"/>
              <w:jc w:val="center"/>
              <w:rPr>
                <w:rFonts w:hint="eastAsia" w:ascii="仿宋_GB2312" w:hAnsi="宋体" w:eastAsia="仿宋_GB2312" w:cs="仿宋_GB2312"/>
                <w:kern w:val="0"/>
                <w:sz w:val="28"/>
                <w:szCs w:val="28"/>
              </w:rPr>
            </w:pPr>
            <w:r>
              <w:rPr>
                <w:rFonts w:hint="eastAsia" w:ascii="仿宋_GB2312" w:hAnsi="宋体" w:eastAsia="仿宋_GB2312" w:cs="仿宋_GB2312"/>
                <w:kern w:val="0"/>
                <w:sz w:val="28"/>
                <w:szCs w:val="28"/>
              </w:rPr>
              <w:t>业务资料费</w:t>
            </w:r>
          </w:p>
        </w:tc>
        <w:tc>
          <w:tcPr>
            <w:tcW w:w="2552" w:type="dxa"/>
            <w:tcBorders>
              <w:top w:val="nil"/>
              <w:left w:val="nil"/>
              <w:bottom w:val="single" w:color="auto" w:sz="4" w:space="0"/>
              <w:right w:val="single" w:color="auto" w:sz="4" w:space="0"/>
            </w:tcBorders>
            <w:shd w:val="clear" w:color="000000" w:fill="FFFFFF"/>
            <w:noWrap/>
          </w:tcPr>
          <w:p>
            <w:pPr>
              <w:widowControl/>
              <w:spacing w:line="560" w:lineRule="exact"/>
              <w:ind w:firstLine="200"/>
              <w:jc w:val="right"/>
              <w:rPr>
                <w:rFonts w:ascii="仿宋_GB2312" w:hAnsi="宋体" w:eastAsia="仿宋_GB2312" w:cs="仿宋_GB2312"/>
                <w:kern w:val="0"/>
                <w:sz w:val="28"/>
                <w:szCs w:val="28"/>
              </w:rPr>
            </w:pPr>
            <w:r>
              <w:rPr>
                <w:rFonts w:hint="eastAsia" w:ascii="仿宋_GB2312" w:eastAsia="仿宋_GB2312"/>
                <w:sz w:val="28"/>
                <w:szCs w:val="28"/>
              </w:rPr>
              <w:t xml:space="preserve">6.87 </w:t>
            </w:r>
          </w:p>
        </w:tc>
      </w:tr>
      <w:tr>
        <w:tblPrEx>
          <w:tblLayout w:type="fixed"/>
          <w:tblCellMar>
            <w:top w:w="0" w:type="dxa"/>
            <w:left w:w="108" w:type="dxa"/>
            <w:bottom w:w="0" w:type="dxa"/>
            <w:right w:w="108" w:type="dxa"/>
          </w:tblCellMar>
        </w:tblPrEx>
        <w:trPr>
          <w:trHeight w:val="260" w:hRule="atLeast"/>
        </w:trPr>
        <w:tc>
          <w:tcPr>
            <w:tcW w:w="5240"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560" w:lineRule="exact"/>
              <w:ind w:firstLine="200"/>
              <w:jc w:val="center"/>
              <w:rPr>
                <w:rFonts w:ascii="仿宋_GB2312" w:hAnsi="宋体" w:eastAsia="仿宋_GB2312" w:cs="仿宋_GB2312"/>
                <w:kern w:val="0"/>
                <w:sz w:val="28"/>
                <w:szCs w:val="28"/>
              </w:rPr>
            </w:pPr>
            <w:r>
              <w:rPr>
                <w:rFonts w:ascii="仿宋_GB2312" w:hAnsi="宋体" w:eastAsia="仿宋_GB2312" w:cs="仿宋_GB2312"/>
                <w:kern w:val="0"/>
                <w:sz w:val="28"/>
                <w:szCs w:val="28"/>
              </w:rPr>
              <w:t>司法送达服务项目二期款结算</w:t>
            </w:r>
          </w:p>
        </w:tc>
        <w:tc>
          <w:tcPr>
            <w:tcW w:w="2552" w:type="dxa"/>
            <w:tcBorders>
              <w:top w:val="nil"/>
              <w:left w:val="nil"/>
              <w:bottom w:val="single" w:color="auto" w:sz="4" w:space="0"/>
              <w:right w:val="single" w:color="auto" w:sz="4" w:space="0"/>
            </w:tcBorders>
            <w:shd w:val="clear" w:color="000000" w:fill="FFFFFF"/>
            <w:noWrap/>
          </w:tcPr>
          <w:p>
            <w:pPr>
              <w:widowControl/>
              <w:spacing w:line="560" w:lineRule="exact"/>
              <w:ind w:firstLine="200"/>
              <w:jc w:val="right"/>
              <w:rPr>
                <w:rFonts w:ascii="仿宋_GB2312" w:hAnsi="宋体" w:eastAsia="仿宋_GB2312" w:cs="仿宋_GB2312"/>
                <w:kern w:val="0"/>
                <w:sz w:val="28"/>
                <w:szCs w:val="28"/>
              </w:rPr>
            </w:pPr>
            <w:r>
              <w:rPr>
                <w:rFonts w:hint="eastAsia" w:ascii="仿宋_GB2312" w:eastAsia="仿宋_GB2312"/>
                <w:sz w:val="28"/>
                <w:szCs w:val="28"/>
              </w:rPr>
              <w:t xml:space="preserve">30.00 </w:t>
            </w:r>
          </w:p>
        </w:tc>
      </w:tr>
      <w:tr>
        <w:tblPrEx>
          <w:tblLayout w:type="fixed"/>
          <w:tblCellMar>
            <w:top w:w="0" w:type="dxa"/>
            <w:left w:w="108" w:type="dxa"/>
            <w:bottom w:w="0" w:type="dxa"/>
            <w:right w:w="108" w:type="dxa"/>
          </w:tblCellMar>
        </w:tblPrEx>
        <w:trPr>
          <w:trHeight w:val="260" w:hRule="atLeast"/>
        </w:trPr>
        <w:tc>
          <w:tcPr>
            <w:tcW w:w="5240"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560" w:lineRule="exact"/>
              <w:ind w:firstLine="200"/>
              <w:jc w:val="center"/>
              <w:rPr>
                <w:rFonts w:ascii="仿宋_GB2312" w:hAnsi="宋体" w:eastAsia="仿宋_GB2312" w:cs="仿宋_GB2312"/>
                <w:kern w:val="0"/>
                <w:sz w:val="28"/>
                <w:szCs w:val="28"/>
              </w:rPr>
            </w:pPr>
            <w:r>
              <w:rPr>
                <w:rFonts w:ascii="仿宋_GB2312" w:hAnsi="宋体" w:eastAsia="仿宋_GB2312" w:cs="仿宋_GB2312"/>
                <w:kern w:val="0"/>
                <w:sz w:val="28"/>
                <w:szCs w:val="28"/>
              </w:rPr>
              <w:t>诉讼档案扫描及随案生成、档案存储</w:t>
            </w:r>
          </w:p>
        </w:tc>
        <w:tc>
          <w:tcPr>
            <w:tcW w:w="2552" w:type="dxa"/>
            <w:tcBorders>
              <w:top w:val="nil"/>
              <w:left w:val="nil"/>
              <w:bottom w:val="single" w:color="auto" w:sz="4" w:space="0"/>
              <w:right w:val="single" w:color="auto" w:sz="4" w:space="0"/>
            </w:tcBorders>
            <w:shd w:val="clear" w:color="000000" w:fill="FFFFFF"/>
            <w:noWrap/>
          </w:tcPr>
          <w:p>
            <w:pPr>
              <w:widowControl/>
              <w:spacing w:line="560" w:lineRule="exact"/>
              <w:ind w:firstLine="200"/>
              <w:jc w:val="right"/>
              <w:rPr>
                <w:rFonts w:ascii="仿宋_GB2312" w:hAnsi="宋体" w:eastAsia="仿宋_GB2312" w:cs="仿宋_GB2312"/>
                <w:kern w:val="0"/>
                <w:sz w:val="28"/>
                <w:szCs w:val="28"/>
              </w:rPr>
            </w:pPr>
            <w:r>
              <w:rPr>
                <w:rFonts w:hint="eastAsia" w:ascii="仿宋_GB2312" w:eastAsia="仿宋_GB2312"/>
                <w:sz w:val="28"/>
                <w:szCs w:val="28"/>
              </w:rPr>
              <w:t xml:space="preserve">204.34 </w:t>
            </w:r>
          </w:p>
        </w:tc>
      </w:tr>
      <w:tr>
        <w:tblPrEx>
          <w:tblLayout w:type="fixed"/>
          <w:tblCellMar>
            <w:top w:w="0" w:type="dxa"/>
            <w:left w:w="108" w:type="dxa"/>
            <w:bottom w:w="0" w:type="dxa"/>
            <w:right w:w="108" w:type="dxa"/>
          </w:tblCellMar>
        </w:tblPrEx>
        <w:trPr>
          <w:trHeight w:val="260" w:hRule="atLeast"/>
        </w:trPr>
        <w:tc>
          <w:tcPr>
            <w:tcW w:w="5240"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560" w:lineRule="exact"/>
              <w:ind w:firstLine="200"/>
              <w:jc w:val="center"/>
              <w:rPr>
                <w:rFonts w:ascii="仿宋_GB2312" w:hAnsi="宋体" w:eastAsia="仿宋_GB2312" w:cs="仿宋_GB2312"/>
                <w:kern w:val="0"/>
                <w:sz w:val="28"/>
                <w:szCs w:val="28"/>
              </w:rPr>
            </w:pPr>
            <w:r>
              <w:rPr>
                <w:rFonts w:ascii="仿宋_GB2312" w:hAnsi="宋体" w:eastAsia="仿宋_GB2312" w:cs="仿宋_GB2312"/>
                <w:kern w:val="0"/>
                <w:sz w:val="28"/>
                <w:szCs w:val="28"/>
              </w:rPr>
              <w:t>通讯费</w:t>
            </w:r>
          </w:p>
        </w:tc>
        <w:tc>
          <w:tcPr>
            <w:tcW w:w="2552" w:type="dxa"/>
            <w:tcBorders>
              <w:top w:val="nil"/>
              <w:left w:val="nil"/>
              <w:bottom w:val="single" w:color="auto" w:sz="4" w:space="0"/>
              <w:right w:val="single" w:color="auto" w:sz="4" w:space="0"/>
            </w:tcBorders>
            <w:shd w:val="clear" w:color="000000" w:fill="FFFFFF"/>
            <w:noWrap/>
          </w:tcPr>
          <w:p>
            <w:pPr>
              <w:widowControl/>
              <w:spacing w:line="560" w:lineRule="exact"/>
              <w:ind w:firstLine="200"/>
              <w:jc w:val="right"/>
              <w:rPr>
                <w:rFonts w:ascii="仿宋_GB2312" w:hAnsi="宋体" w:eastAsia="仿宋_GB2312" w:cs="仿宋_GB2312"/>
                <w:kern w:val="0"/>
                <w:sz w:val="28"/>
                <w:szCs w:val="28"/>
              </w:rPr>
            </w:pPr>
            <w:r>
              <w:rPr>
                <w:rFonts w:hint="eastAsia" w:ascii="仿宋_GB2312" w:eastAsia="仿宋_GB2312"/>
                <w:sz w:val="28"/>
                <w:szCs w:val="28"/>
              </w:rPr>
              <w:t xml:space="preserve">47.76 </w:t>
            </w:r>
          </w:p>
        </w:tc>
      </w:tr>
      <w:tr>
        <w:tblPrEx>
          <w:tblLayout w:type="fixed"/>
          <w:tblCellMar>
            <w:top w:w="0" w:type="dxa"/>
            <w:left w:w="108" w:type="dxa"/>
            <w:bottom w:w="0" w:type="dxa"/>
            <w:right w:w="108" w:type="dxa"/>
          </w:tblCellMar>
        </w:tblPrEx>
        <w:trPr>
          <w:trHeight w:val="260" w:hRule="atLeast"/>
        </w:trPr>
        <w:tc>
          <w:tcPr>
            <w:tcW w:w="5240"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560" w:lineRule="exact"/>
              <w:ind w:firstLine="200"/>
              <w:jc w:val="center"/>
              <w:rPr>
                <w:rFonts w:ascii="仿宋_GB2312" w:hAnsi="宋体" w:eastAsia="仿宋_GB2312" w:cs="仿宋_GB2312"/>
                <w:kern w:val="0"/>
                <w:sz w:val="28"/>
                <w:szCs w:val="28"/>
              </w:rPr>
            </w:pPr>
            <w:r>
              <w:rPr>
                <w:rFonts w:hint="eastAsia" w:ascii="仿宋_GB2312" w:hAnsi="宋体" w:eastAsia="仿宋_GB2312" w:cs="仿宋_GB2312"/>
                <w:kern w:val="0"/>
                <w:sz w:val="28"/>
                <w:szCs w:val="28"/>
              </w:rPr>
              <w:t>业务活动</w:t>
            </w:r>
            <w:r>
              <w:rPr>
                <w:rFonts w:ascii="仿宋_GB2312" w:hAnsi="宋体" w:eastAsia="仿宋_GB2312" w:cs="仿宋_GB2312"/>
                <w:kern w:val="0"/>
                <w:sz w:val="28"/>
                <w:szCs w:val="28"/>
              </w:rPr>
              <w:t>误餐费</w:t>
            </w:r>
          </w:p>
        </w:tc>
        <w:tc>
          <w:tcPr>
            <w:tcW w:w="2552" w:type="dxa"/>
            <w:tcBorders>
              <w:top w:val="nil"/>
              <w:left w:val="nil"/>
              <w:bottom w:val="single" w:color="auto" w:sz="4" w:space="0"/>
              <w:right w:val="single" w:color="auto" w:sz="4" w:space="0"/>
            </w:tcBorders>
            <w:shd w:val="clear" w:color="000000" w:fill="FFFFFF"/>
            <w:noWrap/>
          </w:tcPr>
          <w:p>
            <w:pPr>
              <w:widowControl/>
              <w:spacing w:line="560" w:lineRule="exact"/>
              <w:ind w:firstLine="200"/>
              <w:jc w:val="right"/>
              <w:rPr>
                <w:rFonts w:ascii="仿宋_GB2312" w:hAnsi="宋体" w:eastAsia="仿宋_GB2312" w:cs="仿宋_GB2312"/>
                <w:kern w:val="0"/>
                <w:sz w:val="28"/>
                <w:szCs w:val="28"/>
              </w:rPr>
            </w:pPr>
            <w:r>
              <w:rPr>
                <w:rFonts w:hint="eastAsia" w:ascii="仿宋_GB2312" w:eastAsia="仿宋_GB2312"/>
                <w:sz w:val="28"/>
                <w:szCs w:val="28"/>
              </w:rPr>
              <w:t xml:space="preserve">0.37 </w:t>
            </w:r>
          </w:p>
        </w:tc>
      </w:tr>
      <w:tr>
        <w:tblPrEx>
          <w:tblLayout w:type="fixed"/>
          <w:tblCellMar>
            <w:top w:w="0" w:type="dxa"/>
            <w:left w:w="108" w:type="dxa"/>
            <w:bottom w:w="0" w:type="dxa"/>
            <w:right w:w="108" w:type="dxa"/>
          </w:tblCellMar>
        </w:tblPrEx>
        <w:trPr>
          <w:trHeight w:val="260" w:hRule="atLeast"/>
        </w:trPr>
        <w:tc>
          <w:tcPr>
            <w:tcW w:w="5240"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560" w:lineRule="exact"/>
              <w:ind w:firstLine="200"/>
              <w:jc w:val="center"/>
              <w:rPr>
                <w:rFonts w:ascii="仿宋_GB2312" w:hAnsi="宋体" w:eastAsia="仿宋_GB2312" w:cs="仿宋_GB2312"/>
                <w:kern w:val="0"/>
                <w:sz w:val="28"/>
                <w:szCs w:val="28"/>
              </w:rPr>
            </w:pPr>
            <w:r>
              <w:rPr>
                <w:rFonts w:ascii="仿宋_GB2312" w:hAnsi="宋体" w:eastAsia="仿宋_GB2312" w:cs="仿宋_GB2312"/>
                <w:kern w:val="0"/>
                <w:sz w:val="28"/>
                <w:szCs w:val="28"/>
              </w:rPr>
              <w:t>业务设备耗材费</w:t>
            </w:r>
          </w:p>
        </w:tc>
        <w:tc>
          <w:tcPr>
            <w:tcW w:w="2552" w:type="dxa"/>
            <w:tcBorders>
              <w:top w:val="nil"/>
              <w:left w:val="nil"/>
              <w:bottom w:val="single" w:color="auto" w:sz="4" w:space="0"/>
              <w:right w:val="single" w:color="auto" w:sz="4" w:space="0"/>
            </w:tcBorders>
            <w:shd w:val="clear" w:color="000000" w:fill="FFFFFF"/>
            <w:noWrap/>
          </w:tcPr>
          <w:p>
            <w:pPr>
              <w:widowControl/>
              <w:spacing w:line="560" w:lineRule="exact"/>
              <w:ind w:firstLine="200"/>
              <w:jc w:val="right"/>
              <w:rPr>
                <w:rFonts w:ascii="仿宋_GB2312" w:hAnsi="宋体" w:eastAsia="仿宋_GB2312" w:cs="仿宋_GB2312"/>
                <w:kern w:val="0"/>
                <w:sz w:val="28"/>
                <w:szCs w:val="28"/>
              </w:rPr>
            </w:pPr>
            <w:r>
              <w:rPr>
                <w:rFonts w:hint="eastAsia" w:ascii="仿宋_GB2312" w:eastAsia="仿宋_GB2312"/>
                <w:sz w:val="28"/>
                <w:szCs w:val="28"/>
              </w:rPr>
              <w:t xml:space="preserve">151.23 </w:t>
            </w:r>
          </w:p>
        </w:tc>
      </w:tr>
      <w:tr>
        <w:tblPrEx>
          <w:tblLayout w:type="fixed"/>
          <w:tblCellMar>
            <w:top w:w="0" w:type="dxa"/>
            <w:left w:w="108" w:type="dxa"/>
            <w:bottom w:w="0" w:type="dxa"/>
            <w:right w:w="108" w:type="dxa"/>
          </w:tblCellMar>
        </w:tblPrEx>
        <w:trPr>
          <w:trHeight w:val="260" w:hRule="atLeast"/>
        </w:trPr>
        <w:tc>
          <w:tcPr>
            <w:tcW w:w="5240"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560" w:lineRule="exact"/>
              <w:ind w:firstLine="200"/>
              <w:jc w:val="center"/>
              <w:rPr>
                <w:rFonts w:ascii="仿宋_GB2312" w:hAnsi="宋体" w:eastAsia="仿宋_GB2312" w:cs="仿宋_GB2312"/>
                <w:kern w:val="0"/>
                <w:sz w:val="28"/>
                <w:szCs w:val="28"/>
              </w:rPr>
            </w:pPr>
            <w:r>
              <w:rPr>
                <w:rFonts w:ascii="仿宋_GB2312" w:hAnsi="宋体" w:eastAsia="仿宋_GB2312" w:cs="仿宋_GB2312"/>
                <w:kern w:val="0"/>
                <w:sz w:val="28"/>
                <w:szCs w:val="28"/>
              </w:rPr>
              <w:t>印刷费</w:t>
            </w:r>
          </w:p>
        </w:tc>
        <w:tc>
          <w:tcPr>
            <w:tcW w:w="2552" w:type="dxa"/>
            <w:tcBorders>
              <w:top w:val="nil"/>
              <w:left w:val="nil"/>
              <w:bottom w:val="single" w:color="auto" w:sz="4" w:space="0"/>
              <w:right w:val="single" w:color="auto" w:sz="4" w:space="0"/>
            </w:tcBorders>
            <w:shd w:val="clear" w:color="000000" w:fill="FFFFFF"/>
            <w:noWrap/>
          </w:tcPr>
          <w:p>
            <w:pPr>
              <w:widowControl/>
              <w:spacing w:line="560" w:lineRule="exact"/>
              <w:ind w:firstLine="200"/>
              <w:jc w:val="right"/>
              <w:rPr>
                <w:rFonts w:ascii="仿宋_GB2312" w:hAnsi="宋体" w:eastAsia="仿宋_GB2312" w:cs="仿宋_GB2312"/>
                <w:kern w:val="0"/>
                <w:sz w:val="28"/>
                <w:szCs w:val="28"/>
              </w:rPr>
            </w:pPr>
            <w:r>
              <w:rPr>
                <w:rFonts w:hint="eastAsia" w:ascii="仿宋_GB2312" w:eastAsia="仿宋_GB2312"/>
                <w:sz w:val="28"/>
                <w:szCs w:val="28"/>
              </w:rPr>
              <w:t xml:space="preserve">23.31 </w:t>
            </w:r>
          </w:p>
        </w:tc>
      </w:tr>
      <w:tr>
        <w:tblPrEx>
          <w:tblLayout w:type="fixed"/>
          <w:tblCellMar>
            <w:top w:w="0" w:type="dxa"/>
            <w:left w:w="108" w:type="dxa"/>
            <w:bottom w:w="0" w:type="dxa"/>
            <w:right w:w="108" w:type="dxa"/>
          </w:tblCellMar>
        </w:tblPrEx>
        <w:trPr>
          <w:trHeight w:val="260" w:hRule="atLeast"/>
        </w:trPr>
        <w:tc>
          <w:tcPr>
            <w:tcW w:w="5240"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560" w:lineRule="exact"/>
              <w:ind w:firstLine="200"/>
              <w:jc w:val="center"/>
              <w:rPr>
                <w:rFonts w:ascii="仿宋_GB2312" w:hAnsi="宋体" w:eastAsia="仿宋_GB2312" w:cs="仿宋_GB2312"/>
                <w:kern w:val="0"/>
                <w:sz w:val="28"/>
                <w:szCs w:val="28"/>
              </w:rPr>
            </w:pPr>
            <w:r>
              <w:rPr>
                <w:rFonts w:ascii="仿宋_GB2312" w:hAnsi="宋体" w:eastAsia="仿宋_GB2312" w:cs="仿宋_GB2312"/>
                <w:kern w:val="0"/>
                <w:sz w:val="28"/>
                <w:szCs w:val="28"/>
              </w:rPr>
              <w:t>专递费</w:t>
            </w:r>
          </w:p>
        </w:tc>
        <w:tc>
          <w:tcPr>
            <w:tcW w:w="2552" w:type="dxa"/>
            <w:tcBorders>
              <w:top w:val="nil"/>
              <w:left w:val="nil"/>
              <w:bottom w:val="single" w:color="auto" w:sz="4" w:space="0"/>
              <w:right w:val="single" w:color="auto" w:sz="4" w:space="0"/>
            </w:tcBorders>
            <w:shd w:val="clear" w:color="000000" w:fill="FFFFFF"/>
            <w:noWrap/>
          </w:tcPr>
          <w:p>
            <w:pPr>
              <w:widowControl/>
              <w:spacing w:line="560" w:lineRule="exact"/>
              <w:ind w:firstLine="200"/>
              <w:jc w:val="right"/>
              <w:rPr>
                <w:rFonts w:ascii="仿宋_GB2312" w:hAnsi="宋体" w:eastAsia="仿宋_GB2312" w:cs="仿宋_GB2312"/>
                <w:kern w:val="0"/>
                <w:sz w:val="28"/>
                <w:szCs w:val="28"/>
              </w:rPr>
            </w:pPr>
            <w:r>
              <w:rPr>
                <w:rFonts w:hint="eastAsia" w:ascii="仿宋_GB2312" w:eastAsia="仿宋_GB2312"/>
                <w:sz w:val="28"/>
                <w:szCs w:val="28"/>
              </w:rPr>
              <w:t xml:space="preserve">110.23 </w:t>
            </w:r>
          </w:p>
        </w:tc>
      </w:tr>
      <w:tr>
        <w:tblPrEx>
          <w:tblLayout w:type="fixed"/>
          <w:tblCellMar>
            <w:top w:w="0" w:type="dxa"/>
            <w:left w:w="108" w:type="dxa"/>
            <w:bottom w:w="0" w:type="dxa"/>
            <w:right w:w="108" w:type="dxa"/>
          </w:tblCellMar>
        </w:tblPrEx>
        <w:trPr>
          <w:trHeight w:val="260" w:hRule="atLeast"/>
        </w:trPr>
        <w:tc>
          <w:tcPr>
            <w:tcW w:w="5240" w:type="dxa"/>
            <w:tcBorders>
              <w:top w:val="nil"/>
              <w:left w:val="single" w:color="auto" w:sz="4" w:space="0"/>
              <w:bottom w:val="single" w:color="auto" w:sz="4" w:space="0"/>
              <w:right w:val="single" w:color="auto" w:sz="4" w:space="0"/>
            </w:tcBorders>
            <w:shd w:val="clear" w:color="000000" w:fill="FFFFFF"/>
            <w:noWrap/>
            <w:vAlign w:val="center"/>
          </w:tcPr>
          <w:p>
            <w:pPr>
              <w:widowControl/>
              <w:spacing w:line="560" w:lineRule="exact"/>
              <w:ind w:firstLine="200"/>
              <w:jc w:val="center"/>
              <w:rPr>
                <w:rFonts w:ascii="仿宋_GB2312" w:hAnsi="宋体" w:eastAsia="仿宋_GB2312" w:cs="仿宋_GB2312"/>
                <w:b/>
                <w:bCs/>
                <w:kern w:val="0"/>
                <w:sz w:val="28"/>
                <w:szCs w:val="28"/>
              </w:rPr>
            </w:pPr>
            <w:r>
              <w:rPr>
                <w:rFonts w:ascii="仿宋_GB2312" w:hAnsi="宋体" w:eastAsia="仿宋_GB2312" w:cs="仿宋_GB2312"/>
                <w:b/>
                <w:bCs/>
                <w:kern w:val="0"/>
                <w:sz w:val="28"/>
                <w:szCs w:val="28"/>
              </w:rPr>
              <w:t>总计</w:t>
            </w:r>
          </w:p>
        </w:tc>
        <w:tc>
          <w:tcPr>
            <w:tcW w:w="2552" w:type="dxa"/>
            <w:tcBorders>
              <w:top w:val="nil"/>
              <w:left w:val="nil"/>
              <w:bottom w:val="single" w:color="auto" w:sz="4" w:space="0"/>
              <w:right w:val="single" w:color="auto" w:sz="4" w:space="0"/>
            </w:tcBorders>
            <w:shd w:val="clear" w:color="000000" w:fill="FFFFFF"/>
            <w:noWrap/>
          </w:tcPr>
          <w:p>
            <w:pPr>
              <w:widowControl/>
              <w:spacing w:line="560" w:lineRule="exact"/>
              <w:ind w:firstLine="200"/>
              <w:jc w:val="right"/>
              <w:rPr>
                <w:rFonts w:ascii="仿宋_GB2312" w:hAnsi="宋体" w:eastAsia="仿宋_GB2312" w:cs="仿宋_GB2312"/>
                <w:b/>
                <w:bCs/>
                <w:kern w:val="0"/>
                <w:sz w:val="28"/>
                <w:szCs w:val="28"/>
              </w:rPr>
            </w:pPr>
            <w:r>
              <w:rPr>
                <w:rFonts w:hint="eastAsia" w:ascii="仿宋_GB2312" w:eastAsia="仿宋_GB2312"/>
                <w:b/>
                <w:bCs/>
                <w:sz w:val="28"/>
                <w:szCs w:val="28"/>
              </w:rPr>
              <w:t xml:space="preserve">754.02 </w:t>
            </w:r>
          </w:p>
        </w:tc>
      </w:tr>
    </w:tbl>
    <w:p>
      <w:pPr>
        <w:widowControl/>
        <w:spacing w:line="560" w:lineRule="exact"/>
        <w:ind w:firstLine="640" w:firstLineChars="200"/>
        <w:outlineLvl w:val="1"/>
        <w:rPr>
          <w:rFonts w:ascii="楷体_GB2312" w:hAnsi="Arial" w:eastAsia="楷体_GB2312" w:cs="Arial"/>
          <w:bCs/>
          <w:sz w:val="32"/>
          <w:szCs w:val="32"/>
        </w:rPr>
      </w:pPr>
      <w:bookmarkStart w:id="18" w:name="_Toc1471"/>
      <w:r>
        <w:rPr>
          <w:rFonts w:hint="eastAsia" w:ascii="楷体_GB2312" w:hAnsi="Arial" w:eastAsia="楷体_GB2312" w:cs="Arial"/>
          <w:bCs/>
          <w:sz w:val="32"/>
          <w:szCs w:val="32"/>
        </w:rPr>
        <w:t>（二）项目绩效目标</w:t>
      </w:r>
      <w:bookmarkEnd w:id="12"/>
      <w:bookmarkEnd w:id="13"/>
      <w:bookmarkEnd w:id="14"/>
      <w:bookmarkEnd w:id="15"/>
      <w:bookmarkEnd w:id="16"/>
      <w:bookmarkEnd w:id="17"/>
      <w:bookmarkEnd w:id="18"/>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1.总体指标</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该项目主要用于法院办案费、陪审人员劳务费、司法专邮通讯费、干警服装费、国家赔偿费、诉讼文书布告公告及印刷费、审判执行专业会议费、法官培训费、法制宣传费、协助办案费，以及根据最高法院和北京市关于审判执行等工作要求开展的集约送达等委托社会力量承担的审判执行辅助事项。根据单位实际业务需求进行支出，切实发挥审判业务经费使用效益，为区法院审执工作的顺利进行提供有力司法保障。</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2.产出指标</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（1）数量指标：预计案件结收比100%，法官人均结案数≥400件/人。</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w:t>
      </w:r>
      <w:bookmarkStart w:id="19" w:name="_Hlk166342846"/>
      <w:r>
        <w:rPr>
          <w:rFonts w:hint="eastAsia" w:ascii="仿宋_GB2312" w:hAnsi="仿宋" w:eastAsia="仿宋_GB2312"/>
          <w:sz w:val="32"/>
          <w:szCs w:val="32"/>
        </w:rPr>
        <w:t>）质量指标：一审案件服判息诉率≥75%。</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（3）成本指标：年度案均成本涨幅≤0%。</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3.效益指标</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社会效益指标：发挥司法规范引导功能，优化营商法治环境，依法平等保护各类市场主体；优化审判管理，提升审判质效，缩短案件审理时间；推进矛盾纠纷化解，助力基层社会治理。充分履行审判职能，切实保障促进经济社会发展，维护社会大局稳定；让人民群众在每一个司法案件中感受到公平正义。</w:t>
      </w:r>
    </w:p>
    <w:p>
      <w:pPr>
        <w:spacing w:line="560" w:lineRule="exact"/>
        <w:ind w:firstLine="640" w:firstLineChars="200"/>
        <w:rPr>
          <w:rFonts w:ascii="仿宋_GB2312" w:hAnsi="仿宋" w:eastAsia="仿宋_GB2312"/>
          <w:sz w:val="32"/>
          <w:szCs w:val="32"/>
        </w:rPr>
      </w:pPr>
      <w:r>
        <w:rPr>
          <w:rFonts w:ascii="仿宋_GB2312" w:hAnsi="仿宋" w:eastAsia="仿宋_GB2312"/>
          <w:sz w:val="32"/>
          <w:szCs w:val="32"/>
        </w:rPr>
        <w:t>4</w:t>
      </w:r>
      <w:r>
        <w:rPr>
          <w:rFonts w:hint="eastAsia" w:ascii="仿宋_GB2312" w:hAnsi="仿宋" w:eastAsia="仿宋_GB2312"/>
          <w:sz w:val="32"/>
          <w:szCs w:val="32"/>
        </w:rPr>
        <w:t>.满意度指标</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加强信息化建设，推进诉讼便民建设；深化便民服务机制，提升诉讼服务质量效率；提升司法公开规范化、信息化水平，切实保障当事人对审判活动的知情权；同级人民代表大会通过、赞成率100%。</w:t>
      </w:r>
    </w:p>
    <w:bookmarkEnd w:id="19"/>
    <w:p>
      <w:pPr>
        <w:pStyle w:val="2"/>
        <w:tabs>
          <w:tab w:val="left" w:pos="588"/>
        </w:tabs>
        <w:spacing w:before="0" w:after="0" w:line="560" w:lineRule="exact"/>
        <w:ind w:firstLine="640" w:firstLineChars="200"/>
        <w:rPr>
          <w:rFonts w:ascii="黑体" w:hAnsi="黑体" w:eastAsia="黑体"/>
          <w:b w:val="0"/>
          <w:bCs w:val="0"/>
          <w:sz w:val="32"/>
          <w:szCs w:val="32"/>
        </w:rPr>
      </w:pPr>
      <w:bookmarkStart w:id="20" w:name="_Toc23074"/>
      <w:r>
        <w:rPr>
          <w:rFonts w:hint="eastAsia" w:ascii="黑体" w:hAnsi="黑体" w:eastAsia="黑体"/>
          <w:b w:val="0"/>
          <w:bCs w:val="0"/>
          <w:sz w:val="32"/>
          <w:szCs w:val="32"/>
        </w:rPr>
        <w:t>二、绩效评价工作开展情况</w:t>
      </w:r>
      <w:bookmarkEnd w:id="20"/>
    </w:p>
    <w:p>
      <w:pPr>
        <w:widowControl/>
        <w:spacing w:line="560" w:lineRule="exact"/>
        <w:ind w:firstLine="640" w:firstLineChars="200"/>
        <w:outlineLvl w:val="1"/>
        <w:rPr>
          <w:rFonts w:ascii="楷体_GB2312" w:hAnsi="楷体_GB2312" w:eastAsia="楷体_GB2312" w:cs="楷体_GB2312"/>
          <w:kern w:val="0"/>
          <w:sz w:val="32"/>
          <w:szCs w:val="32"/>
        </w:rPr>
      </w:pPr>
      <w:bookmarkStart w:id="21" w:name="_Toc20673"/>
      <w:bookmarkStart w:id="22" w:name="_Toc8547"/>
      <w:r>
        <w:rPr>
          <w:rFonts w:hint="eastAsia" w:ascii="楷体_GB2312" w:hAnsi="楷体_GB2312" w:eastAsia="楷体_GB2312" w:cs="楷体_GB2312"/>
          <w:kern w:val="0"/>
          <w:sz w:val="32"/>
          <w:szCs w:val="32"/>
        </w:rPr>
        <w:t>（一）绩效评价目的、对象和范围</w:t>
      </w:r>
      <w:bookmarkEnd w:id="21"/>
      <w:bookmarkEnd w:id="22"/>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通过此次部门评价，对“法院办案业务费”项目支出的经济性、效率性、效益性和公平性以及预算资金的投入、使用过程、产出和效果进行客观、公正的评价分析，发现项目决策、项目过程管理中存在问题，提高项目实施单位预算绩效管理理念。通过提高决策水平、规范项目管理、保证项目资金使用的规范性、安全性，保证项目实施的效果，从而提高财政资金的使用效益。</w:t>
      </w:r>
    </w:p>
    <w:p>
      <w:pPr>
        <w:widowControl/>
        <w:spacing w:line="560" w:lineRule="exact"/>
        <w:ind w:firstLine="640" w:firstLineChars="200"/>
        <w:outlineLvl w:val="1"/>
        <w:rPr>
          <w:rFonts w:ascii="楷体_GB2312" w:hAnsi="楷体_GB2312" w:eastAsia="楷体_GB2312" w:cs="楷体_GB2312"/>
          <w:kern w:val="0"/>
          <w:sz w:val="32"/>
          <w:szCs w:val="32"/>
        </w:rPr>
      </w:pPr>
      <w:bookmarkStart w:id="23" w:name="_Toc29375"/>
      <w:bookmarkStart w:id="24" w:name="_Toc5500"/>
      <w:r>
        <w:rPr>
          <w:rFonts w:hint="eastAsia" w:ascii="楷体_GB2312" w:hAnsi="楷体_GB2312" w:eastAsia="楷体_GB2312" w:cs="楷体_GB2312"/>
          <w:kern w:val="0"/>
          <w:sz w:val="32"/>
          <w:szCs w:val="32"/>
        </w:rPr>
        <w:t>（二）绩效评价原则、评价指标体系、评价方法、评价标准</w:t>
      </w:r>
      <w:bookmarkEnd w:id="23"/>
      <w:bookmarkEnd w:id="24"/>
    </w:p>
    <w:p>
      <w:pPr>
        <w:tabs>
          <w:tab w:val="left" w:pos="6271"/>
        </w:tabs>
        <w:spacing w:line="560" w:lineRule="exact"/>
        <w:ind w:left="64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rPr>
        <w:t>绩效评价原则</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（1）科学公正。绩效评价应当运用科学合理的方法，按照规范的程序，对项目绩效进行客观、公正的反映。</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（2）统筹兼顾。部门评价应由项目单位自主实施,即“谁支出,谁自评”。</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（3）激励约束。绩效评价结果应用与预算安排、政策调整、改进管理实质性挂钩，体现奖优罚劣和激励相容导向，有效要安排、低效要减压、无效要问责。</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（4）公开透明。绩效评价结果应依法依规公开，并自觉接受社会监督。</w:t>
      </w:r>
    </w:p>
    <w:p>
      <w:pPr>
        <w:spacing w:line="560" w:lineRule="exact"/>
        <w:ind w:firstLine="640" w:firstLineChars="200"/>
        <w:rPr>
          <w:rFonts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rPr>
        <w:t>评价指标体系</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评价工作组根据《北京市项目支出绩效评价管理办法》中项目支出绩效评价指标体系框架（参考）样表，结合该项目特点，形成“法院办案业务费”项目绩效评价指标体系如下：</w:t>
      </w:r>
    </w:p>
    <w:tbl>
      <w:tblPr>
        <w:tblStyle w:val="13"/>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7"/>
        <w:gridCol w:w="2730"/>
        <w:gridCol w:w="3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2097"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jc w:val="center"/>
              <w:rPr>
                <w:rFonts w:ascii="仿宋_GB2312" w:hAnsi="仿宋" w:cs="仿宋"/>
                <w:b/>
                <w:bCs/>
                <w:sz w:val="24"/>
              </w:rPr>
            </w:pPr>
            <w:r>
              <w:rPr>
                <w:rFonts w:hint="eastAsia" w:ascii="仿宋_GB2312" w:hAnsi="仿宋" w:cs="仿宋"/>
                <w:b/>
                <w:bCs/>
                <w:sz w:val="24"/>
              </w:rPr>
              <w:t>一级指标</w:t>
            </w:r>
          </w:p>
        </w:tc>
        <w:tc>
          <w:tcPr>
            <w:tcW w:w="2730"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jc w:val="center"/>
              <w:rPr>
                <w:rFonts w:ascii="仿宋_GB2312" w:hAnsi="仿宋" w:cs="仿宋"/>
                <w:b/>
                <w:bCs/>
                <w:sz w:val="24"/>
              </w:rPr>
            </w:pPr>
            <w:r>
              <w:rPr>
                <w:rFonts w:hint="eastAsia" w:ascii="仿宋_GB2312" w:hAnsi="仿宋" w:cs="仿宋"/>
                <w:b/>
                <w:bCs/>
                <w:sz w:val="24"/>
              </w:rPr>
              <w:t>二级指标</w:t>
            </w: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jc w:val="center"/>
              <w:rPr>
                <w:rFonts w:ascii="仿宋_GB2312" w:hAnsi="仿宋" w:cs="仿宋"/>
                <w:b/>
                <w:bCs/>
                <w:sz w:val="24"/>
              </w:rPr>
            </w:pPr>
            <w:r>
              <w:rPr>
                <w:rFonts w:hint="eastAsia" w:ascii="仿宋_GB2312" w:hAnsi="仿宋" w:cs="仿宋"/>
                <w:b/>
                <w:bCs/>
                <w:sz w:val="24"/>
              </w:rPr>
              <w:t>三级指标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097" w:type="dxa"/>
            <w:vMerge w:val="restart"/>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决策（10分）</w:t>
            </w:r>
          </w:p>
        </w:tc>
        <w:tc>
          <w:tcPr>
            <w:tcW w:w="2730" w:type="dxa"/>
            <w:vMerge w:val="restart"/>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项目立项（4分）</w:t>
            </w: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立项依据充分性（2分）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p>
        </w:tc>
        <w:tc>
          <w:tcPr>
            <w:tcW w:w="2730"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立项程序规范性（2分）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p>
        </w:tc>
        <w:tc>
          <w:tcPr>
            <w:tcW w:w="2730" w:type="dxa"/>
            <w:vMerge w:val="restart"/>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绩效目标（3分） 　</w:t>
            </w: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绩效目标合理性（2分）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p>
        </w:tc>
        <w:tc>
          <w:tcPr>
            <w:tcW w:w="2730"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绩效指标明确性（1分）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p>
        </w:tc>
        <w:tc>
          <w:tcPr>
            <w:tcW w:w="2730" w:type="dxa"/>
            <w:vMerge w:val="restart"/>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资金投入（3分）</w:t>
            </w: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预算编制科学性（2分）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p>
        </w:tc>
        <w:tc>
          <w:tcPr>
            <w:tcW w:w="2730"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资金分配合理性（1分）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097" w:type="dxa"/>
            <w:vMerge w:val="restart"/>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过程（20分）</w:t>
            </w:r>
          </w:p>
        </w:tc>
        <w:tc>
          <w:tcPr>
            <w:tcW w:w="2730" w:type="dxa"/>
            <w:vMerge w:val="restart"/>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资金管理（10分）</w:t>
            </w: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资金到位率（2分）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p>
        </w:tc>
        <w:tc>
          <w:tcPr>
            <w:tcW w:w="2730"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预算执行率（3分）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p>
        </w:tc>
        <w:tc>
          <w:tcPr>
            <w:tcW w:w="2730"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资金使用合规性（</w:t>
            </w:r>
            <w:r>
              <w:rPr>
                <w:rFonts w:ascii="仿宋_GB2312" w:hAnsi="仿宋" w:cs="仿宋"/>
                <w:sz w:val="24"/>
              </w:rPr>
              <w:t>5</w:t>
            </w:r>
            <w:r>
              <w:rPr>
                <w:rFonts w:hint="eastAsia" w:ascii="仿宋_GB2312" w:hAnsi="仿宋" w:cs="仿宋"/>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p>
        </w:tc>
        <w:tc>
          <w:tcPr>
            <w:tcW w:w="2730" w:type="dxa"/>
            <w:vMerge w:val="restart"/>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组织实施（10分）</w:t>
            </w: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管理制度健全性（3分）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p>
        </w:tc>
        <w:tc>
          <w:tcPr>
            <w:tcW w:w="2730"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制度执行有效性（7分）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097" w:type="dxa"/>
            <w:vMerge w:val="restart"/>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产出（4</w:t>
            </w:r>
            <w:r>
              <w:rPr>
                <w:rFonts w:ascii="仿宋_GB2312" w:hAnsi="仿宋" w:cs="仿宋"/>
                <w:sz w:val="24"/>
              </w:rPr>
              <w:t>0</w:t>
            </w:r>
            <w:r>
              <w:rPr>
                <w:rFonts w:hint="eastAsia" w:ascii="仿宋_GB2312" w:hAnsi="仿宋" w:cs="仿宋"/>
                <w:sz w:val="24"/>
              </w:rPr>
              <w:t>分）</w:t>
            </w:r>
          </w:p>
        </w:tc>
        <w:tc>
          <w:tcPr>
            <w:tcW w:w="2730"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产出数量（</w:t>
            </w:r>
            <w:r>
              <w:rPr>
                <w:rFonts w:ascii="仿宋_GB2312" w:hAnsi="仿宋" w:cs="仿宋"/>
                <w:sz w:val="24"/>
              </w:rPr>
              <w:t>10</w:t>
            </w:r>
            <w:r>
              <w:rPr>
                <w:rFonts w:hint="eastAsia" w:ascii="仿宋_GB2312" w:hAnsi="仿宋" w:cs="仿宋"/>
                <w:sz w:val="24"/>
              </w:rPr>
              <w:t>分）</w:t>
            </w: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实际完成率（</w:t>
            </w:r>
            <w:r>
              <w:rPr>
                <w:rFonts w:ascii="仿宋_GB2312" w:hAnsi="仿宋" w:cs="仿宋"/>
                <w:sz w:val="24"/>
              </w:rPr>
              <w:t>10</w:t>
            </w:r>
            <w:r>
              <w:rPr>
                <w:rFonts w:hint="eastAsia" w:ascii="仿宋_GB2312" w:hAnsi="仿宋" w:cs="仿宋"/>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p>
        </w:tc>
        <w:tc>
          <w:tcPr>
            <w:tcW w:w="2730"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产出质量（</w:t>
            </w:r>
            <w:r>
              <w:rPr>
                <w:rFonts w:ascii="仿宋_GB2312" w:hAnsi="仿宋" w:cs="仿宋"/>
                <w:sz w:val="24"/>
              </w:rPr>
              <w:t>10</w:t>
            </w:r>
            <w:r>
              <w:rPr>
                <w:rFonts w:hint="eastAsia" w:ascii="仿宋_GB2312" w:hAnsi="仿宋" w:cs="仿宋"/>
                <w:sz w:val="24"/>
              </w:rPr>
              <w:t>分）</w:t>
            </w: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质量达标率（</w:t>
            </w:r>
            <w:r>
              <w:rPr>
                <w:rFonts w:ascii="仿宋_GB2312" w:hAnsi="仿宋" w:cs="仿宋"/>
                <w:sz w:val="24"/>
              </w:rPr>
              <w:t>10</w:t>
            </w:r>
            <w:r>
              <w:rPr>
                <w:rFonts w:hint="eastAsia" w:ascii="仿宋_GB2312" w:hAnsi="仿宋" w:cs="仿宋"/>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p>
        </w:tc>
        <w:tc>
          <w:tcPr>
            <w:tcW w:w="2730"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产出时效（10分）</w:t>
            </w: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完成及时性（10分）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p>
        </w:tc>
        <w:tc>
          <w:tcPr>
            <w:tcW w:w="2730"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产出成本（10分）</w:t>
            </w: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成本节约率（10分）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097" w:type="dxa"/>
            <w:vMerge w:val="restart"/>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效益（3</w:t>
            </w:r>
            <w:r>
              <w:rPr>
                <w:rFonts w:ascii="仿宋_GB2312" w:hAnsi="仿宋" w:cs="仿宋"/>
                <w:sz w:val="24"/>
              </w:rPr>
              <w:t>0</w:t>
            </w:r>
            <w:r>
              <w:rPr>
                <w:rFonts w:hint="eastAsia" w:ascii="仿宋_GB2312" w:hAnsi="仿宋" w:cs="仿宋"/>
                <w:sz w:val="24"/>
              </w:rPr>
              <w:t>分）</w:t>
            </w:r>
          </w:p>
        </w:tc>
        <w:tc>
          <w:tcPr>
            <w:tcW w:w="2730" w:type="dxa"/>
            <w:vMerge w:val="restart"/>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项目效益（3</w:t>
            </w:r>
            <w:r>
              <w:rPr>
                <w:rFonts w:ascii="仿宋_GB2312" w:hAnsi="仿宋" w:cs="仿宋"/>
                <w:sz w:val="24"/>
              </w:rPr>
              <w:t>0</w:t>
            </w:r>
            <w:r>
              <w:rPr>
                <w:rFonts w:hint="eastAsia" w:ascii="仿宋_GB2312" w:hAnsi="仿宋" w:cs="仿宋"/>
                <w:sz w:val="24"/>
              </w:rPr>
              <w:t>分）</w:t>
            </w: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实施效益（20分）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097"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p>
        </w:tc>
        <w:tc>
          <w:tcPr>
            <w:tcW w:w="2730" w:type="dxa"/>
            <w:vMerge w:val="continue"/>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p>
        </w:tc>
        <w:tc>
          <w:tcPr>
            <w:tcW w:w="3786" w:type="dxa"/>
            <w:vAlign w:val="center"/>
          </w:tcPr>
          <w:p>
            <w:pPr>
              <w:widowControl/>
              <w:pBdr>
                <w:top w:val="none" w:color="auto" w:sz="0" w:space="1"/>
                <w:left w:val="none" w:color="auto" w:sz="0" w:space="4"/>
                <w:bottom w:val="none" w:color="auto" w:sz="0" w:space="1"/>
                <w:right w:val="none" w:color="auto" w:sz="0" w:space="4"/>
              </w:pBdr>
              <w:tabs>
                <w:tab w:val="center" w:pos="4153"/>
                <w:tab w:val="right" w:pos="8306"/>
              </w:tabs>
              <w:spacing w:line="560" w:lineRule="exact"/>
              <w:contextualSpacing/>
              <w:rPr>
                <w:rFonts w:ascii="仿宋_GB2312" w:hAnsi="仿宋" w:cs="仿宋"/>
                <w:sz w:val="24"/>
              </w:rPr>
            </w:pPr>
            <w:r>
              <w:rPr>
                <w:rFonts w:hint="eastAsia" w:ascii="仿宋_GB2312" w:hAnsi="仿宋" w:cs="仿宋"/>
                <w:sz w:val="24"/>
              </w:rPr>
              <w:t>满意度（1</w:t>
            </w:r>
            <w:r>
              <w:rPr>
                <w:rFonts w:ascii="仿宋_GB2312" w:hAnsi="仿宋" w:cs="仿宋"/>
                <w:sz w:val="24"/>
              </w:rPr>
              <w:t>0</w:t>
            </w:r>
            <w:r>
              <w:rPr>
                <w:rFonts w:hint="eastAsia" w:ascii="仿宋_GB2312" w:hAnsi="仿宋" w:cs="仿宋"/>
                <w:sz w:val="24"/>
              </w:rPr>
              <w:t>分）</w:t>
            </w:r>
          </w:p>
        </w:tc>
      </w:tr>
    </w:tbl>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“法院办案业务费”项目绩效评价指标体系共设置4个一级指标，根据一级指标分解为10个二级指标、17个三级指标。根据决策和过程在项目中的重要程度，将“决策”权重设置为</w:t>
      </w: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rPr>
        <w:t>0分，“过程”权重设置为</w:t>
      </w: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rPr>
        <w:t>0分；为突出结果导向，“产出”权重设置为4</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分，“效益”权重设置为3</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分。</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评价方法</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本次评价采用成本效益分析法、比较法、因素分析法、公众评判法相结合的方法进行评价。</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成本效益分析法是指将投入与产出、效益进行关联性分析的方法。</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比较法是指将实施情况与绩效目标、历史情况、不同部门和地区同类支出情况进行比较的方法。</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因素分析法是指综合分析影响绩效目标实现、实施效果的内外部因素的方法。</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公众评判法是指通过专家评估、公众问卷及抽样调查的方式进行评判的方法。</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w:t>
      </w:r>
      <w:r>
        <w:rPr>
          <w:rFonts w:ascii="仿宋_GB2312" w:hAnsi="仿宋_GB2312" w:eastAsia="仿宋_GB2312" w:cs="仿宋_GB2312"/>
          <w:kern w:val="0"/>
          <w:sz w:val="32"/>
          <w:szCs w:val="32"/>
        </w:rPr>
        <w:t>.</w:t>
      </w:r>
      <w:r>
        <w:rPr>
          <w:rFonts w:hint="eastAsia" w:ascii="仿宋_GB2312" w:hAnsi="仿宋_GB2312" w:eastAsia="仿宋_GB2312" w:cs="仿宋_GB2312"/>
          <w:kern w:val="0"/>
          <w:sz w:val="32"/>
          <w:szCs w:val="32"/>
        </w:rPr>
        <w:t>评价标准</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本次绩效评价标准包括计划标准、行业标准、历史标准等用于对绩效指标完成情况进行比较。</w:t>
      </w:r>
    </w:p>
    <w:p>
      <w:pPr>
        <w:numPr>
          <w:ilvl w:val="0"/>
          <w:numId w:val="1"/>
        </w:num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计划标准。指以预先制定的目标、计划、预算、定额作为评价标准。</w:t>
      </w:r>
    </w:p>
    <w:p>
      <w:pPr>
        <w:numPr>
          <w:ilvl w:val="0"/>
          <w:numId w:val="1"/>
        </w:num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行业标准。指参照国家公布的行业指标数据制定的评价标准。</w:t>
      </w:r>
    </w:p>
    <w:p>
      <w:pPr>
        <w:numPr>
          <w:ilvl w:val="0"/>
          <w:numId w:val="1"/>
        </w:num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历史标准。指参照历史数据制定的评价标准，为体现绩效改进的原则，在可实现的条件下应当确定相对较高的评价标准。</w:t>
      </w:r>
    </w:p>
    <w:p>
      <w:pPr>
        <w:widowControl/>
        <w:spacing w:line="560" w:lineRule="exact"/>
        <w:ind w:firstLine="640" w:firstLineChars="200"/>
        <w:outlineLvl w:val="1"/>
        <w:rPr>
          <w:rFonts w:ascii="楷体_GB2312" w:hAnsi="楷体_GB2312" w:eastAsia="楷体_GB2312" w:cs="楷体_GB2312"/>
          <w:kern w:val="0"/>
          <w:sz w:val="32"/>
          <w:szCs w:val="32"/>
        </w:rPr>
      </w:pPr>
      <w:bookmarkStart w:id="25" w:name="_Toc19747"/>
      <w:bookmarkStart w:id="26" w:name="_Toc6050"/>
      <w:r>
        <w:rPr>
          <w:rFonts w:hint="eastAsia" w:ascii="楷体_GB2312" w:hAnsi="楷体_GB2312" w:eastAsia="楷体_GB2312" w:cs="楷体_GB2312"/>
          <w:kern w:val="0"/>
          <w:sz w:val="32"/>
          <w:szCs w:val="32"/>
        </w:rPr>
        <w:t>（三）绩效评价工作过程</w:t>
      </w:r>
      <w:bookmarkEnd w:id="25"/>
      <w:bookmarkEnd w:id="26"/>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为确保绩效评价工作的客观公正，评价工作组严格按照绩效评价工作流程，组织该项目的绩效评价工作。本次绩效评价工作包括准备、实施、评价分析三个阶段。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1．准备阶段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2024年4月，区法院委托北京正衡东亚会计师事务所有限公司对该项目进行绩效评价，组成了由区法院分管项目领导、区法院相关科室人员、会计师事务所人员参加的评价工作组。评价工作组围绕“法院办案业务费”项目特点和绩效评价重点进行内部研讨，建立沟通协调机制，根据绩效评价要求收集相关资料，并在正式评价前对项目评价工作人员进行了相关培训。</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2．实施阶段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评价工作组对所收集的资料进行查验、核对、整理分析；召开绩效评价工作沟通会，就该项目立项背景、评价对象内容、方式和方法、指标体系等与区法院领导、业务人员进行沟通，根据沟通情况对该项目进行综合评价，形成初步评价结论。</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3．评价分析阶段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评价工作组根据收集到的项目相关资料及收集的意见、建议，对项目决策、管理、产出、效益等内容进行综合分析，按照规定的文本格式和内容撰写绩效评价报告，并提交区法院征求意见。评价工作组在区法院相关科室反馈意见的基础上，对评价报告进行修改和完善，形成正式绩效评价报告。</w:t>
      </w:r>
    </w:p>
    <w:p>
      <w:pPr>
        <w:spacing w:line="560" w:lineRule="exact"/>
        <w:ind w:firstLine="658"/>
        <w:outlineLvl w:val="0"/>
        <w:rPr>
          <w:rFonts w:ascii="黑体" w:hAnsi="黑体" w:eastAsia="黑体"/>
          <w:sz w:val="32"/>
          <w:szCs w:val="21"/>
        </w:rPr>
      </w:pPr>
      <w:bookmarkStart w:id="27" w:name="_Toc72955455"/>
      <w:bookmarkStart w:id="28" w:name="_Toc29464"/>
      <w:r>
        <w:rPr>
          <w:rFonts w:hint="eastAsia" w:ascii="黑体" w:hAnsi="黑体" w:eastAsia="黑体"/>
          <w:sz w:val="32"/>
          <w:szCs w:val="21"/>
        </w:rPr>
        <w:t>三</w:t>
      </w:r>
      <w:r>
        <w:rPr>
          <w:rFonts w:ascii="黑体" w:hAnsi="黑体" w:eastAsia="黑体"/>
          <w:sz w:val="32"/>
          <w:szCs w:val="21"/>
        </w:rPr>
        <w:t>、</w:t>
      </w:r>
      <w:r>
        <w:rPr>
          <w:rFonts w:hint="eastAsia" w:ascii="黑体" w:hAnsi="黑体" w:eastAsia="黑体"/>
          <w:sz w:val="32"/>
          <w:szCs w:val="21"/>
        </w:rPr>
        <w:t>综合评价情况及评价</w:t>
      </w:r>
      <w:r>
        <w:rPr>
          <w:rFonts w:ascii="黑体" w:hAnsi="黑体" w:eastAsia="黑体"/>
          <w:sz w:val="32"/>
          <w:szCs w:val="21"/>
        </w:rPr>
        <w:t>结论</w:t>
      </w:r>
      <w:bookmarkEnd w:id="27"/>
      <w:bookmarkEnd w:id="28"/>
    </w:p>
    <w:p>
      <w:pPr>
        <w:spacing w:line="560" w:lineRule="exact"/>
        <w:ind w:firstLine="648"/>
        <w:rPr>
          <w:rFonts w:ascii="仿宋_GB2312" w:hAnsi="仿宋_GB2312" w:eastAsia="仿宋_GB2312" w:cs="仿宋_GB2312"/>
          <w:sz w:val="32"/>
          <w:szCs w:val="21"/>
        </w:rPr>
      </w:pPr>
      <w:r>
        <w:rPr>
          <w:rFonts w:ascii="仿宋_GB2312" w:hAnsi="仿宋_GB2312" w:eastAsia="仿宋_GB2312" w:cs="仿宋_GB2312"/>
          <w:sz w:val="32"/>
          <w:szCs w:val="21"/>
        </w:rPr>
        <w:t>评价工作组</w:t>
      </w:r>
      <w:r>
        <w:rPr>
          <w:rFonts w:hint="eastAsia" w:ascii="仿宋_GB2312" w:hAnsi="仿宋_GB2312" w:eastAsia="仿宋_GB2312" w:cs="仿宋_GB2312"/>
          <w:sz w:val="32"/>
          <w:szCs w:val="21"/>
        </w:rPr>
        <w:t>根据制定的</w:t>
      </w:r>
      <w:r>
        <w:rPr>
          <w:rFonts w:ascii="仿宋_GB2312" w:hAnsi="仿宋_GB2312" w:eastAsia="仿宋_GB2312" w:cs="仿宋_GB2312"/>
          <w:sz w:val="32"/>
          <w:szCs w:val="21"/>
        </w:rPr>
        <w:t>制定</w:t>
      </w:r>
      <w:r>
        <w:rPr>
          <w:rFonts w:hint="eastAsia" w:ascii="仿宋_GB2312" w:hAnsi="仿宋_GB2312" w:eastAsia="仿宋_GB2312" w:cs="仿宋_GB2312"/>
          <w:sz w:val="32"/>
          <w:szCs w:val="21"/>
        </w:rPr>
        <w:t>该</w:t>
      </w:r>
      <w:r>
        <w:rPr>
          <w:rFonts w:ascii="仿宋_GB2312" w:hAnsi="仿宋_GB2312" w:eastAsia="仿宋_GB2312" w:cs="仿宋_GB2312"/>
          <w:sz w:val="32"/>
          <w:szCs w:val="21"/>
        </w:rPr>
        <w:t>项目绩效评价指标体系</w:t>
      </w:r>
      <w:r>
        <w:rPr>
          <w:rFonts w:hint="eastAsia" w:ascii="仿宋_GB2312" w:hAnsi="仿宋_GB2312" w:eastAsia="仿宋_GB2312" w:cs="仿宋_GB2312"/>
          <w:sz w:val="32"/>
          <w:szCs w:val="21"/>
        </w:rPr>
        <w:t>，逐项进行打分，项目决策、项目过程、项目产出、项目效益等4个方面的得分如下：</w:t>
      </w:r>
    </w:p>
    <w:p>
      <w:pPr>
        <w:spacing w:line="560" w:lineRule="exact"/>
        <w:ind w:firstLine="648"/>
        <w:rPr>
          <w:rFonts w:ascii="仿宋_GB2312" w:hAnsi="仿宋_GB2312" w:eastAsia="仿宋_GB2312" w:cs="仿宋_GB2312"/>
          <w:sz w:val="32"/>
          <w:szCs w:val="21"/>
        </w:rPr>
      </w:pPr>
      <w:r>
        <w:rPr>
          <w:rFonts w:ascii="仿宋_GB2312" w:hAnsi="仿宋_GB2312" w:eastAsia="仿宋_GB2312" w:cs="仿宋_GB2312"/>
          <w:sz w:val="32"/>
          <w:szCs w:val="21"/>
        </w:rPr>
        <w:t>项目决策方面</w:t>
      </w:r>
      <w:r>
        <w:rPr>
          <w:rFonts w:hint="eastAsia" w:ascii="仿宋_GB2312" w:hAnsi="仿宋_GB2312" w:eastAsia="仿宋_GB2312" w:cs="仿宋_GB2312"/>
          <w:sz w:val="32"/>
          <w:szCs w:val="21"/>
        </w:rPr>
        <w:t>，</w:t>
      </w:r>
      <w:r>
        <w:rPr>
          <w:rFonts w:ascii="仿宋_GB2312" w:hAnsi="仿宋_GB2312" w:eastAsia="仿宋_GB2312" w:cs="仿宋_GB2312"/>
          <w:sz w:val="32"/>
          <w:szCs w:val="21"/>
        </w:rPr>
        <w:t>该指标分值1</w:t>
      </w:r>
      <w:r>
        <w:rPr>
          <w:rFonts w:hint="eastAsia" w:ascii="仿宋_GB2312" w:hAnsi="仿宋_GB2312" w:eastAsia="仿宋_GB2312" w:cs="仿宋_GB2312"/>
          <w:sz w:val="32"/>
          <w:szCs w:val="21"/>
        </w:rPr>
        <w:t>0</w:t>
      </w:r>
      <w:r>
        <w:rPr>
          <w:rFonts w:ascii="仿宋_GB2312" w:hAnsi="仿宋_GB2312" w:eastAsia="仿宋_GB2312" w:cs="仿宋_GB2312"/>
          <w:sz w:val="32"/>
          <w:szCs w:val="21"/>
        </w:rPr>
        <w:t>分，评价得分</w:t>
      </w:r>
      <w:r>
        <w:rPr>
          <w:rFonts w:hint="eastAsia" w:ascii="仿宋_GB2312" w:hAnsi="仿宋_GB2312" w:eastAsia="仿宋_GB2312" w:cs="仿宋_GB2312"/>
          <w:sz w:val="32"/>
          <w:szCs w:val="21"/>
        </w:rPr>
        <w:t>8.5</w:t>
      </w:r>
      <w:r>
        <w:rPr>
          <w:rFonts w:ascii="仿宋_GB2312" w:hAnsi="仿宋_GB2312" w:eastAsia="仿宋_GB2312" w:cs="仿宋_GB2312"/>
          <w:sz w:val="32"/>
          <w:szCs w:val="21"/>
        </w:rPr>
        <w:t>分。</w:t>
      </w:r>
    </w:p>
    <w:p>
      <w:pPr>
        <w:spacing w:line="560" w:lineRule="exact"/>
        <w:ind w:firstLine="648"/>
        <w:rPr>
          <w:rFonts w:ascii="仿宋_GB2312" w:hAnsi="仿宋_GB2312" w:eastAsia="仿宋_GB2312" w:cs="仿宋_GB2312"/>
          <w:sz w:val="32"/>
          <w:szCs w:val="21"/>
        </w:rPr>
      </w:pPr>
      <w:r>
        <w:rPr>
          <w:rFonts w:ascii="仿宋_GB2312" w:hAnsi="仿宋_GB2312" w:eastAsia="仿宋_GB2312" w:cs="仿宋_GB2312"/>
          <w:sz w:val="32"/>
          <w:szCs w:val="21"/>
        </w:rPr>
        <w:t>项目</w:t>
      </w:r>
      <w:r>
        <w:rPr>
          <w:rFonts w:hint="eastAsia" w:ascii="仿宋_GB2312" w:hAnsi="仿宋_GB2312" w:eastAsia="仿宋_GB2312" w:cs="仿宋_GB2312"/>
          <w:sz w:val="32"/>
          <w:szCs w:val="21"/>
        </w:rPr>
        <w:t>过程</w:t>
      </w:r>
      <w:r>
        <w:rPr>
          <w:rFonts w:ascii="仿宋_GB2312" w:hAnsi="仿宋_GB2312" w:eastAsia="仿宋_GB2312" w:cs="仿宋_GB2312"/>
          <w:sz w:val="32"/>
          <w:szCs w:val="21"/>
        </w:rPr>
        <w:t>方面</w:t>
      </w:r>
      <w:r>
        <w:rPr>
          <w:rFonts w:hint="eastAsia" w:ascii="仿宋_GB2312" w:hAnsi="仿宋_GB2312" w:eastAsia="仿宋_GB2312" w:cs="仿宋_GB2312"/>
          <w:sz w:val="32"/>
          <w:szCs w:val="21"/>
        </w:rPr>
        <w:t>，</w:t>
      </w:r>
      <w:r>
        <w:rPr>
          <w:rFonts w:ascii="仿宋_GB2312" w:hAnsi="仿宋_GB2312" w:eastAsia="仿宋_GB2312" w:cs="仿宋_GB2312"/>
          <w:sz w:val="32"/>
          <w:szCs w:val="21"/>
        </w:rPr>
        <w:t>该指标分值</w:t>
      </w:r>
      <w:r>
        <w:rPr>
          <w:rFonts w:hint="eastAsia" w:ascii="仿宋_GB2312" w:hAnsi="仿宋_GB2312" w:eastAsia="仿宋_GB2312" w:cs="仿宋_GB2312"/>
          <w:sz w:val="32"/>
          <w:szCs w:val="21"/>
        </w:rPr>
        <w:t>2</w:t>
      </w:r>
      <w:r>
        <w:rPr>
          <w:rFonts w:ascii="仿宋_GB2312" w:hAnsi="仿宋_GB2312" w:eastAsia="仿宋_GB2312" w:cs="仿宋_GB2312"/>
          <w:sz w:val="32"/>
          <w:szCs w:val="21"/>
        </w:rPr>
        <w:t>0分，评价得分</w:t>
      </w:r>
      <w:r>
        <w:rPr>
          <w:rFonts w:hint="eastAsia" w:ascii="仿宋_GB2312" w:hAnsi="仿宋_GB2312" w:eastAsia="仿宋_GB2312" w:cs="仿宋_GB2312"/>
          <w:sz w:val="32"/>
          <w:szCs w:val="21"/>
        </w:rPr>
        <w:t>18.5</w:t>
      </w:r>
      <w:r>
        <w:rPr>
          <w:rFonts w:ascii="仿宋_GB2312" w:hAnsi="仿宋_GB2312" w:eastAsia="仿宋_GB2312" w:cs="仿宋_GB2312"/>
          <w:sz w:val="32"/>
          <w:szCs w:val="21"/>
        </w:rPr>
        <w:t>分。</w:t>
      </w:r>
    </w:p>
    <w:p>
      <w:pPr>
        <w:spacing w:line="560" w:lineRule="exact"/>
        <w:ind w:firstLine="648"/>
        <w:rPr>
          <w:rFonts w:ascii="仿宋_GB2312" w:hAnsi="仿宋_GB2312" w:eastAsia="仿宋_GB2312" w:cs="仿宋_GB2312"/>
          <w:sz w:val="32"/>
          <w:szCs w:val="21"/>
        </w:rPr>
      </w:pPr>
      <w:r>
        <w:rPr>
          <w:rFonts w:ascii="仿宋_GB2312" w:hAnsi="仿宋_GB2312" w:eastAsia="仿宋_GB2312" w:cs="仿宋_GB2312"/>
          <w:sz w:val="32"/>
          <w:szCs w:val="21"/>
        </w:rPr>
        <w:t>项目</w:t>
      </w:r>
      <w:r>
        <w:rPr>
          <w:rFonts w:hint="eastAsia" w:ascii="仿宋_GB2312" w:hAnsi="仿宋_GB2312" w:eastAsia="仿宋_GB2312" w:cs="仿宋_GB2312"/>
          <w:sz w:val="32"/>
          <w:szCs w:val="21"/>
        </w:rPr>
        <w:t>产出</w:t>
      </w:r>
      <w:r>
        <w:rPr>
          <w:rFonts w:ascii="仿宋_GB2312" w:hAnsi="仿宋_GB2312" w:eastAsia="仿宋_GB2312" w:cs="仿宋_GB2312"/>
          <w:sz w:val="32"/>
          <w:szCs w:val="21"/>
        </w:rPr>
        <w:t>方面</w:t>
      </w:r>
      <w:r>
        <w:rPr>
          <w:rFonts w:hint="eastAsia" w:ascii="仿宋_GB2312" w:hAnsi="仿宋_GB2312" w:eastAsia="仿宋_GB2312" w:cs="仿宋_GB2312"/>
          <w:sz w:val="32"/>
          <w:szCs w:val="21"/>
        </w:rPr>
        <w:t>，</w:t>
      </w:r>
      <w:r>
        <w:rPr>
          <w:rFonts w:ascii="仿宋_GB2312" w:hAnsi="仿宋_GB2312" w:eastAsia="仿宋_GB2312" w:cs="仿宋_GB2312"/>
          <w:sz w:val="32"/>
          <w:szCs w:val="21"/>
        </w:rPr>
        <w:t>该指标分值</w:t>
      </w:r>
      <w:r>
        <w:rPr>
          <w:rFonts w:hint="eastAsia" w:ascii="仿宋_GB2312" w:hAnsi="仿宋_GB2312" w:eastAsia="仿宋_GB2312" w:cs="仿宋_GB2312"/>
          <w:sz w:val="32"/>
          <w:szCs w:val="21"/>
        </w:rPr>
        <w:t>40</w:t>
      </w:r>
      <w:r>
        <w:rPr>
          <w:rFonts w:ascii="仿宋_GB2312" w:hAnsi="仿宋_GB2312" w:eastAsia="仿宋_GB2312" w:cs="仿宋_GB2312"/>
          <w:sz w:val="32"/>
          <w:szCs w:val="21"/>
        </w:rPr>
        <w:t>分，评价得分</w:t>
      </w:r>
      <w:r>
        <w:rPr>
          <w:rFonts w:hint="eastAsia" w:ascii="仿宋_GB2312" w:hAnsi="仿宋_GB2312" w:eastAsia="仿宋_GB2312" w:cs="仿宋_GB2312"/>
          <w:sz w:val="32"/>
          <w:szCs w:val="21"/>
        </w:rPr>
        <w:t>40</w:t>
      </w:r>
      <w:r>
        <w:rPr>
          <w:rFonts w:ascii="仿宋_GB2312" w:hAnsi="仿宋_GB2312" w:eastAsia="仿宋_GB2312" w:cs="仿宋_GB2312"/>
          <w:sz w:val="32"/>
          <w:szCs w:val="21"/>
        </w:rPr>
        <w:t>分。</w:t>
      </w:r>
    </w:p>
    <w:p>
      <w:pPr>
        <w:spacing w:line="560" w:lineRule="exact"/>
        <w:ind w:firstLine="640"/>
        <w:rPr>
          <w:rFonts w:ascii="仿宋_GB2312" w:hAnsi="仿宋_GB2312" w:eastAsia="仿宋_GB2312" w:cs="仿宋_GB2312"/>
          <w:sz w:val="32"/>
          <w:szCs w:val="21"/>
        </w:rPr>
      </w:pPr>
      <w:r>
        <w:rPr>
          <w:rFonts w:ascii="仿宋_GB2312" w:hAnsi="仿宋_GB2312" w:eastAsia="仿宋_GB2312" w:cs="仿宋_GB2312"/>
          <w:sz w:val="32"/>
          <w:szCs w:val="21"/>
        </w:rPr>
        <w:t>项目</w:t>
      </w:r>
      <w:r>
        <w:rPr>
          <w:rFonts w:hint="eastAsia" w:ascii="仿宋_GB2312" w:hAnsi="仿宋_GB2312" w:eastAsia="仿宋_GB2312" w:cs="仿宋_GB2312"/>
          <w:sz w:val="32"/>
          <w:szCs w:val="21"/>
        </w:rPr>
        <w:t>效益</w:t>
      </w:r>
      <w:r>
        <w:rPr>
          <w:rFonts w:ascii="仿宋_GB2312" w:hAnsi="仿宋_GB2312" w:eastAsia="仿宋_GB2312" w:cs="仿宋_GB2312"/>
          <w:sz w:val="32"/>
          <w:szCs w:val="21"/>
        </w:rPr>
        <w:t>方面</w:t>
      </w:r>
      <w:r>
        <w:rPr>
          <w:rFonts w:hint="eastAsia" w:ascii="仿宋_GB2312" w:hAnsi="仿宋_GB2312" w:eastAsia="仿宋_GB2312" w:cs="仿宋_GB2312"/>
          <w:sz w:val="32"/>
          <w:szCs w:val="21"/>
        </w:rPr>
        <w:t>，</w:t>
      </w:r>
      <w:r>
        <w:rPr>
          <w:rFonts w:ascii="仿宋_GB2312" w:hAnsi="仿宋_GB2312" w:eastAsia="仿宋_GB2312" w:cs="仿宋_GB2312"/>
          <w:sz w:val="32"/>
          <w:szCs w:val="21"/>
        </w:rPr>
        <w:t>该指标分值</w:t>
      </w:r>
      <w:r>
        <w:rPr>
          <w:rFonts w:hint="eastAsia" w:ascii="仿宋_GB2312" w:hAnsi="仿宋_GB2312" w:eastAsia="仿宋_GB2312" w:cs="仿宋_GB2312"/>
          <w:sz w:val="32"/>
          <w:szCs w:val="21"/>
        </w:rPr>
        <w:t>30</w:t>
      </w:r>
      <w:r>
        <w:rPr>
          <w:rFonts w:ascii="仿宋_GB2312" w:hAnsi="仿宋_GB2312" w:eastAsia="仿宋_GB2312" w:cs="仿宋_GB2312"/>
          <w:sz w:val="32"/>
          <w:szCs w:val="21"/>
        </w:rPr>
        <w:t>分，评价得分</w:t>
      </w:r>
      <w:r>
        <w:rPr>
          <w:rFonts w:hint="eastAsia" w:ascii="仿宋_GB2312" w:hAnsi="仿宋_GB2312" w:eastAsia="仿宋_GB2312" w:cs="仿宋_GB2312"/>
          <w:sz w:val="32"/>
          <w:szCs w:val="21"/>
        </w:rPr>
        <w:t>25</w:t>
      </w:r>
      <w:r>
        <w:rPr>
          <w:rFonts w:ascii="仿宋_GB2312" w:hAnsi="仿宋_GB2312" w:eastAsia="仿宋_GB2312" w:cs="仿宋_GB2312"/>
          <w:sz w:val="32"/>
          <w:szCs w:val="21"/>
        </w:rPr>
        <w:t>分。</w:t>
      </w:r>
    </w:p>
    <w:p>
      <w:pPr>
        <w:spacing w:line="560" w:lineRule="exact"/>
        <w:ind w:firstLine="640"/>
        <w:rPr>
          <w:rFonts w:ascii="仿宋_GB2312" w:hAnsi="仿宋_GB2312" w:eastAsia="仿宋_GB2312" w:cs="仿宋_GB2312"/>
          <w:sz w:val="32"/>
          <w:szCs w:val="21"/>
        </w:rPr>
      </w:pPr>
      <w:r>
        <w:rPr>
          <w:rFonts w:ascii="仿宋_GB2312" w:hAnsi="仿宋_GB2312" w:eastAsia="仿宋_GB2312" w:cs="仿宋_GB2312"/>
          <w:sz w:val="32"/>
          <w:szCs w:val="21"/>
        </w:rPr>
        <w:t>通过评价，该项目综合得分9</w:t>
      </w:r>
      <w:r>
        <w:rPr>
          <w:rFonts w:hint="eastAsia" w:ascii="仿宋_GB2312" w:hAnsi="仿宋_GB2312" w:eastAsia="仿宋_GB2312" w:cs="仿宋_GB2312"/>
          <w:sz w:val="32"/>
          <w:szCs w:val="21"/>
        </w:rPr>
        <w:t>2</w:t>
      </w:r>
      <w:r>
        <w:rPr>
          <w:rFonts w:ascii="仿宋_GB2312" w:hAnsi="仿宋_GB2312" w:eastAsia="仿宋_GB2312" w:cs="仿宋_GB2312"/>
          <w:sz w:val="32"/>
          <w:szCs w:val="21"/>
        </w:rPr>
        <w:t>分，项目绩效级别评价结论为“</w:t>
      </w:r>
      <w:r>
        <w:rPr>
          <w:rFonts w:hint="eastAsia" w:ascii="仿宋_GB2312" w:hAnsi="仿宋_GB2312" w:eastAsia="仿宋_GB2312" w:cs="仿宋_GB2312"/>
          <w:sz w:val="32"/>
          <w:szCs w:val="21"/>
        </w:rPr>
        <w:t>优</w:t>
      </w:r>
      <w:r>
        <w:rPr>
          <w:rFonts w:ascii="仿宋_GB2312" w:hAnsi="仿宋_GB2312" w:eastAsia="仿宋_GB2312" w:cs="仿宋_GB2312"/>
          <w:sz w:val="32"/>
          <w:szCs w:val="21"/>
        </w:rPr>
        <w:t>”</w:t>
      </w:r>
      <w:r>
        <w:rPr>
          <w:rFonts w:hint="eastAsia" w:ascii="仿宋_GB2312" w:hAnsi="仿宋_GB2312" w:eastAsia="仿宋_GB2312" w:cs="仿宋_GB2312"/>
          <w:sz w:val="32"/>
          <w:szCs w:val="21"/>
        </w:rPr>
        <w:t>。</w:t>
      </w:r>
    </w:p>
    <w:p>
      <w:pPr>
        <w:spacing w:line="560" w:lineRule="exact"/>
        <w:ind w:firstLine="640"/>
        <w:rPr>
          <w:rFonts w:ascii="仿宋_GB2312" w:hAnsi="仿宋_GB2312" w:eastAsia="仿宋_GB2312" w:cs="仿宋_GB2312"/>
          <w:sz w:val="32"/>
          <w:szCs w:val="21"/>
        </w:rPr>
      </w:pPr>
      <w:r>
        <w:rPr>
          <w:rFonts w:hint="eastAsia" w:ascii="仿宋_GB2312" w:hAnsi="仿宋_GB2312" w:eastAsia="仿宋_GB2312" w:cs="仿宋_GB2312"/>
          <w:sz w:val="32"/>
          <w:szCs w:val="21"/>
        </w:rPr>
        <w:t>项目</w:t>
      </w:r>
      <w:r>
        <w:rPr>
          <w:rFonts w:ascii="仿宋_GB2312" w:hAnsi="仿宋_GB2312" w:eastAsia="仿宋_GB2312" w:cs="仿宋_GB2312"/>
          <w:sz w:val="32"/>
          <w:szCs w:val="21"/>
        </w:rPr>
        <w:t>绩效评价具体</w:t>
      </w:r>
      <w:r>
        <w:rPr>
          <w:rFonts w:hint="eastAsia" w:ascii="仿宋_GB2312" w:hAnsi="仿宋_GB2312" w:eastAsia="仿宋_GB2312" w:cs="仿宋_GB2312"/>
          <w:sz w:val="32"/>
          <w:szCs w:val="21"/>
        </w:rPr>
        <w:t>得</w:t>
      </w:r>
      <w:r>
        <w:rPr>
          <w:rFonts w:ascii="仿宋_GB2312" w:hAnsi="仿宋_GB2312" w:eastAsia="仿宋_GB2312" w:cs="仿宋_GB2312"/>
          <w:sz w:val="32"/>
          <w:szCs w:val="21"/>
        </w:rPr>
        <w:t>分情况见附件。</w:t>
      </w:r>
    </w:p>
    <w:p>
      <w:pPr>
        <w:pStyle w:val="2"/>
        <w:tabs>
          <w:tab w:val="left" w:pos="588"/>
        </w:tabs>
        <w:spacing w:before="0" w:after="0" w:line="560" w:lineRule="exact"/>
        <w:ind w:firstLine="640" w:firstLineChars="200"/>
        <w:rPr>
          <w:rFonts w:ascii="黑体" w:hAnsi="黑体" w:eastAsia="黑体"/>
          <w:b w:val="0"/>
          <w:bCs w:val="0"/>
          <w:sz w:val="32"/>
          <w:szCs w:val="32"/>
        </w:rPr>
      </w:pPr>
      <w:bookmarkStart w:id="29" w:name="_Toc585"/>
      <w:bookmarkStart w:id="30" w:name="_Toc428415217"/>
      <w:bookmarkStart w:id="31" w:name="_Toc425537584"/>
      <w:bookmarkStart w:id="32" w:name="_Toc428414992"/>
      <w:bookmarkStart w:id="33" w:name="_Toc485728078"/>
      <w:bookmarkStart w:id="34" w:name="_Toc5062"/>
      <w:bookmarkStart w:id="35" w:name="_Toc428524870"/>
      <w:r>
        <w:rPr>
          <w:rFonts w:hint="eastAsia" w:ascii="黑体" w:hAnsi="黑体" w:eastAsia="黑体"/>
          <w:b w:val="0"/>
          <w:bCs w:val="0"/>
          <w:sz w:val="32"/>
          <w:szCs w:val="32"/>
        </w:rPr>
        <w:t>四、绩效评价指标分析</w:t>
      </w:r>
      <w:bookmarkEnd w:id="29"/>
    </w:p>
    <w:p>
      <w:pPr>
        <w:widowControl/>
        <w:spacing w:line="560" w:lineRule="exact"/>
        <w:ind w:firstLine="640" w:firstLineChars="200"/>
        <w:outlineLvl w:val="1"/>
        <w:rPr>
          <w:rFonts w:ascii="楷体_GB2312" w:hAnsi="Arial" w:eastAsia="楷体_GB2312" w:cs="Arial"/>
          <w:bCs/>
          <w:sz w:val="32"/>
          <w:szCs w:val="32"/>
        </w:rPr>
      </w:pPr>
      <w:bookmarkStart w:id="36" w:name="_Toc12335"/>
      <w:r>
        <w:rPr>
          <w:rFonts w:hint="eastAsia" w:ascii="楷体_GB2312" w:hAnsi="Arial" w:eastAsia="楷体_GB2312" w:cs="Arial"/>
          <w:bCs/>
          <w:sz w:val="32"/>
          <w:szCs w:val="32"/>
        </w:rPr>
        <w:t>（一）项目决策情况</w:t>
      </w:r>
      <w:bookmarkEnd w:id="36"/>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1.立项依据充分性</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该项目立项依据充分，符合国家法律法规、国民经济发展规划，符合行业发展规划和政策要求，属于部门履职所需，属于公共财政支持范围，与区法院部门职责范围相符。</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2.立项程序规范性</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该项目按照规定的程序申请设立，项目申报资料符合相关要求，作为延续性项目，且为单位履职所需的必需项目，因此在年初立项前，未开展可行性研究、专家论证、风险评估、绩效评估等。</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3.绩效目标合理性、明确性</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该项目总体目标设立依据充分，符合该项目客观实际，工作目标结果导向比较清晰。该项目设定的数量指标、成本指标清晰、细化、可衡量，具有较强的可操作性和可实现性</w:t>
      </w:r>
      <w:bookmarkStart w:id="37" w:name="_Hlk135932066"/>
      <w:r>
        <w:rPr>
          <w:rFonts w:hint="eastAsia" w:ascii="仿宋_GB2312" w:hAnsi="仿宋" w:eastAsia="仿宋_GB2312"/>
          <w:sz w:val="32"/>
          <w:szCs w:val="32"/>
        </w:rPr>
        <w:t>。由于该项目复杂性，成本指标没有体现人民陪审员补助、诉讼档案扫描及随案生成，培训费及授课费、司法送达服务费等各项单位成本指标，未设置时效指标和可持续影响指标。</w:t>
      </w:r>
      <w:bookmarkEnd w:id="37"/>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4.预算编制科学性</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该项目预算内容与项目内容相匹配，预算确定的项目投资额或资金量与区法院工作任务相匹配，但</w:t>
      </w:r>
      <w:bookmarkStart w:id="38" w:name="_Hlk135932383"/>
      <w:r>
        <w:rPr>
          <w:rFonts w:hint="eastAsia" w:ascii="仿宋_GB2312" w:hAnsi="仿宋" w:eastAsia="仿宋_GB2312"/>
          <w:sz w:val="32"/>
          <w:szCs w:val="32"/>
        </w:rPr>
        <w:t>预算测算和编制过程呈现不够清晰。</w:t>
      </w:r>
      <w:bookmarkEnd w:id="38"/>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5.资金分配合理性</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该项目资金能够按照区法院办案业务费项目的实际需求进行分配，项目资金分配额度较为合理。</w:t>
      </w:r>
    </w:p>
    <w:p>
      <w:pPr>
        <w:widowControl/>
        <w:spacing w:line="560" w:lineRule="exact"/>
        <w:ind w:firstLine="640" w:firstLineChars="200"/>
        <w:outlineLvl w:val="1"/>
        <w:rPr>
          <w:rFonts w:ascii="楷体_GB2312" w:hAnsi="Arial" w:eastAsia="楷体_GB2312" w:cs="Arial"/>
          <w:bCs/>
          <w:sz w:val="32"/>
          <w:szCs w:val="32"/>
        </w:rPr>
      </w:pPr>
      <w:bookmarkStart w:id="39" w:name="_Toc4993"/>
      <w:r>
        <w:rPr>
          <w:rFonts w:hint="eastAsia" w:ascii="楷体_GB2312" w:hAnsi="Arial" w:eastAsia="楷体_GB2312" w:cs="Arial"/>
          <w:bCs/>
          <w:sz w:val="32"/>
          <w:szCs w:val="32"/>
        </w:rPr>
        <w:t>（二）项目过程情况</w:t>
      </w:r>
      <w:bookmarkEnd w:id="39"/>
    </w:p>
    <w:p>
      <w:pPr>
        <w:spacing w:line="560" w:lineRule="exact"/>
        <w:ind w:firstLine="420" w:firstLineChars="200"/>
        <w:rPr>
          <w:rFonts w:ascii="仿宋_GB2312" w:hAnsi="仿宋" w:eastAsia="仿宋_GB2312"/>
          <w:sz w:val="32"/>
          <w:szCs w:val="32"/>
        </w:rPr>
      </w:pPr>
      <w:r>
        <w:rPr>
          <w:rFonts w:hint="eastAsia"/>
        </w:rPr>
        <w:t xml:space="preserve"> </w:t>
      </w:r>
      <w:r>
        <w:rPr>
          <w:rFonts w:hint="eastAsia" w:ascii="仿宋_GB2312" w:hAnsi="宋体" w:eastAsia="仿宋_GB2312" w:cs="宋体"/>
          <w:kern w:val="0"/>
          <w:sz w:val="32"/>
          <w:szCs w:val="32"/>
        </w:rPr>
        <w:t xml:space="preserve"> </w:t>
      </w:r>
      <w:r>
        <w:rPr>
          <w:rFonts w:hint="eastAsia" w:ascii="仿宋_GB2312" w:hAnsi="仿宋" w:eastAsia="仿宋_GB2312"/>
          <w:sz w:val="32"/>
          <w:szCs w:val="32"/>
        </w:rPr>
        <w:t>1.资金到位率</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该项目调整后预算金额</w:t>
      </w:r>
      <w:r>
        <w:rPr>
          <w:rFonts w:ascii="仿宋_GB2312" w:hAnsi="仿宋" w:eastAsia="仿宋_GB2312"/>
          <w:sz w:val="32"/>
          <w:szCs w:val="32"/>
        </w:rPr>
        <w:t>915.41</w:t>
      </w:r>
      <w:r>
        <w:rPr>
          <w:rFonts w:hint="eastAsia" w:ascii="仿宋_GB2312" w:hAnsi="仿宋" w:eastAsia="仿宋_GB2312"/>
          <w:sz w:val="32"/>
          <w:szCs w:val="32"/>
        </w:rPr>
        <w:t>万元，财政资金实际到位</w:t>
      </w:r>
      <w:r>
        <w:rPr>
          <w:rFonts w:ascii="仿宋_GB2312" w:hAnsi="仿宋" w:eastAsia="仿宋_GB2312"/>
          <w:sz w:val="32"/>
          <w:szCs w:val="32"/>
        </w:rPr>
        <w:t>915.41</w:t>
      </w:r>
      <w:r>
        <w:rPr>
          <w:rFonts w:hint="eastAsia" w:ascii="仿宋_GB2312" w:hAnsi="仿宋" w:eastAsia="仿宋_GB2312"/>
          <w:sz w:val="32"/>
          <w:szCs w:val="32"/>
        </w:rPr>
        <w:t>万元，资金到位率100.00%。</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资金到位率=（实际到位资金/预算资金）×100%。</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2.预算执行率</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该项目财政资金到位</w:t>
      </w:r>
      <w:r>
        <w:rPr>
          <w:rFonts w:ascii="仿宋_GB2312" w:hAnsi="仿宋" w:eastAsia="仿宋_GB2312"/>
          <w:sz w:val="32"/>
          <w:szCs w:val="32"/>
        </w:rPr>
        <w:t>915.41</w:t>
      </w:r>
      <w:r>
        <w:rPr>
          <w:rFonts w:hint="eastAsia" w:ascii="仿宋_GB2312" w:hAnsi="仿宋" w:eastAsia="仿宋_GB2312"/>
          <w:sz w:val="32"/>
          <w:szCs w:val="32"/>
        </w:rPr>
        <w:t>万元，该项目实际支出资金</w:t>
      </w:r>
      <w:r>
        <w:rPr>
          <w:rFonts w:ascii="仿宋_GB2312" w:hAnsi="仿宋" w:eastAsia="仿宋_GB2312"/>
          <w:sz w:val="32"/>
          <w:szCs w:val="32"/>
        </w:rPr>
        <w:t>754.02</w:t>
      </w:r>
      <w:r>
        <w:rPr>
          <w:rFonts w:hint="eastAsia" w:ascii="仿宋_GB2312" w:hAnsi="仿宋" w:eastAsia="仿宋_GB2312"/>
          <w:sz w:val="32"/>
          <w:szCs w:val="32"/>
        </w:rPr>
        <w:t>万元，预算执行率</w:t>
      </w:r>
      <w:r>
        <w:rPr>
          <w:rFonts w:ascii="仿宋_GB2312" w:hAnsi="仿宋" w:eastAsia="仿宋_GB2312"/>
          <w:sz w:val="32"/>
          <w:szCs w:val="32"/>
        </w:rPr>
        <w:t>82.37%</w:t>
      </w:r>
      <w:r>
        <w:rPr>
          <w:rFonts w:hint="eastAsia" w:ascii="仿宋_GB2312" w:hAnsi="仿宋" w:eastAsia="仿宋_GB2312"/>
          <w:sz w:val="32"/>
          <w:szCs w:val="32"/>
        </w:rPr>
        <w:t>。</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预算执行率=（实际支出资金/实际到位资金）×100%。</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3.资金使用合规性</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区法院根据《北京市大兴区人民法院人民陪审员工作管理办法（试行）》确定人民陪审员补助费额，根据《北京市市级党政机关事业单位培训费管理办法》确定培训费标准金额，根据《北京市党政机关差旅费管理办法》确定差旅费标准金额等相关规范性文件，资金使用符合国家财经法规和财务管理制度以及有关专项资金管理办法的规定，资金的拨付有完整的审批程序和手续，符合预算批复用途，不存在截留、挤占、挪用、虚列支出等情况。</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4.管理制度健全性</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为规范内部管理制度建设，区法院建立了《北京市大兴区人民法院内部控制手册》，制定了《北京市大兴区人民法院财务管理制度》《北京市大兴区人民法院内部审计管理办法（试行）》《北京市大兴区人民法院合同管理办法》等多项管理制度，管理制度比较健全。</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5.制度执行有效性</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区法院能够遵守相关法律法规和相关管理规定，按照《北京市大兴区人民法院财务管理制度》《北京市党政机关差旅费管理办法》《北京市市级党政机关事业单位培训费管理办法》《北京市大兴区人民法院人民陪审员工作管理办法（试行）》等相关规范性文件，组织实施该项目。该项目</w:t>
      </w:r>
      <w:r>
        <w:rPr>
          <w:rFonts w:hint="eastAsia" w:ascii="仿宋_GB2312" w:eastAsia="仿宋_GB2312"/>
          <w:sz w:val="32"/>
          <w:szCs w:val="32"/>
        </w:rPr>
        <w:t>1万元（含1万元）以下经费支出由办公室主任审批，1万元至5万元（含5万元）由主管院长审批，5万元以上经费支出经党组会研究决定后，由主管院长签字审批，支出填写《大额资金审批单》。</w:t>
      </w:r>
      <w:r>
        <w:rPr>
          <w:rFonts w:hint="eastAsia" w:ascii="仿宋_GB2312" w:hAnsi="仿宋" w:eastAsia="仿宋_GB2312"/>
          <w:sz w:val="32"/>
          <w:szCs w:val="32"/>
        </w:rPr>
        <w:t>相关会计资料准确、完整，符合国家财经法规和财务管理制度以及有关专项资金管理办法的规定。</w:t>
      </w:r>
      <w:bookmarkStart w:id="40" w:name="_Hlk135935050"/>
    </w:p>
    <w:bookmarkEnd w:id="40"/>
    <w:p>
      <w:pPr>
        <w:widowControl/>
        <w:spacing w:line="560" w:lineRule="exact"/>
        <w:ind w:firstLine="640" w:firstLineChars="200"/>
        <w:outlineLvl w:val="1"/>
        <w:rPr>
          <w:rFonts w:ascii="楷体_GB2312" w:hAnsi="Arial" w:eastAsia="楷体_GB2312" w:cs="Arial"/>
          <w:bCs/>
          <w:sz w:val="32"/>
          <w:szCs w:val="32"/>
        </w:rPr>
      </w:pPr>
      <w:bookmarkStart w:id="41" w:name="_Toc25645"/>
      <w:r>
        <w:rPr>
          <w:rFonts w:hint="eastAsia" w:ascii="楷体_GB2312" w:hAnsi="Arial" w:eastAsia="楷体_GB2312" w:cs="Arial"/>
          <w:bCs/>
          <w:sz w:val="32"/>
          <w:szCs w:val="32"/>
        </w:rPr>
        <w:t>（三）项目产出情况</w:t>
      </w:r>
      <w:bookmarkEnd w:id="41"/>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1.产出数量</w:t>
      </w:r>
    </w:p>
    <w:p>
      <w:pPr>
        <w:spacing w:line="560" w:lineRule="exact"/>
        <w:ind w:firstLine="640" w:firstLineChars="200"/>
        <w:rPr>
          <w:rFonts w:ascii="仿宋_GB2312" w:hAnsi="仿宋_GB2312" w:eastAsia="仿宋_GB2312" w:cs="仿宋_GB2312"/>
          <w:kern w:val="21"/>
          <w:sz w:val="32"/>
          <w:szCs w:val="32"/>
        </w:rPr>
      </w:pPr>
      <w:r>
        <w:rPr>
          <w:rFonts w:hint="eastAsia" w:ascii="仿宋_GB2312" w:hAnsi="仿宋_GB2312" w:eastAsia="仿宋_GB2312" w:cs="仿宋_GB2312"/>
          <w:kern w:val="21"/>
          <w:sz w:val="32"/>
          <w:szCs w:val="32"/>
        </w:rPr>
        <w:t>区法院2023年新收各类案件54991件，审结5591</w:t>
      </w:r>
      <w:r>
        <w:rPr>
          <w:rFonts w:ascii="仿宋_GB2312" w:hAnsi="仿宋_GB2312" w:eastAsia="仿宋_GB2312" w:cs="仿宋_GB2312"/>
          <w:kern w:val="21"/>
          <w:sz w:val="32"/>
          <w:szCs w:val="32"/>
        </w:rPr>
        <w:t>3</w:t>
      </w:r>
      <w:r>
        <w:rPr>
          <w:rFonts w:hint="eastAsia" w:ascii="仿宋_GB2312" w:hAnsi="仿宋_GB2312" w:eastAsia="仿宋_GB2312" w:cs="仿宋_GB2312"/>
          <w:kern w:val="21"/>
          <w:sz w:val="32"/>
          <w:szCs w:val="32"/>
        </w:rPr>
        <w:t>件（含旧存案件），完成数量指标“预计案件结收比100%”；</w:t>
      </w:r>
    </w:p>
    <w:p>
      <w:pPr>
        <w:spacing w:line="560" w:lineRule="exact"/>
        <w:ind w:firstLine="640" w:firstLineChars="200"/>
        <w:rPr>
          <w:rFonts w:ascii="仿宋_GB2312" w:hAnsi="仿宋_GB2312" w:eastAsia="仿宋_GB2312" w:cs="仿宋_GB2312"/>
          <w:kern w:val="21"/>
          <w:sz w:val="32"/>
          <w:szCs w:val="32"/>
        </w:rPr>
      </w:pPr>
      <w:r>
        <w:rPr>
          <w:rFonts w:hint="eastAsia" w:ascii="仿宋_GB2312" w:hAnsi="仿宋_GB2312" w:eastAsia="仿宋_GB2312" w:cs="仿宋_GB2312"/>
          <w:kern w:val="21"/>
          <w:sz w:val="32"/>
          <w:szCs w:val="32"/>
        </w:rPr>
        <w:t>区法院2023年法官人均结案554件，平均办案工作量居全市首位，完成数量指标“</w:t>
      </w:r>
      <w:r>
        <w:rPr>
          <w:rFonts w:hint="eastAsia" w:ascii="仿宋_GB2312" w:hAnsi="仿宋" w:eastAsia="仿宋_GB2312"/>
          <w:sz w:val="32"/>
          <w:szCs w:val="32"/>
        </w:rPr>
        <w:t>法官人均结案数≥400件/人</w:t>
      </w:r>
      <w:r>
        <w:rPr>
          <w:rFonts w:hint="eastAsia" w:ascii="仿宋_GB2312" w:hAnsi="仿宋_GB2312" w:eastAsia="仿宋_GB2312" w:cs="仿宋_GB2312"/>
          <w:kern w:val="21"/>
          <w:sz w:val="32"/>
          <w:szCs w:val="32"/>
        </w:rPr>
        <w:t>”。</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2.产出质量</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质量指标一审案件服判息诉率</w:t>
      </w:r>
      <w:r>
        <w:rPr>
          <w:rFonts w:ascii="仿宋_GB2312" w:hAnsi="仿宋" w:eastAsia="仿宋_GB2312"/>
          <w:sz w:val="32"/>
          <w:szCs w:val="32"/>
        </w:rPr>
        <w:t>85.08%，完成质量指标</w:t>
      </w:r>
      <w:r>
        <w:rPr>
          <w:rFonts w:hint="eastAsia" w:ascii="仿宋_GB2312" w:hAnsi="仿宋" w:eastAsia="仿宋_GB2312"/>
          <w:sz w:val="32"/>
          <w:szCs w:val="32"/>
        </w:rPr>
        <w:t>“一审案件服判息诉率≥75%”</w:t>
      </w:r>
      <w:r>
        <w:rPr>
          <w:rFonts w:ascii="仿宋_GB2312" w:hAnsi="仿宋" w:eastAsia="仿宋_GB2312"/>
          <w:sz w:val="32"/>
          <w:szCs w:val="32"/>
        </w:rPr>
        <w:t>。</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3.产出成本</w:t>
      </w:r>
    </w:p>
    <w:p>
      <w:pPr>
        <w:spacing w:line="560" w:lineRule="exact"/>
        <w:ind w:firstLine="640" w:firstLineChars="200"/>
        <w:rPr>
          <w:rFonts w:ascii="仿宋_GB2312" w:hAnsi="仿宋" w:eastAsia="仿宋_GB2312"/>
          <w:sz w:val="32"/>
          <w:szCs w:val="32"/>
          <w:highlight w:val="yellow"/>
        </w:rPr>
      </w:pPr>
      <w:r>
        <w:rPr>
          <w:rFonts w:hint="eastAsia" w:ascii="仿宋_GB2312" w:hAnsi="仿宋" w:eastAsia="仿宋_GB2312"/>
          <w:sz w:val="32"/>
          <w:szCs w:val="32"/>
        </w:rPr>
        <w:t>该项目实际支出在预算范围内，项目资金的使用符合成本效益原则，</w:t>
      </w:r>
      <w:r>
        <w:rPr>
          <w:rFonts w:ascii="仿宋_GB2312" w:hAnsi="仿宋" w:eastAsia="仿宋_GB2312"/>
          <w:sz w:val="32"/>
          <w:szCs w:val="32"/>
        </w:rPr>
        <w:t>根据计算2023年度案均成本0.013485万元，低于2022年度案均成本，完成经济成本指标“年度案均成本</w:t>
      </w:r>
      <w:r>
        <w:rPr>
          <w:rFonts w:hint="eastAsia" w:ascii="仿宋_GB2312" w:hAnsi="仿宋" w:eastAsia="仿宋_GB2312"/>
          <w:sz w:val="32"/>
          <w:szCs w:val="32"/>
          <w:lang w:eastAsia="zh-CN"/>
        </w:rPr>
        <w:t>涨幅</w:t>
      </w:r>
      <w:bookmarkStart w:id="50" w:name="_GoBack"/>
      <w:bookmarkEnd w:id="50"/>
      <w:r>
        <w:rPr>
          <w:rFonts w:ascii="仿宋_GB2312" w:hAnsi="仿宋" w:eastAsia="仿宋_GB2312"/>
          <w:sz w:val="32"/>
          <w:szCs w:val="32"/>
        </w:rPr>
        <w:t>≤0%”。</w:t>
      </w:r>
    </w:p>
    <w:p>
      <w:pPr>
        <w:widowControl/>
        <w:spacing w:line="560" w:lineRule="exact"/>
        <w:ind w:firstLine="640" w:firstLineChars="200"/>
        <w:outlineLvl w:val="1"/>
        <w:rPr>
          <w:rFonts w:ascii="楷体_GB2312" w:hAnsi="Arial" w:eastAsia="楷体_GB2312" w:cs="Arial"/>
          <w:bCs/>
          <w:sz w:val="32"/>
          <w:szCs w:val="32"/>
        </w:rPr>
      </w:pPr>
      <w:bookmarkStart w:id="42" w:name="_Toc32050"/>
      <w:r>
        <w:rPr>
          <w:rFonts w:hint="eastAsia" w:ascii="楷体_GB2312" w:hAnsi="Arial" w:eastAsia="楷体_GB2312" w:cs="Arial"/>
          <w:bCs/>
          <w:sz w:val="32"/>
          <w:szCs w:val="32"/>
        </w:rPr>
        <w:t>（四）项目效益情况</w:t>
      </w:r>
      <w:bookmarkEnd w:id="42"/>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1.社会效益</w:t>
      </w:r>
    </w:p>
    <w:bookmarkEnd w:id="30"/>
    <w:bookmarkEnd w:id="31"/>
    <w:bookmarkEnd w:id="32"/>
    <w:bookmarkEnd w:id="33"/>
    <w:bookmarkEnd w:id="34"/>
    <w:bookmarkEnd w:id="35"/>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社会效益指标“发挥司法规范引导功能，优化营商法治环境，依法平等保护各类市场主体；优化审判管理，提升审判质效，缩短案件审理时间；推进矛盾纠纷化解，助力基层社会治理。充分履行审判职能，切实保障促进经济社会发展，维护社会大局稳定；让人民群众在每一个司法案件中感受到公平正义”完成情况如下：</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区法院2023年推进审判工作现代化，提升办案质效和司法公信力。制定落实区法院《2023年度深化诉源治理实施方案》，参与区委“接诉即办”改革“每月一题”，与区城指中心加强合作，探索12345和12368热线闭环对接、一体推进，促进供暖、房地产、建设工程等领域的纠纷治理关口前移，相关类型案件数量同比下降4.9%。</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深入参与基层治理，持续深化区法院“1+6法治同行”工作机制，开展党建共建活动142次，参加法律论证会55场，响应法律需求37件，为村规民约、自治规范、行业惯例提供法律意见40余份，助力打造“无讼社区”“无讼乡村”。在全区积极建设38个“普法驿站”“兴法治共建基地”，开展“京法巡回讲堂”150余场，召开新闻通报会7场，围绕养老服务、商品房买卖、遗嘱继承等社会热点进行以案释法。“1+6法治同行”机制作为法院系统唯一案例入选北京市2022新时代文明实践创新案例提名奖。</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优化营商法治环境，新收商事案件4979件，审结4995件。营商环境工作案例被市高级法院《京法网事》采纳推广，相关机制得到区主要领导批示肯定。</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维护社会稳定，增强人民群众安全感。审结故意伤害、抢劫等暴力犯罪和诈骗、敲诈勒索等侵犯财产犯罪案件661件，审结寻衅滋事、妨害公务等扰乱社会管理秩序的犯罪案件140件，审结危害食品药品安全案件13件、危险驾驶案件252件、侵犯公民个人信息案件45件。</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2.服务对象满意度指标</w:t>
      </w:r>
    </w:p>
    <w:p>
      <w:pPr>
        <w:spacing w:line="560" w:lineRule="exact"/>
        <w:ind w:firstLine="640" w:firstLineChars="200"/>
        <w:rPr>
          <w:rFonts w:ascii="仿宋_GB2312" w:hAnsi="仿宋" w:eastAsia="仿宋_GB2312"/>
          <w:sz w:val="32"/>
          <w:szCs w:val="32"/>
        </w:rPr>
      </w:pPr>
      <w:bookmarkStart w:id="43" w:name="_Hlk135935901"/>
      <w:r>
        <w:rPr>
          <w:rFonts w:hint="eastAsia" w:ascii="仿宋_GB2312" w:hAnsi="仿宋" w:eastAsia="仿宋_GB2312"/>
          <w:sz w:val="32"/>
          <w:szCs w:val="32"/>
        </w:rPr>
        <w:t>2023年，</w:t>
      </w:r>
      <w:r>
        <w:rPr>
          <w:rFonts w:ascii="仿宋_GB2312" w:hAnsi="仿宋" w:eastAsia="仿宋_GB2312"/>
          <w:sz w:val="32"/>
          <w:szCs w:val="32"/>
        </w:rPr>
        <w:t>区法院工作报告获大兴区第六届人民代表大会第四次会议全票通过</w:t>
      </w:r>
      <w:r>
        <w:rPr>
          <w:rFonts w:hint="eastAsia" w:ascii="仿宋_GB2312" w:hAnsi="仿宋" w:eastAsia="仿宋_GB2312"/>
          <w:sz w:val="32"/>
          <w:szCs w:val="32"/>
        </w:rPr>
        <w:t>，区法院</w:t>
      </w:r>
      <w:bookmarkEnd w:id="43"/>
      <w:r>
        <w:rPr>
          <w:rFonts w:hint="eastAsia" w:ascii="仿宋_GB2312" w:hAnsi="仿宋" w:eastAsia="仿宋_GB2312"/>
          <w:sz w:val="32"/>
          <w:szCs w:val="32"/>
        </w:rPr>
        <w:t>未针对该项目服务对象进行满意度调查。</w:t>
      </w:r>
    </w:p>
    <w:p>
      <w:pPr>
        <w:pStyle w:val="2"/>
        <w:tabs>
          <w:tab w:val="left" w:pos="588"/>
        </w:tabs>
        <w:spacing w:before="0" w:after="0" w:line="560" w:lineRule="exact"/>
        <w:ind w:firstLine="640" w:firstLineChars="200"/>
        <w:rPr>
          <w:rFonts w:ascii="黑体" w:hAnsi="黑体" w:eastAsia="黑体"/>
          <w:b w:val="0"/>
          <w:bCs w:val="0"/>
          <w:sz w:val="32"/>
          <w:szCs w:val="32"/>
        </w:rPr>
      </w:pPr>
      <w:bookmarkStart w:id="44" w:name="_Toc24628"/>
      <w:r>
        <w:rPr>
          <w:rFonts w:hint="eastAsia" w:ascii="黑体" w:hAnsi="黑体" w:eastAsia="黑体"/>
          <w:b w:val="0"/>
          <w:bCs w:val="0"/>
          <w:sz w:val="32"/>
          <w:szCs w:val="32"/>
        </w:rPr>
        <w:t>五、主要经验及做法、存在的问题及原因分析</w:t>
      </w:r>
      <w:bookmarkEnd w:id="44"/>
    </w:p>
    <w:p>
      <w:pPr>
        <w:widowControl/>
        <w:spacing w:line="560" w:lineRule="exact"/>
        <w:ind w:firstLine="640" w:firstLineChars="200"/>
        <w:outlineLvl w:val="1"/>
        <w:rPr>
          <w:rFonts w:ascii="楷体_GB2312" w:hAnsi="Arial" w:eastAsia="楷体_GB2312" w:cs="Arial"/>
          <w:bCs/>
          <w:sz w:val="32"/>
          <w:szCs w:val="32"/>
        </w:rPr>
      </w:pPr>
      <w:bookmarkStart w:id="45" w:name="_Toc32617"/>
      <w:r>
        <w:rPr>
          <w:rFonts w:hint="eastAsia" w:ascii="楷体_GB2312" w:hAnsi="Arial" w:eastAsia="楷体_GB2312" w:cs="Arial"/>
          <w:bCs/>
          <w:sz w:val="32"/>
          <w:szCs w:val="32"/>
        </w:rPr>
        <w:t>（一）主要经验及做法</w:t>
      </w:r>
      <w:bookmarkEnd w:id="45"/>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提升审判质效，积极回应群众关切。坚持“如我在诉”理念，切实解决群众急难愁盼。妥善审理“衣食住行、业教保医”等民生案件，加强实质性解纷。持续加大执行力度，高效兑现群众胜诉权益。不断完善案件繁简分流，提升诉讼服务便捷化、智能化水平。压实制约监督，常态化开展案件评查，严格规范审限管理，促进公正和效率有机统一。</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不断深化“多元调解+速裁”，全面准确落实司法责任制，切实加强专业能力建设。持续推进审判工作现代化，提升办案质效和司法公信力。</w:t>
      </w:r>
    </w:p>
    <w:p>
      <w:pPr>
        <w:widowControl/>
        <w:spacing w:line="560" w:lineRule="exact"/>
        <w:ind w:firstLine="640" w:firstLineChars="200"/>
        <w:outlineLvl w:val="1"/>
        <w:rPr>
          <w:rFonts w:ascii="楷体_GB2312" w:hAnsi="Arial" w:eastAsia="楷体_GB2312" w:cs="Arial"/>
          <w:bCs/>
          <w:sz w:val="32"/>
          <w:szCs w:val="32"/>
        </w:rPr>
      </w:pPr>
      <w:bookmarkStart w:id="46" w:name="_Toc4557"/>
      <w:r>
        <w:rPr>
          <w:rFonts w:hint="eastAsia" w:ascii="楷体_GB2312" w:hAnsi="Arial" w:eastAsia="楷体_GB2312" w:cs="Arial"/>
          <w:bCs/>
          <w:sz w:val="32"/>
          <w:szCs w:val="32"/>
        </w:rPr>
        <w:t>（二）存在的问题及原因分析</w:t>
      </w:r>
      <w:bookmarkEnd w:id="46"/>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绩效目标申报表内容不够完整细化，该项目未设置时效指标，未对项目产生的可持续影响进行深入挖掘；成本指标没有体现人民陪审员补助、诉讼档案扫描及随案生成、培训费及授课费、司法送达服务费等各项单位成本指标。主要原因为绩效目标申报表填报不够细化、科学。</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2.该项目预算金额的测算和编制过程呈现不够清晰。主要原因为该项目为延续性项目，未在2023年年初对该项目预算编制进行重新论证。</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社会效益指标的完成情况缺少数据统计分析和相关佐证资料，项目效益呈现不足;未针对该项目服务对象进行满意度调查，缺少满意度指标完成情况的支撑资料。主要原因为缺少项目效益实现情况的资料收集和数据分析。</w:t>
      </w:r>
    </w:p>
    <w:p>
      <w:pPr>
        <w:spacing w:line="560" w:lineRule="exact"/>
        <w:ind w:firstLine="640" w:firstLineChars="200"/>
        <w:rPr>
          <w:rFonts w:ascii="仿宋_GB2312" w:hAnsi="仿宋" w:eastAsia="仿宋_GB2312"/>
          <w:sz w:val="32"/>
          <w:szCs w:val="32"/>
          <w:highlight w:val="yellow"/>
        </w:rPr>
      </w:pPr>
      <w:r>
        <w:rPr>
          <w:rFonts w:hint="eastAsia" w:ascii="仿宋_GB2312" w:hAnsi="仿宋" w:eastAsia="仿宋_GB2312"/>
          <w:sz w:val="32"/>
          <w:szCs w:val="32"/>
        </w:rPr>
        <w:t>4.项目过程管理资料不完整，未及时对项目支出的绩效目标实现程度、项目实施进度等情况进行汇总、分析、整理。</w:t>
      </w:r>
      <w:bookmarkStart w:id="47" w:name="_Hlk166395801"/>
      <w:r>
        <w:rPr>
          <w:rFonts w:hint="eastAsia" w:ascii="仿宋_GB2312" w:hAnsi="仿宋" w:eastAsia="仿宋_GB2312"/>
          <w:sz w:val="32"/>
          <w:szCs w:val="32"/>
        </w:rPr>
        <w:t>未通过编制项目实施方案，明确职责分工，综合考虑项目实施的各关键环节和风险节点，指导项目具体实施。</w:t>
      </w:r>
      <w:bookmarkEnd w:id="47"/>
      <w:r>
        <w:rPr>
          <w:rFonts w:hint="eastAsia" w:ascii="仿宋_GB2312" w:hAnsi="仿宋" w:eastAsia="仿宋_GB2312"/>
          <w:sz w:val="32"/>
          <w:szCs w:val="32"/>
        </w:rPr>
        <w:t>主要原因为对项目管理细节缺乏重视，对项目过程资料的收集留痕工作不够到位。</w:t>
      </w:r>
    </w:p>
    <w:p>
      <w:pPr>
        <w:pStyle w:val="2"/>
        <w:tabs>
          <w:tab w:val="left" w:pos="588"/>
        </w:tabs>
        <w:spacing w:before="0" w:after="0" w:line="560" w:lineRule="exact"/>
        <w:ind w:firstLine="640" w:firstLineChars="200"/>
        <w:rPr>
          <w:rFonts w:ascii="黑体" w:hAnsi="黑体" w:eastAsia="黑体"/>
          <w:b w:val="0"/>
          <w:bCs w:val="0"/>
          <w:sz w:val="32"/>
          <w:szCs w:val="32"/>
        </w:rPr>
      </w:pPr>
      <w:bookmarkStart w:id="48" w:name="_Toc28814"/>
      <w:r>
        <w:rPr>
          <w:rFonts w:hint="eastAsia" w:ascii="黑体" w:hAnsi="黑体" w:eastAsia="黑体"/>
          <w:b w:val="0"/>
          <w:bCs w:val="0"/>
          <w:sz w:val="32"/>
          <w:szCs w:val="32"/>
        </w:rPr>
        <w:t>六、有关建议</w:t>
      </w:r>
      <w:bookmarkEnd w:id="48"/>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1.加强预算管理，对照历史年度项目实际支出，采用历史成本法等方法重新核定年度预算支出的成本构成，审核预算投入的科学性与准确性。</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规范填报项目绩效目标申报表，根据项目的内容客观预期项目实施能够达到的效果，科学设置绩效目标，指标应指向明确，尽可能细化、量化，不能量化的绩效指标要具有可考量性，充分发挥绩效目标导向作用。</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3.重视项目管理的细节，加强项目过程监督和项目过程资料的收集、整理，进一步规范项目执行程序，提高项目管理水平。</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4.进一步加强绩效管理意识，及时归集项目绩效资料，重视工作成果的反馈，进行满意度调查和分析，提高绩效管理的规范性和有效性。</w:t>
      </w:r>
    </w:p>
    <w:bookmarkEnd w:id="0"/>
    <w:bookmarkEnd w:id="1"/>
    <w:bookmarkEnd w:id="2"/>
    <w:bookmarkEnd w:id="3"/>
    <w:bookmarkEnd w:id="4"/>
    <w:bookmarkEnd w:id="5"/>
    <w:bookmarkEnd w:id="6"/>
    <w:bookmarkEnd w:id="7"/>
    <w:bookmarkEnd w:id="8"/>
    <w:bookmarkEnd w:id="9"/>
    <w:p>
      <w:pPr>
        <w:pStyle w:val="2"/>
        <w:tabs>
          <w:tab w:val="left" w:pos="588"/>
        </w:tabs>
        <w:spacing w:before="0" w:after="0" w:line="560" w:lineRule="exact"/>
        <w:ind w:firstLine="640" w:firstLineChars="200"/>
        <w:rPr>
          <w:rFonts w:ascii="黑体" w:hAnsi="黑体" w:eastAsia="黑体"/>
          <w:b w:val="0"/>
          <w:bCs w:val="0"/>
          <w:sz w:val="32"/>
          <w:szCs w:val="32"/>
        </w:rPr>
      </w:pPr>
      <w:bookmarkStart w:id="49" w:name="_Toc8369"/>
      <w:r>
        <w:rPr>
          <w:rFonts w:hint="eastAsia" w:ascii="黑体" w:hAnsi="黑体" w:eastAsia="黑体"/>
          <w:b w:val="0"/>
          <w:bCs w:val="0"/>
          <w:sz w:val="32"/>
          <w:szCs w:val="32"/>
        </w:rPr>
        <w:t>七、其他需要说明的问题</w:t>
      </w:r>
      <w:bookmarkEnd w:id="49"/>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无。</w:t>
      </w:r>
    </w:p>
    <w:p>
      <w:pPr>
        <w:spacing w:line="560" w:lineRule="exact"/>
        <w:ind w:firstLine="640" w:firstLineChars="200"/>
        <w:rPr>
          <w:rFonts w:ascii="仿宋_GB2312" w:hAnsi="仿宋" w:eastAsia="仿宋_GB2312"/>
          <w:sz w:val="32"/>
          <w:szCs w:val="32"/>
        </w:rPr>
      </w:pP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附件：北京市大兴区人民法院“法院办案业务费”项目绩效评价指标体系及评分表。</w:t>
      </w:r>
    </w:p>
    <w:p>
      <w:pPr>
        <w:snapToGrid w:val="0"/>
        <w:spacing w:line="560" w:lineRule="exact"/>
        <w:ind w:firstLine="560" w:firstLineChars="200"/>
        <w:rPr>
          <w:rFonts w:ascii="仿宋_GB2312" w:hAnsi="仿宋" w:eastAsia="仿宋_GB2312" w:cs="仿宋"/>
          <w:sz w:val="28"/>
          <w:szCs w:val="28"/>
        </w:rPr>
      </w:pPr>
    </w:p>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p>
    <w:pPr>
      <w:pStyle w:val="8"/>
      <w:jc w:val="center"/>
      <w:rPr>
        <w:rFonts w:ascii="宋体" w:hAnsi="宋体"/>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FD303C"/>
    <w:multiLevelType w:val="singleLevel"/>
    <w:tmpl w:val="B7FD303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2ODgxMjQ1ZjkzY2IwNzk2ZDJkYzJmNTA4ZTM0YmYifQ=="/>
  </w:docVars>
  <w:rsids>
    <w:rsidRoot w:val="006067B6"/>
    <w:rsid w:val="0000178A"/>
    <w:rsid w:val="0000220A"/>
    <w:rsid w:val="00003EF0"/>
    <w:rsid w:val="0000435F"/>
    <w:rsid w:val="00004880"/>
    <w:rsid w:val="00004D15"/>
    <w:rsid w:val="0000602C"/>
    <w:rsid w:val="00007C79"/>
    <w:rsid w:val="000100EB"/>
    <w:rsid w:val="00010537"/>
    <w:rsid w:val="00010DDE"/>
    <w:rsid w:val="0001166D"/>
    <w:rsid w:val="00011DEF"/>
    <w:rsid w:val="00023DA8"/>
    <w:rsid w:val="0003213E"/>
    <w:rsid w:val="00037102"/>
    <w:rsid w:val="000415E4"/>
    <w:rsid w:val="0004292B"/>
    <w:rsid w:val="00044F4E"/>
    <w:rsid w:val="000457A7"/>
    <w:rsid w:val="00045CC1"/>
    <w:rsid w:val="00051F92"/>
    <w:rsid w:val="00052315"/>
    <w:rsid w:val="000541C7"/>
    <w:rsid w:val="00056A20"/>
    <w:rsid w:val="00056D68"/>
    <w:rsid w:val="00064D29"/>
    <w:rsid w:val="00065A50"/>
    <w:rsid w:val="00070B39"/>
    <w:rsid w:val="0007210B"/>
    <w:rsid w:val="00081614"/>
    <w:rsid w:val="00085E5F"/>
    <w:rsid w:val="00087530"/>
    <w:rsid w:val="00087FB2"/>
    <w:rsid w:val="000A5C29"/>
    <w:rsid w:val="000B1C93"/>
    <w:rsid w:val="000B2EC5"/>
    <w:rsid w:val="000B64DD"/>
    <w:rsid w:val="000B6B73"/>
    <w:rsid w:val="000B6E46"/>
    <w:rsid w:val="000C12E8"/>
    <w:rsid w:val="000C20AE"/>
    <w:rsid w:val="000C20EC"/>
    <w:rsid w:val="000C46B9"/>
    <w:rsid w:val="000C69B9"/>
    <w:rsid w:val="000C6CD5"/>
    <w:rsid w:val="000D23A8"/>
    <w:rsid w:val="000D5FD6"/>
    <w:rsid w:val="000E010F"/>
    <w:rsid w:val="000E125A"/>
    <w:rsid w:val="000E5DB9"/>
    <w:rsid w:val="000E6B02"/>
    <w:rsid w:val="000E6DDC"/>
    <w:rsid w:val="000F1088"/>
    <w:rsid w:val="000F3CCF"/>
    <w:rsid w:val="000F4F6F"/>
    <w:rsid w:val="000F5109"/>
    <w:rsid w:val="000F58AF"/>
    <w:rsid w:val="000F5EDC"/>
    <w:rsid w:val="000F6A50"/>
    <w:rsid w:val="00113526"/>
    <w:rsid w:val="001161DD"/>
    <w:rsid w:val="0012246F"/>
    <w:rsid w:val="00122A90"/>
    <w:rsid w:val="00125891"/>
    <w:rsid w:val="001266AF"/>
    <w:rsid w:val="0012702E"/>
    <w:rsid w:val="00132673"/>
    <w:rsid w:val="00142684"/>
    <w:rsid w:val="00147241"/>
    <w:rsid w:val="00157303"/>
    <w:rsid w:val="001607E3"/>
    <w:rsid w:val="0016535C"/>
    <w:rsid w:val="00167579"/>
    <w:rsid w:val="00175D27"/>
    <w:rsid w:val="00176093"/>
    <w:rsid w:val="00183985"/>
    <w:rsid w:val="00192283"/>
    <w:rsid w:val="00192A66"/>
    <w:rsid w:val="001A0274"/>
    <w:rsid w:val="001A0FD9"/>
    <w:rsid w:val="001A2B57"/>
    <w:rsid w:val="001A2D83"/>
    <w:rsid w:val="001B3178"/>
    <w:rsid w:val="001B3D87"/>
    <w:rsid w:val="001B4AB0"/>
    <w:rsid w:val="001B7452"/>
    <w:rsid w:val="001C0232"/>
    <w:rsid w:val="001D0D6E"/>
    <w:rsid w:val="001D4220"/>
    <w:rsid w:val="001D5E7D"/>
    <w:rsid w:val="001D7F70"/>
    <w:rsid w:val="001E1AC4"/>
    <w:rsid w:val="001E2B6D"/>
    <w:rsid w:val="001E49A4"/>
    <w:rsid w:val="001E6789"/>
    <w:rsid w:val="001F3AC0"/>
    <w:rsid w:val="001F4FD6"/>
    <w:rsid w:val="001F5003"/>
    <w:rsid w:val="001F5148"/>
    <w:rsid w:val="001F6208"/>
    <w:rsid w:val="001F7ABA"/>
    <w:rsid w:val="001F7EFF"/>
    <w:rsid w:val="00201150"/>
    <w:rsid w:val="00201B57"/>
    <w:rsid w:val="002026AD"/>
    <w:rsid w:val="0021048C"/>
    <w:rsid w:val="00215664"/>
    <w:rsid w:val="002165C5"/>
    <w:rsid w:val="00216E31"/>
    <w:rsid w:val="002177C0"/>
    <w:rsid w:val="00217CE7"/>
    <w:rsid w:val="00223D1C"/>
    <w:rsid w:val="002300C0"/>
    <w:rsid w:val="0023077E"/>
    <w:rsid w:val="00231504"/>
    <w:rsid w:val="00231B7F"/>
    <w:rsid w:val="0023204E"/>
    <w:rsid w:val="002320AD"/>
    <w:rsid w:val="0023478C"/>
    <w:rsid w:val="00234ADF"/>
    <w:rsid w:val="002359F4"/>
    <w:rsid w:val="00241BF5"/>
    <w:rsid w:val="00255026"/>
    <w:rsid w:val="002565A9"/>
    <w:rsid w:val="00257263"/>
    <w:rsid w:val="00264D61"/>
    <w:rsid w:val="00266C56"/>
    <w:rsid w:val="00271C50"/>
    <w:rsid w:val="002762E1"/>
    <w:rsid w:val="00276B79"/>
    <w:rsid w:val="002801F5"/>
    <w:rsid w:val="00290723"/>
    <w:rsid w:val="00292237"/>
    <w:rsid w:val="002928FC"/>
    <w:rsid w:val="00295C15"/>
    <w:rsid w:val="002A0B6A"/>
    <w:rsid w:val="002A1D43"/>
    <w:rsid w:val="002A30D5"/>
    <w:rsid w:val="002A4578"/>
    <w:rsid w:val="002B0D45"/>
    <w:rsid w:val="002B4D42"/>
    <w:rsid w:val="002C3831"/>
    <w:rsid w:val="002C7879"/>
    <w:rsid w:val="002D5782"/>
    <w:rsid w:val="002E73ED"/>
    <w:rsid w:val="002E7A4B"/>
    <w:rsid w:val="002E7C16"/>
    <w:rsid w:val="002F4590"/>
    <w:rsid w:val="003019DF"/>
    <w:rsid w:val="00302D11"/>
    <w:rsid w:val="0030322C"/>
    <w:rsid w:val="00313754"/>
    <w:rsid w:val="00315082"/>
    <w:rsid w:val="003223CF"/>
    <w:rsid w:val="00322EC4"/>
    <w:rsid w:val="003232D0"/>
    <w:rsid w:val="00327CA0"/>
    <w:rsid w:val="0033481F"/>
    <w:rsid w:val="0033502C"/>
    <w:rsid w:val="0033697D"/>
    <w:rsid w:val="00337D46"/>
    <w:rsid w:val="003415E9"/>
    <w:rsid w:val="0034249B"/>
    <w:rsid w:val="003465CA"/>
    <w:rsid w:val="003472AA"/>
    <w:rsid w:val="00350B74"/>
    <w:rsid w:val="00350F2A"/>
    <w:rsid w:val="00355BAA"/>
    <w:rsid w:val="00360502"/>
    <w:rsid w:val="003643BF"/>
    <w:rsid w:val="003663E2"/>
    <w:rsid w:val="00374517"/>
    <w:rsid w:val="00374827"/>
    <w:rsid w:val="00374FFB"/>
    <w:rsid w:val="00376E0D"/>
    <w:rsid w:val="00381421"/>
    <w:rsid w:val="00392887"/>
    <w:rsid w:val="00396B90"/>
    <w:rsid w:val="003A3F9C"/>
    <w:rsid w:val="003B36F5"/>
    <w:rsid w:val="003B7A88"/>
    <w:rsid w:val="003B7C03"/>
    <w:rsid w:val="003C07E4"/>
    <w:rsid w:val="003C0D5E"/>
    <w:rsid w:val="003C2DA3"/>
    <w:rsid w:val="003C3D00"/>
    <w:rsid w:val="003C4087"/>
    <w:rsid w:val="003C5F49"/>
    <w:rsid w:val="003D5970"/>
    <w:rsid w:val="003E02A4"/>
    <w:rsid w:val="003E645A"/>
    <w:rsid w:val="003E6C00"/>
    <w:rsid w:val="003E71E7"/>
    <w:rsid w:val="003F1B1E"/>
    <w:rsid w:val="004070E5"/>
    <w:rsid w:val="0041173F"/>
    <w:rsid w:val="00413339"/>
    <w:rsid w:val="004158F1"/>
    <w:rsid w:val="00432B44"/>
    <w:rsid w:val="00436DB6"/>
    <w:rsid w:val="00440601"/>
    <w:rsid w:val="004437B0"/>
    <w:rsid w:val="00443B3E"/>
    <w:rsid w:val="00444BA4"/>
    <w:rsid w:val="004551E0"/>
    <w:rsid w:val="00455E29"/>
    <w:rsid w:val="00460EE8"/>
    <w:rsid w:val="00461780"/>
    <w:rsid w:val="00461E48"/>
    <w:rsid w:val="00463CD0"/>
    <w:rsid w:val="00466DFE"/>
    <w:rsid w:val="00485DF0"/>
    <w:rsid w:val="00494106"/>
    <w:rsid w:val="004959F0"/>
    <w:rsid w:val="00497634"/>
    <w:rsid w:val="004A1344"/>
    <w:rsid w:val="004A305E"/>
    <w:rsid w:val="004B2B60"/>
    <w:rsid w:val="004B2ECF"/>
    <w:rsid w:val="004B394C"/>
    <w:rsid w:val="004C3130"/>
    <w:rsid w:val="004C6969"/>
    <w:rsid w:val="004D4067"/>
    <w:rsid w:val="004E16BA"/>
    <w:rsid w:val="004E1926"/>
    <w:rsid w:val="004E4CE5"/>
    <w:rsid w:val="004F02EB"/>
    <w:rsid w:val="004F38B0"/>
    <w:rsid w:val="004F7762"/>
    <w:rsid w:val="00503BF8"/>
    <w:rsid w:val="005050FD"/>
    <w:rsid w:val="00510BAD"/>
    <w:rsid w:val="00510D05"/>
    <w:rsid w:val="005115D1"/>
    <w:rsid w:val="0052511E"/>
    <w:rsid w:val="005251D6"/>
    <w:rsid w:val="00530591"/>
    <w:rsid w:val="00535094"/>
    <w:rsid w:val="00545471"/>
    <w:rsid w:val="005454AB"/>
    <w:rsid w:val="00546762"/>
    <w:rsid w:val="00546A6D"/>
    <w:rsid w:val="00550DB7"/>
    <w:rsid w:val="00553060"/>
    <w:rsid w:val="00553945"/>
    <w:rsid w:val="00553B0B"/>
    <w:rsid w:val="005563E6"/>
    <w:rsid w:val="0056186B"/>
    <w:rsid w:val="00565A5A"/>
    <w:rsid w:val="005667BF"/>
    <w:rsid w:val="0057007B"/>
    <w:rsid w:val="00573430"/>
    <w:rsid w:val="00577FCE"/>
    <w:rsid w:val="00583381"/>
    <w:rsid w:val="00583F80"/>
    <w:rsid w:val="00585B46"/>
    <w:rsid w:val="005869E8"/>
    <w:rsid w:val="00594D08"/>
    <w:rsid w:val="00596751"/>
    <w:rsid w:val="005A0DFD"/>
    <w:rsid w:val="005A607F"/>
    <w:rsid w:val="005B2B99"/>
    <w:rsid w:val="005C2B0E"/>
    <w:rsid w:val="005D1034"/>
    <w:rsid w:val="005D1989"/>
    <w:rsid w:val="005D38EC"/>
    <w:rsid w:val="005D4C2B"/>
    <w:rsid w:val="005D4F5D"/>
    <w:rsid w:val="005E37FE"/>
    <w:rsid w:val="005E560D"/>
    <w:rsid w:val="005F540C"/>
    <w:rsid w:val="005F7793"/>
    <w:rsid w:val="00601FB5"/>
    <w:rsid w:val="006067B6"/>
    <w:rsid w:val="00606AC7"/>
    <w:rsid w:val="00615AFA"/>
    <w:rsid w:val="006262B6"/>
    <w:rsid w:val="00630CF2"/>
    <w:rsid w:val="00631359"/>
    <w:rsid w:val="00633306"/>
    <w:rsid w:val="00636B53"/>
    <w:rsid w:val="00637CDA"/>
    <w:rsid w:val="00650C50"/>
    <w:rsid w:val="006531EA"/>
    <w:rsid w:val="006557EB"/>
    <w:rsid w:val="006638E3"/>
    <w:rsid w:val="00664756"/>
    <w:rsid w:val="00671818"/>
    <w:rsid w:val="0067415B"/>
    <w:rsid w:val="0067544A"/>
    <w:rsid w:val="00681FC8"/>
    <w:rsid w:val="006834EC"/>
    <w:rsid w:val="0068798C"/>
    <w:rsid w:val="0069778C"/>
    <w:rsid w:val="006A1E26"/>
    <w:rsid w:val="006A3998"/>
    <w:rsid w:val="006A3C74"/>
    <w:rsid w:val="006A4D38"/>
    <w:rsid w:val="006A59A9"/>
    <w:rsid w:val="006A665C"/>
    <w:rsid w:val="006B2A20"/>
    <w:rsid w:val="006C0AD1"/>
    <w:rsid w:val="006C10FA"/>
    <w:rsid w:val="006C414D"/>
    <w:rsid w:val="006C5DEF"/>
    <w:rsid w:val="006C70CF"/>
    <w:rsid w:val="006C7193"/>
    <w:rsid w:val="006E3AFC"/>
    <w:rsid w:val="006F122B"/>
    <w:rsid w:val="006F4D43"/>
    <w:rsid w:val="006F4FB8"/>
    <w:rsid w:val="006F6A8C"/>
    <w:rsid w:val="00714B3C"/>
    <w:rsid w:val="00715D0E"/>
    <w:rsid w:val="007173B2"/>
    <w:rsid w:val="00724311"/>
    <w:rsid w:val="00733473"/>
    <w:rsid w:val="0073368A"/>
    <w:rsid w:val="00733BE9"/>
    <w:rsid w:val="00735AA0"/>
    <w:rsid w:val="00740359"/>
    <w:rsid w:val="007424DE"/>
    <w:rsid w:val="0074550B"/>
    <w:rsid w:val="0074715A"/>
    <w:rsid w:val="00750A95"/>
    <w:rsid w:val="00754810"/>
    <w:rsid w:val="00756C13"/>
    <w:rsid w:val="00757EA9"/>
    <w:rsid w:val="007619C2"/>
    <w:rsid w:val="007763D7"/>
    <w:rsid w:val="00776A98"/>
    <w:rsid w:val="0078042E"/>
    <w:rsid w:val="007819C9"/>
    <w:rsid w:val="00783B6B"/>
    <w:rsid w:val="00790AF9"/>
    <w:rsid w:val="00793723"/>
    <w:rsid w:val="007968E7"/>
    <w:rsid w:val="00797582"/>
    <w:rsid w:val="007A4D02"/>
    <w:rsid w:val="007A5E3B"/>
    <w:rsid w:val="007A687A"/>
    <w:rsid w:val="007B218A"/>
    <w:rsid w:val="007B3F51"/>
    <w:rsid w:val="007B6A49"/>
    <w:rsid w:val="007B7596"/>
    <w:rsid w:val="007C150C"/>
    <w:rsid w:val="007D0D5A"/>
    <w:rsid w:val="007D45EC"/>
    <w:rsid w:val="007D66C2"/>
    <w:rsid w:val="007E6E82"/>
    <w:rsid w:val="007F1EFA"/>
    <w:rsid w:val="0080252A"/>
    <w:rsid w:val="0081741F"/>
    <w:rsid w:val="00830653"/>
    <w:rsid w:val="00830940"/>
    <w:rsid w:val="0083337A"/>
    <w:rsid w:val="00834345"/>
    <w:rsid w:val="00835AAF"/>
    <w:rsid w:val="008368ED"/>
    <w:rsid w:val="008468DC"/>
    <w:rsid w:val="008478BA"/>
    <w:rsid w:val="008520B7"/>
    <w:rsid w:val="00852736"/>
    <w:rsid w:val="00856FB2"/>
    <w:rsid w:val="00865176"/>
    <w:rsid w:val="008669AB"/>
    <w:rsid w:val="00867B68"/>
    <w:rsid w:val="008702CA"/>
    <w:rsid w:val="008720C0"/>
    <w:rsid w:val="00872448"/>
    <w:rsid w:val="008725A1"/>
    <w:rsid w:val="008736DF"/>
    <w:rsid w:val="0087412D"/>
    <w:rsid w:val="00875CFD"/>
    <w:rsid w:val="0087685B"/>
    <w:rsid w:val="008845AE"/>
    <w:rsid w:val="008929EC"/>
    <w:rsid w:val="0089450A"/>
    <w:rsid w:val="008979EB"/>
    <w:rsid w:val="008B2C0A"/>
    <w:rsid w:val="008B3B7D"/>
    <w:rsid w:val="008B7084"/>
    <w:rsid w:val="008C088B"/>
    <w:rsid w:val="008C50DD"/>
    <w:rsid w:val="008C7CD4"/>
    <w:rsid w:val="008D234B"/>
    <w:rsid w:val="008D2828"/>
    <w:rsid w:val="008D29AF"/>
    <w:rsid w:val="008D44AB"/>
    <w:rsid w:val="008D575A"/>
    <w:rsid w:val="008D7EA6"/>
    <w:rsid w:val="008E159D"/>
    <w:rsid w:val="008E3169"/>
    <w:rsid w:val="008E5E2B"/>
    <w:rsid w:val="008E62F8"/>
    <w:rsid w:val="008F261A"/>
    <w:rsid w:val="008F6438"/>
    <w:rsid w:val="008F7976"/>
    <w:rsid w:val="009008D9"/>
    <w:rsid w:val="009067D9"/>
    <w:rsid w:val="00910052"/>
    <w:rsid w:val="0091407D"/>
    <w:rsid w:val="00914B22"/>
    <w:rsid w:val="009171FD"/>
    <w:rsid w:val="0092084E"/>
    <w:rsid w:val="00925759"/>
    <w:rsid w:val="00926FB1"/>
    <w:rsid w:val="00930286"/>
    <w:rsid w:val="00931E6E"/>
    <w:rsid w:val="00941293"/>
    <w:rsid w:val="00941F8B"/>
    <w:rsid w:val="0095284A"/>
    <w:rsid w:val="00955863"/>
    <w:rsid w:val="00964D18"/>
    <w:rsid w:val="0096591D"/>
    <w:rsid w:val="0097131E"/>
    <w:rsid w:val="00973C63"/>
    <w:rsid w:val="00975646"/>
    <w:rsid w:val="0098722B"/>
    <w:rsid w:val="009878DF"/>
    <w:rsid w:val="009946C6"/>
    <w:rsid w:val="009A2DC7"/>
    <w:rsid w:val="009B0B07"/>
    <w:rsid w:val="009B1436"/>
    <w:rsid w:val="009B1FD3"/>
    <w:rsid w:val="009B2068"/>
    <w:rsid w:val="009B3415"/>
    <w:rsid w:val="009B6761"/>
    <w:rsid w:val="009C0BD2"/>
    <w:rsid w:val="009C2772"/>
    <w:rsid w:val="009C5A35"/>
    <w:rsid w:val="009C7730"/>
    <w:rsid w:val="009D0145"/>
    <w:rsid w:val="009D215C"/>
    <w:rsid w:val="009D427B"/>
    <w:rsid w:val="009E1A1D"/>
    <w:rsid w:val="009E2D52"/>
    <w:rsid w:val="009E7A02"/>
    <w:rsid w:val="009F1F8B"/>
    <w:rsid w:val="009F22FC"/>
    <w:rsid w:val="009F343E"/>
    <w:rsid w:val="009F604B"/>
    <w:rsid w:val="009F6D21"/>
    <w:rsid w:val="00A00474"/>
    <w:rsid w:val="00A02324"/>
    <w:rsid w:val="00A02504"/>
    <w:rsid w:val="00A05B3D"/>
    <w:rsid w:val="00A06405"/>
    <w:rsid w:val="00A1089E"/>
    <w:rsid w:val="00A15F70"/>
    <w:rsid w:val="00A17FE7"/>
    <w:rsid w:val="00A200B0"/>
    <w:rsid w:val="00A316D4"/>
    <w:rsid w:val="00A334E4"/>
    <w:rsid w:val="00A36D38"/>
    <w:rsid w:val="00A377F4"/>
    <w:rsid w:val="00A40E17"/>
    <w:rsid w:val="00A42948"/>
    <w:rsid w:val="00A43FF2"/>
    <w:rsid w:val="00A45FC7"/>
    <w:rsid w:val="00A51B6C"/>
    <w:rsid w:val="00A543E8"/>
    <w:rsid w:val="00A5541D"/>
    <w:rsid w:val="00A56054"/>
    <w:rsid w:val="00A566FB"/>
    <w:rsid w:val="00A60241"/>
    <w:rsid w:val="00A65C27"/>
    <w:rsid w:val="00A663A8"/>
    <w:rsid w:val="00A706DD"/>
    <w:rsid w:val="00A83D5E"/>
    <w:rsid w:val="00A90601"/>
    <w:rsid w:val="00A91AD9"/>
    <w:rsid w:val="00A937DC"/>
    <w:rsid w:val="00A9506E"/>
    <w:rsid w:val="00AA0D70"/>
    <w:rsid w:val="00AA26CB"/>
    <w:rsid w:val="00AA2AAA"/>
    <w:rsid w:val="00AB5C45"/>
    <w:rsid w:val="00AC0603"/>
    <w:rsid w:val="00AC3556"/>
    <w:rsid w:val="00AC743F"/>
    <w:rsid w:val="00AD2F13"/>
    <w:rsid w:val="00AD616A"/>
    <w:rsid w:val="00AE138D"/>
    <w:rsid w:val="00AE38B3"/>
    <w:rsid w:val="00AE4C8C"/>
    <w:rsid w:val="00AE53BA"/>
    <w:rsid w:val="00AF040E"/>
    <w:rsid w:val="00AF19BA"/>
    <w:rsid w:val="00AF2B6D"/>
    <w:rsid w:val="00AF334A"/>
    <w:rsid w:val="00AF4442"/>
    <w:rsid w:val="00B042A3"/>
    <w:rsid w:val="00B05719"/>
    <w:rsid w:val="00B14EAF"/>
    <w:rsid w:val="00B164C1"/>
    <w:rsid w:val="00B1731D"/>
    <w:rsid w:val="00B1731F"/>
    <w:rsid w:val="00B17C5B"/>
    <w:rsid w:val="00B2314F"/>
    <w:rsid w:val="00B2642A"/>
    <w:rsid w:val="00B2660D"/>
    <w:rsid w:val="00B27940"/>
    <w:rsid w:val="00B315DA"/>
    <w:rsid w:val="00B33DD7"/>
    <w:rsid w:val="00B34A34"/>
    <w:rsid w:val="00B35B1B"/>
    <w:rsid w:val="00B374AB"/>
    <w:rsid w:val="00B438F3"/>
    <w:rsid w:val="00B47A8B"/>
    <w:rsid w:val="00B57695"/>
    <w:rsid w:val="00B6037E"/>
    <w:rsid w:val="00B70259"/>
    <w:rsid w:val="00B84252"/>
    <w:rsid w:val="00B87D0B"/>
    <w:rsid w:val="00B916E4"/>
    <w:rsid w:val="00B920DD"/>
    <w:rsid w:val="00B92AB3"/>
    <w:rsid w:val="00B92D91"/>
    <w:rsid w:val="00B951C7"/>
    <w:rsid w:val="00BA04E3"/>
    <w:rsid w:val="00BA13C7"/>
    <w:rsid w:val="00BA7512"/>
    <w:rsid w:val="00BB7149"/>
    <w:rsid w:val="00BC0C8F"/>
    <w:rsid w:val="00BC249D"/>
    <w:rsid w:val="00BC4221"/>
    <w:rsid w:val="00BC56A4"/>
    <w:rsid w:val="00BD3ACD"/>
    <w:rsid w:val="00BD48F8"/>
    <w:rsid w:val="00BD682B"/>
    <w:rsid w:val="00BD7B06"/>
    <w:rsid w:val="00BE3CB7"/>
    <w:rsid w:val="00BE49F6"/>
    <w:rsid w:val="00BF3921"/>
    <w:rsid w:val="00BF71E7"/>
    <w:rsid w:val="00C03747"/>
    <w:rsid w:val="00C03E00"/>
    <w:rsid w:val="00C075CA"/>
    <w:rsid w:val="00C14916"/>
    <w:rsid w:val="00C14FFE"/>
    <w:rsid w:val="00C1790A"/>
    <w:rsid w:val="00C240BB"/>
    <w:rsid w:val="00C273D5"/>
    <w:rsid w:val="00C35EE1"/>
    <w:rsid w:val="00C36158"/>
    <w:rsid w:val="00C365EF"/>
    <w:rsid w:val="00C4371A"/>
    <w:rsid w:val="00C43DEA"/>
    <w:rsid w:val="00C444EE"/>
    <w:rsid w:val="00C45316"/>
    <w:rsid w:val="00C46E8E"/>
    <w:rsid w:val="00C521C6"/>
    <w:rsid w:val="00C528D4"/>
    <w:rsid w:val="00C54659"/>
    <w:rsid w:val="00C56C87"/>
    <w:rsid w:val="00C61A95"/>
    <w:rsid w:val="00C61ACB"/>
    <w:rsid w:val="00C633F5"/>
    <w:rsid w:val="00C658D2"/>
    <w:rsid w:val="00C711F1"/>
    <w:rsid w:val="00C71E74"/>
    <w:rsid w:val="00C71EFF"/>
    <w:rsid w:val="00C7298B"/>
    <w:rsid w:val="00C740EB"/>
    <w:rsid w:val="00C75120"/>
    <w:rsid w:val="00C7775A"/>
    <w:rsid w:val="00C82D4B"/>
    <w:rsid w:val="00C879A4"/>
    <w:rsid w:val="00C903FF"/>
    <w:rsid w:val="00C91AC1"/>
    <w:rsid w:val="00C92D4B"/>
    <w:rsid w:val="00C933E1"/>
    <w:rsid w:val="00C965DC"/>
    <w:rsid w:val="00CA3B04"/>
    <w:rsid w:val="00CA5B56"/>
    <w:rsid w:val="00CB5199"/>
    <w:rsid w:val="00CB6288"/>
    <w:rsid w:val="00CC152C"/>
    <w:rsid w:val="00CD14E8"/>
    <w:rsid w:val="00CD329B"/>
    <w:rsid w:val="00CE102D"/>
    <w:rsid w:val="00CE140D"/>
    <w:rsid w:val="00CE2476"/>
    <w:rsid w:val="00CE584C"/>
    <w:rsid w:val="00CE5CA3"/>
    <w:rsid w:val="00CF09DD"/>
    <w:rsid w:val="00CF6BA4"/>
    <w:rsid w:val="00D00EC5"/>
    <w:rsid w:val="00D117E1"/>
    <w:rsid w:val="00D12D3F"/>
    <w:rsid w:val="00D15322"/>
    <w:rsid w:val="00D27766"/>
    <w:rsid w:val="00D27F04"/>
    <w:rsid w:val="00D33C42"/>
    <w:rsid w:val="00D613D2"/>
    <w:rsid w:val="00D6171F"/>
    <w:rsid w:val="00D61ECD"/>
    <w:rsid w:val="00D62B9D"/>
    <w:rsid w:val="00D70E2F"/>
    <w:rsid w:val="00D7766A"/>
    <w:rsid w:val="00D85489"/>
    <w:rsid w:val="00D85D02"/>
    <w:rsid w:val="00D91F0E"/>
    <w:rsid w:val="00D943EC"/>
    <w:rsid w:val="00D949D5"/>
    <w:rsid w:val="00D950A3"/>
    <w:rsid w:val="00DB5CFE"/>
    <w:rsid w:val="00DC3D02"/>
    <w:rsid w:val="00DD4D8D"/>
    <w:rsid w:val="00DD66C8"/>
    <w:rsid w:val="00DE35A1"/>
    <w:rsid w:val="00DE3F07"/>
    <w:rsid w:val="00DE7674"/>
    <w:rsid w:val="00DF6C3A"/>
    <w:rsid w:val="00DF7E5E"/>
    <w:rsid w:val="00E04D82"/>
    <w:rsid w:val="00E11130"/>
    <w:rsid w:val="00E16901"/>
    <w:rsid w:val="00E23C3A"/>
    <w:rsid w:val="00E2609F"/>
    <w:rsid w:val="00E27CE8"/>
    <w:rsid w:val="00E34343"/>
    <w:rsid w:val="00E35C67"/>
    <w:rsid w:val="00E35F52"/>
    <w:rsid w:val="00E4178F"/>
    <w:rsid w:val="00E4267C"/>
    <w:rsid w:val="00E435AC"/>
    <w:rsid w:val="00E4576B"/>
    <w:rsid w:val="00E55811"/>
    <w:rsid w:val="00E57538"/>
    <w:rsid w:val="00E6326A"/>
    <w:rsid w:val="00E6621E"/>
    <w:rsid w:val="00E710F6"/>
    <w:rsid w:val="00E736AB"/>
    <w:rsid w:val="00E73798"/>
    <w:rsid w:val="00E76DA8"/>
    <w:rsid w:val="00E80D4D"/>
    <w:rsid w:val="00E82FB0"/>
    <w:rsid w:val="00E83EEA"/>
    <w:rsid w:val="00E84E85"/>
    <w:rsid w:val="00E85083"/>
    <w:rsid w:val="00E90C57"/>
    <w:rsid w:val="00E91D51"/>
    <w:rsid w:val="00E9346E"/>
    <w:rsid w:val="00E9481A"/>
    <w:rsid w:val="00E97C33"/>
    <w:rsid w:val="00EA141E"/>
    <w:rsid w:val="00EA5681"/>
    <w:rsid w:val="00EA68AD"/>
    <w:rsid w:val="00EA7489"/>
    <w:rsid w:val="00EB10ED"/>
    <w:rsid w:val="00EB423B"/>
    <w:rsid w:val="00EB4B89"/>
    <w:rsid w:val="00EB7356"/>
    <w:rsid w:val="00EC3B46"/>
    <w:rsid w:val="00ED5A08"/>
    <w:rsid w:val="00ED6723"/>
    <w:rsid w:val="00EE48F6"/>
    <w:rsid w:val="00EE4C48"/>
    <w:rsid w:val="00EE67F3"/>
    <w:rsid w:val="00EF39F3"/>
    <w:rsid w:val="00EF54CB"/>
    <w:rsid w:val="00F04225"/>
    <w:rsid w:val="00F05E81"/>
    <w:rsid w:val="00F06889"/>
    <w:rsid w:val="00F10FBE"/>
    <w:rsid w:val="00F1149B"/>
    <w:rsid w:val="00F1289C"/>
    <w:rsid w:val="00F12A19"/>
    <w:rsid w:val="00F13A78"/>
    <w:rsid w:val="00F20810"/>
    <w:rsid w:val="00F211E0"/>
    <w:rsid w:val="00F23D69"/>
    <w:rsid w:val="00F244C9"/>
    <w:rsid w:val="00F3191B"/>
    <w:rsid w:val="00F34437"/>
    <w:rsid w:val="00F35ABD"/>
    <w:rsid w:val="00F4291D"/>
    <w:rsid w:val="00F453F3"/>
    <w:rsid w:val="00F45C15"/>
    <w:rsid w:val="00F5012C"/>
    <w:rsid w:val="00F529FD"/>
    <w:rsid w:val="00F578F9"/>
    <w:rsid w:val="00F621AC"/>
    <w:rsid w:val="00F63F18"/>
    <w:rsid w:val="00F723C4"/>
    <w:rsid w:val="00F73EE5"/>
    <w:rsid w:val="00F80B5C"/>
    <w:rsid w:val="00F82249"/>
    <w:rsid w:val="00F83128"/>
    <w:rsid w:val="00F861B2"/>
    <w:rsid w:val="00F86ADF"/>
    <w:rsid w:val="00F90C8F"/>
    <w:rsid w:val="00F94B69"/>
    <w:rsid w:val="00FA07FC"/>
    <w:rsid w:val="00FB0025"/>
    <w:rsid w:val="00FB005D"/>
    <w:rsid w:val="00FB0E0E"/>
    <w:rsid w:val="00FB345E"/>
    <w:rsid w:val="00FC6B0B"/>
    <w:rsid w:val="00FC6E83"/>
    <w:rsid w:val="00FC799E"/>
    <w:rsid w:val="00FC7B05"/>
    <w:rsid w:val="00FD0F6D"/>
    <w:rsid w:val="00FD3A76"/>
    <w:rsid w:val="00FD4651"/>
    <w:rsid w:val="00FD6483"/>
    <w:rsid w:val="00FE1E14"/>
    <w:rsid w:val="00FF599E"/>
    <w:rsid w:val="03B82C1E"/>
    <w:rsid w:val="03FF059D"/>
    <w:rsid w:val="040469FC"/>
    <w:rsid w:val="0526590B"/>
    <w:rsid w:val="05DB085A"/>
    <w:rsid w:val="0A1943A6"/>
    <w:rsid w:val="0B32197D"/>
    <w:rsid w:val="0B354AFA"/>
    <w:rsid w:val="0D834483"/>
    <w:rsid w:val="0F2145C1"/>
    <w:rsid w:val="0F841BAC"/>
    <w:rsid w:val="0FE70939"/>
    <w:rsid w:val="10005F70"/>
    <w:rsid w:val="10B31E73"/>
    <w:rsid w:val="12D70364"/>
    <w:rsid w:val="13225964"/>
    <w:rsid w:val="14564D4D"/>
    <w:rsid w:val="16A460D4"/>
    <w:rsid w:val="1763654B"/>
    <w:rsid w:val="18D421D0"/>
    <w:rsid w:val="1BE0775F"/>
    <w:rsid w:val="1C0402C3"/>
    <w:rsid w:val="1CA041FE"/>
    <w:rsid w:val="1F266C90"/>
    <w:rsid w:val="1FFD3962"/>
    <w:rsid w:val="2117786D"/>
    <w:rsid w:val="233D0FB5"/>
    <w:rsid w:val="23775858"/>
    <w:rsid w:val="23807036"/>
    <w:rsid w:val="24A7123C"/>
    <w:rsid w:val="2652297D"/>
    <w:rsid w:val="2912392D"/>
    <w:rsid w:val="2A4B4255"/>
    <w:rsid w:val="2A62489B"/>
    <w:rsid w:val="2B9F4243"/>
    <w:rsid w:val="2C0C773F"/>
    <w:rsid w:val="2CBC2FA7"/>
    <w:rsid w:val="2D7E40C8"/>
    <w:rsid w:val="2E170F5F"/>
    <w:rsid w:val="2E5F4766"/>
    <w:rsid w:val="2FEC4ED7"/>
    <w:rsid w:val="317652D3"/>
    <w:rsid w:val="31CF3663"/>
    <w:rsid w:val="32CB5552"/>
    <w:rsid w:val="33BA3956"/>
    <w:rsid w:val="36BE7656"/>
    <w:rsid w:val="36C615E9"/>
    <w:rsid w:val="37B35056"/>
    <w:rsid w:val="37D01583"/>
    <w:rsid w:val="38C03809"/>
    <w:rsid w:val="3B5EBB62"/>
    <w:rsid w:val="3EDA2B13"/>
    <w:rsid w:val="3F5D7B14"/>
    <w:rsid w:val="415F2B4E"/>
    <w:rsid w:val="41FF4F3E"/>
    <w:rsid w:val="42852579"/>
    <w:rsid w:val="43CD7BE6"/>
    <w:rsid w:val="448654A3"/>
    <w:rsid w:val="455D7D7B"/>
    <w:rsid w:val="45B85B30"/>
    <w:rsid w:val="45CD7D52"/>
    <w:rsid w:val="46DF0E9A"/>
    <w:rsid w:val="46EC5AA4"/>
    <w:rsid w:val="4A86C2FD"/>
    <w:rsid w:val="4AB12CDE"/>
    <w:rsid w:val="4BC04B79"/>
    <w:rsid w:val="4CA44C33"/>
    <w:rsid w:val="4DED0341"/>
    <w:rsid w:val="4F2038F9"/>
    <w:rsid w:val="50CC07FE"/>
    <w:rsid w:val="51612C25"/>
    <w:rsid w:val="51CE328B"/>
    <w:rsid w:val="57437223"/>
    <w:rsid w:val="57A214EE"/>
    <w:rsid w:val="5A1E5DD4"/>
    <w:rsid w:val="5D877244"/>
    <w:rsid w:val="5F3E79F5"/>
    <w:rsid w:val="61B431F8"/>
    <w:rsid w:val="61D30A56"/>
    <w:rsid w:val="61D45648"/>
    <w:rsid w:val="629728D0"/>
    <w:rsid w:val="63121AD8"/>
    <w:rsid w:val="6753155E"/>
    <w:rsid w:val="67C57FB1"/>
    <w:rsid w:val="682329EA"/>
    <w:rsid w:val="687A15A3"/>
    <w:rsid w:val="68AA734D"/>
    <w:rsid w:val="6A164324"/>
    <w:rsid w:val="6B3929BF"/>
    <w:rsid w:val="6B7A019B"/>
    <w:rsid w:val="6C7F6A38"/>
    <w:rsid w:val="6D710EB8"/>
    <w:rsid w:val="6F0A6462"/>
    <w:rsid w:val="6FEA33FB"/>
    <w:rsid w:val="6FFDBBA6"/>
    <w:rsid w:val="7029702C"/>
    <w:rsid w:val="70C1148D"/>
    <w:rsid w:val="70D2364F"/>
    <w:rsid w:val="719C918C"/>
    <w:rsid w:val="73AC4E78"/>
    <w:rsid w:val="74B706C6"/>
    <w:rsid w:val="761C07CD"/>
    <w:rsid w:val="769247A1"/>
    <w:rsid w:val="791C40F5"/>
    <w:rsid w:val="79343489"/>
    <w:rsid w:val="795B6928"/>
    <w:rsid w:val="79BF4C4E"/>
    <w:rsid w:val="7A8C4CBB"/>
    <w:rsid w:val="7CC540B3"/>
    <w:rsid w:val="7D452772"/>
    <w:rsid w:val="7DFB0F0A"/>
    <w:rsid w:val="7E2117BD"/>
    <w:rsid w:val="7E7C6206"/>
    <w:rsid w:val="7F443D3D"/>
    <w:rsid w:val="BBC5A00A"/>
    <w:rsid w:val="BFBFB43F"/>
    <w:rsid w:val="D3B946D6"/>
    <w:rsid w:val="EFFA5956"/>
    <w:rsid w:val="F6CDA0A4"/>
    <w:rsid w:val="F9E71E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0"/>
    <w:pPr>
      <w:keepNext/>
      <w:keepLines/>
      <w:spacing w:before="260" w:after="260" w:line="416" w:lineRule="auto"/>
      <w:outlineLvl w:val="1"/>
    </w:pPr>
    <w:rPr>
      <w:rFonts w:ascii="Cambria" w:hAnsi="Cambria" w:cs="黑体"/>
      <w:b/>
      <w:bCs/>
      <w:sz w:val="32"/>
      <w:szCs w:val="32"/>
    </w:rPr>
  </w:style>
  <w:style w:type="character" w:default="1" w:styleId="14">
    <w:name w:val="Default Paragraph Font"/>
    <w:semiHidden/>
    <w:unhideWhenUsed/>
    <w:uiPriority w:val="1"/>
  </w:style>
  <w:style w:type="table" w:default="1" w:styleId="13">
    <w:name w:val="Normal Table"/>
    <w:semiHidden/>
    <w:unhideWhenUsed/>
    <w:uiPriority w:val="99"/>
    <w:tblPr>
      <w:tblLayout w:type="fixed"/>
      <w:tblCellMar>
        <w:top w:w="0" w:type="dxa"/>
        <w:left w:w="108" w:type="dxa"/>
        <w:bottom w:w="0" w:type="dxa"/>
        <w:right w:w="108" w:type="dxa"/>
      </w:tblCellMar>
    </w:tblPr>
  </w:style>
  <w:style w:type="paragraph" w:styleId="4">
    <w:name w:val="annotation text"/>
    <w:basedOn w:val="1"/>
    <w:link w:val="25"/>
    <w:unhideWhenUsed/>
    <w:qFormat/>
    <w:uiPriority w:val="99"/>
    <w:pPr>
      <w:jc w:val="left"/>
    </w:pPr>
  </w:style>
  <w:style w:type="paragraph" w:styleId="5">
    <w:name w:val="Body Text Indent"/>
    <w:basedOn w:val="1"/>
    <w:link w:val="29"/>
    <w:semiHidden/>
    <w:unhideWhenUsed/>
    <w:qFormat/>
    <w:uiPriority w:val="0"/>
    <w:pPr>
      <w:spacing w:after="120"/>
      <w:ind w:left="420" w:leftChars="200"/>
    </w:pPr>
  </w:style>
  <w:style w:type="paragraph" w:styleId="6">
    <w:name w:val="Body Text Indent 2"/>
    <w:basedOn w:val="1"/>
    <w:link w:val="23"/>
    <w:qFormat/>
    <w:uiPriority w:val="0"/>
    <w:pPr>
      <w:spacing w:after="120" w:line="480" w:lineRule="auto"/>
      <w:ind w:left="420" w:leftChars="200"/>
    </w:pPr>
  </w:style>
  <w:style w:type="paragraph" w:styleId="7">
    <w:name w:val="Balloon Text"/>
    <w:basedOn w:val="1"/>
    <w:link w:val="24"/>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toc 2"/>
    <w:basedOn w:val="1"/>
    <w:next w:val="1"/>
    <w:qFormat/>
    <w:uiPriority w:val="39"/>
    <w:pPr>
      <w:ind w:left="420" w:leftChars="200"/>
    </w:pPr>
  </w:style>
  <w:style w:type="paragraph" w:styleId="12">
    <w:name w:val="annotation subject"/>
    <w:basedOn w:val="4"/>
    <w:next w:val="4"/>
    <w:link w:val="26"/>
    <w:unhideWhenUsed/>
    <w:qFormat/>
    <w:uiPriority w:val="99"/>
    <w:rPr>
      <w:b/>
      <w:bCs/>
    </w:rPr>
  </w:style>
  <w:style w:type="character" w:styleId="15">
    <w:name w:val="Strong"/>
    <w:qFormat/>
    <w:uiPriority w:val="0"/>
    <w:rPr>
      <w:b/>
      <w:bCs/>
    </w:rPr>
  </w:style>
  <w:style w:type="character" w:styleId="16">
    <w:name w:val="Hyperlink"/>
    <w:qFormat/>
    <w:uiPriority w:val="99"/>
    <w:rPr>
      <w:color w:val="0000FF"/>
      <w:u w:val="single"/>
    </w:rPr>
  </w:style>
  <w:style w:type="character" w:styleId="17">
    <w:name w:val="annotation reference"/>
    <w:basedOn w:val="14"/>
    <w:unhideWhenUsed/>
    <w:qFormat/>
    <w:uiPriority w:val="99"/>
    <w:rPr>
      <w:sz w:val="21"/>
      <w:szCs w:val="21"/>
    </w:rPr>
  </w:style>
  <w:style w:type="paragraph" w:customStyle="1" w:styleId="18">
    <w:name w:val="列出段落1"/>
    <w:basedOn w:val="1"/>
    <w:qFormat/>
    <w:uiPriority w:val="34"/>
    <w:pPr>
      <w:ind w:firstLine="420"/>
    </w:pPr>
    <w:rPr>
      <w:rFonts w:ascii="Calibri" w:hAnsi="Calibri"/>
    </w:rPr>
  </w:style>
  <w:style w:type="character" w:customStyle="1" w:styleId="19">
    <w:name w:val="页眉 字符"/>
    <w:basedOn w:val="14"/>
    <w:link w:val="9"/>
    <w:qFormat/>
    <w:uiPriority w:val="99"/>
    <w:rPr>
      <w:sz w:val="18"/>
      <w:szCs w:val="18"/>
    </w:rPr>
  </w:style>
  <w:style w:type="character" w:customStyle="1" w:styleId="20">
    <w:name w:val="页脚 字符"/>
    <w:basedOn w:val="14"/>
    <w:link w:val="8"/>
    <w:qFormat/>
    <w:uiPriority w:val="99"/>
    <w:rPr>
      <w:sz w:val="18"/>
      <w:szCs w:val="18"/>
    </w:rPr>
  </w:style>
  <w:style w:type="character" w:customStyle="1" w:styleId="21">
    <w:name w:val="标题 1 字符"/>
    <w:basedOn w:val="14"/>
    <w:link w:val="2"/>
    <w:qFormat/>
    <w:uiPriority w:val="0"/>
    <w:rPr>
      <w:rFonts w:ascii="Times New Roman" w:hAnsi="Times New Roman" w:eastAsia="宋体" w:cs="Times New Roman"/>
      <w:b/>
      <w:bCs/>
      <w:kern w:val="44"/>
      <w:sz w:val="44"/>
      <w:szCs w:val="44"/>
    </w:rPr>
  </w:style>
  <w:style w:type="character" w:customStyle="1" w:styleId="22">
    <w:name w:val="标题 2 字符"/>
    <w:basedOn w:val="14"/>
    <w:link w:val="3"/>
    <w:qFormat/>
    <w:uiPriority w:val="0"/>
    <w:rPr>
      <w:rFonts w:ascii="Cambria" w:hAnsi="Cambria" w:eastAsia="宋体" w:cs="黑体"/>
      <w:b/>
      <w:bCs/>
      <w:sz w:val="32"/>
      <w:szCs w:val="32"/>
    </w:rPr>
  </w:style>
  <w:style w:type="character" w:customStyle="1" w:styleId="23">
    <w:name w:val="正文文本缩进 2 字符"/>
    <w:basedOn w:val="14"/>
    <w:link w:val="6"/>
    <w:qFormat/>
    <w:uiPriority w:val="0"/>
    <w:rPr>
      <w:rFonts w:ascii="Times New Roman" w:hAnsi="Times New Roman" w:eastAsia="宋体" w:cs="Times New Roman"/>
      <w:szCs w:val="24"/>
    </w:rPr>
  </w:style>
  <w:style w:type="character" w:customStyle="1" w:styleId="24">
    <w:name w:val="批注框文本 字符"/>
    <w:basedOn w:val="14"/>
    <w:link w:val="7"/>
    <w:semiHidden/>
    <w:qFormat/>
    <w:uiPriority w:val="99"/>
    <w:rPr>
      <w:rFonts w:ascii="Times New Roman" w:hAnsi="Times New Roman" w:eastAsia="宋体" w:cs="Times New Roman"/>
      <w:sz w:val="18"/>
      <w:szCs w:val="18"/>
    </w:rPr>
  </w:style>
  <w:style w:type="character" w:customStyle="1" w:styleId="25">
    <w:name w:val="批注文字 字符"/>
    <w:basedOn w:val="14"/>
    <w:link w:val="4"/>
    <w:semiHidden/>
    <w:qFormat/>
    <w:uiPriority w:val="99"/>
    <w:rPr>
      <w:rFonts w:ascii="Times New Roman" w:hAnsi="Times New Roman" w:eastAsia="宋体" w:cs="Times New Roman"/>
      <w:szCs w:val="24"/>
    </w:rPr>
  </w:style>
  <w:style w:type="character" w:customStyle="1" w:styleId="26">
    <w:name w:val="批注主题 字符"/>
    <w:basedOn w:val="25"/>
    <w:link w:val="12"/>
    <w:semiHidden/>
    <w:qFormat/>
    <w:uiPriority w:val="99"/>
    <w:rPr>
      <w:rFonts w:ascii="Times New Roman" w:hAnsi="Times New Roman" w:eastAsia="宋体" w:cs="Times New Roman"/>
      <w:b/>
      <w:bCs/>
      <w:szCs w:val="24"/>
    </w:rPr>
  </w:style>
  <w:style w:type="character" w:customStyle="1" w:styleId="27">
    <w:name w:val="页码1"/>
    <w:basedOn w:val="14"/>
    <w:qFormat/>
    <w:uiPriority w:val="0"/>
  </w:style>
  <w:style w:type="paragraph" w:styleId="28">
    <w:name w:val="List Paragraph"/>
    <w:basedOn w:val="1"/>
    <w:qFormat/>
    <w:uiPriority w:val="99"/>
    <w:pPr>
      <w:ind w:firstLine="420" w:firstLineChars="200"/>
    </w:pPr>
    <w:rPr>
      <w:rFonts w:asciiTheme="minorHAnsi" w:hAnsiTheme="minorHAnsi" w:eastAsiaTheme="minorEastAsia" w:cstheme="minorBidi"/>
      <w:szCs w:val="22"/>
    </w:rPr>
  </w:style>
  <w:style w:type="character" w:customStyle="1" w:styleId="29">
    <w:name w:val="正文文本缩进 字符"/>
    <w:basedOn w:val="14"/>
    <w:link w:val="5"/>
    <w:semiHidden/>
    <w:qFormat/>
    <w:uiPriority w:val="0"/>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1289</Words>
  <Characters>7353</Characters>
  <Lines>61</Lines>
  <Paragraphs>17</Paragraphs>
  <TotalTime>210</TotalTime>
  <ScaleCrop>false</ScaleCrop>
  <LinksUpToDate>false</LinksUpToDate>
  <CharactersWithSpaces>8625</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2019-12-27T19:30:00Z</dcterms:created>
  <dc:creator>LENOVO</dc:creator>
  <cp:lastModifiedBy>admin</cp:lastModifiedBy>
  <dcterms:modified xsi:type="dcterms:W3CDTF">2024-05-16T08:59:50Z</dcterms:modified>
  <dc:title>《亦庄镇健康生活手册》项目</dc:title>
  <cp:revision>346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FC912E9279594CEC874F40FB66366EFD_13</vt:lpwstr>
  </property>
</Properties>
</file>