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D8456D" w14:textId="77777777" w:rsidR="00993813" w:rsidRDefault="00993813">
      <w:pPr>
        <w:jc w:val="center"/>
        <w:rPr>
          <w:sz w:val="52"/>
          <w:szCs w:val="52"/>
        </w:rPr>
      </w:pPr>
    </w:p>
    <w:p w14:paraId="48EC295C" w14:textId="77777777" w:rsidR="00993813" w:rsidRDefault="00993813">
      <w:pPr>
        <w:jc w:val="center"/>
        <w:rPr>
          <w:sz w:val="52"/>
          <w:szCs w:val="52"/>
        </w:rPr>
      </w:pPr>
    </w:p>
    <w:p w14:paraId="26FB8232" w14:textId="77777777" w:rsidR="00993813" w:rsidRDefault="00000000">
      <w:pPr>
        <w:jc w:val="center"/>
        <w:rPr>
          <w:rFonts w:ascii="黑体" w:eastAsia="黑体" w:hAnsi="黑体" w:cs="黑体"/>
          <w:b/>
          <w:bCs/>
          <w:sz w:val="52"/>
          <w:szCs w:val="52"/>
        </w:rPr>
      </w:pPr>
      <w:r>
        <w:rPr>
          <w:rFonts w:ascii="黑体" w:eastAsia="黑体" w:hAnsi="黑体" w:cs="黑体" w:hint="eastAsia"/>
          <w:b/>
          <w:bCs/>
          <w:sz w:val="52"/>
          <w:szCs w:val="52"/>
        </w:rPr>
        <w:t>北京市</w:t>
      </w:r>
      <w:proofErr w:type="gramStart"/>
      <w:r>
        <w:rPr>
          <w:rFonts w:ascii="黑体" w:eastAsia="黑体" w:hAnsi="黑体" w:cs="黑体" w:hint="eastAsia"/>
          <w:b/>
          <w:bCs/>
          <w:sz w:val="52"/>
          <w:szCs w:val="52"/>
        </w:rPr>
        <w:t>大兴区</w:t>
      </w:r>
      <w:proofErr w:type="gramEnd"/>
      <w:r>
        <w:rPr>
          <w:rFonts w:ascii="黑体" w:eastAsia="黑体" w:hAnsi="黑体" w:cs="黑体" w:hint="eastAsia"/>
          <w:b/>
          <w:bCs/>
          <w:sz w:val="52"/>
          <w:szCs w:val="52"/>
        </w:rPr>
        <w:t>人民法院</w:t>
      </w:r>
    </w:p>
    <w:p w14:paraId="19BE6E7D" w14:textId="77777777" w:rsidR="00993813" w:rsidRDefault="00000000">
      <w:pPr>
        <w:jc w:val="center"/>
        <w:rPr>
          <w:rFonts w:ascii="黑体" w:eastAsia="黑体" w:hAnsi="黑体" w:cs="黑体"/>
          <w:b/>
          <w:bCs/>
          <w:sz w:val="52"/>
          <w:szCs w:val="52"/>
        </w:rPr>
      </w:pPr>
      <w:r>
        <w:rPr>
          <w:rFonts w:ascii="黑体" w:eastAsia="黑体" w:hAnsi="黑体" w:cs="黑体" w:hint="eastAsia"/>
          <w:b/>
          <w:bCs/>
          <w:sz w:val="52"/>
          <w:szCs w:val="52"/>
        </w:rPr>
        <w:t>2023年部门整体绩效报告</w:t>
      </w:r>
    </w:p>
    <w:p w14:paraId="39A17F56" w14:textId="77777777" w:rsidR="00993813" w:rsidRDefault="00993813">
      <w:pPr>
        <w:jc w:val="left"/>
        <w:rPr>
          <w:rFonts w:ascii="黑体" w:eastAsia="黑体" w:hAnsi="黑体" w:cs="黑体"/>
          <w:sz w:val="52"/>
          <w:szCs w:val="52"/>
        </w:rPr>
      </w:pPr>
    </w:p>
    <w:p w14:paraId="039EDC7D" w14:textId="77777777" w:rsidR="00993813" w:rsidRDefault="00993813">
      <w:pPr>
        <w:jc w:val="left"/>
        <w:rPr>
          <w:sz w:val="32"/>
          <w:szCs w:val="32"/>
        </w:rPr>
      </w:pPr>
    </w:p>
    <w:p w14:paraId="007D5D83" w14:textId="77777777" w:rsidR="00993813" w:rsidRDefault="00993813">
      <w:pPr>
        <w:jc w:val="left"/>
        <w:rPr>
          <w:sz w:val="32"/>
          <w:szCs w:val="32"/>
        </w:rPr>
      </w:pPr>
    </w:p>
    <w:p w14:paraId="6479239C" w14:textId="77777777" w:rsidR="00993813" w:rsidRDefault="00993813">
      <w:pPr>
        <w:jc w:val="left"/>
        <w:rPr>
          <w:sz w:val="32"/>
          <w:szCs w:val="32"/>
        </w:rPr>
      </w:pPr>
    </w:p>
    <w:p w14:paraId="1657FA48" w14:textId="77777777" w:rsidR="00993813" w:rsidRDefault="00993813">
      <w:pPr>
        <w:jc w:val="left"/>
        <w:rPr>
          <w:sz w:val="32"/>
          <w:szCs w:val="32"/>
        </w:rPr>
      </w:pPr>
    </w:p>
    <w:p w14:paraId="48295C98" w14:textId="77777777" w:rsidR="00993813" w:rsidRDefault="00993813">
      <w:pPr>
        <w:pStyle w:val="a7"/>
      </w:pPr>
    </w:p>
    <w:p w14:paraId="75D21526" w14:textId="77777777" w:rsidR="00993813" w:rsidRDefault="00993813">
      <w:pPr>
        <w:jc w:val="left"/>
        <w:rPr>
          <w:rFonts w:ascii="宋体" w:hAnsi="宋体" w:cs="宋体"/>
          <w:sz w:val="32"/>
          <w:szCs w:val="32"/>
        </w:rPr>
      </w:pPr>
    </w:p>
    <w:p w14:paraId="17823C28" w14:textId="77777777" w:rsidR="00993813" w:rsidRDefault="00993813">
      <w:pPr>
        <w:pStyle w:val="a8"/>
      </w:pPr>
    </w:p>
    <w:p w14:paraId="7A4A8CFD" w14:textId="77777777" w:rsidR="00993813" w:rsidRDefault="00993813">
      <w:pPr>
        <w:pStyle w:val="a8"/>
      </w:pPr>
    </w:p>
    <w:p w14:paraId="190FCA89" w14:textId="77777777" w:rsidR="00993813" w:rsidRDefault="00993813">
      <w:pPr>
        <w:pStyle w:val="a8"/>
      </w:pPr>
    </w:p>
    <w:p w14:paraId="0DD9B0BB" w14:textId="77777777" w:rsidR="00993813" w:rsidRDefault="00000000">
      <w:pPr>
        <w:ind w:firstLineChars="195" w:firstLine="626"/>
        <w:rPr>
          <w:sz w:val="32"/>
          <w:szCs w:val="22"/>
          <w:u w:val="single"/>
        </w:rPr>
      </w:pPr>
      <w:r>
        <w:rPr>
          <w:rFonts w:hint="eastAsia"/>
          <w:b/>
          <w:sz w:val="32"/>
          <w:szCs w:val="22"/>
        </w:rPr>
        <w:t>部门</w:t>
      </w:r>
      <w:r>
        <w:rPr>
          <w:b/>
          <w:sz w:val="32"/>
          <w:szCs w:val="22"/>
        </w:rPr>
        <w:t>单位</w:t>
      </w:r>
      <w:r>
        <w:rPr>
          <w:rFonts w:hint="eastAsia"/>
          <w:b/>
          <w:sz w:val="32"/>
          <w:szCs w:val="22"/>
        </w:rPr>
        <w:t xml:space="preserve"> </w:t>
      </w:r>
      <w:r>
        <w:rPr>
          <w:bCs/>
          <w:sz w:val="32"/>
          <w:szCs w:val="22"/>
          <w:u w:val="single"/>
        </w:rPr>
        <w:t xml:space="preserve">  </w:t>
      </w:r>
      <w:r>
        <w:rPr>
          <w:rFonts w:hint="eastAsia"/>
          <w:bCs/>
          <w:sz w:val="32"/>
          <w:szCs w:val="22"/>
          <w:u w:val="single"/>
        </w:rPr>
        <w:t>北京市</w:t>
      </w:r>
      <w:proofErr w:type="gramStart"/>
      <w:r>
        <w:rPr>
          <w:rFonts w:hint="eastAsia"/>
          <w:bCs/>
          <w:sz w:val="32"/>
          <w:szCs w:val="22"/>
          <w:u w:val="single"/>
        </w:rPr>
        <w:t>大兴区</w:t>
      </w:r>
      <w:proofErr w:type="gramEnd"/>
      <w:r>
        <w:rPr>
          <w:rFonts w:hint="eastAsia"/>
          <w:bCs/>
          <w:sz w:val="32"/>
          <w:szCs w:val="22"/>
          <w:u w:val="single"/>
        </w:rPr>
        <w:t>人民法院</w:t>
      </w:r>
      <w:r>
        <w:rPr>
          <w:sz w:val="32"/>
          <w:szCs w:val="22"/>
          <w:u w:val="single"/>
        </w:rPr>
        <w:t xml:space="preserve">           </w:t>
      </w:r>
    </w:p>
    <w:p w14:paraId="735DA9EE" w14:textId="77777777" w:rsidR="00993813" w:rsidRDefault="00993813">
      <w:pPr>
        <w:spacing w:line="340" w:lineRule="exact"/>
        <w:ind w:firstLineChars="200" w:firstLine="643"/>
        <w:jc w:val="left"/>
        <w:rPr>
          <w:b/>
          <w:sz w:val="32"/>
          <w:szCs w:val="32"/>
        </w:rPr>
      </w:pPr>
    </w:p>
    <w:p w14:paraId="6B4D11E9" w14:textId="77777777" w:rsidR="00993813" w:rsidRDefault="00000000">
      <w:pPr>
        <w:spacing w:line="340" w:lineRule="exact"/>
        <w:ind w:firstLineChars="200" w:firstLine="643"/>
        <w:jc w:val="left"/>
        <w:rPr>
          <w:b/>
          <w:sz w:val="32"/>
          <w:szCs w:val="32"/>
        </w:rPr>
      </w:pPr>
      <w:r>
        <w:rPr>
          <w:rFonts w:hint="eastAsia"/>
          <w:b/>
          <w:sz w:val="32"/>
          <w:szCs w:val="32"/>
        </w:rPr>
        <w:t>参与评价</w:t>
      </w:r>
    </w:p>
    <w:p w14:paraId="06B4FAA1" w14:textId="77777777" w:rsidR="00993813" w:rsidRDefault="00000000">
      <w:pPr>
        <w:spacing w:line="340" w:lineRule="exact"/>
        <w:ind w:firstLineChars="200" w:firstLine="643"/>
        <w:jc w:val="left"/>
        <w:rPr>
          <w:b/>
          <w:sz w:val="32"/>
          <w:szCs w:val="20"/>
        </w:rPr>
      </w:pPr>
      <w:r>
        <w:rPr>
          <w:b/>
          <w:sz w:val="32"/>
          <w:szCs w:val="32"/>
        </w:rPr>
        <w:t>中介机构</w:t>
      </w:r>
      <w:r>
        <w:rPr>
          <w:b/>
          <w:sz w:val="32"/>
          <w:szCs w:val="32"/>
        </w:rPr>
        <w:t xml:space="preserve"> </w:t>
      </w:r>
      <w:r>
        <w:rPr>
          <w:rFonts w:hint="eastAsia"/>
          <w:sz w:val="32"/>
          <w:szCs w:val="32"/>
          <w:u w:val="single"/>
        </w:rPr>
        <w:t>北京正衡东亚会计师事务所有限公司</w:t>
      </w:r>
      <w:r>
        <w:rPr>
          <w:rFonts w:hint="eastAsia"/>
          <w:sz w:val="32"/>
          <w:szCs w:val="32"/>
          <w:u w:val="single"/>
        </w:rPr>
        <w:t xml:space="preserve">   </w:t>
      </w:r>
    </w:p>
    <w:p w14:paraId="67FFA404" w14:textId="77777777" w:rsidR="00993813" w:rsidRDefault="00993813">
      <w:pPr>
        <w:rPr>
          <w:sz w:val="30"/>
          <w:szCs w:val="22"/>
          <w:u w:val="single"/>
        </w:rPr>
      </w:pPr>
    </w:p>
    <w:p w14:paraId="554409C4" w14:textId="77777777" w:rsidR="00993813" w:rsidRDefault="00993813">
      <w:pPr>
        <w:rPr>
          <w:sz w:val="30"/>
          <w:szCs w:val="22"/>
          <w:u w:val="single"/>
        </w:rPr>
      </w:pPr>
    </w:p>
    <w:p w14:paraId="2E3775A7" w14:textId="77777777" w:rsidR="00993813" w:rsidRDefault="00993813">
      <w:pPr>
        <w:rPr>
          <w:sz w:val="30"/>
          <w:szCs w:val="22"/>
          <w:u w:val="single"/>
        </w:rPr>
      </w:pPr>
    </w:p>
    <w:p w14:paraId="20A94C28" w14:textId="77777777" w:rsidR="00993813" w:rsidRDefault="00993813">
      <w:pPr>
        <w:rPr>
          <w:sz w:val="30"/>
          <w:szCs w:val="22"/>
          <w:u w:val="single"/>
        </w:rPr>
      </w:pPr>
    </w:p>
    <w:p w14:paraId="19DB4EC2" w14:textId="77777777" w:rsidR="00993813" w:rsidRDefault="00993813">
      <w:pPr>
        <w:rPr>
          <w:sz w:val="30"/>
          <w:szCs w:val="22"/>
          <w:u w:val="single"/>
        </w:rPr>
      </w:pPr>
    </w:p>
    <w:p w14:paraId="0D69331C" w14:textId="77777777" w:rsidR="00993813" w:rsidRDefault="00000000">
      <w:pPr>
        <w:spacing w:line="360" w:lineRule="auto"/>
        <w:ind w:firstLineChars="800" w:firstLine="2570"/>
        <w:rPr>
          <w:b/>
          <w:sz w:val="32"/>
          <w:szCs w:val="32"/>
        </w:rPr>
        <w:sectPr w:rsidR="00993813">
          <w:footerReference w:type="even" r:id="rId8"/>
          <w:footerReference w:type="default" r:id="rId9"/>
          <w:footerReference w:type="first" r:id="rId10"/>
          <w:pgSz w:w="11906" w:h="16838"/>
          <w:pgMar w:top="1440" w:right="1800" w:bottom="1440" w:left="1800" w:header="851" w:footer="992" w:gutter="0"/>
          <w:cols w:space="720"/>
          <w:docGrid w:type="lines" w:linePitch="381"/>
        </w:sectPr>
      </w:pPr>
      <w:r>
        <w:rPr>
          <w:b/>
          <w:sz w:val="32"/>
          <w:szCs w:val="32"/>
        </w:rPr>
        <w:t>二〇</w:t>
      </w:r>
      <w:r>
        <w:rPr>
          <w:rFonts w:hint="eastAsia"/>
          <w:b/>
          <w:sz w:val="32"/>
          <w:szCs w:val="32"/>
        </w:rPr>
        <w:t>二四</w:t>
      </w:r>
      <w:r>
        <w:rPr>
          <w:b/>
          <w:sz w:val="32"/>
          <w:szCs w:val="32"/>
        </w:rPr>
        <w:t>年</w:t>
      </w:r>
      <w:r>
        <w:rPr>
          <w:rFonts w:hint="eastAsia"/>
          <w:b/>
          <w:sz w:val="32"/>
          <w:szCs w:val="32"/>
        </w:rPr>
        <w:t>五</w:t>
      </w:r>
      <w:r>
        <w:rPr>
          <w:b/>
          <w:sz w:val="32"/>
          <w:szCs w:val="32"/>
        </w:rPr>
        <w:t>月</w:t>
      </w:r>
      <w:r>
        <w:rPr>
          <w:rFonts w:hint="eastAsia"/>
          <w:b/>
          <w:sz w:val="32"/>
          <w:szCs w:val="32"/>
        </w:rPr>
        <w:t>十五</w:t>
      </w:r>
      <w:r>
        <w:rPr>
          <w:b/>
          <w:sz w:val="32"/>
          <w:szCs w:val="32"/>
        </w:rPr>
        <w:t>日</w:t>
      </w:r>
    </w:p>
    <w:p w14:paraId="17DA695B" w14:textId="77777777" w:rsidR="00993813" w:rsidRDefault="00000000">
      <w:pPr>
        <w:spacing w:line="560" w:lineRule="exact"/>
        <w:jc w:val="center"/>
        <w:rPr>
          <w:rFonts w:ascii="黑体" w:eastAsia="黑体" w:hAnsi="黑体" w:cs="黑体"/>
          <w:sz w:val="32"/>
          <w:szCs w:val="32"/>
        </w:rPr>
      </w:pPr>
      <w:r>
        <w:rPr>
          <w:rFonts w:ascii="黑体" w:eastAsia="黑体" w:hAnsi="黑体" w:cs="黑体" w:hint="eastAsia"/>
          <w:sz w:val="32"/>
          <w:szCs w:val="32"/>
        </w:rPr>
        <w:lastRenderedPageBreak/>
        <w:t>目 录</w:t>
      </w:r>
    </w:p>
    <w:sdt>
      <w:sdtPr>
        <w:rPr>
          <w:rFonts w:ascii="宋体" w:hAnsi="宋体"/>
        </w:rPr>
        <w:id w:val="147458671"/>
        <w15:color w:val="DBDBDB"/>
        <w:docPartObj>
          <w:docPartGallery w:val="Table of Contents"/>
          <w:docPartUnique/>
        </w:docPartObj>
      </w:sdtPr>
      <w:sdtContent>
        <w:p w14:paraId="310873AB" w14:textId="77777777" w:rsidR="00993813" w:rsidRDefault="00993813">
          <w:pPr>
            <w:jc w:val="center"/>
          </w:pPr>
        </w:p>
        <w:p w14:paraId="2C4A3606" w14:textId="70F68816" w:rsidR="00993813" w:rsidRDefault="00000000">
          <w:pPr>
            <w:pStyle w:val="TOC1"/>
            <w:tabs>
              <w:tab w:val="clear" w:pos="8296"/>
              <w:tab w:val="right" w:leader="dot" w:pos="8306"/>
            </w:tabs>
            <w:rPr>
              <w:noProof/>
              <w:sz w:val="32"/>
              <w:szCs w:val="32"/>
            </w:rPr>
          </w:pPr>
          <w:r>
            <w:fldChar w:fldCharType="begin"/>
          </w:r>
          <w:r>
            <w:instrText xml:space="preserve">TOC \o "1-3" \h \u </w:instrText>
          </w:r>
          <w:r>
            <w:fldChar w:fldCharType="separate"/>
          </w:r>
          <w:hyperlink w:anchor="_Toc16556" w:history="1">
            <w:r>
              <w:rPr>
                <w:rFonts w:ascii="楷体_GB2312" w:eastAsia="楷体_GB2312" w:hAnsi="楷体_GB2312" w:cs="楷体_GB2312" w:hint="eastAsia"/>
                <w:noProof/>
                <w:kern w:val="0"/>
                <w:sz w:val="32"/>
                <w:szCs w:val="32"/>
              </w:rPr>
              <w:t>一、部门概况</w:t>
            </w:r>
            <w:r>
              <w:rPr>
                <w:rFonts w:ascii="楷体_GB2312" w:eastAsia="楷体_GB2312" w:hAnsi="楷体_GB2312" w:cs="楷体_GB2312" w:hint="eastAsia"/>
                <w:noProof/>
                <w:sz w:val="32"/>
                <w:szCs w:val="32"/>
              </w:rPr>
              <w:tab/>
            </w:r>
            <w:r>
              <w:rPr>
                <w:rFonts w:ascii="Times New Roman" w:eastAsia="楷体_GB2312" w:hAnsi="Times New Roman"/>
                <w:b w:val="0"/>
                <w:bCs/>
                <w:noProof/>
                <w:sz w:val="32"/>
                <w:szCs w:val="32"/>
              </w:rPr>
              <w:fldChar w:fldCharType="begin"/>
            </w:r>
            <w:r>
              <w:rPr>
                <w:rFonts w:ascii="Times New Roman" w:eastAsia="楷体_GB2312" w:hAnsi="Times New Roman"/>
                <w:b w:val="0"/>
                <w:bCs/>
                <w:noProof/>
                <w:sz w:val="32"/>
                <w:szCs w:val="32"/>
              </w:rPr>
              <w:instrText xml:space="preserve"> PAGEREF _Toc16556 \h </w:instrText>
            </w:r>
            <w:r>
              <w:rPr>
                <w:rFonts w:ascii="Times New Roman" w:eastAsia="楷体_GB2312" w:hAnsi="Times New Roman"/>
                <w:b w:val="0"/>
                <w:bCs/>
                <w:noProof/>
                <w:sz w:val="32"/>
                <w:szCs w:val="32"/>
              </w:rPr>
            </w:r>
            <w:r>
              <w:rPr>
                <w:rFonts w:ascii="Times New Roman" w:eastAsia="楷体_GB2312" w:hAnsi="Times New Roman"/>
                <w:b w:val="0"/>
                <w:bCs/>
                <w:noProof/>
                <w:sz w:val="32"/>
                <w:szCs w:val="32"/>
              </w:rPr>
              <w:fldChar w:fldCharType="separate"/>
            </w:r>
            <w:r w:rsidR="00B3598A">
              <w:rPr>
                <w:rFonts w:ascii="Times New Roman" w:eastAsia="楷体_GB2312" w:hAnsi="Times New Roman"/>
                <w:b w:val="0"/>
                <w:bCs/>
                <w:noProof/>
                <w:sz w:val="32"/>
                <w:szCs w:val="32"/>
              </w:rPr>
              <w:t>1</w:t>
            </w:r>
            <w:r>
              <w:rPr>
                <w:rFonts w:ascii="Times New Roman" w:eastAsia="楷体_GB2312" w:hAnsi="Times New Roman"/>
                <w:b w:val="0"/>
                <w:bCs/>
                <w:noProof/>
                <w:sz w:val="32"/>
                <w:szCs w:val="32"/>
              </w:rPr>
              <w:fldChar w:fldCharType="end"/>
            </w:r>
          </w:hyperlink>
        </w:p>
        <w:p w14:paraId="360741EC" w14:textId="005FB24A" w:rsidR="00993813" w:rsidRDefault="00000000">
          <w:pPr>
            <w:pStyle w:val="TOC2"/>
            <w:tabs>
              <w:tab w:val="right" w:leader="dot" w:pos="8306"/>
            </w:tabs>
            <w:rPr>
              <w:rFonts w:ascii="仿宋_GB2312" w:eastAsia="仿宋_GB2312" w:hAnsi="仿宋_GB2312" w:cs="仿宋_GB2312"/>
              <w:noProof/>
              <w:sz w:val="32"/>
              <w:szCs w:val="32"/>
            </w:rPr>
          </w:pPr>
          <w:hyperlink w:anchor="_Toc11402" w:history="1">
            <w:r>
              <w:rPr>
                <w:rFonts w:ascii="仿宋_GB2312" w:eastAsia="仿宋_GB2312" w:hAnsi="仿宋_GB2312" w:cs="仿宋_GB2312" w:hint="eastAsia"/>
                <w:noProof/>
                <w:sz w:val="32"/>
                <w:szCs w:val="32"/>
              </w:rPr>
              <w:t>（一）机构设置及职责工作任务情况</w:t>
            </w:r>
            <w:r>
              <w:rPr>
                <w:rFonts w:ascii="仿宋_GB2312" w:eastAsia="仿宋_GB2312" w:hAnsi="仿宋_GB2312" w:cs="仿宋_GB2312" w:hint="eastAsia"/>
                <w:noProof/>
                <w:sz w:val="32"/>
                <w:szCs w:val="32"/>
              </w:rPr>
              <w:tab/>
            </w:r>
            <w:r>
              <w:rPr>
                <w:rFonts w:eastAsia="仿宋_GB2312"/>
                <w:noProof/>
                <w:sz w:val="32"/>
                <w:szCs w:val="32"/>
              </w:rPr>
              <w:fldChar w:fldCharType="begin"/>
            </w:r>
            <w:r>
              <w:rPr>
                <w:rFonts w:eastAsia="仿宋_GB2312"/>
                <w:noProof/>
                <w:sz w:val="32"/>
                <w:szCs w:val="32"/>
              </w:rPr>
              <w:instrText xml:space="preserve"> PAGEREF _Toc11402 \h </w:instrText>
            </w:r>
            <w:r>
              <w:rPr>
                <w:rFonts w:eastAsia="仿宋_GB2312"/>
                <w:noProof/>
                <w:sz w:val="32"/>
                <w:szCs w:val="32"/>
              </w:rPr>
            </w:r>
            <w:r>
              <w:rPr>
                <w:rFonts w:eastAsia="仿宋_GB2312"/>
                <w:noProof/>
                <w:sz w:val="32"/>
                <w:szCs w:val="32"/>
              </w:rPr>
              <w:fldChar w:fldCharType="separate"/>
            </w:r>
            <w:r w:rsidR="00B3598A">
              <w:rPr>
                <w:rFonts w:eastAsia="仿宋_GB2312"/>
                <w:noProof/>
                <w:sz w:val="32"/>
                <w:szCs w:val="32"/>
              </w:rPr>
              <w:t>1</w:t>
            </w:r>
            <w:r>
              <w:rPr>
                <w:rFonts w:eastAsia="仿宋_GB2312"/>
                <w:noProof/>
                <w:sz w:val="32"/>
                <w:szCs w:val="32"/>
              </w:rPr>
              <w:fldChar w:fldCharType="end"/>
            </w:r>
          </w:hyperlink>
        </w:p>
        <w:p w14:paraId="4F78C7FC" w14:textId="1A89C075" w:rsidR="00993813" w:rsidRDefault="00000000">
          <w:pPr>
            <w:pStyle w:val="TOC2"/>
            <w:tabs>
              <w:tab w:val="right" w:leader="dot" w:pos="8306"/>
            </w:tabs>
            <w:rPr>
              <w:noProof/>
              <w:sz w:val="32"/>
              <w:szCs w:val="32"/>
            </w:rPr>
          </w:pPr>
          <w:hyperlink w:anchor="_Toc4047" w:history="1">
            <w:r>
              <w:rPr>
                <w:rFonts w:ascii="仿宋_GB2312" w:eastAsia="仿宋_GB2312" w:hAnsi="仿宋_GB2312" w:cs="仿宋_GB2312" w:hint="eastAsia"/>
                <w:noProof/>
                <w:sz w:val="32"/>
                <w:szCs w:val="32"/>
              </w:rPr>
              <w:t>（二）部门整体绩效目标设立情况</w:t>
            </w:r>
            <w:r>
              <w:rPr>
                <w:rFonts w:ascii="仿宋_GB2312" w:eastAsia="仿宋_GB2312" w:hAnsi="仿宋_GB2312" w:cs="仿宋_GB2312" w:hint="eastAsia"/>
                <w:noProof/>
                <w:sz w:val="32"/>
                <w:szCs w:val="32"/>
              </w:rPr>
              <w:tab/>
            </w:r>
            <w:r>
              <w:rPr>
                <w:rFonts w:eastAsia="仿宋_GB2312"/>
                <w:noProof/>
                <w:sz w:val="32"/>
                <w:szCs w:val="32"/>
              </w:rPr>
              <w:fldChar w:fldCharType="begin"/>
            </w:r>
            <w:r>
              <w:rPr>
                <w:rFonts w:eastAsia="仿宋_GB2312"/>
                <w:noProof/>
                <w:sz w:val="32"/>
                <w:szCs w:val="32"/>
              </w:rPr>
              <w:instrText xml:space="preserve"> PAGEREF _Toc4047 \h </w:instrText>
            </w:r>
            <w:r>
              <w:rPr>
                <w:rFonts w:eastAsia="仿宋_GB2312"/>
                <w:noProof/>
                <w:sz w:val="32"/>
                <w:szCs w:val="32"/>
              </w:rPr>
            </w:r>
            <w:r>
              <w:rPr>
                <w:rFonts w:eastAsia="仿宋_GB2312"/>
                <w:noProof/>
                <w:sz w:val="32"/>
                <w:szCs w:val="32"/>
              </w:rPr>
              <w:fldChar w:fldCharType="separate"/>
            </w:r>
            <w:r w:rsidR="00B3598A">
              <w:rPr>
                <w:rFonts w:eastAsia="仿宋_GB2312"/>
                <w:noProof/>
                <w:sz w:val="32"/>
                <w:szCs w:val="32"/>
              </w:rPr>
              <w:t>5</w:t>
            </w:r>
            <w:r>
              <w:rPr>
                <w:rFonts w:eastAsia="仿宋_GB2312"/>
                <w:noProof/>
                <w:sz w:val="32"/>
                <w:szCs w:val="32"/>
              </w:rPr>
              <w:fldChar w:fldCharType="end"/>
            </w:r>
          </w:hyperlink>
        </w:p>
        <w:p w14:paraId="679CF2CD" w14:textId="42F44611" w:rsidR="00993813" w:rsidRDefault="00000000">
          <w:pPr>
            <w:pStyle w:val="TOC1"/>
            <w:tabs>
              <w:tab w:val="clear" w:pos="8296"/>
              <w:tab w:val="right" w:leader="dot" w:pos="8306"/>
            </w:tabs>
            <w:rPr>
              <w:rFonts w:ascii="楷体_GB2312" w:eastAsia="楷体_GB2312" w:hAnsi="楷体_GB2312" w:cs="楷体_GB2312"/>
              <w:noProof/>
              <w:sz w:val="32"/>
              <w:szCs w:val="32"/>
            </w:rPr>
          </w:pPr>
          <w:hyperlink w:anchor="_Toc4946" w:history="1">
            <w:r>
              <w:rPr>
                <w:rFonts w:ascii="楷体_GB2312" w:eastAsia="楷体_GB2312" w:hAnsi="楷体_GB2312" w:cs="楷体_GB2312" w:hint="eastAsia"/>
                <w:noProof/>
                <w:kern w:val="0"/>
                <w:sz w:val="32"/>
                <w:szCs w:val="32"/>
              </w:rPr>
              <w:t>二、当年预算执行情况</w:t>
            </w:r>
            <w:r>
              <w:rPr>
                <w:rFonts w:ascii="楷体_GB2312" w:eastAsia="楷体_GB2312" w:hAnsi="楷体_GB2312" w:cs="楷体_GB2312" w:hint="eastAsia"/>
                <w:noProof/>
                <w:sz w:val="32"/>
                <w:szCs w:val="32"/>
              </w:rPr>
              <w:tab/>
            </w:r>
            <w:r>
              <w:rPr>
                <w:rFonts w:ascii="Times New Roman" w:eastAsia="楷体_GB2312" w:hAnsi="Times New Roman"/>
                <w:b w:val="0"/>
                <w:bCs/>
                <w:noProof/>
                <w:sz w:val="32"/>
                <w:szCs w:val="32"/>
              </w:rPr>
              <w:fldChar w:fldCharType="begin"/>
            </w:r>
            <w:r>
              <w:rPr>
                <w:rFonts w:ascii="Times New Roman" w:eastAsia="楷体_GB2312" w:hAnsi="Times New Roman"/>
                <w:b w:val="0"/>
                <w:bCs/>
                <w:noProof/>
                <w:sz w:val="32"/>
                <w:szCs w:val="32"/>
              </w:rPr>
              <w:instrText xml:space="preserve"> PAGEREF _Toc4946 \h </w:instrText>
            </w:r>
            <w:r>
              <w:rPr>
                <w:rFonts w:ascii="Times New Roman" w:eastAsia="楷体_GB2312" w:hAnsi="Times New Roman"/>
                <w:b w:val="0"/>
                <w:bCs/>
                <w:noProof/>
                <w:sz w:val="32"/>
                <w:szCs w:val="32"/>
              </w:rPr>
            </w:r>
            <w:r>
              <w:rPr>
                <w:rFonts w:ascii="Times New Roman" w:eastAsia="楷体_GB2312" w:hAnsi="Times New Roman"/>
                <w:b w:val="0"/>
                <w:bCs/>
                <w:noProof/>
                <w:sz w:val="32"/>
                <w:szCs w:val="32"/>
              </w:rPr>
              <w:fldChar w:fldCharType="separate"/>
            </w:r>
            <w:r w:rsidR="00B3598A">
              <w:rPr>
                <w:rFonts w:ascii="Times New Roman" w:eastAsia="楷体_GB2312" w:hAnsi="Times New Roman"/>
                <w:b w:val="0"/>
                <w:bCs/>
                <w:noProof/>
                <w:sz w:val="32"/>
                <w:szCs w:val="32"/>
              </w:rPr>
              <w:t>7</w:t>
            </w:r>
            <w:r>
              <w:rPr>
                <w:rFonts w:ascii="Times New Roman" w:eastAsia="楷体_GB2312" w:hAnsi="Times New Roman"/>
                <w:b w:val="0"/>
                <w:bCs/>
                <w:noProof/>
                <w:sz w:val="32"/>
                <w:szCs w:val="32"/>
              </w:rPr>
              <w:fldChar w:fldCharType="end"/>
            </w:r>
          </w:hyperlink>
        </w:p>
        <w:p w14:paraId="0B1B7DAA" w14:textId="4C5E5F3C" w:rsidR="00993813" w:rsidRDefault="00000000">
          <w:pPr>
            <w:pStyle w:val="TOC1"/>
            <w:tabs>
              <w:tab w:val="clear" w:pos="8296"/>
              <w:tab w:val="right" w:leader="dot" w:pos="8306"/>
            </w:tabs>
            <w:rPr>
              <w:noProof/>
              <w:sz w:val="32"/>
              <w:szCs w:val="32"/>
            </w:rPr>
          </w:pPr>
          <w:hyperlink w:anchor="_Toc23303" w:history="1">
            <w:r>
              <w:rPr>
                <w:rFonts w:ascii="楷体_GB2312" w:eastAsia="楷体_GB2312" w:hAnsi="楷体_GB2312" w:cs="楷体_GB2312" w:hint="eastAsia"/>
                <w:noProof/>
                <w:kern w:val="0"/>
                <w:sz w:val="32"/>
                <w:szCs w:val="32"/>
              </w:rPr>
              <w:t>三、整体绩效目标实现情况</w:t>
            </w:r>
            <w:r>
              <w:rPr>
                <w:rFonts w:ascii="楷体_GB2312" w:eastAsia="楷体_GB2312" w:hAnsi="楷体_GB2312" w:cs="楷体_GB2312" w:hint="eastAsia"/>
                <w:noProof/>
                <w:sz w:val="32"/>
                <w:szCs w:val="32"/>
              </w:rPr>
              <w:tab/>
            </w:r>
            <w:r>
              <w:rPr>
                <w:rFonts w:ascii="Times New Roman" w:eastAsia="楷体_GB2312" w:hAnsi="Times New Roman"/>
                <w:b w:val="0"/>
                <w:bCs/>
                <w:noProof/>
                <w:sz w:val="32"/>
                <w:szCs w:val="32"/>
              </w:rPr>
              <w:fldChar w:fldCharType="begin"/>
            </w:r>
            <w:r>
              <w:rPr>
                <w:rFonts w:ascii="Times New Roman" w:eastAsia="楷体_GB2312" w:hAnsi="Times New Roman"/>
                <w:b w:val="0"/>
                <w:bCs/>
                <w:noProof/>
                <w:sz w:val="32"/>
                <w:szCs w:val="32"/>
              </w:rPr>
              <w:instrText xml:space="preserve"> PAGEREF _Toc23303 \h </w:instrText>
            </w:r>
            <w:r>
              <w:rPr>
                <w:rFonts w:ascii="Times New Roman" w:eastAsia="楷体_GB2312" w:hAnsi="Times New Roman"/>
                <w:b w:val="0"/>
                <w:bCs/>
                <w:noProof/>
                <w:sz w:val="32"/>
                <w:szCs w:val="32"/>
              </w:rPr>
            </w:r>
            <w:r>
              <w:rPr>
                <w:rFonts w:ascii="Times New Roman" w:eastAsia="楷体_GB2312" w:hAnsi="Times New Roman"/>
                <w:b w:val="0"/>
                <w:bCs/>
                <w:noProof/>
                <w:sz w:val="32"/>
                <w:szCs w:val="32"/>
              </w:rPr>
              <w:fldChar w:fldCharType="separate"/>
            </w:r>
            <w:r w:rsidR="00B3598A">
              <w:rPr>
                <w:rFonts w:ascii="Times New Roman" w:eastAsia="楷体_GB2312" w:hAnsi="Times New Roman"/>
                <w:b w:val="0"/>
                <w:bCs/>
                <w:noProof/>
                <w:sz w:val="32"/>
                <w:szCs w:val="32"/>
              </w:rPr>
              <w:t>8</w:t>
            </w:r>
            <w:r>
              <w:rPr>
                <w:rFonts w:ascii="Times New Roman" w:eastAsia="楷体_GB2312" w:hAnsi="Times New Roman"/>
                <w:b w:val="0"/>
                <w:bCs/>
                <w:noProof/>
                <w:sz w:val="32"/>
                <w:szCs w:val="32"/>
              </w:rPr>
              <w:fldChar w:fldCharType="end"/>
            </w:r>
          </w:hyperlink>
        </w:p>
        <w:p w14:paraId="38B09868" w14:textId="1B92BA0A" w:rsidR="00993813" w:rsidRDefault="00000000">
          <w:pPr>
            <w:pStyle w:val="TOC2"/>
            <w:tabs>
              <w:tab w:val="right" w:leader="dot" w:pos="8306"/>
            </w:tabs>
            <w:rPr>
              <w:rFonts w:ascii="仿宋_GB2312" w:eastAsia="仿宋_GB2312" w:hAnsi="仿宋_GB2312" w:cs="仿宋_GB2312"/>
              <w:noProof/>
              <w:sz w:val="32"/>
              <w:szCs w:val="32"/>
            </w:rPr>
          </w:pPr>
          <w:hyperlink w:anchor="_Toc16031" w:history="1">
            <w:r>
              <w:rPr>
                <w:rFonts w:ascii="仿宋_GB2312" w:eastAsia="仿宋_GB2312" w:hAnsi="仿宋_GB2312" w:cs="仿宋_GB2312" w:hint="eastAsia"/>
                <w:noProof/>
                <w:sz w:val="32"/>
                <w:szCs w:val="32"/>
              </w:rPr>
              <w:t>（一）产出完成情况分析</w:t>
            </w:r>
            <w:r>
              <w:rPr>
                <w:rFonts w:ascii="仿宋_GB2312" w:eastAsia="仿宋_GB2312" w:hAnsi="仿宋_GB2312" w:cs="仿宋_GB2312" w:hint="eastAsia"/>
                <w:noProof/>
                <w:sz w:val="32"/>
                <w:szCs w:val="32"/>
              </w:rPr>
              <w:tab/>
            </w:r>
            <w:r>
              <w:rPr>
                <w:rFonts w:eastAsia="仿宋_GB2312"/>
                <w:noProof/>
                <w:sz w:val="32"/>
                <w:szCs w:val="32"/>
              </w:rPr>
              <w:fldChar w:fldCharType="begin"/>
            </w:r>
            <w:r>
              <w:rPr>
                <w:rFonts w:eastAsia="仿宋_GB2312"/>
                <w:noProof/>
                <w:sz w:val="32"/>
                <w:szCs w:val="32"/>
              </w:rPr>
              <w:instrText xml:space="preserve"> PAGEREF _Toc16031 \h </w:instrText>
            </w:r>
            <w:r>
              <w:rPr>
                <w:rFonts w:eastAsia="仿宋_GB2312"/>
                <w:noProof/>
                <w:sz w:val="32"/>
                <w:szCs w:val="32"/>
              </w:rPr>
            </w:r>
            <w:r>
              <w:rPr>
                <w:rFonts w:eastAsia="仿宋_GB2312"/>
                <w:noProof/>
                <w:sz w:val="32"/>
                <w:szCs w:val="32"/>
              </w:rPr>
              <w:fldChar w:fldCharType="separate"/>
            </w:r>
            <w:r w:rsidR="00B3598A">
              <w:rPr>
                <w:rFonts w:eastAsia="仿宋_GB2312"/>
                <w:noProof/>
                <w:sz w:val="32"/>
                <w:szCs w:val="32"/>
              </w:rPr>
              <w:t>8</w:t>
            </w:r>
            <w:r>
              <w:rPr>
                <w:rFonts w:eastAsia="仿宋_GB2312"/>
                <w:noProof/>
                <w:sz w:val="32"/>
                <w:szCs w:val="32"/>
              </w:rPr>
              <w:fldChar w:fldCharType="end"/>
            </w:r>
          </w:hyperlink>
        </w:p>
        <w:p w14:paraId="69D3A9B7" w14:textId="0152B12C" w:rsidR="00993813" w:rsidRDefault="00000000">
          <w:pPr>
            <w:pStyle w:val="TOC2"/>
            <w:tabs>
              <w:tab w:val="right" w:leader="dot" w:pos="8306"/>
            </w:tabs>
            <w:rPr>
              <w:noProof/>
              <w:sz w:val="32"/>
              <w:szCs w:val="32"/>
            </w:rPr>
          </w:pPr>
          <w:hyperlink w:anchor="_Toc3937" w:history="1">
            <w:r>
              <w:rPr>
                <w:rFonts w:ascii="仿宋_GB2312" w:eastAsia="仿宋_GB2312" w:hAnsi="仿宋_GB2312" w:cs="仿宋_GB2312" w:hint="eastAsia"/>
                <w:noProof/>
                <w:sz w:val="32"/>
                <w:szCs w:val="32"/>
              </w:rPr>
              <w:t>（二）效果实现情况分析</w:t>
            </w:r>
            <w:r>
              <w:rPr>
                <w:rFonts w:ascii="仿宋_GB2312" w:eastAsia="仿宋_GB2312" w:hAnsi="仿宋_GB2312" w:cs="仿宋_GB2312" w:hint="eastAsia"/>
                <w:noProof/>
                <w:sz w:val="32"/>
                <w:szCs w:val="32"/>
              </w:rPr>
              <w:tab/>
            </w:r>
            <w:r>
              <w:rPr>
                <w:rFonts w:eastAsia="仿宋_GB2312"/>
                <w:noProof/>
                <w:sz w:val="32"/>
                <w:szCs w:val="32"/>
              </w:rPr>
              <w:fldChar w:fldCharType="begin"/>
            </w:r>
            <w:r>
              <w:rPr>
                <w:rFonts w:eastAsia="仿宋_GB2312"/>
                <w:noProof/>
                <w:sz w:val="32"/>
                <w:szCs w:val="32"/>
              </w:rPr>
              <w:instrText xml:space="preserve"> PAGEREF _Toc3937 \h </w:instrText>
            </w:r>
            <w:r>
              <w:rPr>
                <w:rFonts w:eastAsia="仿宋_GB2312"/>
                <w:noProof/>
                <w:sz w:val="32"/>
                <w:szCs w:val="32"/>
              </w:rPr>
            </w:r>
            <w:r>
              <w:rPr>
                <w:rFonts w:eastAsia="仿宋_GB2312"/>
                <w:noProof/>
                <w:sz w:val="32"/>
                <w:szCs w:val="32"/>
              </w:rPr>
              <w:fldChar w:fldCharType="separate"/>
            </w:r>
            <w:r w:rsidR="00B3598A">
              <w:rPr>
                <w:rFonts w:eastAsia="仿宋_GB2312"/>
                <w:noProof/>
                <w:sz w:val="32"/>
                <w:szCs w:val="32"/>
              </w:rPr>
              <w:t>11</w:t>
            </w:r>
            <w:r>
              <w:rPr>
                <w:rFonts w:eastAsia="仿宋_GB2312"/>
                <w:noProof/>
                <w:sz w:val="32"/>
                <w:szCs w:val="32"/>
              </w:rPr>
              <w:fldChar w:fldCharType="end"/>
            </w:r>
          </w:hyperlink>
        </w:p>
        <w:p w14:paraId="7822CCCF" w14:textId="17EEBA4F" w:rsidR="00993813" w:rsidRDefault="00000000">
          <w:pPr>
            <w:pStyle w:val="TOC1"/>
            <w:tabs>
              <w:tab w:val="clear" w:pos="8296"/>
              <w:tab w:val="right" w:leader="dot" w:pos="8306"/>
            </w:tabs>
            <w:rPr>
              <w:noProof/>
              <w:sz w:val="32"/>
              <w:szCs w:val="32"/>
            </w:rPr>
          </w:pPr>
          <w:hyperlink w:anchor="_Toc26475" w:history="1">
            <w:r>
              <w:rPr>
                <w:rFonts w:ascii="楷体_GB2312" w:eastAsia="楷体_GB2312" w:hAnsi="楷体_GB2312" w:cs="楷体_GB2312" w:hint="eastAsia"/>
                <w:noProof/>
                <w:kern w:val="0"/>
                <w:sz w:val="32"/>
                <w:szCs w:val="32"/>
              </w:rPr>
              <w:t>四、预算管理情况分析</w:t>
            </w:r>
            <w:r>
              <w:rPr>
                <w:rFonts w:ascii="楷体_GB2312" w:eastAsia="楷体_GB2312" w:hAnsi="楷体_GB2312" w:cs="楷体_GB2312" w:hint="eastAsia"/>
                <w:noProof/>
                <w:sz w:val="32"/>
                <w:szCs w:val="32"/>
              </w:rPr>
              <w:tab/>
            </w:r>
            <w:r>
              <w:rPr>
                <w:rFonts w:ascii="Times New Roman" w:eastAsia="楷体_GB2312" w:hAnsi="Times New Roman"/>
                <w:b w:val="0"/>
                <w:bCs/>
                <w:noProof/>
                <w:sz w:val="32"/>
                <w:szCs w:val="32"/>
              </w:rPr>
              <w:fldChar w:fldCharType="begin"/>
            </w:r>
            <w:r>
              <w:rPr>
                <w:rFonts w:ascii="Times New Roman" w:eastAsia="楷体_GB2312" w:hAnsi="Times New Roman"/>
                <w:b w:val="0"/>
                <w:bCs/>
                <w:noProof/>
                <w:sz w:val="32"/>
                <w:szCs w:val="32"/>
              </w:rPr>
              <w:instrText xml:space="preserve"> PAGEREF _Toc26475 \h </w:instrText>
            </w:r>
            <w:r>
              <w:rPr>
                <w:rFonts w:ascii="Times New Roman" w:eastAsia="楷体_GB2312" w:hAnsi="Times New Roman"/>
                <w:b w:val="0"/>
                <w:bCs/>
                <w:noProof/>
                <w:sz w:val="32"/>
                <w:szCs w:val="32"/>
              </w:rPr>
            </w:r>
            <w:r>
              <w:rPr>
                <w:rFonts w:ascii="Times New Roman" w:eastAsia="楷体_GB2312" w:hAnsi="Times New Roman"/>
                <w:b w:val="0"/>
                <w:bCs/>
                <w:noProof/>
                <w:sz w:val="32"/>
                <w:szCs w:val="32"/>
              </w:rPr>
              <w:fldChar w:fldCharType="separate"/>
            </w:r>
            <w:r w:rsidR="00B3598A">
              <w:rPr>
                <w:rFonts w:ascii="Times New Roman" w:eastAsia="楷体_GB2312" w:hAnsi="Times New Roman"/>
                <w:b w:val="0"/>
                <w:bCs/>
                <w:noProof/>
                <w:sz w:val="32"/>
                <w:szCs w:val="32"/>
              </w:rPr>
              <w:t>13</w:t>
            </w:r>
            <w:r>
              <w:rPr>
                <w:rFonts w:ascii="Times New Roman" w:eastAsia="楷体_GB2312" w:hAnsi="Times New Roman"/>
                <w:b w:val="0"/>
                <w:bCs/>
                <w:noProof/>
                <w:sz w:val="32"/>
                <w:szCs w:val="32"/>
              </w:rPr>
              <w:fldChar w:fldCharType="end"/>
            </w:r>
          </w:hyperlink>
        </w:p>
        <w:p w14:paraId="6A1820A6" w14:textId="30A155BC" w:rsidR="00993813" w:rsidRDefault="00000000">
          <w:pPr>
            <w:pStyle w:val="TOC2"/>
            <w:tabs>
              <w:tab w:val="right" w:leader="dot" w:pos="8306"/>
            </w:tabs>
            <w:rPr>
              <w:rFonts w:ascii="仿宋_GB2312" w:eastAsia="仿宋_GB2312" w:hAnsi="仿宋_GB2312" w:cs="仿宋_GB2312"/>
              <w:noProof/>
              <w:sz w:val="32"/>
              <w:szCs w:val="32"/>
            </w:rPr>
          </w:pPr>
          <w:hyperlink w:anchor="_Toc2445" w:history="1">
            <w:r>
              <w:rPr>
                <w:rFonts w:ascii="仿宋_GB2312" w:eastAsia="仿宋_GB2312" w:hAnsi="仿宋_GB2312" w:cs="仿宋_GB2312" w:hint="eastAsia"/>
                <w:noProof/>
                <w:sz w:val="32"/>
                <w:szCs w:val="32"/>
              </w:rPr>
              <w:t>（一）财务管理</w:t>
            </w:r>
            <w:r>
              <w:rPr>
                <w:rFonts w:ascii="仿宋_GB2312" w:eastAsia="仿宋_GB2312" w:hAnsi="仿宋_GB2312" w:cs="仿宋_GB2312" w:hint="eastAsia"/>
                <w:noProof/>
                <w:sz w:val="32"/>
                <w:szCs w:val="32"/>
              </w:rPr>
              <w:tab/>
            </w:r>
            <w:r>
              <w:rPr>
                <w:rFonts w:eastAsia="仿宋_GB2312"/>
                <w:noProof/>
                <w:sz w:val="32"/>
                <w:szCs w:val="32"/>
              </w:rPr>
              <w:fldChar w:fldCharType="begin"/>
            </w:r>
            <w:r>
              <w:rPr>
                <w:rFonts w:eastAsia="仿宋_GB2312"/>
                <w:noProof/>
                <w:sz w:val="32"/>
                <w:szCs w:val="32"/>
              </w:rPr>
              <w:instrText xml:space="preserve"> PAGEREF _Toc2445 \h </w:instrText>
            </w:r>
            <w:r>
              <w:rPr>
                <w:rFonts w:eastAsia="仿宋_GB2312"/>
                <w:noProof/>
                <w:sz w:val="32"/>
                <w:szCs w:val="32"/>
              </w:rPr>
            </w:r>
            <w:r>
              <w:rPr>
                <w:rFonts w:eastAsia="仿宋_GB2312"/>
                <w:noProof/>
                <w:sz w:val="32"/>
                <w:szCs w:val="32"/>
              </w:rPr>
              <w:fldChar w:fldCharType="separate"/>
            </w:r>
            <w:r w:rsidR="00B3598A">
              <w:rPr>
                <w:rFonts w:eastAsia="仿宋_GB2312"/>
                <w:noProof/>
                <w:sz w:val="32"/>
                <w:szCs w:val="32"/>
              </w:rPr>
              <w:t>13</w:t>
            </w:r>
            <w:r>
              <w:rPr>
                <w:rFonts w:eastAsia="仿宋_GB2312"/>
                <w:noProof/>
                <w:sz w:val="32"/>
                <w:szCs w:val="32"/>
              </w:rPr>
              <w:fldChar w:fldCharType="end"/>
            </w:r>
          </w:hyperlink>
        </w:p>
        <w:p w14:paraId="3AA97F75" w14:textId="0AEB932D" w:rsidR="00993813" w:rsidRDefault="00000000">
          <w:pPr>
            <w:pStyle w:val="TOC2"/>
            <w:tabs>
              <w:tab w:val="right" w:leader="dot" w:pos="8306"/>
            </w:tabs>
            <w:rPr>
              <w:rFonts w:ascii="仿宋_GB2312" w:eastAsia="仿宋_GB2312" w:hAnsi="仿宋_GB2312" w:cs="仿宋_GB2312"/>
              <w:noProof/>
              <w:sz w:val="32"/>
              <w:szCs w:val="32"/>
            </w:rPr>
          </w:pPr>
          <w:hyperlink w:anchor="_Toc18651" w:history="1">
            <w:r>
              <w:rPr>
                <w:rFonts w:ascii="仿宋_GB2312" w:eastAsia="仿宋_GB2312" w:hAnsi="仿宋_GB2312" w:cs="仿宋_GB2312" w:hint="eastAsia"/>
                <w:noProof/>
                <w:sz w:val="32"/>
                <w:szCs w:val="32"/>
              </w:rPr>
              <w:t>（二）资产管理</w:t>
            </w:r>
            <w:r>
              <w:rPr>
                <w:rFonts w:ascii="仿宋_GB2312" w:eastAsia="仿宋_GB2312" w:hAnsi="仿宋_GB2312" w:cs="仿宋_GB2312" w:hint="eastAsia"/>
                <w:noProof/>
                <w:sz w:val="32"/>
                <w:szCs w:val="32"/>
              </w:rPr>
              <w:tab/>
            </w:r>
            <w:r>
              <w:rPr>
                <w:rFonts w:eastAsia="仿宋_GB2312"/>
                <w:noProof/>
                <w:sz w:val="32"/>
                <w:szCs w:val="32"/>
              </w:rPr>
              <w:fldChar w:fldCharType="begin"/>
            </w:r>
            <w:r>
              <w:rPr>
                <w:rFonts w:eastAsia="仿宋_GB2312"/>
                <w:noProof/>
                <w:sz w:val="32"/>
                <w:szCs w:val="32"/>
              </w:rPr>
              <w:instrText xml:space="preserve"> PAGEREF _Toc18651 \h </w:instrText>
            </w:r>
            <w:r>
              <w:rPr>
                <w:rFonts w:eastAsia="仿宋_GB2312"/>
                <w:noProof/>
                <w:sz w:val="32"/>
                <w:szCs w:val="32"/>
              </w:rPr>
            </w:r>
            <w:r>
              <w:rPr>
                <w:rFonts w:eastAsia="仿宋_GB2312"/>
                <w:noProof/>
                <w:sz w:val="32"/>
                <w:szCs w:val="32"/>
              </w:rPr>
              <w:fldChar w:fldCharType="separate"/>
            </w:r>
            <w:r w:rsidR="00B3598A">
              <w:rPr>
                <w:rFonts w:eastAsia="仿宋_GB2312"/>
                <w:noProof/>
                <w:sz w:val="32"/>
                <w:szCs w:val="32"/>
              </w:rPr>
              <w:t>15</w:t>
            </w:r>
            <w:r>
              <w:rPr>
                <w:rFonts w:eastAsia="仿宋_GB2312"/>
                <w:noProof/>
                <w:sz w:val="32"/>
                <w:szCs w:val="32"/>
              </w:rPr>
              <w:fldChar w:fldCharType="end"/>
            </w:r>
          </w:hyperlink>
        </w:p>
        <w:p w14:paraId="138B8EB6" w14:textId="5124570A" w:rsidR="00993813" w:rsidRDefault="00000000">
          <w:pPr>
            <w:pStyle w:val="TOC2"/>
            <w:tabs>
              <w:tab w:val="right" w:leader="dot" w:pos="8306"/>
            </w:tabs>
            <w:rPr>
              <w:noProof/>
              <w:sz w:val="32"/>
              <w:szCs w:val="32"/>
            </w:rPr>
          </w:pPr>
          <w:hyperlink w:anchor="_Toc27777" w:history="1">
            <w:r>
              <w:rPr>
                <w:rFonts w:ascii="仿宋_GB2312" w:eastAsia="仿宋_GB2312" w:hAnsi="仿宋_GB2312" w:cs="仿宋_GB2312" w:hint="eastAsia"/>
                <w:noProof/>
                <w:sz w:val="32"/>
                <w:szCs w:val="32"/>
              </w:rPr>
              <w:t>（三）绩效管理</w:t>
            </w:r>
            <w:r>
              <w:rPr>
                <w:rFonts w:ascii="仿宋_GB2312" w:eastAsia="仿宋_GB2312" w:hAnsi="仿宋_GB2312" w:cs="仿宋_GB2312" w:hint="eastAsia"/>
                <w:noProof/>
                <w:sz w:val="32"/>
                <w:szCs w:val="32"/>
              </w:rPr>
              <w:tab/>
            </w:r>
            <w:r>
              <w:rPr>
                <w:rFonts w:eastAsia="仿宋_GB2312"/>
                <w:noProof/>
                <w:sz w:val="32"/>
                <w:szCs w:val="32"/>
              </w:rPr>
              <w:fldChar w:fldCharType="begin"/>
            </w:r>
            <w:r>
              <w:rPr>
                <w:rFonts w:eastAsia="仿宋_GB2312"/>
                <w:noProof/>
                <w:sz w:val="32"/>
                <w:szCs w:val="32"/>
              </w:rPr>
              <w:instrText xml:space="preserve"> PAGEREF _Toc27777 \h </w:instrText>
            </w:r>
            <w:r>
              <w:rPr>
                <w:rFonts w:eastAsia="仿宋_GB2312"/>
                <w:noProof/>
                <w:sz w:val="32"/>
                <w:szCs w:val="32"/>
              </w:rPr>
            </w:r>
            <w:r>
              <w:rPr>
                <w:rFonts w:eastAsia="仿宋_GB2312"/>
                <w:noProof/>
                <w:sz w:val="32"/>
                <w:szCs w:val="32"/>
              </w:rPr>
              <w:fldChar w:fldCharType="separate"/>
            </w:r>
            <w:r w:rsidR="00B3598A">
              <w:rPr>
                <w:rFonts w:eastAsia="仿宋_GB2312"/>
                <w:noProof/>
                <w:sz w:val="32"/>
                <w:szCs w:val="32"/>
              </w:rPr>
              <w:t>15</w:t>
            </w:r>
            <w:r>
              <w:rPr>
                <w:rFonts w:eastAsia="仿宋_GB2312"/>
                <w:noProof/>
                <w:sz w:val="32"/>
                <w:szCs w:val="32"/>
              </w:rPr>
              <w:fldChar w:fldCharType="end"/>
            </w:r>
          </w:hyperlink>
        </w:p>
        <w:p w14:paraId="6BEEA279" w14:textId="3B97514D" w:rsidR="00993813" w:rsidRDefault="00000000">
          <w:pPr>
            <w:pStyle w:val="TOC1"/>
            <w:tabs>
              <w:tab w:val="clear" w:pos="8296"/>
              <w:tab w:val="right" w:leader="dot" w:pos="8306"/>
            </w:tabs>
            <w:rPr>
              <w:noProof/>
              <w:sz w:val="32"/>
              <w:szCs w:val="32"/>
            </w:rPr>
          </w:pPr>
          <w:hyperlink w:anchor="_Toc9419" w:history="1">
            <w:r>
              <w:rPr>
                <w:rFonts w:ascii="楷体_GB2312" w:eastAsia="楷体_GB2312" w:hAnsi="楷体_GB2312" w:cs="楷体_GB2312" w:hint="eastAsia"/>
                <w:noProof/>
                <w:sz w:val="32"/>
                <w:szCs w:val="32"/>
              </w:rPr>
              <w:t>五、总体评价结论</w:t>
            </w:r>
            <w:r>
              <w:rPr>
                <w:rFonts w:ascii="楷体_GB2312" w:eastAsia="楷体_GB2312" w:hAnsi="楷体_GB2312" w:cs="楷体_GB2312" w:hint="eastAsia"/>
                <w:noProof/>
                <w:sz w:val="32"/>
                <w:szCs w:val="32"/>
              </w:rPr>
              <w:tab/>
            </w:r>
            <w:r>
              <w:rPr>
                <w:rFonts w:ascii="Times New Roman" w:eastAsia="楷体_GB2312" w:hAnsi="Times New Roman"/>
                <w:b w:val="0"/>
                <w:bCs/>
                <w:noProof/>
                <w:sz w:val="32"/>
                <w:szCs w:val="32"/>
              </w:rPr>
              <w:fldChar w:fldCharType="begin"/>
            </w:r>
            <w:r>
              <w:rPr>
                <w:rFonts w:ascii="Times New Roman" w:eastAsia="楷体_GB2312" w:hAnsi="Times New Roman"/>
                <w:b w:val="0"/>
                <w:bCs/>
                <w:noProof/>
                <w:sz w:val="32"/>
                <w:szCs w:val="32"/>
              </w:rPr>
              <w:instrText xml:space="preserve"> PAGEREF _Toc9419 \h </w:instrText>
            </w:r>
            <w:r>
              <w:rPr>
                <w:rFonts w:ascii="Times New Roman" w:eastAsia="楷体_GB2312" w:hAnsi="Times New Roman"/>
                <w:b w:val="0"/>
                <w:bCs/>
                <w:noProof/>
                <w:sz w:val="32"/>
                <w:szCs w:val="32"/>
              </w:rPr>
            </w:r>
            <w:r>
              <w:rPr>
                <w:rFonts w:ascii="Times New Roman" w:eastAsia="楷体_GB2312" w:hAnsi="Times New Roman"/>
                <w:b w:val="0"/>
                <w:bCs/>
                <w:noProof/>
                <w:sz w:val="32"/>
                <w:szCs w:val="32"/>
              </w:rPr>
              <w:fldChar w:fldCharType="separate"/>
            </w:r>
            <w:r w:rsidR="00B3598A">
              <w:rPr>
                <w:rFonts w:ascii="Times New Roman" w:eastAsia="楷体_GB2312" w:hAnsi="Times New Roman"/>
                <w:b w:val="0"/>
                <w:bCs/>
                <w:noProof/>
                <w:sz w:val="32"/>
                <w:szCs w:val="32"/>
              </w:rPr>
              <w:t>16</w:t>
            </w:r>
            <w:r>
              <w:rPr>
                <w:rFonts w:ascii="Times New Roman" w:eastAsia="楷体_GB2312" w:hAnsi="Times New Roman"/>
                <w:b w:val="0"/>
                <w:bCs/>
                <w:noProof/>
                <w:sz w:val="32"/>
                <w:szCs w:val="32"/>
              </w:rPr>
              <w:fldChar w:fldCharType="end"/>
            </w:r>
          </w:hyperlink>
        </w:p>
        <w:p w14:paraId="3CDBEB4D" w14:textId="6F5D9D6A" w:rsidR="00993813" w:rsidRDefault="00000000">
          <w:pPr>
            <w:pStyle w:val="TOC2"/>
            <w:tabs>
              <w:tab w:val="right" w:leader="dot" w:pos="8306"/>
            </w:tabs>
            <w:rPr>
              <w:rFonts w:ascii="仿宋_GB2312" w:eastAsia="仿宋_GB2312" w:hAnsi="仿宋_GB2312" w:cs="仿宋_GB2312"/>
              <w:noProof/>
              <w:sz w:val="32"/>
              <w:szCs w:val="32"/>
            </w:rPr>
          </w:pPr>
          <w:hyperlink w:anchor="_Toc31337" w:history="1">
            <w:r>
              <w:rPr>
                <w:rFonts w:ascii="仿宋_GB2312" w:eastAsia="仿宋_GB2312" w:hAnsi="仿宋_GB2312" w:cs="仿宋_GB2312" w:hint="eastAsia"/>
                <w:noProof/>
                <w:sz w:val="32"/>
                <w:szCs w:val="32"/>
              </w:rPr>
              <w:t>（一）评价得分情况</w:t>
            </w:r>
            <w:r>
              <w:rPr>
                <w:rFonts w:ascii="仿宋_GB2312" w:eastAsia="仿宋_GB2312" w:hAnsi="仿宋_GB2312" w:cs="仿宋_GB2312" w:hint="eastAsia"/>
                <w:noProof/>
                <w:sz w:val="32"/>
                <w:szCs w:val="32"/>
              </w:rPr>
              <w:tab/>
            </w:r>
            <w:r>
              <w:rPr>
                <w:rFonts w:eastAsia="仿宋_GB2312"/>
                <w:noProof/>
                <w:sz w:val="32"/>
                <w:szCs w:val="32"/>
              </w:rPr>
              <w:fldChar w:fldCharType="begin"/>
            </w:r>
            <w:r>
              <w:rPr>
                <w:rFonts w:eastAsia="仿宋_GB2312"/>
                <w:noProof/>
                <w:sz w:val="32"/>
                <w:szCs w:val="32"/>
              </w:rPr>
              <w:instrText xml:space="preserve"> PAGEREF _Toc31337 \h </w:instrText>
            </w:r>
            <w:r>
              <w:rPr>
                <w:rFonts w:eastAsia="仿宋_GB2312"/>
                <w:noProof/>
                <w:sz w:val="32"/>
                <w:szCs w:val="32"/>
              </w:rPr>
            </w:r>
            <w:r>
              <w:rPr>
                <w:rFonts w:eastAsia="仿宋_GB2312"/>
                <w:noProof/>
                <w:sz w:val="32"/>
                <w:szCs w:val="32"/>
              </w:rPr>
              <w:fldChar w:fldCharType="separate"/>
            </w:r>
            <w:r w:rsidR="00B3598A">
              <w:rPr>
                <w:rFonts w:eastAsia="仿宋_GB2312"/>
                <w:noProof/>
                <w:sz w:val="32"/>
                <w:szCs w:val="32"/>
              </w:rPr>
              <w:t>16</w:t>
            </w:r>
            <w:r>
              <w:rPr>
                <w:rFonts w:eastAsia="仿宋_GB2312"/>
                <w:noProof/>
                <w:sz w:val="32"/>
                <w:szCs w:val="32"/>
              </w:rPr>
              <w:fldChar w:fldCharType="end"/>
            </w:r>
          </w:hyperlink>
        </w:p>
        <w:p w14:paraId="5BDEBFD0" w14:textId="2E9C397B" w:rsidR="00993813" w:rsidRDefault="00000000">
          <w:pPr>
            <w:pStyle w:val="TOC2"/>
            <w:tabs>
              <w:tab w:val="right" w:leader="dot" w:pos="8306"/>
            </w:tabs>
            <w:rPr>
              <w:noProof/>
              <w:sz w:val="32"/>
              <w:szCs w:val="32"/>
            </w:rPr>
          </w:pPr>
          <w:hyperlink w:anchor="_Toc1422" w:history="1">
            <w:r>
              <w:rPr>
                <w:rFonts w:ascii="仿宋_GB2312" w:eastAsia="仿宋_GB2312" w:hAnsi="仿宋_GB2312" w:cs="仿宋_GB2312" w:hint="eastAsia"/>
                <w:noProof/>
                <w:sz w:val="32"/>
                <w:szCs w:val="32"/>
              </w:rPr>
              <w:t>（二）存在的问题及原因分析</w:t>
            </w:r>
            <w:r>
              <w:rPr>
                <w:rFonts w:ascii="仿宋_GB2312" w:eastAsia="仿宋_GB2312" w:hAnsi="仿宋_GB2312" w:cs="仿宋_GB2312" w:hint="eastAsia"/>
                <w:noProof/>
                <w:sz w:val="32"/>
                <w:szCs w:val="32"/>
              </w:rPr>
              <w:tab/>
            </w:r>
            <w:r>
              <w:rPr>
                <w:rFonts w:eastAsia="仿宋_GB2312"/>
                <w:noProof/>
                <w:sz w:val="32"/>
                <w:szCs w:val="32"/>
              </w:rPr>
              <w:fldChar w:fldCharType="begin"/>
            </w:r>
            <w:r>
              <w:rPr>
                <w:rFonts w:eastAsia="仿宋_GB2312"/>
                <w:noProof/>
                <w:sz w:val="32"/>
                <w:szCs w:val="32"/>
              </w:rPr>
              <w:instrText xml:space="preserve"> PAGEREF _Toc1422 \h </w:instrText>
            </w:r>
            <w:r>
              <w:rPr>
                <w:rFonts w:eastAsia="仿宋_GB2312"/>
                <w:noProof/>
                <w:sz w:val="32"/>
                <w:szCs w:val="32"/>
              </w:rPr>
            </w:r>
            <w:r>
              <w:rPr>
                <w:rFonts w:eastAsia="仿宋_GB2312"/>
                <w:noProof/>
                <w:sz w:val="32"/>
                <w:szCs w:val="32"/>
              </w:rPr>
              <w:fldChar w:fldCharType="separate"/>
            </w:r>
            <w:r w:rsidR="00B3598A">
              <w:rPr>
                <w:rFonts w:eastAsia="仿宋_GB2312"/>
                <w:noProof/>
                <w:sz w:val="32"/>
                <w:szCs w:val="32"/>
              </w:rPr>
              <w:t>17</w:t>
            </w:r>
            <w:r>
              <w:rPr>
                <w:rFonts w:eastAsia="仿宋_GB2312"/>
                <w:noProof/>
                <w:sz w:val="32"/>
                <w:szCs w:val="32"/>
              </w:rPr>
              <w:fldChar w:fldCharType="end"/>
            </w:r>
          </w:hyperlink>
        </w:p>
        <w:p w14:paraId="0B717C69" w14:textId="18E272A6" w:rsidR="00993813" w:rsidRDefault="00000000">
          <w:pPr>
            <w:pStyle w:val="TOC1"/>
            <w:tabs>
              <w:tab w:val="clear" w:pos="8296"/>
              <w:tab w:val="right" w:leader="dot" w:pos="8306"/>
            </w:tabs>
            <w:rPr>
              <w:rFonts w:ascii="楷体_GB2312" w:eastAsia="楷体_GB2312" w:hAnsi="楷体_GB2312" w:cs="楷体_GB2312"/>
              <w:noProof/>
              <w:sz w:val="32"/>
              <w:szCs w:val="32"/>
            </w:rPr>
          </w:pPr>
          <w:hyperlink w:anchor="_Toc27090" w:history="1">
            <w:r>
              <w:rPr>
                <w:rFonts w:ascii="楷体_GB2312" w:eastAsia="楷体_GB2312" w:hAnsi="楷体_GB2312" w:cs="楷体_GB2312" w:hint="eastAsia"/>
                <w:noProof/>
                <w:kern w:val="0"/>
                <w:sz w:val="32"/>
                <w:szCs w:val="32"/>
              </w:rPr>
              <w:t>六、措施建议</w:t>
            </w:r>
            <w:r>
              <w:rPr>
                <w:rFonts w:ascii="楷体_GB2312" w:eastAsia="楷体_GB2312" w:hAnsi="楷体_GB2312" w:cs="楷体_GB2312" w:hint="eastAsia"/>
                <w:noProof/>
                <w:sz w:val="32"/>
                <w:szCs w:val="32"/>
              </w:rPr>
              <w:tab/>
            </w:r>
            <w:r>
              <w:rPr>
                <w:rFonts w:ascii="Times New Roman" w:eastAsia="楷体_GB2312" w:hAnsi="Times New Roman"/>
                <w:b w:val="0"/>
                <w:bCs/>
                <w:noProof/>
                <w:sz w:val="32"/>
                <w:szCs w:val="32"/>
              </w:rPr>
              <w:fldChar w:fldCharType="begin"/>
            </w:r>
            <w:r>
              <w:rPr>
                <w:rFonts w:ascii="Times New Roman" w:eastAsia="楷体_GB2312" w:hAnsi="Times New Roman"/>
                <w:b w:val="0"/>
                <w:bCs/>
                <w:noProof/>
                <w:sz w:val="32"/>
                <w:szCs w:val="32"/>
              </w:rPr>
              <w:instrText xml:space="preserve"> PAGEREF _Toc27090 \h </w:instrText>
            </w:r>
            <w:r>
              <w:rPr>
                <w:rFonts w:ascii="Times New Roman" w:eastAsia="楷体_GB2312" w:hAnsi="Times New Roman"/>
                <w:b w:val="0"/>
                <w:bCs/>
                <w:noProof/>
                <w:sz w:val="32"/>
                <w:szCs w:val="32"/>
              </w:rPr>
            </w:r>
            <w:r>
              <w:rPr>
                <w:rFonts w:ascii="Times New Roman" w:eastAsia="楷体_GB2312" w:hAnsi="Times New Roman"/>
                <w:b w:val="0"/>
                <w:bCs/>
                <w:noProof/>
                <w:sz w:val="32"/>
                <w:szCs w:val="32"/>
              </w:rPr>
              <w:fldChar w:fldCharType="separate"/>
            </w:r>
            <w:r w:rsidR="00B3598A">
              <w:rPr>
                <w:rFonts w:ascii="Times New Roman" w:eastAsia="楷体_GB2312" w:hAnsi="Times New Roman"/>
                <w:b w:val="0"/>
                <w:bCs/>
                <w:noProof/>
                <w:sz w:val="32"/>
                <w:szCs w:val="32"/>
              </w:rPr>
              <w:t>17</w:t>
            </w:r>
            <w:r>
              <w:rPr>
                <w:rFonts w:ascii="Times New Roman" w:eastAsia="楷体_GB2312" w:hAnsi="Times New Roman"/>
                <w:b w:val="0"/>
                <w:bCs/>
                <w:noProof/>
                <w:sz w:val="32"/>
                <w:szCs w:val="32"/>
              </w:rPr>
              <w:fldChar w:fldCharType="end"/>
            </w:r>
          </w:hyperlink>
        </w:p>
        <w:p w14:paraId="1BBE8690" w14:textId="376E722B" w:rsidR="00993813" w:rsidRDefault="00000000">
          <w:pPr>
            <w:pStyle w:val="TOC1"/>
            <w:tabs>
              <w:tab w:val="clear" w:pos="8296"/>
              <w:tab w:val="right" w:leader="dot" w:pos="8306"/>
            </w:tabs>
            <w:rPr>
              <w:noProof/>
            </w:rPr>
          </w:pPr>
          <w:hyperlink w:anchor="_Toc28380" w:history="1">
            <w:r>
              <w:rPr>
                <w:rFonts w:ascii="楷体_GB2312" w:eastAsia="楷体_GB2312" w:hAnsi="楷体_GB2312" w:cs="楷体_GB2312" w:hint="eastAsia"/>
                <w:noProof/>
                <w:kern w:val="0"/>
                <w:sz w:val="32"/>
                <w:szCs w:val="32"/>
              </w:rPr>
              <w:t>七、附件</w:t>
            </w:r>
            <w:r>
              <w:rPr>
                <w:rFonts w:ascii="楷体_GB2312" w:eastAsia="楷体_GB2312" w:hAnsi="楷体_GB2312" w:cs="楷体_GB2312" w:hint="eastAsia"/>
                <w:noProof/>
                <w:sz w:val="32"/>
                <w:szCs w:val="32"/>
              </w:rPr>
              <w:tab/>
            </w:r>
            <w:r>
              <w:rPr>
                <w:rFonts w:ascii="Times New Roman" w:eastAsia="楷体_GB2312" w:hAnsi="Times New Roman"/>
                <w:b w:val="0"/>
                <w:bCs/>
                <w:noProof/>
                <w:sz w:val="32"/>
                <w:szCs w:val="32"/>
              </w:rPr>
              <w:fldChar w:fldCharType="begin"/>
            </w:r>
            <w:r>
              <w:rPr>
                <w:rFonts w:ascii="Times New Roman" w:eastAsia="楷体_GB2312" w:hAnsi="Times New Roman"/>
                <w:b w:val="0"/>
                <w:bCs/>
                <w:noProof/>
                <w:sz w:val="32"/>
                <w:szCs w:val="32"/>
              </w:rPr>
              <w:instrText xml:space="preserve"> PAGEREF _Toc28380 \h </w:instrText>
            </w:r>
            <w:r>
              <w:rPr>
                <w:rFonts w:ascii="Times New Roman" w:eastAsia="楷体_GB2312" w:hAnsi="Times New Roman"/>
                <w:b w:val="0"/>
                <w:bCs/>
                <w:noProof/>
                <w:sz w:val="32"/>
                <w:szCs w:val="32"/>
              </w:rPr>
            </w:r>
            <w:r>
              <w:rPr>
                <w:rFonts w:ascii="Times New Roman" w:eastAsia="楷体_GB2312" w:hAnsi="Times New Roman"/>
                <w:b w:val="0"/>
                <w:bCs/>
                <w:noProof/>
                <w:sz w:val="32"/>
                <w:szCs w:val="32"/>
              </w:rPr>
              <w:fldChar w:fldCharType="separate"/>
            </w:r>
            <w:r w:rsidR="00B3598A">
              <w:rPr>
                <w:rFonts w:ascii="Times New Roman" w:eastAsia="楷体_GB2312" w:hAnsi="Times New Roman"/>
                <w:b w:val="0"/>
                <w:bCs/>
                <w:noProof/>
                <w:sz w:val="32"/>
                <w:szCs w:val="32"/>
              </w:rPr>
              <w:t>18</w:t>
            </w:r>
            <w:r>
              <w:rPr>
                <w:rFonts w:ascii="Times New Roman" w:eastAsia="楷体_GB2312" w:hAnsi="Times New Roman"/>
                <w:b w:val="0"/>
                <w:bCs/>
                <w:noProof/>
                <w:sz w:val="32"/>
                <w:szCs w:val="32"/>
              </w:rPr>
              <w:fldChar w:fldCharType="end"/>
            </w:r>
          </w:hyperlink>
        </w:p>
        <w:p w14:paraId="773D018D" w14:textId="77777777" w:rsidR="00993813" w:rsidRDefault="00993813">
          <w:pPr>
            <w:pStyle w:val="TOC3"/>
            <w:tabs>
              <w:tab w:val="right" w:leader="dot" w:pos="8306"/>
            </w:tabs>
            <w:rPr>
              <w:noProof/>
            </w:rPr>
          </w:pPr>
        </w:p>
        <w:p w14:paraId="7A7163BF" w14:textId="77777777" w:rsidR="00993813" w:rsidRDefault="00000000">
          <w:pPr>
            <w:widowControl/>
            <w:spacing w:line="500" w:lineRule="exact"/>
            <w:jc w:val="left"/>
            <w:rPr>
              <w:rFonts w:ascii="宋体" w:hAnsi="宋体"/>
            </w:rPr>
          </w:pPr>
          <w:r>
            <w:fldChar w:fldCharType="end"/>
          </w:r>
        </w:p>
      </w:sdtContent>
    </w:sdt>
    <w:p w14:paraId="6B0C9B62" w14:textId="77777777" w:rsidR="00993813" w:rsidRDefault="00993813">
      <w:pPr>
        <w:spacing w:line="560" w:lineRule="exact"/>
        <w:jc w:val="center"/>
        <w:rPr>
          <w:rFonts w:ascii="黑体" w:eastAsia="黑体" w:hAnsi="黑体"/>
          <w:sz w:val="44"/>
          <w:szCs w:val="44"/>
        </w:rPr>
      </w:pPr>
    </w:p>
    <w:p w14:paraId="5DB1E853" w14:textId="77777777" w:rsidR="00993813" w:rsidRDefault="00993813">
      <w:pPr>
        <w:spacing w:line="560" w:lineRule="exact"/>
        <w:jc w:val="center"/>
        <w:rPr>
          <w:rFonts w:ascii="黑体" w:eastAsia="黑体" w:hAnsi="黑体"/>
          <w:sz w:val="44"/>
          <w:szCs w:val="44"/>
        </w:rPr>
      </w:pPr>
    </w:p>
    <w:p w14:paraId="0D2A9D62" w14:textId="77777777" w:rsidR="00993813" w:rsidRDefault="00993813">
      <w:pPr>
        <w:spacing w:line="560" w:lineRule="exact"/>
        <w:jc w:val="center"/>
        <w:rPr>
          <w:rFonts w:ascii="黑体" w:eastAsia="黑体" w:hAnsi="黑体"/>
          <w:sz w:val="44"/>
          <w:szCs w:val="44"/>
        </w:rPr>
      </w:pPr>
    </w:p>
    <w:p w14:paraId="36E47B4A" w14:textId="77777777" w:rsidR="00993813" w:rsidRDefault="00993813">
      <w:pPr>
        <w:spacing w:line="560" w:lineRule="exact"/>
        <w:jc w:val="center"/>
        <w:rPr>
          <w:rFonts w:ascii="黑体" w:eastAsia="黑体" w:hAnsi="黑体"/>
          <w:sz w:val="44"/>
          <w:szCs w:val="44"/>
        </w:rPr>
      </w:pPr>
    </w:p>
    <w:p w14:paraId="765A92AE" w14:textId="77777777" w:rsidR="00993813" w:rsidRDefault="00993813">
      <w:pPr>
        <w:spacing w:line="560" w:lineRule="exact"/>
        <w:jc w:val="center"/>
        <w:rPr>
          <w:rFonts w:ascii="黑体" w:eastAsia="黑体" w:hAnsi="黑体"/>
          <w:sz w:val="44"/>
          <w:szCs w:val="44"/>
        </w:rPr>
        <w:sectPr w:rsidR="00993813">
          <w:footerReference w:type="default" r:id="rId11"/>
          <w:pgSz w:w="11906" w:h="16838"/>
          <w:pgMar w:top="1440" w:right="1800" w:bottom="1440" w:left="1800" w:header="851" w:footer="992" w:gutter="0"/>
          <w:pgNumType w:start="1"/>
          <w:cols w:space="425"/>
          <w:docGrid w:type="lines" w:linePitch="312"/>
        </w:sectPr>
      </w:pPr>
    </w:p>
    <w:p w14:paraId="0BBA2463" w14:textId="77777777" w:rsidR="00993813" w:rsidRDefault="00993813">
      <w:pPr>
        <w:pStyle w:val="3"/>
      </w:pPr>
    </w:p>
    <w:p w14:paraId="7F129126" w14:textId="77777777" w:rsidR="00993813" w:rsidRDefault="00000000">
      <w:pPr>
        <w:spacing w:line="560" w:lineRule="exact"/>
        <w:jc w:val="center"/>
        <w:rPr>
          <w:rFonts w:ascii="黑体" w:eastAsia="黑体" w:hAnsi="黑体"/>
          <w:sz w:val="44"/>
          <w:szCs w:val="44"/>
        </w:rPr>
      </w:pPr>
      <w:r>
        <w:rPr>
          <w:rFonts w:ascii="黑体" w:eastAsia="黑体" w:hAnsi="黑体" w:hint="eastAsia"/>
          <w:sz w:val="44"/>
          <w:szCs w:val="44"/>
        </w:rPr>
        <w:t>北京市</w:t>
      </w:r>
      <w:proofErr w:type="gramStart"/>
      <w:r>
        <w:rPr>
          <w:rFonts w:ascii="黑体" w:eastAsia="黑体" w:hAnsi="黑体" w:hint="eastAsia"/>
          <w:sz w:val="44"/>
          <w:szCs w:val="44"/>
        </w:rPr>
        <w:t>大兴区</w:t>
      </w:r>
      <w:proofErr w:type="gramEnd"/>
      <w:r>
        <w:rPr>
          <w:rFonts w:ascii="黑体" w:eastAsia="黑体" w:hAnsi="黑体" w:hint="eastAsia"/>
          <w:sz w:val="44"/>
          <w:szCs w:val="44"/>
        </w:rPr>
        <w:t>人民法院</w:t>
      </w:r>
    </w:p>
    <w:p w14:paraId="06575EF0" w14:textId="77777777" w:rsidR="00993813" w:rsidRDefault="00000000">
      <w:pPr>
        <w:spacing w:beforeLines="50" w:before="156" w:line="360" w:lineRule="auto"/>
        <w:ind w:right="1760"/>
        <w:jc w:val="right"/>
        <w:rPr>
          <w:rFonts w:ascii="黑体" w:eastAsia="黑体" w:hAnsi="黑体"/>
          <w:sz w:val="44"/>
          <w:szCs w:val="44"/>
        </w:rPr>
      </w:pPr>
      <w:r>
        <w:rPr>
          <w:rFonts w:ascii="黑体" w:eastAsia="黑体" w:hAnsi="黑体" w:hint="eastAsia"/>
          <w:sz w:val="44"/>
          <w:szCs w:val="44"/>
        </w:rPr>
        <w:t>2023年部门整体绩效报告</w:t>
      </w:r>
    </w:p>
    <w:p w14:paraId="60E1C1AD" w14:textId="77777777" w:rsidR="00993813" w:rsidRDefault="00000000">
      <w:pPr>
        <w:spacing w:beforeLines="50" w:before="156" w:line="560" w:lineRule="exact"/>
        <w:ind w:firstLineChars="200" w:firstLine="640"/>
        <w:outlineLvl w:val="0"/>
        <w:rPr>
          <w:rFonts w:ascii="黑体" w:eastAsia="黑体" w:hAnsi="黑体" w:cs="宋体"/>
          <w:color w:val="000000"/>
          <w:kern w:val="0"/>
          <w:sz w:val="32"/>
          <w:szCs w:val="32"/>
        </w:rPr>
      </w:pPr>
      <w:bookmarkStart w:id="0" w:name="_Toc16556"/>
      <w:r>
        <w:rPr>
          <w:rFonts w:ascii="黑体" w:eastAsia="黑体" w:hAnsi="黑体" w:cs="宋体" w:hint="eastAsia"/>
          <w:color w:val="000000"/>
          <w:kern w:val="0"/>
          <w:sz w:val="32"/>
          <w:szCs w:val="32"/>
        </w:rPr>
        <w:t>一、部门概况</w:t>
      </w:r>
      <w:bookmarkEnd w:id="0"/>
    </w:p>
    <w:p w14:paraId="4FCFF54B" w14:textId="77777777" w:rsidR="00993813" w:rsidRDefault="00000000">
      <w:pPr>
        <w:spacing w:line="560" w:lineRule="exact"/>
        <w:ind w:firstLineChars="200" w:firstLine="640"/>
        <w:outlineLvl w:val="1"/>
        <w:rPr>
          <w:rFonts w:ascii="楷体_GB2312" w:eastAsia="楷体_GB2312"/>
          <w:sz w:val="32"/>
          <w:szCs w:val="32"/>
        </w:rPr>
      </w:pPr>
      <w:bookmarkStart w:id="1" w:name="_Toc11402"/>
      <w:r>
        <w:rPr>
          <w:rFonts w:ascii="楷体_GB2312" w:eastAsia="楷体_GB2312" w:hint="eastAsia"/>
          <w:sz w:val="32"/>
          <w:szCs w:val="32"/>
        </w:rPr>
        <w:t>（一）机构设置及职责工作任务情况</w:t>
      </w:r>
      <w:bookmarkEnd w:id="1"/>
    </w:p>
    <w:p w14:paraId="78022A37" w14:textId="77777777" w:rsidR="00993813" w:rsidRDefault="00000000">
      <w:pPr>
        <w:adjustRightInd w:val="0"/>
        <w:snapToGrid w:val="0"/>
        <w:spacing w:line="560" w:lineRule="exact"/>
        <w:ind w:firstLineChars="200" w:firstLine="640"/>
        <w:rPr>
          <w:rFonts w:ascii="仿宋" w:eastAsia="仿宋" w:hAnsi="仿宋" w:cs="仿宋"/>
          <w:sz w:val="32"/>
          <w:szCs w:val="32"/>
        </w:rPr>
      </w:pPr>
      <w:r>
        <w:rPr>
          <w:rFonts w:ascii="仿宋_GB2312" w:eastAsia="仿宋_GB2312" w:hAnsi="仿宋_GB2312" w:cs="仿宋_GB2312" w:hint="eastAsia"/>
          <w:sz w:val="32"/>
          <w:szCs w:val="32"/>
        </w:rPr>
        <w:t>1.</w:t>
      </w:r>
      <w:r>
        <w:rPr>
          <w:rFonts w:ascii="仿宋" w:eastAsia="仿宋" w:hAnsi="仿宋" w:cs="仿宋" w:hint="eastAsia"/>
          <w:sz w:val="32"/>
          <w:szCs w:val="32"/>
        </w:rPr>
        <w:t>机构设置</w:t>
      </w:r>
    </w:p>
    <w:p w14:paraId="061A765F" w14:textId="77777777" w:rsidR="00993813" w:rsidRDefault="00000000">
      <w:pPr>
        <w:adjustRightInd w:val="0"/>
        <w:snapToGrid w:val="0"/>
        <w:spacing w:line="560" w:lineRule="exact"/>
        <w:ind w:firstLineChars="200" w:firstLine="640"/>
        <w:rPr>
          <w:rFonts w:ascii="仿宋_GB2312" w:eastAsia="仿宋_GB2312" w:hAnsi="仿宋_GB2312" w:cs="仿宋_GB2312"/>
          <w:sz w:val="32"/>
          <w:szCs w:val="32"/>
        </w:rPr>
      </w:pPr>
      <w:r>
        <w:rPr>
          <w:rFonts w:ascii="仿宋" w:eastAsia="仿宋" w:hAnsi="仿宋" w:cs="仿宋" w:hint="eastAsia"/>
          <w:sz w:val="32"/>
          <w:szCs w:val="32"/>
        </w:rPr>
        <w:t>北京市</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共设19个内设机构，分别为：立案庭（诉讼服务中心）、刑事审判庭、民事审判一庭、民事审判二庭、行政审判庭、综合审判庭、执行局、审判管理办公室、政治部、综合办公室、司法警察大队、黄村人民法庭、</w:t>
      </w:r>
      <w:r>
        <w:rPr>
          <w:rFonts w:ascii="仿宋_GB2312" w:eastAsia="仿宋_GB2312" w:hAnsi="仿宋_GB2312" w:cs="仿宋_GB2312" w:hint="eastAsia"/>
          <w:sz w:val="32"/>
          <w:szCs w:val="32"/>
        </w:rPr>
        <w:t>红星人民法庭、安定人民法庭、</w:t>
      </w:r>
      <w:proofErr w:type="gramStart"/>
      <w:r>
        <w:rPr>
          <w:rFonts w:ascii="仿宋_GB2312" w:eastAsia="仿宋_GB2312" w:hAnsi="仿宋_GB2312" w:cs="仿宋_GB2312" w:hint="eastAsia"/>
          <w:sz w:val="32"/>
          <w:szCs w:val="32"/>
        </w:rPr>
        <w:t>庞</w:t>
      </w:r>
      <w:proofErr w:type="gramEnd"/>
      <w:r>
        <w:rPr>
          <w:rFonts w:ascii="仿宋_GB2312" w:eastAsia="仿宋_GB2312" w:hAnsi="仿宋_GB2312" w:cs="仿宋_GB2312" w:hint="eastAsia"/>
          <w:sz w:val="32"/>
          <w:szCs w:val="32"/>
        </w:rPr>
        <w:t>各庄人民法庭、榆</w:t>
      </w:r>
      <w:proofErr w:type="gramStart"/>
      <w:r>
        <w:rPr>
          <w:rFonts w:ascii="仿宋_GB2312" w:eastAsia="仿宋_GB2312" w:hAnsi="仿宋_GB2312" w:cs="仿宋_GB2312" w:hint="eastAsia"/>
          <w:sz w:val="32"/>
          <w:szCs w:val="32"/>
        </w:rPr>
        <w:t>垡</w:t>
      </w:r>
      <w:proofErr w:type="gramEnd"/>
      <w:r>
        <w:rPr>
          <w:rFonts w:ascii="仿宋_GB2312" w:eastAsia="仿宋_GB2312" w:hAnsi="仿宋_GB2312" w:cs="仿宋_GB2312" w:hint="eastAsia"/>
          <w:sz w:val="32"/>
          <w:szCs w:val="32"/>
        </w:rPr>
        <w:t>人民法庭、采</w:t>
      </w:r>
      <w:proofErr w:type="gramStart"/>
      <w:r>
        <w:rPr>
          <w:rFonts w:ascii="仿宋_GB2312" w:eastAsia="仿宋_GB2312" w:hAnsi="仿宋_GB2312" w:cs="仿宋_GB2312" w:hint="eastAsia"/>
          <w:sz w:val="32"/>
          <w:szCs w:val="32"/>
        </w:rPr>
        <w:t>育人民</w:t>
      </w:r>
      <w:proofErr w:type="gramEnd"/>
      <w:r>
        <w:rPr>
          <w:rFonts w:ascii="仿宋_GB2312" w:eastAsia="仿宋_GB2312" w:hAnsi="仿宋_GB2312" w:cs="仿宋_GB2312" w:hint="eastAsia"/>
          <w:sz w:val="32"/>
          <w:szCs w:val="32"/>
        </w:rPr>
        <w:t>法庭、开发区人民法庭、综合事务中心。</w:t>
      </w:r>
    </w:p>
    <w:p w14:paraId="403BCDB0" w14:textId="77777777" w:rsidR="00993813" w:rsidRDefault="00000000">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北京市</w:t>
      </w:r>
      <w:proofErr w:type="gramStart"/>
      <w:r>
        <w:rPr>
          <w:rFonts w:ascii="仿宋_GB2312" w:eastAsia="仿宋_GB2312" w:hAnsi="仿宋_GB2312" w:cs="仿宋_GB2312" w:hint="eastAsia"/>
          <w:sz w:val="32"/>
          <w:szCs w:val="32"/>
        </w:rPr>
        <w:t>大兴区</w:t>
      </w:r>
      <w:proofErr w:type="gramEnd"/>
      <w:r>
        <w:rPr>
          <w:rFonts w:ascii="仿宋_GB2312" w:eastAsia="仿宋_GB2312" w:hAnsi="仿宋_GB2312" w:cs="仿宋_GB2312" w:hint="eastAsia"/>
          <w:sz w:val="32"/>
          <w:szCs w:val="32"/>
        </w:rPr>
        <w:t>人民法院2023年编制人数290人，其中：行政268人、事业22人。年末实有在编人数274人，其中：行政255人、事业19人。</w:t>
      </w:r>
    </w:p>
    <w:p w14:paraId="514EB519"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2.职责工作任务</w:t>
      </w:r>
    </w:p>
    <w:p w14:paraId="538669F4"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北京市</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是国家审判机关，负责审理辖区内刑事、民商事和行政等一审案件，受理和审查各类告诉、申诉案件，处理来信来访，对其中确有错误的已发生法律效力的判决、裁定根据审判监督程序进行再审，依法执行已发生法律效力的判决、裁定以及国家行政机关依法申请执行的案件。主要职责工作任务如下：</w:t>
      </w:r>
    </w:p>
    <w:p w14:paraId="669BA8BA"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（1）立案庭（诉讼服务中心）主要职责：负责各类案件</w:t>
      </w:r>
      <w:r>
        <w:rPr>
          <w:rFonts w:ascii="仿宋" w:eastAsia="仿宋" w:hAnsi="仿宋" w:cs="仿宋" w:hint="eastAsia"/>
          <w:sz w:val="32"/>
          <w:szCs w:val="32"/>
        </w:rPr>
        <w:lastRenderedPageBreak/>
        <w:t>的登记立案；负责办理诉前保全的审查裁定；负责出具司法确认裁定、不予受理裁定；负责重大敏感案件的报送和请示；负责诉讼引导、诉讼咨询、案件查询、诉讼材料收转、查阅复印卷宗档案等各类申请受理；负责人工语音诉讼服务、网络诉讼服务和法官留言等平台的运行、维护；负责法律文书集约送达；负责电子卷宗随案同步生成工作管理；负责案件转移、调卷；负责委托司法鉴定、评估、拍卖；负责依法开展多元调解、</w:t>
      </w:r>
      <w:proofErr w:type="gramStart"/>
      <w:r>
        <w:rPr>
          <w:rFonts w:ascii="仿宋" w:eastAsia="仿宋" w:hAnsi="仿宋" w:cs="仿宋" w:hint="eastAsia"/>
          <w:sz w:val="32"/>
          <w:szCs w:val="32"/>
        </w:rPr>
        <w:t>立案速裁和</w:t>
      </w:r>
      <w:proofErr w:type="gramEnd"/>
      <w:r>
        <w:rPr>
          <w:rFonts w:ascii="仿宋" w:eastAsia="仿宋" w:hAnsi="仿宋" w:cs="仿宋" w:hint="eastAsia"/>
          <w:sz w:val="32"/>
          <w:szCs w:val="32"/>
        </w:rPr>
        <w:t>繁简分流；负责安排庭长值班等。</w:t>
      </w:r>
    </w:p>
    <w:p w14:paraId="7CA4E7C5"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（2）刑事审判庭主要职责：负责依法审理本院管辖的普通刑事案件和自诉刑事案件；负责刑事案件材料、赃证物的保管及归档；负责未成年罪犯帮教工作和预防未成年人犯罪法制教育工作等。</w:t>
      </w:r>
    </w:p>
    <w:p w14:paraId="5D5C689A"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（3）民事审判一庭主要职责：负责依法审理本院受理的除北京</w:t>
      </w:r>
      <w:proofErr w:type="gramStart"/>
      <w:r>
        <w:rPr>
          <w:rFonts w:ascii="仿宋" w:eastAsia="仿宋" w:hAnsi="仿宋" w:cs="仿宋" w:hint="eastAsia"/>
          <w:sz w:val="32"/>
          <w:szCs w:val="32"/>
        </w:rPr>
        <w:t>经济技术开发区及亦庄</w:t>
      </w:r>
      <w:proofErr w:type="gramEnd"/>
      <w:r>
        <w:rPr>
          <w:rFonts w:ascii="仿宋" w:eastAsia="仿宋" w:hAnsi="仿宋" w:cs="仿宋" w:hint="eastAsia"/>
          <w:sz w:val="32"/>
          <w:szCs w:val="32"/>
        </w:rPr>
        <w:t>镇辖区以外的房屋买卖合同纠纷（包括农村房屋买卖合同）、建设工程合同纠纷（包括农村建房施工合同纠纷）、房屋拆迁安置补偿合同纠纷、房地产开发经营合同纠纷、建设用地使用权合同纠纷、涉及商品房的拍卖合同纠纷、临时用地合同纠纷、确认合同效力纠纷、抵押权纠纷、招投标买卖合同纠纷、不动产登记纠纷、物权保护纠纷、建筑物区分所有权纠纷、建设用地使用权纠纷、财产保全损害责任纠纷、劳动争议纠纷、涉外涉港澳台民事案件、因其他法院回避指定管辖的案件、本庭发回重审案件等。</w:t>
      </w:r>
    </w:p>
    <w:p w14:paraId="3D25B57C"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（4）民事审判二庭主要职责：负责依法审理本院受理的</w:t>
      </w:r>
      <w:r>
        <w:rPr>
          <w:rFonts w:ascii="仿宋" w:eastAsia="仿宋" w:hAnsi="仿宋" w:cs="仿宋" w:hint="eastAsia"/>
          <w:sz w:val="32"/>
          <w:szCs w:val="32"/>
        </w:rPr>
        <w:lastRenderedPageBreak/>
        <w:t>买卖合同纠纷、公路运输合同纠纷、股权纠纷、合伙纠纷、承揽合同纠纷、保险合同纠纷、</w:t>
      </w:r>
      <w:proofErr w:type="gramStart"/>
      <w:r>
        <w:rPr>
          <w:rFonts w:ascii="仿宋" w:eastAsia="仿宋" w:hAnsi="仿宋" w:cs="仿宋" w:hint="eastAsia"/>
          <w:sz w:val="32"/>
          <w:szCs w:val="32"/>
        </w:rPr>
        <w:t>定作</w:t>
      </w:r>
      <w:proofErr w:type="gramEnd"/>
      <w:r>
        <w:rPr>
          <w:rFonts w:ascii="仿宋" w:eastAsia="仿宋" w:hAnsi="仿宋" w:cs="仿宋" w:hint="eastAsia"/>
          <w:sz w:val="32"/>
          <w:szCs w:val="32"/>
        </w:rPr>
        <w:t>合同纠纷、保证合同纠纷、委托合同纠纷、金融借款纠纷、银行卡类纠纷、农村土地承包合同纠纷、票据纠纷、公示催告等；负责审查、审理公司破产清算案件。</w:t>
      </w:r>
    </w:p>
    <w:p w14:paraId="6AB03235"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（5）行政审判庭主要职责：负责依法审理本院管辖的各类行政案件；负责审查非诉行政执行案件。</w:t>
      </w:r>
    </w:p>
    <w:p w14:paraId="04830522"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6）综合审判庭主要职责：负责依法审理本院管辖的为平衡各审判庭案件量从其他审判庭中分流出来的部分案件；负责依法审理本院管辖的申诉审查案件、审判监督案件、再审发回重审案件、国家赔偿案件、司法救助案件；负责办理检察建议，与区检察院协调沟通相关案件；负责涉诉信访接待和材料交转；负责督促解决本院出现和上级交办的涉诉信访案件；负责上报和移交信访终结案件；负责协调责任部门处理本院突发信访事件、排查矛盾纠纷、报送</w:t>
      </w:r>
      <w:proofErr w:type="gramStart"/>
      <w:r>
        <w:rPr>
          <w:rFonts w:ascii="仿宋" w:eastAsia="仿宋" w:hAnsi="仿宋" w:cs="仿宋" w:hint="eastAsia"/>
          <w:sz w:val="32"/>
          <w:szCs w:val="32"/>
        </w:rPr>
        <w:t>维稳信息</w:t>
      </w:r>
      <w:proofErr w:type="gramEnd"/>
      <w:r>
        <w:rPr>
          <w:rFonts w:ascii="仿宋" w:eastAsia="仿宋" w:hAnsi="仿宋" w:cs="仿宋" w:hint="eastAsia"/>
          <w:sz w:val="32"/>
          <w:szCs w:val="32"/>
        </w:rPr>
        <w:t>等安</w:t>
      </w:r>
      <w:proofErr w:type="gramStart"/>
      <w:r>
        <w:rPr>
          <w:rFonts w:ascii="仿宋" w:eastAsia="仿宋" w:hAnsi="仿宋" w:cs="仿宋" w:hint="eastAsia"/>
          <w:sz w:val="32"/>
          <w:szCs w:val="32"/>
        </w:rPr>
        <w:t>保维稳工作</w:t>
      </w:r>
      <w:proofErr w:type="gramEnd"/>
      <w:r>
        <w:rPr>
          <w:rFonts w:ascii="仿宋" w:eastAsia="仿宋" w:hAnsi="仿宋" w:cs="仿宋" w:hint="eastAsia"/>
          <w:sz w:val="32"/>
          <w:szCs w:val="32"/>
        </w:rPr>
        <w:t>；负责信访工作考核等。</w:t>
      </w:r>
    </w:p>
    <w:p w14:paraId="31688FB7"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（7）执行局主要职责：负责办理法律规定的由本院负责执行的生效法律文书、裁定的法律事项等。</w:t>
      </w:r>
    </w:p>
    <w:p w14:paraId="135E3953"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（8）审判管理办公室（研究室）主要职责：负责本院受理案件的流程管理、质量评查；负责监督检查审</w:t>
      </w:r>
      <w:proofErr w:type="gramStart"/>
      <w:r>
        <w:rPr>
          <w:rFonts w:ascii="仿宋" w:eastAsia="仿宋" w:hAnsi="仿宋" w:cs="仿宋" w:hint="eastAsia"/>
          <w:sz w:val="32"/>
          <w:szCs w:val="32"/>
        </w:rPr>
        <w:t>限执行</w:t>
      </w:r>
      <w:proofErr w:type="gramEnd"/>
      <w:r>
        <w:rPr>
          <w:rFonts w:ascii="仿宋" w:eastAsia="仿宋" w:hAnsi="仿宋" w:cs="仿宋" w:hint="eastAsia"/>
          <w:sz w:val="32"/>
          <w:szCs w:val="32"/>
        </w:rPr>
        <w:t>情况；负责审判运行态势分析；作为办事机构负责审判委员会日常事务；负责管理长期未结案件清理、重大敏感（案）事件；负责司法公开工作管理；负责审判管理制度规范化工作；负责优秀裁判文书评选；负责审判绩效管理；负责司法统计工</w:t>
      </w:r>
      <w:r>
        <w:rPr>
          <w:rFonts w:ascii="仿宋" w:eastAsia="仿宋" w:hAnsi="仿宋" w:cs="仿宋" w:hint="eastAsia"/>
          <w:sz w:val="32"/>
          <w:szCs w:val="32"/>
        </w:rPr>
        <w:lastRenderedPageBreak/>
        <w:t>作；负责组织、协调、指导本院调研活动和重点调研课题的实施；负责撰写综合材料，完成法院工作报告、全市法院院长会工作报告以及院领导相关会议讲话和其他各类文稿的起草；负责学术论文、案例、信息、调研报告、司法建议的组织工作，完成全国法院学术讨论会、年度和参阅案例、常规和专项信息、司法调研课题等学术研究重点工作的组织、编校和报送；负责年鉴、审判志的编纂工作，配合地方志办公室完成年鉴编辑整理以及《北京审判》大事要</w:t>
      </w:r>
      <w:proofErr w:type="gramStart"/>
      <w:r>
        <w:rPr>
          <w:rFonts w:ascii="仿宋" w:eastAsia="仿宋" w:hAnsi="仿宋" w:cs="仿宋" w:hint="eastAsia"/>
          <w:sz w:val="32"/>
          <w:szCs w:val="32"/>
        </w:rPr>
        <w:t>览</w:t>
      </w:r>
      <w:proofErr w:type="gramEnd"/>
      <w:r>
        <w:rPr>
          <w:rFonts w:ascii="仿宋" w:eastAsia="仿宋" w:hAnsi="仿宋" w:cs="仿宋" w:hint="eastAsia"/>
          <w:sz w:val="32"/>
          <w:szCs w:val="32"/>
        </w:rPr>
        <w:t>材料报送；负责院刊的编辑工作，完成组稿、统编和发放；负责图片新闻审核发布；负责报刊订阅和发放；负责图书室管理；负责筹办学术论坛、法官沙龙等文化建设工作等。</w:t>
      </w:r>
    </w:p>
    <w:p w14:paraId="20C9D077"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9）政治部（机关党委、机关纪委）主要职责：负责本院党的建设、队伍建设工作；负责党的纪律检查工作；负责司法改革相关工作；负责人员招录、人事档案管理、规章制度制定及执行、各类人事网络数据库的维护及统计报表、个人及部门考核及奖励、晋职晋级、人员工资及奖金分配、社会保险、职业年金、住房补贴、考勤和请销假、健康体检、人员事务审核、出入境管理、候选人资格审查等干部人事管理工作；负责组织参加上级单位举办的指令性培训、调训、视频培训、网络培训及考试；负责组织本院岗前教育培训、人员分类自主培训及考试；负责购买培训书籍；负责教育培训学时登记录入及考核；负责与院校开展合作共建交流，举办现场教学等；负责人才培养和管理工作；负责院党组会议记录、中心组学习记录；负责督办院党组会议决定事项；负</w:t>
      </w:r>
      <w:r>
        <w:rPr>
          <w:rFonts w:ascii="仿宋" w:eastAsia="仿宋" w:hAnsi="仿宋" w:cs="仿宋" w:hint="eastAsia"/>
          <w:sz w:val="32"/>
          <w:szCs w:val="32"/>
        </w:rPr>
        <w:lastRenderedPageBreak/>
        <w:t>责思想政治宣传教育、法治宣传、精神文明建设；负责基层党建工作；负责相关荣誉奖项申报、先进典型推树、表彰工作；负责新闻舆论工作；负责政工简报撰写、审核、发布；负责审</w:t>
      </w:r>
      <w:proofErr w:type="gramStart"/>
      <w:r>
        <w:rPr>
          <w:rFonts w:ascii="仿宋" w:eastAsia="仿宋" w:hAnsi="仿宋" w:cs="仿宋" w:hint="eastAsia"/>
          <w:sz w:val="32"/>
          <w:szCs w:val="32"/>
        </w:rPr>
        <w:t>务</w:t>
      </w:r>
      <w:proofErr w:type="gramEnd"/>
      <w:r>
        <w:rPr>
          <w:rFonts w:ascii="仿宋" w:eastAsia="仿宋" w:hAnsi="仿宋" w:cs="仿宋" w:hint="eastAsia"/>
          <w:sz w:val="32"/>
          <w:szCs w:val="32"/>
        </w:rPr>
        <w:t>督查、法官惩戒、廉政教育工作；负责工会工作；负责共青团工作；负责妇委会工作；负责离退休干部管理工作；负责配合辖区选举工作；负责完成组织部、政法委、机关工委、老干部局交办的工作等。</w:t>
      </w:r>
    </w:p>
    <w:p w14:paraId="794F1841"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10）综合办公室主要职责：负责本院行政事务工作，协助本院领导组织、协调、处理司法政务；负责督办院长办公会决定事项；负责财务、装备等事项管理；负责文书、档案管理；负责保密工作；负责区委通知收转；负责机要收发；负责技术保障；负责会务接待；负责机关内部安保，安排值班工作；负责联络人大代表，督办、办理人大代表、特邀监督员的批评建议以及政协委员的提案；负责人民陪审员日常管理工作；负责监督管理物业公司；负责民政局、红十字会、老龄委、武装部交办的工作等。</w:t>
      </w:r>
    </w:p>
    <w:p w14:paraId="6A626A33"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11）司法警察大队主要职责：负责司法警察警务工作；负责提押解送、警卫法庭；负责送达法律文书；负责机关内部安保、安全检查、应急处突、强制措施等工作，维护机关工作秩序；负责配合有关审判庭和执行局完成有关工作；负责车辆保障和交通安全工作等。</w:t>
      </w:r>
    </w:p>
    <w:p w14:paraId="5C9118A4" w14:textId="77777777" w:rsidR="00993813" w:rsidRDefault="00000000">
      <w:pPr>
        <w:spacing w:line="560" w:lineRule="exact"/>
        <w:ind w:firstLineChars="200" w:firstLine="640"/>
        <w:outlineLvl w:val="1"/>
        <w:rPr>
          <w:rFonts w:ascii="楷体_GB2312" w:eastAsia="楷体_GB2312"/>
          <w:sz w:val="32"/>
          <w:szCs w:val="32"/>
        </w:rPr>
      </w:pPr>
      <w:bookmarkStart w:id="2" w:name="_Toc4047"/>
      <w:r>
        <w:rPr>
          <w:rFonts w:ascii="楷体_GB2312" w:eastAsia="楷体_GB2312" w:hint="eastAsia"/>
          <w:sz w:val="32"/>
          <w:szCs w:val="32"/>
        </w:rPr>
        <w:t>（二）部门整体绩效目标设立情况</w:t>
      </w:r>
      <w:bookmarkEnd w:id="2"/>
    </w:p>
    <w:p w14:paraId="456B3DEB" w14:textId="77777777" w:rsidR="00993813" w:rsidRDefault="00000000">
      <w:pPr>
        <w:spacing w:line="560" w:lineRule="exact"/>
        <w:ind w:firstLineChars="200" w:firstLine="640"/>
        <w:rPr>
          <w:rFonts w:ascii="仿宋" w:eastAsia="仿宋" w:hAnsi="仿宋" w:cs="仿宋"/>
          <w:sz w:val="32"/>
          <w:szCs w:val="32"/>
        </w:rPr>
      </w:pP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人民法院2023年度部门整体绩效目标设置为：坚持以习近平新时代中国特色社会主义思想为指导，深入学</w:t>
      </w:r>
      <w:r>
        <w:rPr>
          <w:rFonts w:ascii="仿宋" w:eastAsia="仿宋" w:hAnsi="仿宋" w:cs="仿宋" w:hint="eastAsia"/>
          <w:sz w:val="32"/>
          <w:szCs w:val="32"/>
        </w:rPr>
        <w:lastRenderedPageBreak/>
        <w:t>习贯彻习近平法治思想，强化党建引领，依法忠诚履行审判职责，</w:t>
      </w:r>
      <w:proofErr w:type="gramStart"/>
      <w:r>
        <w:rPr>
          <w:rFonts w:ascii="仿宋" w:eastAsia="仿宋" w:hAnsi="仿宋" w:cs="仿宋" w:hint="eastAsia"/>
          <w:sz w:val="32"/>
          <w:szCs w:val="32"/>
        </w:rPr>
        <w:t>统筹抓好</w:t>
      </w:r>
      <w:proofErr w:type="gramEnd"/>
      <w:r>
        <w:rPr>
          <w:rFonts w:ascii="仿宋" w:eastAsia="仿宋" w:hAnsi="仿宋" w:cs="仿宋" w:hint="eastAsia"/>
          <w:sz w:val="32"/>
          <w:szCs w:val="32"/>
        </w:rPr>
        <w:t>疫情防控和执法办案工作，认真完成常态化扫黑除恶、优化营商法治环境、“八五”普法等重要任务，持续推进审判执行、司法改革、</w:t>
      </w:r>
      <w:proofErr w:type="gramStart"/>
      <w:r>
        <w:rPr>
          <w:rFonts w:ascii="仿宋" w:eastAsia="仿宋" w:hAnsi="仿宋" w:cs="仿宋" w:hint="eastAsia"/>
          <w:sz w:val="32"/>
          <w:szCs w:val="32"/>
        </w:rPr>
        <w:t>党建队建工</w:t>
      </w:r>
      <w:proofErr w:type="gramEnd"/>
      <w:r>
        <w:rPr>
          <w:rFonts w:ascii="仿宋" w:eastAsia="仿宋" w:hAnsi="仿宋" w:cs="仿宋" w:hint="eastAsia"/>
          <w:sz w:val="32"/>
          <w:szCs w:val="32"/>
        </w:rPr>
        <w:t>作，以高质量司法护航辖区高质量发展，为新时代首都发展和新大兴新国门建设提供更加优质高效的司法服务和保障。</w:t>
      </w:r>
    </w:p>
    <w:p w14:paraId="3E334141"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纪检监察产出质量指标：坚持管党治党讲规矩，层层压紧压实从严治党责任，巩固深化教育整顿成果，加强日常监督管理，持续推动防止干预司法“三个规定”等铁</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禁令落实到位，营造风清气正的良好政治生态。</w:t>
      </w:r>
      <w:r>
        <w:rPr>
          <w:rFonts w:ascii="仿宋" w:eastAsia="仿宋" w:hAnsi="仿宋" w:cs="仿宋" w:hint="eastAsia"/>
          <w:sz w:val="32"/>
          <w:szCs w:val="32"/>
        </w:rPr>
        <w:tab/>
      </w:r>
    </w:p>
    <w:p w14:paraId="4F5B2F22"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信息化系统建设和运维产出质量指标：落实网上立案、跨域立案要求，贯彻落实人民法院在线诉讼、在线调解和在线运行“三大规则”，推进庭审语音同步生成、电子卷宗随案同步生成，优化拓展电子送达运用，切实增强智慧法院效能，保障人民群众诉讼权利。</w:t>
      </w:r>
      <w:r>
        <w:rPr>
          <w:rFonts w:ascii="仿宋" w:eastAsia="仿宋" w:hAnsi="仿宋" w:cs="仿宋" w:hint="eastAsia"/>
          <w:sz w:val="32"/>
          <w:szCs w:val="32"/>
        </w:rPr>
        <w:tab/>
      </w:r>
    </w:p>
    <w:p w14:paraId="782C00FE"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案件执行产出质量指标：强化与公安、住建、金融等部门在查人找物、财产处置等方面的协作配合，</w:t>
      </w:r>
      <w:proofErr w:type="gramStart"/>
      <w:r>
        <w:rPr>
          <w:rFonts w:ascii="仿宋" w:eastAsia="仿宋" w:hAnsi="仿宋" w:cs="仿宋" w:hint="eastAsia"/>
          <w:sz w:val="32"/>
          <w:szCs w:val="32"/>
        </w:rPr>
        <w:t>完善线</w:t>
      </w:r>
      <w:proofErr w:type="gramEnd"/>
      <w:r>
        <w:rPr>
          <w:rFonts w:ascii="仿宋" w:eastAsia="仿宋" w:hAnsi="仿宋" w:cs="仿宋" w:hint="eastAsia"/>
          <w:sz w:val="32"/>
          <w:szCs w:val="32"/>
        </w:rPr>
        <w:t>上线下财产查控手段与联合信用惩戒机制，提升终结本次执行及案款发放等工作的规范化水平，朝着切实解决执行</w:t>
      </w:r>
      <w:proofErr w:type="gramStart"/>
      <w:r>
        <w:rPr>
          <w:rFonts w:ascii="仿宋" w:eastAsia="仿宋" w:hAnsi="仿宋" w:cs="仿宋" w:hint="eastAsia"/>
          <w:sz w:val="32"/>
          <w:szCs w:val="32"/>
        </w:rPr>
        <w:t>难目标</w:t>
      </w:r>
      <w:proofErr w:type="gramEnd"/>
      <w:r>
        <w:rPr>
          <w:rFonts w:ascii="仿宋" w:eastAsia="仿宋" w:hAnsi="仿宋" w:cs="仿宋" w:hint="eastAsia"/>
          <w:sz w:val="32"/>
          <w:szCs w:val="32"/>
        </w:rPr>
        <w:t>迈进。</w:t>
      </w:r>
    </w:p>
    <w:p w14:paraId="4B2F01B7"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案件审判产出质量指标：1.站稳人民立场，全面准确贯彻实施民法典及相关司法解释，妥善审理教育、就业、医疗、婚姻家庭等涉民生案件，加强涉</w:t>
      </w:r>
      <w:proofErr w:type="gramStart"/>
      <w:r>
        <w:rPr>
          <w:rFonts w:ascii="仿宋" w:eastAsia="仿宋" w:hAnsi="仿宋" w:cs="仿宋" w:hint="eastAsia"/>
          <w:sz w:val="32"/>
          <w:szCs w:val="32"/>
        </w:rPr>
        <w:t>疫</w:t>
      </w:r>
      <w:proofErr w:type="gramEnd"/>
      <w:r>
        <w:rPr>
          <w:rFonts w:ascii="仿宋" w:eastAsia="仿宋" w:hAnsi="仿宋" w:cs="仿宋" w:hint="eastAsia"/>
          <w:sz w:val="32"/>
          <w:szCs w:val="32"/>
        </w:rPr>
        <w:t>、金融、“双减”等重点领域风险防范，持续做好“六稳”“六保”保障工作，切实加强民生司法保障。2.建立“1+6法治同行”工作机制，以</w:t>
      </w:r>
      <w:r>
        <w:rPr>
          <w:rFonts w:ascii="仿宋" w:eastAsia="仿宋" w:hAnsi="仿宋" w:cs="仿宋" w:hint="eastAsia"/>
          <w:sz w:val="32"/>
          <w:szCs w:val="32"/>
        </w:rPr>
        <w:lastRenderedPageBreak/>
        <w:t>“一镇街</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支部”党建共建为引领，以在“一哨点、</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法官、</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订单、</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课堂、一活动、</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报告”六项举措为抓手，多维度、深层次融入基层社会治理，促进矛盾纠纷源头防范化解。3.加强法官会议、院庭长监督管理与审委会的有序衔接。深入推进随机分案，加强案件合议工作，压实院庭长监督职责，主动接受外部监督，推动司法责任制落实到位。4.从严推进常态化扫黑除恶，严禁黄赌毒、食药环、盗抢骗等犯罪，扎实推进集中治理涉诉重复信访、化解信访积案专项行动，认真开展打击整治养老诈骗专项行动，服务保障平安大兴、法治大兴建设。5.完善一站式多元解纷和诉讼服务体系，落实民事诉讼繁简分流举措，畅通调解、</w:t>
      </w:r>
      <w:proofErr w:type="gramStart"/>
      <w:r>
        <w:rPr>
          <w:rFonts w:ascii="仿宋" w:eastAsia="仿宋" w:hAnsi="仿宋" w:cs="仿宋" w:hint="eastAsia"/>
          <w:sz w:val="32"/>
          <w:szCs w:val="32"/>
        </w:rPr>
        <w:t>速裁和</w:t>
      </w:r>
      <w:proofErr w:type="gramEnd"/>
      <w:r>
        <w:rPr>
          <w:rFonts w:ascii="仿宋" w:eastAsia="仿宋" w:hAnsi="仿宋" w:cs="仿宋" w:hint="eastAsia"/>
          <w:sz w:val="32"/>
          <w:szCs w:val="32"/>
        </w:rPr>
        <w:t>精审衔接流转机制，</w:t>
      </w:r>
      <w:proofErr w:type="gramStart"/>
      <w:r>
        <w:rPr>
          <w:rFonts w:ascii="仿宋" w:eastAsia="仿宋" w:hAnsi="仿宋" w:cs="仿宋" w:hint="eastAsia"/>
          <w:sz w:val="32"/>
          <w:szCs w:val="32"/>
        </w:rPr>
        <w:t>完善接</w:t>
      </w:r>
      <w:proofErr w:type="gramEnd"/>
      <w:r>
        <w:rPr>
          <w:rFonts w:ascii="仿宋" w:eastAsia="仿宋" w:hAnsi="仿宋" w:cs="仿宋" w:hint="eastAsia"/>
          <w:sz w:val="32"/>
          <w:szCs w:val="32"/>
        </w:rPr>
        <w:t>诉即答、接单即办联系法官便民服务机制，升级12368诉讼服务热线，提供更加便捷高效的诉讼服务。</w:t>
      </w:r>
    </w:p>
    <w:p w14:paraId="6561A39E" w14:textId="77777777" w:rsidR="00993813" w:rsidRDefault="00000000">
      <w:pPr>
        <w:spacing w:line="560" w:lineRule="exact"/>
        <w:ind w:firstLineChars="200" w:firstLine="640"/>
        <w:rPr>
          <w:rFonts w:ascii="仿宋" w:eastAsia="仿宋" w:hAnsi="仿宋" w:cs="仿宋"/>
          <w:sz w:val="32"/>
          <w:szCs w:val="32"/>
        </w:rPr>
      </w:pP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人民法院按照国家相关法律、法规和规章制度，国民经济和社会发展规划，北京市和</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相关法规、规章制度，单位职能、中长期发展规划、年度工作计划或项目规划以及北京市财政局预算绩效管理要求等，编报了</w:t>
      </w:r>
      <w:bookmarkStart w:id="3" w:name="_Hlk128660131"/>
      <w:r>
        <w:rPr>
          <w:rFonts w:ascii="仿宋" w:eastAsia="仿宋" w:hAnsi="仿宋" w:cs="仿宋" w:hint="eastAsia"/>
          <w:sz w:val="32"/>
          <w:szCs w:val="32"/>
        </w:rPr>
        <w:t>部门整体绩效目标</w:t>
      </w:r>
      <w:bookmarkEnd w:id="3"/>
      <w:r>
        <w:rPr>
          <w:rFonts w:ascii="仿宋" w:eastAsia="仿宋" w:hAnsi="仿宋" w:cs="仿宋" w:hint="eastAsia"/>
          <w:sz w:val="32"/>
          <w:szCs w:val="32"/>
        </w:rPr>
        <w:t>，设置了绩效指标，并对具体工作任务进行明确。绩效目标符合国家、主管部门的相关文件精神，符合社会及行业的现实需求，与</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人民法院职责任务匹配、定位相符。但</w:t>
      </w:r>
      <w:bookmarkStart w:id="4" w:name="_Hlk135149230"/>
      <w:r>
        <w:rPr>
          <w:rFonts w:ascii="仿宋" w:eastAsia="仿宋" w:hAnsi="仿宋" w:cs="仿宋" w:hint="eastAsia"/>
          <w:sz w:val="32"/>
          <w:szCs w:val="32"/>
        </w:rPr>
        <w:t>绩效指标设置量化程度、可</w:t>
      </w:r>
      <w:proofErr w:type="gramStart"/>
      <w:r>
        <w:rPr>
          <w:rFonts w:ascii="仿宋" w:eastAsia="仿宋" w:hAnsi="仿宋" w:cs="仿宋" w:hint="eastAsia"/>
          <w:sz w:val="32"/>
          <w:szCs w:val="32"/>
        </w:rPr>
        <w:t>考量</w:t>
      </w:r>
      <w:proofErr w:type="gramEnd"/>
      <w:r>
        <w:rPr>
          <w:rFonts w:ascii="仿宋" w:eastAsia="仿宋" w:hAnsi="仿宋" w:cs="仿宋" w:hint="eastAsia"/>
          <w:sz w:val="32"/>
          <w:szCs w:val="32"/>
        </w:rPr>
        <w:t>性不足。</w:t>
      </w:r>
    </w:p>
    <w:p w14:paraId="6DCED1F1" w14:textId="77777777" w:rsidR="00993813" w:rsidRDefault="00000000">
      <w:pPr>
        <w:numPr>
          <w:ilvl w:val="0"/>
          <w:numId w:val="1"/>
        </w:numPr>
        <w:spacing w:line="560" w:lineRule="exact"/>
        <w:ind w:firstLineChars="200" w:firstLine="640"/>
        <w:outlineLvl w:val="0"/>
        <w:rPr>
          <w:rFonts w:ascii="黑体" w:eastAsia="黑体" w:hAnsi="黑体" w:cs="宋体"/>
          <w:color w:val="000000"/>
          <w:kern w:val="0"/>
          <w:sz w:val="32"/>
          <w:szCs w:val="32"/>
        </w:rPr>
      </w:pPr>
      <w:bookmarkStart w:id="5" w:name="_Toc4946"/>
      <w:bookmarkEnd w:id="4"/>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bookmarkEnd w:id="5"/>
    </w:p>
    <w:p w14:paraId="3258F9D2"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2023年支出全年预算数</w:t>
      </w:r>
      <w:r>
        <w:rPr>
          <w:rFonts w:ascii="仿宋" w:eastAsia="仿宋" w:hAnsi="仿宋" w:cs="仿宋"/>
          <w:sz w:val="32"/>
          <w:szCs w:val="32"/>
        </w:rPr>
        <w:t>27,086.29</w:t>
      </w:r>
      <w:r>
        <w:rPr>
          <w:rFonts w:ascii="仿宋" w:eastAsia="仿宋" w:hAnsi="仿宋" w:cs="仿宋" w:hint="eastAsia"/>
          <w:sz w:val="32"/>
          <w:szCs w:val="32"/>
        </w:rPr>
        <w:t>万元，其中，基本经费支出预算数</w:t>
      </w:r>
      <w:r>
        <w:rPr>
          <w:rFonts w:ascii="仿宋" w:eastAsia="仿宋" w:hAnsi="仿宋" w:cs="仿宋"/>
          <w:sz w:val="32"/>
          <w:szCs w:val="32"/>
        </w:rPr>
        <w:t>16,584.44</w:t>
      </w:r>
      <w:r>
        <w:rPr>
          <w:rFonts w:ascii="仿宋" w:eastAsia="仿宋" w:hAnsi="仿宋" w:cs="仿宋" w:hint="eastAsia"/>
          <w:sz w:val="32"/>
          <w:szCs w:val="32"/>
        </w:rPr>
        <w:t>万元，项目经费支出预算数</w:t>
      </w:r>
      <w:r>
        <w:rPr>
          <w:rFonts w:ascii="仿宋" w:eastAsia="仿宋" w:hAnsi="仿宋" w:cs="仿宋"/>
          <w:sz w:val="32"/>
          <w:szCs w:val="32"/>
        </w:rPr>
        <w:lastRenderedPageBreak/>
        <w:t>10,501.84</w:t>
      </w:r>
      <w:r>
        <w:rPr>
          <w:rFonts w:ascii="仿宋" w:eastAsia="仿宋" w:hAnsi="仿宋" w:cs="仿宋" w:hint="eastAsia"/>
          <w:sz w:val="32"/>
          <w:szCs w:val="32"/>
        </w:rPr>
        <w:t>万元。资金总体支出</w:t>
      </w:r>
      <w:r>
        <w:rPr>
          <w:rFonts w:ascii="仿宋" w:eastAsia="仿宋" w:hAnsi="仿宋" w:cs="仿宋"/>
          <w:sz w:val="32"/>
          <w:szCs w:val="32"/>
        </w:rPr>
        <w:t>24,661.74</w:t>
      </w:r>
      <w:r>
        <w:rPr>
          <w:rFonts w:ascii="仿宋" w:eastAsia="仿宋" w:hAnsi="仿宋" w:cs="仿宋" w:hint="eastAsia"/>
          <w:sz w:val="32"/>
          <w:szCs w:val="32"/>
        </w:rPr>
        <w:t>万元，其中，基本支出</w:t>
      </w:r>
      <w:r>
        <w:rPr>
          <w:rFonts w:ascii="仿宋" w:eastAsia="仿宋" w:hAnsi="仿宋" w:cs="仿宋"/>
          <w:sz w:val="32"/>
          <w:szCs w:val="32"/>
        </w:rPr>
        <w:t>16,258.53</w:t>
      </w:r>
      <w:r>
        <w:rPr>
          <w:rFonts w:ascii="仿宋" w:eastAsia="仿宋" w:hAnsi="仿宋" w:cs="仿宋" w:hint="eastAsia"/>
          <w:sz w:val="32"/>
          <w:szCs w:val="32"/>
        </w:rPr>
        <w:t>万元，项目支出</w:t>
      </w:r>
      <w:r>
        <w:rPr>
          <w:rFonts w:ascii="仿宋" w:eastAsia="仿宋" w:hAnsi="仿宋" w:cs="仿宋"/>
          <w:sz w:val="32"/>
          <w:szCs w:val="32"/>
        </w:rPr>
        <w:t>8,403.22</w:t>
      </w:r>
      <w:r>
        <w:rPr>
          <w:rFonts w:ascii="仿宋" w:eastAsia="仿宋" w:hAnsi="仿宋" w:cs="仿宋" w:hint="eastAsia"/>
          <w:sz w:val="32"/>
          <w:szCs w:val="32"/>
        </w:rPr>
        <w:t>万元，预算执行率</w:t>
      </w:r>
      <w:r>
        <w:rPr>
          <w:rFonts w:ascii="仿宋" w:eastAsia="仿宋" w:hAnsi="仿宋" w:cs="仿宋"/>
          <w:sz w:val="32"/>
          <w:szCs w:val="32"/>
        </w:rPr>
        <w:t>91.05%</w:t>
      </w:r>
      <w:r>
        <w:rPr>
          <w:rFonts w:ascii="仿宋" w:eastAsia="仿宋" w:hAnsi="仿宋" w:cs="仿宋" w:hint="eastAsia"/>
          <w:sz w:val="32"/>
          <w:szCs w:val="32"/>
        </w:rPr>
        <w:t>。</w:t>
      </w:r>
    </w:p>
    <w:p w14:paraId="1A74BD17" w14:textId="77777777" w:rsidR="00993813" w:rsidRDefault="00000000">
      <w:pPr>
        <w:spacing w:line="560" w:lineRule="exact"/>
        <w:ind w:firstLineChars="200" w:firstLine="640"/>
        <w:outlineLvl w:val="0"/>
        <w:rPr>
          <w:rFonts w:ascii="黑体" w:eastAsia="黑体" w:hAnsi="黑体" w:cs="宋体"/>
          <w:color w:val="000000"/>
          <w:kern w:val="0"/>
          <w:sz w:val="32"/>
          <w:szCs w:val="32"/>
        </w:rPr>
      </w:pPr>
      <w:bookmarkStart w:id="6" w:name="_Toc23303"/>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bookmarkEnd w:id="6"/>
    </w:p>
    <w:p w14:paraId="0B86DFFE"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2023年，</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人民法院严格按照北京市财政局相关工作安排，对2023年度部门整体及项目支出进行了绩效评价，部门决策流程明确，申报程序合</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；预算资金分配与部门绩效目标一致，分配结果合理，部门整体的成本费用控制在预算范围内，完成情况较好；相关项目自评均实现了项目绩效目标。具体分析如下：</w:t>
      </w:r>
    </w:p>
    <w:p w14:paraId="504BD56F" w14:textId="77777777" w:rsidR="00993813" w:rsidRDefault="00000000">
      <w:pPr>
        <w:spacing w:line="560" w:lineRule="exact"/>
        <w:ind w:firstLineChars="200" w:firstLine="640"/>
        <w:outlineLvl w:val="1"/>
        <w:rPr>
          <w:rFonts w:ascii="楷体" w:eastAsia="楷体" w:hAnsi="楷体"/>
          <w:sz w:val="32"/>
          <w:szCs w:val="32"/>
        </w:rPr>
      </w:pPr>
      <w:bookmarkStart w:id="7" w:name="_Toc16031"/>
      <w:r>
        <w:rPr>
          <w:rFonts w:ascii="楷体" w:eastAsia="楷体" w:hAnsi="楷体" w:hint="eastAsia"/>
          <w:sz w:val="32"/>
          <w:szCs w:val="32"/>
        </w:rPr>
        <w:t>（一）产</w:t>
      </w:r>
      <w:r>
        <w:rPr>
          <w:rFonts w:ascii="楷体" w:eastAsia="楷体" w:hAnsi="楷体" w:cs="微软雅黑" w:hint="eastAsia"/>
          <w:sz w:val="32"/>
          <w:szCs w:val="32"/>
        </w:rPr>
        <w:t>出完成</w:t>
      </w:r>
      <w:r>
        <w:rPr>
          <w:rFonts w:ascii="楷体" w:eastAsia="楷体" w:hAnsi="楷体" w:cs="___WRD_EMBED_SUB_44" w:hint="eastAsia"/>
          <w:sz w:val="32"/>
          <w:szCs w:val="32"/>
        </w:rPr>
        <w:t>情况分析</w:t>
      </w:r>
      <w:bookmarkEnd w:id="7"/>
    </w:p>
    <w:p w14:paraId="0847EC14"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sz w:val="32"/>
          <w:szCs w:val="32"/>
        </w:rPr>
        <w:t>.</w:t>
      </w:r>
      <w:r>
        <w:rPr>
          <w:rFonts w:ascii="仿宋" w:eastAsia="仿宋" w:hAnsi="仿宋" w:cs="仿宋" w:hint="eastAsia"/>
          <w:sz w:val="32"/>
          <w:szCs w:val="32"/>
        </w:rPr>
        <w:t>产出数量</w:t>
      </w:r>
    </w:p>
    <w:p w14:paraId="4A386C32"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人民法院2023年新收各类案件54991件，审结55912件（</w:t>
      </w:r>
      <w:proofErr w:type="gramStart"/>
      <w:r>
        <w:rPr>
          <w:rFonts w:ascii="仿宋" w:eastAsia="仿宋" w:hAnsi="仿宋" w:cs="仿宋" w:hint="eastAsia"/>
          <w:sz w:val="32"/>
          <w:szCs w:val="32"/>
        </w:rPr>
        <w:t>含旧存案</w:t>
      </w:r>
      <w:proofErr w:type="gramEnd"/>
      <w:r>
        <w:rPr>
          <w:rFonts w:ascii="仿宋" w:eastAsia="仿宋" w:hAnsi="仿宋" w:cs="仿宋" w:hint="eastAsia"/>
          <w:sz w:val="32"/>
          <w:szCs w:val="32"/>
        </w:rPr>
        <w:t>件），法官人均结案554件，平均办案工作量居全市首位。</w:t>
      </w:r>
    </w:p>
    <w:p w14:paraId="719B8517"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新收刑事案件1407件，审结1444件，判处罪犯1475人。常态化推进扫黑除恶，依法审理陈某等5人恶势力团伙犯罪案件。审结故意伤害、抢劫等暴力犯罪和诈骗、敲诈勒索等侵犯财产犯罪案件661件，审结寻衅滋事、妨害公务等扰乱社会管理秩序的犯罪案件140件，审结危害食品药品安全案件13件、危险驾驶案件252件、侵犯公民个人信息案件45件。</w:t>
      </w:r>
    </w:p>
    <w:p w14:paraId="764DB5C5"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（3）交付执行24名因疫情原因未收押的罪犯，严厉打击集资诈骗、非法吸收公众存款等犯罪行为，审结57起相关</w:t>
      </w:r>
      <w:r>
        <w:rPr>
          <w:rFonts w:ascii="仿宋" w:eastAsia="仿宋" w:hAnsi="仿宋" w:cs="仿宋" w:hint="eastAsia"/>
          <w:sz w:val="32"/>
          <w:szCs w:val="32"/>
        </w:rPr>
        <w:lastRenderedPageBreak/>
        <w:t>案件，判处罪犯93人，涉案金额超13亿元。</w:t>
      </w:r>
    </w:p>
    <w:p w14:paraId="1E432E7F"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（4）新收涉未成年人刑事案件40件，审结36件。依法严惩虐待、拐卖、</w:t>
      </w:r>
      <w:proofErr w:type="gramStart"/>
      <w:r>
        <w:rPr>
          <w:rFonts w:ascii="仿宋" w:eastAsia="仿宋" w:hAnsi="仿宋" w:cs="仿宋" w:hint="eastAsia"/>
          <w:sz w:val="32"/>
          <w:szCs w:val="32"/>
        </w:rPr>
        <w:t>性侵未成年人</w:t>
      </w:r>
      <w:proofErr w:type="gramEnd"/>
      <w:r>
        <w:rPr>
          <w:rFonts w:ascii="仿宋" w:eastAsia="仿宋" w:hAnsi="仿宋" w:cs="仿宋" w:hint="eastAsia"/>
          <w:sz w:val="32"/>
          <w:szCs w:val="32"/>
        </w:rPr>
        <w:t>的犯罪行为。引入专业社工力</w:t>
      </w:r>
      <w:proofErr w:type="gramStart"/>
      <w:r>
        <w:rPr>
          <w:rFonts w:ascii="仿宋" w:eastAsia="仿宋" w:hAnsi="仿宋" w:cs="仿宋" w:hint="eastAsia"/>
          <w:sz w:val="32"/>
          <w:szCs w:val="32"/>
        </w:rPr>
        <w:t>量参与</w:t>
      </w:r>
      <w:proofErr w:type="gramEnd"/>
      <w:r>
        <w:rPr>
          <w:rFonts w:ascii="仿宋" w:eastAsia="仿宋" w:hAnsi="仿宋" w:cs="仿宋" w:hint="eastAsia"/>
          <w:sz w:val="32"/>
          <w:szCs w:val="32"/>
        </w:rPr>
        <w:t>法庭调查、判后回访，对9名未成年被告人适用非监禁刑，开展校园普法活动42场。</w:t>
      </w:r>
    </w:p>
    <w:p w14:paraId="125B6F38"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（5）新收商事案件4979件，审结4995件。加强繁简分流，商事案件平均审理天数69.6天，低于全市平均值38.4%。</w:t>
      </w:r>
    </w:p>
    <w:p w14:paraId="58C669D8"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（6）新收行政案件798件，审结792件，审查行政非诉执行案件229件。积极推动行政机关负责人出庭应诉，分管副区长及相关部门负责人出庭应诉52人次，促进行政争议实质性化解。</w:t>
      </w:r>
      <w:proofErr w:type="gramStart"/>
      <w:r>
        <w:rPr>
          <w:rFonts w:ascii="仿宋" w:eastAsia="仿宋" w:hAnsi="仿宋" w:cs="仿宋" w:hint="eastAsia"/>
          <w:sz w:val="32"/>
          <w:szCs w:val="32"/>
        </w:rPr>
        <w:t>赴行政</w:t>
      </w:r>
      <w:proofErr w:type="gramEnd"/>
      <w:r>
        <w:rPr>
          <w:rFonts w:ascii="仿宋" w:eastAsia="仿宋" w:hAnsi="仿宋" w:cs="仿宋" w:hint="eastAsia"/>
          <w:sz w:val="32"/>
          <w:szCs w:val="32"/>
        </w:rPr>
        <w:t>机关开展法律适用座谈、依法行政培训等活动19次，邀请行政执法人员旁听公开庭审9场。</w:t>
      </w:r>
    </w:p>
    <w:p w14:paraId="4ED76DA4"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7）开展党建共建活动142次，参加法律论证会55场，响应法律需求37件，为村规民约、自治规范、行业惯例提供法律意见40余份，助力打造“无讼社区”“无讼乡村”。在全区积极建设38个“普法驿站”“兴法治共建基地”，开展“京法巡回讲堂”150余场，召开新闻通报会7场。</w:t>
      </w:r>
    </w:p>
    <w:p w14:paraId="3996152E"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（8）新收民事案件27318件，审结28127件。审结劳动人事争议案件2591件，审结教育培训合同案件1609件，审结婚姻家庭、析产继承案件2466件。</w:t>
      </w:r>
    </w:p>
    <w:p w14:paraId="4DB74F11"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（9）新收执</w:t>
      </w:r>
      <w:proofErr w:type="gramStart"/>
      <w:r>
        <w:rPr>
          <w:rFonts w:ascii="仿宋" w:eastAsia="仿宋" w:hAnsi="仿宋" w:cs="仿宋" w:hint="eastAsia"/>
          <w:sz w:val="32"/>
          <w:szCs w:val="32"/>
        </w:rPr>
        <w:t>行案件</w:t>
      </w:r>
      <w:proofErr w:type="gramEnd"/>
      <w:r>
        <w:rPr>
          <w:rFonts w:ascii="仿宋" w:eastAsia="仿宋" w:hAnsi="仿宋" w:cs="仿宋" w:hint="eastAsia"/>
          <w:sz w:val="32"/>
          <w:szCs w:val="32"/>
        </w:rPr>
        <w:t>20489件，办结20554件，执行到位金额31.7亿元。增强失信惩戒，限制出境35人，发布失信被执行人217例，对9682人限制高消费及有关消费，依法对拒不履行生效判决的某出租车公司罚款100万元，促成23</w:t>
      </w:r>
      <w:r>
        <w:rPr>
          <w:rFonts w:ascii="仿宋" w:eastAsia="仿宋" w:hAnsi="仿宋" w:cs="仿宋" w:hint="eastAsia"/>
          <w:sz w:val="32"/>
          <w:szCs w:val="32"/>
        </w:rPr>
        <w:lastRenderedPageBreak/>
        <w:t>起关联案件执结。</w:t>
      </w:r>
      <w:proofErr w:type="gramStart"/>
      <w:r>
        <w:rPr>
          <w:rFonts w:ascii="仿宋" w:eastAsia="仿宋" w:hAnsi="仿宋" w:cs="仿宋" w:hint="eastAsia"/>
          <w:sz w:val="32"/>
          <w:szCs w:val="32"/>
        </w:rPr>
        <w:t>发还案</w:t>
      </w:r>
      <w:proofErr w:type="gramEnd"/>
      <w:r>
        <w:rPr>
          <w:rFonts w:ascii="仿宋" w:eastAsia="仿宋" w:hAnsi="仿宋" w:cs="仿宋" w:hint="eastAsia"/>
          <w:sz w:val="32"/>
          <w:szCs w:val="32"/>
        </w:rPr>
        <w:t>款22.7亿元，网上拍卖标的物1118件，成交金额4.1亿元，为当事人减免佣金1300万元。</w:t>
      </w:r>
    </w:p>
    <w:p w14:paraId="0C61125A"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sz w:val="32"/>
          <w:szCs w:val="32"/>
        </w:rPr>
        <w:t>0</w:t>
      </w:r>
      <w:r>
        <w:rPr>
          <w:rFonts w:ascii="仿宋" w:eastAsia="仿宋" w:hAnsi="仿宋" w:cs="仿宋" w:hint="eastAsia"/>
          <w:sz w:val="32"/>
          <w:szCs w:val="32"/>
        </w:rPr>
        <w:t>）加大对12368诉讼服务热线办理情况的监督力度，接听来电咨询9.5万通，处理联系</w:t>
      </w:r>
      <w:proofErr w:type="gramStart"/>
      <w:r>
        <w:rPr>
          <w:rFonts w:ascii="仿宋" w:eastAsia="仿宋" w:hAnsi="仿宋" w:cs="仿宋" w:hint="eastAsia"/>
          <w:sz w:val="32"/>
          <w:szCs w:val="32"/>
        </w:rPr>
        <w:t>法官工</w:t>
      </w:r>
      <w:proofErr w:type="gramEnd"/>
      <w:r>
        <w:rPr>
          <w:rFonts w:ascii="仿宋" w:eastAsia="仿宋" w:hAnsi="仿宋" w:cs="仿宋" w:hint="eastAsia"/>
          <w:sz w:val="32"/>
          <w:szCs w:val="32"/>
        </w:rPr>
        <w:t>单2.9万件，均按时办结。</w:t>
      </w:r>
    </w:p>
    <w:p w14:paraId="0309ABA4"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sz w:val="32"/>
          <w:szCs w:val="32"/>
        </w:rPr>
        <w:t>1</w:t>
      </w:r>
      <w:r>
        <w:rPr>
          <w:rFonts w:ascii="仿宋" w:eastAsia="仿宋" w:hAnsi="仿宋" w:cs="仿宋" w:hint="eastAsia"/>
          <w:sz w:val="32"/>
          <w:szCs w:val="32"/>
        </w:rPr>
        <w:t>）坚持把非诉讼纠纷解决机制挺在前面，调解成功6957件，司法确认调解协议1951件。切实发挥观音寺街道全市首家社区“微法庭”作用，在“家门口”成功化解42起供暖纠纷，保障群众安居乐居。</w:t>
      </w:r>
    </w:p>
    <w:p w14:paraId="250A54BF"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（12）</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 xml:space="preserve">人民法院2023年共有18个项目，实际完成18个项目。计划完成率=（实际完成工作数/计划工作数）×100%= </w:t>
      </w:r>
      <w:r>
        <w:rPr>
          <w:rFonts w:ascii="仿宋" w:eastAsia="仿宋" w:hAnsi="仿宋" w:cs="仿宋"/>
          <w:sz w:val="32"/>
          <w:szCs w:val="32"/>
        </w:rPr>
        <w:t>100</w:t>
      </w:r>
      <w:r>
        <w:rPr>
          <w:rFonts w:ascii="仿宋" w:eastAsia="仿宋" w:hAnsi="仿宋" w:cs="仿宋" w:hint="eastAsia"/>
          <w:sz w:val="32"/>
          <w:szCs w:val="32"/>
        </w:rPr>
        <w:t>.</w:t>
      </w:r>
      <w:r>
        <w:rPr>
          <w:rFonts w:ascii="仿宋" w:eastAsia="仿宋" w:hAnsi="仿宋" w:cs="仿宋"/>
          <w:sz w:val="32"/>
          <w:szCs w:val="32"/>
        </w:rPr>
        <w:t>00</w:t>
      </w:r>
      <w:r>
        <w:rPr>
          <w:rFonts w:ascii="仿宋" w:eastAsia="仿宋" w:hAnsi="仿宋" w:cs="仿宋" w:hint="eastAsia"/>
          <w:sz w:val="32"/>
          <w:szCs w:val="32"/>
        </w:rPr>
        <w:t>%。</w:t>
      </w:r>
    </w:p>
    <w:p w14:paraId="1861F6A3"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sz w:val="32"/>
          <w:szCs w:val="32"/>
        </w:rPr>
        <w:t>.</w:t>
      </w:r>
      <w:r>
        <w:rPr>
          <w:rFonts w:ascii="仿宋" w:eastAsia="仿宋" w:hAnsi="仿宋" w:cs="仿宋" w:hint="eastAsia"/>
          <w:sz w:val="32"/>
          <w:szCs w:val="32"/>
        </w:rPr>
        <w:t>产出质量</w:t>
      </w:r>
    </w:p>
    <w:p w14:paraId="013F8E21"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人民法院2023年基本经费支出保障了机关正常运转和日常工作任务的完成；各项</w:t>
      </w:r>
      <w:proofErr w:type="gramStart"/>
      <w:r>
        <w:rPr>
          <w:rFonts w:ascii="仿宋" w:eastAsia="仿宋" w:hAnsi="仿宋" w:cs="仿宋" w:hint="eastAsia"/>
          <w:sz w:val="32"/>
          <w:szCs w:val="32"/>
        </w:rPr>
        <w:t>目根据</w:t>
      </w:r>
      <w:proofErr w:type="gramEnd"/>
      <w:r>
        <w:rPr>
          <w:rFonts w:ascii="仿宋" w:eastAsia="仿宋" w:hAnsi="仿宋" w:cs="仿宋" w:hint="eastAsia"/>
          <w:sz w:val="32"/>
          <w:szCs w:val="32"/>
        </w:rPr>
        <w:t>项目管理办法均有效完成，基本达到了设定的绩效目标质量标准。</w:t>
      </w:r>
    </w:p>
    <w:p w14:paraId="7E3C4354"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人民法院2023年实际完成18个项目，18个项目质量全部达标。质量达标率=质量达标工作数/实际完成工作数×100%=100%。</w:t>
      </w:r>
    </w:p>
    <w:p w14:paraId="68EFE852"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sz w:val="32"/>
          <w:szCs w:val="32"/>
        </w:rPr>
        <w:t>.</w:t>
      </w:r>
      <w:r>
        <w:rPr>
          <w:rFonts w:ascii="仿宋" w:eastAsia="仿宋" w:hAnsi="仿宋" w:cs="仿宋" w:hint="eastAsia"/>
          <w:sz w:val="32"/>
          <w:szCs w:val="32"/>
        </w:rPr>
        <w:t>产出进度</w:t>
      </w:r>
    </w:p>
    <w:p w14:paraId="56B09271" w14:textId="77777777" w:rsidR="00993813" w:rsidRDefault="00000000">
      <w:pPr>
        <w:spacing w:line="560" w:lineRule="exact"/>
        <w:ind w:firstLineChars="200" w:firstLine="640"/>
        <w:rPr>
          <w:rFonts w:ascii="仿宋" w:eastAsia="仿宋" w:hAnsi="仿宋" w:cs="仿宋"/>
          <w:sz w:val="32"/>
          <w:szCs w:val="32"/>
        </w:rPr>
      </w:pP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人民法院2023年度人员经费均按月及时发放，日常公用支出以及项目支出均已按时完成。</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人民法院2023年实际完成18个项目，18个项目全部按时完成。</w:t>
      </w:r>
    </w:p>
    <w:p w14:paraId="4EEECE2B"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sz w:val="32"/>
          <w:szCs w:val="32"/>
        </w:rPr>
        <w:t>.</w:t>
      </w:r>
      <w:r>
        <w:rPr>
          <w:rFonts w:ascii="仿宋" w:eastAsia="仿宋" w:hAnsi="仿宋" w:cs="仿宋" w:hint="eastAsia"/>
          <w:sz w:val="32"/>
          <w:szCs w:val="32"/>
        </w:rPr>
        <w:t>产出成本</w:t>
      </w:r>
    </w:p>
    <w:p w14:paraId="3A682EA6" w14:textId="1952BD48" w:rsidR="00993813" w:rsidRDefault="00000000">
      <w:pPr>
        <w:spacing w:line="560" w:lineRule="exact"/>
        <w:ind w:firstLineChars="200" w:firstLine="640"/>
        <w:rPr>
          <w:rFonts w:ascii="仿宋" w:eastAsia="仿宋" w:hAnsi="仿宋" w:cs="仿宋"/>
          <w:sz w:val="32"/>
          <w:szCs w:val="32"/>
          <w:highlight w:val="yellow"/>
        </w:rPr>
      </w:pPr>
      <w:proofErr w:type="gramStart"/>
      <w:r>
        <w:rPr>
          <w:rFonts w:ascii="仿宋" w:eastAsia="仿宋" w:hAnsi="仿宋" w:cs="仿宋" w:hint="eastAsia"/>
          <w:sz w:val="32"/>
          <w:szCs w:val="32"/>
        </w:rPr>
        <w:lastRenderedPageBreak/>
        <w:t>大兴区</w:t>
      </w:r>
      <w:proofErr w:type="gramEnd"/>
      <w:r>
        <w:rPr>
          <w:rFonts w:ascii="仿宋" w:eastAsia="仿宋" w:hAnsi="仿宋" w:cs="仿宋" w:hint="eastAsia"/>
          <w:sz w:val="32"/>
          <w:szCs w:val="32"/>
        </w:rPr>
        <w:t>人民法院2023年部分经费实现成本节约，如：</w:t>
      </w:r>
      <w:r>
        <w:rPr>
          <w:rFonts w:ascii="仿宋" w:eastAsia="仿宋" w:hAnsi="仿宋" w:cs="仿宋"/>
          <w:sz w:val="32"/>
          <w:szCs w:val="32"/>
        </w:rPr>
        <w:t xml:space="preserve"> </w:t>
      </w:r>
      <w:r>
        <w:rPr>
          <w:rFonts w:ascii="仿宋" w:eastAsia="仿宋" w:hAnsi="仿宋" w:cs="仿宋" w:hint="eastAsia"/>
          <w:sz w:val="32"/>
          <w:szCs w:val="32"/>
        </w:rPr>
        <w:t>公务用车运行维护费2023年决算数85.30万元，比2023年年初预算数115.50万元减少30.2万元。2023</w:t>
      </w:r>
      <w:r w:rsidRPr="00DA682A">
        <w:rPr>
          <w:rFonts w:ascii="仿宋" w:eastAsia="仿宋" w:hAnsi="仿宋" w:cs="仿宋" w:hint="eastAsia"/>
          <w:sz w:val="32"/>
          <w:szCs w:val="32"/>
        </w:rPr>
        <w:t>年公务接待费决算数0万元，比2023年年初预算数1.9万元减少1.9万元。</w:t>
      </w:r>
    </w:p>
    <w:p w14:paraId="49D266C7" w14:textId="77777777" w:rsidR="00993813" w:rsidRDefault="00000000">
      <w:pPr>
        <w:spacing w:line="560" w:lineRule="exact"/>
        <w:ind w:firstLineChars="200" w:firstLine="640"/>
        <w:outlineLvl w:val="1"/>
        <w:rPr>
          <w:rFonts w:ascii="楷体_GB2312" w:eastAsia="楷体_GB2312"/>
          <w:sz w:val="32"/>
          <w:szCs w:val="32"/>
        </w:rPr>
      </w:pPr>
      <w:bookmarkStart w:id="8" w:name="_Toc3937"/>
      <w:r>
        <w:rPr>
          <w:rFonts w:ascii="楷体_GB2312" w:eastAsia="楷体_GB2312" w:hint="eastAsia"/>
          <w:sz w:val="32"/>
          <w:szCs w:val="32"/>
        </w:rPr>
        <w:t>（二）效果</w:t>
      </w:r>
      <w:r>
        <w:rPr>
          <w:rFonts w:ascii="楷体_GB2312" w:eastAsia="楷体_GB2312"/>
          <w:sz w:val="32"/>
          <w:szCs w:val="32"/>
        </w:rPr>
        <w:t>实现情况分析</w:t>
      </w:r>
      <w:bookmarkEnd w:id="8"/>
    </w:p>
    <w:p w14:paraId="27BDBD48"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1.经济效益</w:t>
      </w:r>
    </w:p>
    <w:p w14:paraId="35133698"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严厉打击集资诈骗、非法吸收公众存款等犯罪行为，审结57起相关案件，判处罪犯93人，涉案金额超13亿元。在区委政法委统筹下，加强对“恒大未来城”关联案件的司法应对，通过示范性判决妥善处理“带押过户”等焦点问题，保障房地产市场平稳发展。</w:t>
      </w:r>
    </w:p>
    <w:p w14:paraId="3D222AFA"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（2）增强失信惩戒，依法对拒不履行生效判决的某出租车公司罚款100万元，</w:t>
      </w:r>
      <w:proofErr w:type="gramStart"/>
      <w:r>
        <w:rPr>
          <w:rFonts w:ascii="仿宋" w:eastAsia="仿宋" w:hAnsi="仿宋" w:cs="仿宋" w:hint="eastAsia"/>
          <w:sz w:val="32"/>
          <w:szCs w:val="32"/>
        </w:rPr>
        <w:t>发还案</w:t>
      </w:r>
      <w:proofErr w:type="gramEnd"/>
      <w:r>
        <w:rPr>
          <w:rFonts w:ascii="仿宋" w:eastAsia="仿宋" w:hAnsi="仿宋" w:cs="仿宋" w:hint="eastAsia"/>
          <w:sz w:val="32"/>
          <w:szCs w:val="32"/>
        </w:rPr>
        <w:t>款22.7亿元，网上拍卖标的物1118件，成交金额4.1亿元，为当事人减免佣金1300万元。</w:t>
      </w:r>
    </w:p>
    <w:p w14:paraId="62D796C7"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（3）精准服务全区重点产业发展，邀请市区企业界代表召开征求意见座谈会，对临空经济区与生物医药基地的企业涉</w:t>
      </w:r>
      <w:proofErr w:type="gramStart"/>
      <w:r>
        <w:rPr>
          <w:rFonts w:ascii="仿宋" w:eastAsia="仿宋" w:hAnsi="仿宋" w:cs="仿宋" w:hint="eastAsia"/>
          <w:sz w:val="32"/>
          <w:szCs w:val="32"/>
        </w:rPr>
        <w:t>诉情况</w:t>
      </w:r>
      <w:proofErr w:type="gramEnd"/>
      <w:r>
        <w:rPr>
          <w:rFonts w:ascii="仿宋" w:eastAsia="仿宋" w:hAnsi="仿宋" w:cs="仿宋" w:hint="eastAsia"/>
          <w:sz w:val="32"/>
          <w:szCs w:val="32"/>
        </w:rPr>
        <w:t>进行专题调研，深入南航、厦航开展普法宣传，探索涉企信用修复机制。</w:t>
      </w:r>
    </w:p>
    <w:p w14:paraId="03C047F5"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sz w:val="32"/>
          <w:szCs w:val="32"/>
        </w:rPr>
        <w:t>.</w:t>
      </w:r>
      <w:r>
        <w:rPr>
          <w:rFonts w:ascii="仿宋" w:eastAsia="仿宋" w:hAnsi="仿宋" w:cs="仿宋" w:hint="eastAsia"/>
          <w:sz w:val="32"/>
          <w:szCs w:val="32"/>
        </w:rPr>
        <w:t>社会效益</w:t>
      </w:r>
    </w:p>
    <w:p w14:paraId="0295388E"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（1）依法惩治刑事犯罪，常态化推进扫黑除恶，依法审理陈某等5人恶势力团伙犯罪案件。审结故意伤害、抢劫等暴力犯罪和诈骗、敲诈勒索等侵犯财产犯罪案件661件，审</w:t>
      </w:r>
      <w:r>
        <w:rPr>
          <w:rFonts w:ascii="仿宋" w:eastAsia="仿宋" w:hAnsi="仿宋" w:cs="仿宋" w:hint="eastAsia"/>
          <w:sz w:val="32"/>
          <w:szCs w:val="32"/>
        </w:rPr>
        <w:lastRenderedPageBreak/>
        <w:t>结寻衅滋事、妨害公务等扰乱社会管理秩序的犯罪案件140件，审结危害食品药品安全案件13件、危险驾驶案件252件、侵犯公民个人信息案件45件，维护政治安全和社会稳定，增强人民群众安全感。</w:t>
      </w:r>
    </w:p>
    <w:p w14:paraId="31A75C0E"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（2）依法严惩虐待、拐卖、</w:t>
      </w:r>
      <w:proofErr w:type="gramStart"/>
      <w:r>
        <w:rPr>
          <w:rFonts w:ascii="仿宋" w:eastAsia="仿宋" w:hAnsi="仿宋" w:cs="仿宋" w:hint="eastAsia"/>
          <w:sz w:val="32"/>
          <w:szCs w:val="32"/>
        </w:rPr>
        <w:t>性侵未成年人</w:t>
      </w:r>
      <w:proofErr w:type="gramEnd"/>
      <w:r>
        <w:rPr>
          <w:rFonts w:ascii="仿宋" w:eastAsia="仿宋" w:hAnsi="仿宋" w:cs="仿宋" w:hint="eastAsia"/>
          <w:sz w:val="32"/>
          <w:szCs w:val="32"/>
        </w:rPr>
        <w:t>的犯罪行为。引入专业社工力</w:t>
      </w:r>
      <w:proofErr w:type="gramStart"/>
      <w:r>
        <w:rPr>
          <w:rFonts w:ascii="仿宋" w:eastAsia="仿宋" w:hAnsi="仿宋" w:cs="仿宋" w:hint="eastAsia"/>
          <w:sz w:val="32"/>
          <w:szCs w:val="32"/>
        </w:rPr>
        <w:t>量参与</w:t>
      </w:r>
      <w:proofErr w:type="gramEnd"/>
      <w:r>
        <w:rPr>
          <w:rFonts w:ascii="仿宋" w:eastAsia="仿宋" w:hAnsi="仿宋" w:cs="仿宋" w:hint="eastAsia"/>
          <w:sz w:val="32"/>
          <w:szCs w:val="32"/>
        </w:rPr>
        <w:t>法庭调查、判后回访，对9名未成年被告人适用非监禁刑，把“教育、感化、挽救”方针落在实处。全面推进“法治进校园”，开展校园普法活动42场。</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人民法院挂牌区少先队校外实践教育基地，最高法院影视中心到</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人民法院采风少年司法工作，黄村人民法庭被评为“2017-2022年度北京市未成年人保护工作先进集体”。</w:t>
      </w:r>
    </w:p>
    <w:p w14:paraId="7C834EF7"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（3）在全区积极建设38个“普法驿站”“兴法治共建基地”，开展“京法巡回讲堂”150余场，召开新闻通报会7场，围绕养老服务、商品房买卖、遗嘱继承等社会热点进行以案释法。</w:t>
      </w:r>
    </w:p>
    <w:p w14:paraId="54794E51"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（4）为临空经济区建设提供有力保障，与河北省廊坊市中级人民法院会签合作协议，深化京津</w:t>
      </w:r>
      <w:proofErr w:type="gramStart"/>
      <w:r>
        <w:rPr>
          <w:rFonts w:ascii="仿宋" w:eastAsia="仿宋" w:hAnsi="仿宋" w:cs="仿宋" w:hint="eastAsia"/>
          <w:sz w:val="32"/>
          <w:szCs w:val="32"/>
        </w:rPr>
        <w:t>冀司法</w:t>
      </w:r>
      <w:proofErr w:type="gramEnd"/>
      <w:r>
        <w:rPr>
          <w:rFonts w:ascii="仿宋" w:eastAsia="仿宋" w:hAnsi="仿宋" w:cs="仿宋" w:hint="eastAsia"/>
          <w:sz w:val="32"/>
          <w:szCs w:val="32"/>
        </w:rPr>
        <w:t>协同，营商环境工作案例被市高级法院《京法网事》采纳推广。</w:t>
      </w:r>
    </w:p>
    <w:p w14:paraId="4CBE6B8B"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（5）深化府院沟通，参与全市宅基地颁证试点工作法律论证，</w:t>
      </w:r>
      <w:proofErr w:type="gramStart"/>
      <w:r>
        <w:rPr>
          <w:rFonts w:ascii="仿宋" w:eastAsia="仿宋" w:hAnsi="仿宋" w:cs="仿宋" w:hint="eastAsia"/>
          <w:sz w:val="32"/>
          <w:szCs w:val="32"/>
        </w:rPr>
        <w:t>赴行政</w:t>
      </w:r>
      <w:proofErr w:type="gramEnd"/>
      <w:r>
        <w:rPr>
          <w:rFonts w:ascii="仿宋" w:eastAsia="仿宋" w:hAnsi="仿宋" w:cs="仿宋" w:hint="eastAsia"/>
          <w:sz w:val="32"/>
          <w:szCs w:val="32"/>
        </w:rPr>
        <w:t>机关开展法律适用座谈、依法行政培训等活动19次，邀请行政执法人员旁听公开庭审9场，发布全区行政案件司法审查年度报告，</w:t>
      </w:r>
      <w:proofErr w:type="gramStart"/>
      <w:r>
        <w:rPr>
          <w:rFonts w:ascii="仿宋" w:eastAsia="仿宋" w:hAnsi="仿宋" w:cs="仿宋" w:hint="eastAsia"/>
          <w:sz w:val="32"/>
          <w:szCs w:val="32"/>
        </w:rPr>
        <w:t>促推行</w:t>
      </w:r>
      <w:proofErr w:type="gramEnd"/>
      <w:r>
        <w:rPr>
          <w:rFonts w:ascii="仿宋" w:eastAsia="仿宋" w:hAnsi="仿宋" w:cs="仿宋" w:hint="eastAsia"/>
          <w:sz w:val="32"/>
          <w:szCs w:val="32"/>
        </w:rPr>
        <w:t>政执法活动依法有效开展。</w:t>
      </w:r>
    </w:p>
    <w:p w14:paraId="40307F79"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环境效益</w:t>
      </w:r>
    </w:p>
    <w:p w14:paraId="1F9725D7"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sz w:val="32"/>
          <w:szCs w:val="32"/>
        </w:rPr>
        <w:t>为保护环境工作提供有力司法保障。依法惩治</w:t>
      </w:r>
      <w:proofErr w:type="gramStart"/>
      <w:r>
        <w:rPr>
          <w:rFonts w:ascii="仿宋" w:eastAsia="仿宋" w:hAnsi="仿宋" w:cs="仿宋"/>
          <w:sz w:val="32"/>
          <w:szCs w:val="32"/>
        </w:rPr>
        <w:t>环资类犯</w:t>
      </w:r>
      <w:r>
        <w:rPr>
          <w:rFonts w:ascii="仿宋" w:eastAsia="仿宋" w:hAnsi="仿宋" w:cs="仿宋"/>
          <w:sz w:val="32"/>
          <w:szCs w:val="32"/>
        </w:rPr>
        <w:lastRenderedPageBreak/>
        <w:t>罪</w:t>
      </w:r>
      <w:proofErr w:type="gramEnd"/>
      <w:r>
        <w:rPr>
          <w:rFonts w:ascii="仿宋" w:eastAsia="仿宋" w:hAnsi="仿宋" w:cs="仿宋"/>
          <w:sz w:val="32"/>
          <w:szCs w:val="32"/>
        </w:rPr>
        <w:t>，全年审结破坏环境资源保护类案件9件。</w:t>
      </w:r>
    </w:p>
    <w:p w14:paraId="04937DA1"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sz w:val="32"/>
          <w:szCs w:val="32"/>
        </w:rPr>
        <w:t>4.</w:t>
      </w:r>
      <w:r>
        <w:rPr>
          <w:rFonts w:ascii="仿宋" w:eastAsia="仿宋" w:hAnsi="仿宋" w:cs="仿宋" w:hint="eastAsia"/>
          <w:sz w:val="32"/>
          <w:szCs w:val="32"/>
        </w:rPr>
        <w:t>可持续影响</w:t>
      </w:r>
    </w:p>
    <w:p w14:paraId="294738C5" w14:textId="77777777" w:rsidR="00993813" w:rsidRDefault="00000000">
      <w:pPr>
        <w:spacing w:line="560" w:lineRule="exact"/>
        <w:ind w:firstLineChars="200" w:firstLine="640"/>
        <w:rPr>
          <w:rFonts w:ascii="仿宋" w:eastAsia="仿宋" w:hAnsi="仿宋" w:cs="仿宋"/>
          <w:sz w:val="32"/>
          <w:szCs w:val="32"/>
        </w:rPr>
      </w:pPr>
      <w:bookmarkStart w:id="9" w:name="_Hlk135172732"/>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创新家事调解与家事裁判执行对接机制，与区妇联合作设置“伴视家园”，取得良好社会效果。构建诉讼服务大厅、12368热线、移动终端等全方位诉讼服务体系，将案款发放、评估鉴定等工作统一归口处理，规范线上服务标准和流程。</w:t>
      </w:r>
    </w:p>
    <w:p w14:paraId="2C59A8A5" w14:textId="77777777" w:rsidR="00993813" w:rsidRDefault="00000000">
      <w:pPr>
        <w:spacing w:line="560" w:lineRule="exact"/>
        <w:ind w:firstLineChars="177" w:firstLine="566"/>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）强化民生司法保障，与两区劳动争议仲裁院建立“双向互动”机制，完善裁审衔接。不断深化“一轴多翼”家事纠纷解决机制，依法适用财产申报令、家庭教育指导令，维护妇女、儿童、老年人合法权益。</w:t>
      </w:r>
    </w:p>
    <w:p w14:paraId="06A79BEF" w14:textId="77777777" w:rsidR="00993813" w:rsidRDefault="00000000">
      <w:pPr>
        <w:spacing w:line="560" w:lineRule="exact"/>
        <w:ind w:firstLineChars="177" w:firstLine="566"/>
        <w:rPr>
          <w:rFonts w:ascii="仿宋" w:eastAsia="仿宋" w:hAnsi="仿宋" w:cs="仿宋"/>
          <w:sz w:val="32"/>
          <w:szCs w:val="32"/>
        </w:rPr>
      </w:pPr>
      <w:r>
        <w:rPr>
          <w:rFonts w:ascii="仿宋" w:eastAsia="仿宋" w:hAnsi="仿宋" w:cs="仿宋" w:hint="eastAsia"/>
          <w:sz w:val="32"/>
          <w:szCs w:val="32"/>
        </w:rPr>
        <w:t>（3）不断深化“多元调解+速裁”。制定落实</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2023年度深化诉源治理实施方案》，参与区委“接诉即办”改革“每月一题”，与区城指中心加强合作，探索12345和12368热线闭环对接、一体推进，促进供暖、房地产、建设工程等领域的纠纷治理关口前移。</w:t>
      </w:r>
    </w:p>
    <w:bookmarkEnd w:id="9"/>
    <w:p w14:paraId="6715D911" w14:textId="77777777" w:rsidR="00993813" w:rsidRDefault="00000000">
      <w:pPr>
        <w:spacing w:line="560" w:lineRule="exact"/>
        <w:ind w:firstLineChars="177" w:firstLine="566"/>
        <w:rPr>
          <w:rFonts w:ascii="仿宋" w:eastAsia="仿宋" w:hAnsi="仿宋" w:cs="仿宋"/>
          <w:sz w:val="32"/>
          <w:szCs w:val="32"/>
        </w:rPr>
      </w:pPr>
      <w:r>
        <w:rPr>
          <w:rFonts w:ascii="仿宋" w:eastAsia="仿宋" w:hAnsi="仿宋" w:cs="仿宋" w:hint="eastAsia"/>
          <w:sz w:val="32"/>
          <w:szCs w:val="32"/>
        </w:rPr>
        <w:t>5.服务对象满意度</w:t>
      </w:r>
    </w:p>
    <w:p w14:paraId="6F6E337F" w14:textId="1A72D520" w:rsidR="00524916" w:rsidRPr="00524916" w:rsidRDefault="00524916" w:rsidP="00524916">
      <w:pPr>
        <w:pStyle w:val="2"/>
        <w:ind w:leftChars="0" w:left="0" w:firstLine="640"/>
        <w:rPr>
          <w:highlight w:val="yellow"/>
        </w:rPr>
      </w:pPr>
      <w:r w:rsidRPr="00524916">
        <w:rPr>
          <w:rFonts w:hint="eastAsia"/>
        </w:rPr>
        <w:t>2023年，</w:t>
      </w:r>
      <w:proofErr w:type="gramStart"/>
      <w:r w:rsidRPr="00524916">
        <w:rPr>
          <w:rFonts w:hint="eastAsia"/>
        </w:rPr>
        <w:t>大兴区</w:t>
      </w:r>
      <w:proofErr w:type="gramEnd"/>
      <w:r w:rsidRPr="00524916">
        <w:rPr>
          <w:rFonts w:hint="eastAsia"/>
        </w:rPr>
        <w:t>人民法院工作报告获</w:t>
      </w:r>
      <w:proofErr w:type="gramStart"/>
      <w:r w:rsidRPr="00524916">
        <w:rPr>
          <w:rFonts w:hint="eastAsia"/>
        </w:rPr>
        <w:t>大兴区</w:t>
      </w:r>
      <w:proofErr w:type="gramEnd"/>
      <w:r w:rsidRPr="00524916">
        <w:rPr>
          <w:rFonts w:hint="eastAsia"/>
        </w:rPr>
        <w:t>第六届人民代表大会第四次会议全票通过。</w:t>
      </w:r>
    </w:p>
    <w:p w14:paraId="359826EA" w14:textId="77777777" w:rsidR="00993813" w:rsidRDefault="00000000">
      <w:pPr>
        <w:spacing w:line="560" w:lineRule="exact"/>
        <w:ind w:firstLineChars="200" w:firstLine="640"/>
        <w:outlineLvl w:val="0"/>
        <w:rPr>
          <w:rFonts w:ascii="黑体" w:eastAsia="黑体" w:hAnsi="黑体" w:cs="宋体"/>
          <w:color w:val="000000"/>
          <w:kern w:val="0"/>
          <w:sz w:val="32"/>
          <w:szCs w:val="32"/>
        </w:rPr>
      </w:pPr>
      <w:bookmarkStart w:id="10" w:name="_Toc26475"/>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bookmarkEnd w:id="10"/>
    </w:p>
    <w:p w14:paraId="2919A3B8" w14:textId="77777777" w:rsidR="00993813" w:rsidRDefault="00000000">
      <w:pPr>
        <w:spacing w:line="560" w:lineRule="exact"/>
        <w:ind w:firstLineChars="200" w:firstLine="640"/>
        <w:outlineLvl w:val="1"/>
        <w:rPr>
          <w:rFonts w:ascii="楷体_GB2312" w:eastAsia="楷体_GB2312"/>
          <w:sz w:val="32"/>
          <w:szCs w:val="32"/>
        </w:rPr>
      </w:pPr>
      <w:bookmarkStart w:id="11" w:name="_Toc2445"/>
      <w:r>
        <w:rPr>
          <w:rFonts w:ascii="楷体_GB2312" w:eastAsia="楷体_GB2312" w:hint="eastAsia"/>
          <w:sz w:val="32"/>
          <w:szCs w:val="32"/>
        </w:rPr>
        <w:t>（一）财务管理</w:t>
      </w:r>
      <w:bookmarkEnd w:id="11"/>
    </w:p>
    <w:p w14:paraId="57AA92F9"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1.财务管理制度健全性</w:t>
      </w:r>
    </w:p>
    <w:p w14:paraId="45D53F16"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为规范预算管理，加强财政资金使用，</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人民法院严格执行各项财政财务政策，积极推进财务标准化、信息化</w:t>
      </w:r>
      <w:r>
        <w:rPr>
          <w:rFonts w:ascii="仿宋" w:eastAsia="仿宋" w:hAnsi="仿宋" w:cs="仿宋" w:hint="eastAsia"/>
          <w:sz w:val="32"/>
          <w:szCs w:val="32"/>
        </w:rPr>
        <w:lastRenderedPageBreak/>
        <w:t>管理。</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人民法院建立了《北京市大兴区人民法院内部控制手册》，制定了《财务管理办法》、《固定资产管理办法》、《合同管理办法》等多项管理制度，各项财务管理制度比较健全，但未建立绩效跟踪管理办法。</w:t>
      </w:r>
    </w:p>
    <w:p w14:paraId="20E206A9"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2.资金使用合</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性和安全性</w:t>
      </w:r>
    </w:p>
    <w:p w14:paraId="1A2648CE" w14:textId="77777777" w:rsidR="00993813" w:rsidRDefault="00000000">
      <w:pPr>
        <w:spacing w:line="560" w:lineRule="exact"/>
        <w:ind w:firstLineChars="200" w:firstLine="640"/>
        <w:rPr>
          <w:rFonts w:ascii="仿宋" w:eastAsia="仿宋" w:hAnsi="仿宋" w:cs="仿宋"/>
          <w:sz w:val="32"/>
          <w:szCs w:val="32"/>
        </w:rPr>
      </w:pP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人民法院按照财政管理规定以及单位财务管理制度等相关要求落实资金使用管理，合理安排资金支出进度，资金使用整体合</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且安全，能够按照规定内容规定时间公开预算信息，基础信息和会计信息资料完整、真实和准确。报销金额1万元（含1万元）以下由办公室主任审批，1万元至5万元（含5万元）由主管院长审批，5万元以上按照《落实“三重一大”制度办法》，由党组会研究决定后，由主管院长签字审批，支出需填写《大额资金审批单》。</w:t>
      </w:r>
    </w:p>
    <w:p w14:paraId="49C3BE48" w14:textId="77777777" w:rsidR="00993813" w:rsidRDefault="00000000">
      <w:pPr>
        <w:spacing w:line="560" w:lineRule="exact"/>
        <w:ind w:firstLineChars="200" w:firstLine="640"/>
        <w:rPr>
          <w:rFonts w:ascii="仿宋" w:eastAsia="仿宋" w:hAnsi="仿宋" w:cs="仿宋"/>
          <w:sz w:val="32"/>
          <w:szCs w:val="32"/>
        </w:rPr>
      </w:pP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严格遵守现金、银行存款、支票、财务印章等与资金安全相关的各项管理规定；涉及资金收支的重要岗位，制定并严格遵守资金管理的不相容职务分离控制规定；认真做好现金日记账和银行存款日记账的登记工作，每月核对银行对账单和账面银行存款余额，并编制银行调节表，定期进行现金盘点。以上各项措施的切实落实，有效保障了资金的安全。</w:t>
      </w:r>
    </w:p>
    <w:p w14:paraId="7567B9E1" w14:textId="77777777" w:rsidR="00993813" w:rsidRDefault="00000000">
      <w:pPr>
        <w:spacing w:line="560" w:lineRule="exact"/>
        <w:ind w:firstLineChars="200" w:firstLine="640"/>
        <w:rPr>
          <w:rFonts w:ascii="仿宋" w:eastAsia="仿宋" w:hAnsi="仿宋" w:cs="仿宋"/>
          <w:sz w:val="32"/>
          <w:szCs w:val="32"/>
        </w:rPr>
      </w:pP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人民法院严格遵守《中华人民共和国预算法》、《中华人民共和国采购法》及市财政主管部门的要求，规范使用资金，确保资金的安排、使用发挥出最大效益，实现项目绩效目标。</w:t>
      </w:r>
    </w:p>
    <w:p w14:paraId="2752D1E5"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3.会计基础信息完善性</w:t>
      </w:r>
    </w:p>
    <w:p w14:paraId="2F4AFA0F"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在评价工作过程中，</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人民法院向绩效评价工作组提供了部门整体绩效目标申报表、内控管理制度、会计账簿、支出凭证等资料，在一定程度上反映部门基础信息的完整有效。</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人民法院相关会计资料准确、完整，部门基础信息管理较好，符合国家财经法规和财务管理制度以及有关专项资金管理办法的规定。形成的会计档案按类别统一格式和规格装订，定期归档。</w:t>
      </w:r>
    </w:p>
    <w:p w14:paraId="6A67F04E" w14:textId="77777777" w:rsidR="00993813" w:rsidRDefault="00000000">
      <w:pPr>
        <w:spacing w:line="560" w:lineRule="exact"/>
        <w:ind w:firstLineChars="200" w:firstLine="640"/>
        <w:outlineLvl w:val="1"/>
        <w:rPr>
          <w:rFonts w:ascii="楷体_GB2312" w:eastAsia="楷体_GB2312"/>
          <w:sz w:val="32"/>
          <w:szCs w:val="32"/>
        </w:rPr>
      </w:pPr>
      <w:bookmarkStart w:id="12" w:name="_Toc18651"/>
      <w:r>
        <w:rPr>
          <w:rFonts w:ascii="楷体_GB2312" w:eastAsia="楷体_GB2312" w:hint="eastAsia"/>
          <w:sz w:val="32"/>
          <w:szCs w:val="32"/>
        </w:rPr>
        <w:t>（二）资产管理</w:t>
      </w:r>
      <w:bookmarkEnd w:id="12"/>
    </w:p>
    <w:p w14:paraId="307ADEE4"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2023年末，</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人民法院资产总额</w:t>
      </w:r>
      <w:r>
        <w:rPr>
          <w:rFonts w:ascii="仿宋" w:eastAsia="仿宋" w:hAnsi="仿宋" w:cs="仿宋"/>
          <w:sz w:val="32"/>
          <w:szCs w:val="32"/>
        </w:rPr>
        <w:t>19,865.50</w:t>
      </w:r>
      <w:r>
        <w:rPr>
          <w:rFonts w:ascii="仿宋" w:eastAsia="仿宋" w:hAnsi="仿宋" w:cs="仿宋" w:hint="eastAsia"/>
          <w:sz w:val="32"/>
          <w:szCs w:val="32"/>
        </w:rPr>
        <w:t>万元，其中流动资产7</w:t>
      </w:r>
      <w:r>
        <w:rPr>
          <w:rFonts w:ascii="仿宋" w:eastAsia="仿宋" w:hAnsi="仿宋" w:cs="仿宋"/>
          <w:sz w:val="32"/>
          <w:szCs w:val="32"/>
        </w:rPr>
        <w:t>,</w:t>
      </w:r>
      <w:r>
        <w:rPr>
          <w:rFonts w:ascii="仿宋" w:eastAsia="仿宋" w:hAnsi="仿宋" w:cs="仿宋" w:hint="eastAsia"/>
          <w:sz w:val="32"/>
          <w:szCs w:val="32"/>
        </w:rPr>
        <w:t>177</w:t>
      </w:r>
      <w:r>
        <w:rPr>
          <w:rFonts w:ascii="仿宋" w:eastAsia="仿宋" w:hAnsi="仿宋" w:cs="仿宋"/>
          <w:sz w:val="32"/>
          <w:szCs w:val="32"/>
        </w:rPr>
        <w:t>.</w:t>
      </w:r>
      <w:r>
        <w:rPr>
          <w:rFonts w:ascii="仿宋" w:eastAsia="仿宋" w:hAnsi="仿宋" w:cs="仿宋" w:hint="eastAsia"/>
          <w:sz w:val="32"/>
          <w:szCs w:val="32"/>
        </w:rPr>
        <w:t>53万元，非流动资产</w:t>
      </w:r>
      <w:r>
        <w:rPr>
          <w:rFonts w:ascii="仿宋" w:eastAsia="仿宋" w:hAnsi="仿宋" w:cs="仿宋"/>
          <w:sz w:val="32"/>
          <w:szCs w:val="32"/>
        </w:rPr>
        <w:t>12,687.97</w:t>
      </w:r>
      <w:r>
        <w:rPr>
          <w:rFonts w:ascii="仿宋" w:eastAsia="仿宋" w:hAnsi="仿宋" w:cs="仿宋" w:hint="eastAsia"/>
          <w:sz w:val="32"/>
          <w:szCs w:val="32"/>
        </w:rPr>
        <w:t>万元。</w:t>
      </w:r>
    </w:p>
    <w:p w14:paraId="74C5A2A6" w14:textId="402C54CE"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为加强资产管理，提高资产使用效益，</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制定了《固定资产管理办法》，从管理职责、配备、使用和日常管理、处置、统计报告等方面对固定资产管理进行了细化，明确资产范围、实物管理部门职责及各部门对资产日常管理承担的保管责任。实行资产动态管理机制，及时更新资产信息，保证固定资产账</w:t>
      </w:r>
      <w:proofErr w:type="gramStart"/>
      <w:r>
        <w:rPr>
          <w:rFonts w:ascii="仿宋" w:eastAsia="仿宋" w:hAnsi="仿宋" w:cs="仿宋" w:hint="eastAsia"/>
          <w:sz w:val="32"/>
          <w:szCs w:val="32"/>
        </w:rPr>
        <w:t>账</w:t>
      </w:r>
      <w:proofErr w:type="gramEnd"/>
      <w:r>
        <w:rPr>
          <w:rFonts w:ascii="仿宋" w:eastAsia="仿宋" w:hAnsi="仿宋" w:cs="仿宋" w:hint="eastAsia"/>
          <w:sz w:val="32"/>
          <w:szCs w:val="32"/>
        </w:rPr>
        <w:t>、账实、账表相符。</w:t>
      </w:r>
    </w:p>
    <w:p w14:paraId="5CFDA1A1" w14:textId="77777777" w:rsidR="00993813" w:rsidRDefault="00000000">
      <w:pPr>
        <w:spacing w:line="560" w:lineRule="exact"/>
        <w:ind w:firstLineChars="200" w:firstLine="640"/>
        <w:rPr>
          <w:rFonts w:ascii="仿宋" w:eastAsia="仿宋" w:hAnsi="仿宋" w:cs="仿宋"/>
          <w:sz w:val="32"/>
          <w:szCs w:val="32"/>
        </w:rPr>
      </w:pPr>
      <w:bookmarkStart w:id="13" w:name="_Hlk135151570"/>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能够按照市财政局统一部署，根据有关文件规定，按时保质保量完成资产年报等相关工作，日常资产管理、新增、报废等工作均严格按照市财政局的规定程序办理，资产动态系统与会计账簿系统总额保持一致。</w:t>
      </w:r>
    </w:p>
    <w:p w14:paraId="092E89EA" w14:textId="77777777" w:rsidR="00993813" w:rsidRDefault="00000000">
      <w:pPr>
        <w:spacing w:line="560" w:lineRule="exact"/>
        <w:ind w:firstLineChars="200" w:firstLine="640"/>
        <w:outlineLvl w:val="1"/>
        <w:rPr>
          <w:rFonts w:ascii="楷体_GB2312" w:eastAsia="楷体_GB2312"/>
          <w:sz w:val="32"/>
          <w:szCs w:val="32"/>
        </w:rPr>
      </w:pPr>
      <w:bookmarkStart w:id="14" w:name="_Toc27777"/>
      <w:bookmarkEnd w:id="13"/>
      <w:r>
        <w:rPr>
          <w:rFonts w:ascii="楷体_GB2312" w:eastAsia="楷体_GB2312" w:hint="eastAsia"/>
          <w:sz w:val="32"/>
          <w:szCs w:val="32"/>
        </w:rPr>
        <w:t>（三）绩效</w:t>
      </w:r>
      <w:r>
        <w:rPr>
          <w:rFonts w:ascii="楷体_GB2312" w:eastAsia="楷体_GB2312"/>
          <w:sz w:val="32"/>
          <w:szCs w:val="32"/>
        </w:rPr>
        <w:t>管理</w:t>
      </w:r>
      <w:bookmarkEnd w:id="14"/>
    </w:p>
    <w:p w14:paraId="596D831D"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2023年，</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人民法院开展了部门整体绩效自评，并形成《部门整体绩效评价报告》，全方位把握单位整体预算</w:t>
      </w:r>
      <w:r>
        <w:rPr>
          <w:rFonts w:ascii="仿宋" w:eastAsia="仿宋" w:hAnsi="仿宋" w:cs="仿宋" w:hint="eastAsia"/>
          <w:sz w:val="32"/>
          <w:szCs w:val="32"/>
        </w:rPr>
        <w:lastRenderedPageBreak/>
        <w:t>执行、整体绩效目标实现和预算管理情况。</w:t>
      </w:r>
    </w:p>
    <w:p w14:paraId="594BD6B6"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2023年，</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人民法院按照《北京市项目支出绩效评价管理办法》（</w:t>
      </w:r>
      <w:proofErr w:type="gramStart"/>
      <w:r>
        <w:rPr>
          <w:rFonts w:ascii="仿宋" w:eastAsia="仿宋" w:hAnsi="仿宋" w:cs="仿宋" w:hint="eastAsia"/>
          <w:sz w:val="32"/>
          <w:szCs w:val="32"/>
        </w:rPr>
        <w:t>京财绩效</w:t>
      </w:r>
      <w:proofErr w:type="gramEnd"/>
      <w:r>
        <w:rPr>
          <w:rFonts w:ascii="仿宋" w:eastAsia="仿宋" w:hAnsi="仿宋" w:cs="仿宋" w:hint="eastAsia"/>
          <w:sz w:val="32"/>
          <w:szCs w:val="32"/>
        </w:rPr>
        <w:t>〔2020〕2146号）文件要求，在做好项目支出事前申报、事中监管的基础上，对2023年度所有填报绩效目标的项目支出开展自评工作，对18</w:t>
      </w:r>
      <w:r>
        <w:rPr>
          <w:rFonts w:ascii="仿宋" w:eastAsia="仿宋" w:hAnsi="仿宋" w:cs="仿宋"/>
          <w:sz w:val="32"/>
          <w:szCs w:val="32"/>
        </w:rPr>
        <w:t>个</w:t>
      </w:r>
      <w:r>
        <w:rPr>
          <w:rFonts w:ascii="仿宋" w:eastAsia="仿宋" w:hAnsi="仿宋" w:cs="仿宋" w:hint="eastAsia"/>
          <w:sz w:val="32"/>
          <w:szCs w:val="32"/>
        </w:rPr>
        <w:t>项目支出实施了绩效评价，并形成《项目支出绩效自评表》。</w:t>
      </w:r>
    </w:p>
    <w:p w14:paraId="4D78E287" w14:textId="77777777" w:rsidR="00993813" w:rsidRDefault="00000000">
      <w:pPr>
        <w:spacing w:line="560" w:lineRule="exact"/>
        <w:ind w:firstLineChars="200" w:firstLine="640"/>
        <w:rPr>
          <w:rFonts w:ascii="楷体_GB2312" w:eastAsia="楷体_GB2312"/>
          <w:sz w:val="32"/>
          <w:szCs w:val="32"/>
        </w:rPr>
      </w:pPr>
      <w:bookmarkStart w:id="15" w:name="_Toc440"/>
      <w:r>
        <w:rPr>
          <w:rFonts w:ascii="楷体_GB2312" w:eastAsia="楷体_GB2312" w:hint="eastAsia"/>
          <w:sz w:val="32"/>
          <w:szCs w:val="32"/>
        </w:rPr>
        <w:t>（四）结转结余</w:t>
      </w:r>
      <w:r>
        <w:rPr>
          <w:rFonts w:ascii="楷体_GB2312" w:eastAsia="楷体_GB2312"/>
          <w:sz w:val="32"/>
          <w:szCs w:val="32"/>
        </w:rPr>
        <w:t>率</w:t>
      </w:r>
    </w:p>
    <w:p w14:paraId="319729CA"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根据</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人民法院2023年决算报表相关数据统计，</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人民法院2023年支出全年预算数</w:t>
      </w:r>
      <w:r>
        <w:rPr>
          <w:rFonts w:ascii="仿宋" w:eastAsia="仿宋" w:hAnsi="仿宋" w:cs="仿宋"/>
          <w:sz w:val="32"/>
          <w:szCs w:val="32"/>
        </w:rPr>
        <w:t>27,086.29</w:t>
      </w:r>
      <w:r>
        <w:rPr>
          <w:rFonts w:ascii="仿宋" w:eastAsia="仿宋" w:hAnsi="仿宋" w:cs="仿宋" w:hint="eastAsia"/>
          <w:sz w:val="32"/>
          <w:szCs w:val="32"/>
        </w:rPr>
        <w:t>万元，其中，基本经费支出预算数</w:t>
      </w:r>
      <w:r>
        <w:rPr>
          <w:rFonts w:ascii="仿宋" w:eastAsia="仿宋" w:hAnsi="仿宋" w:cs="仿宋"/>
          <w:sz w:val="32"/>
          <w:szCs w:val="32"/>
        </w:rPr>
        <w:t>16,584.44</w:t>
      </w:r>
      <w:r>
        <w:rPr>
          <w:rFonts w:ascii="仿宋" w:eastAsia="仿宋" w:hAnsi="仿宋" w:cs="仿宋" w:hint="eastAsia"/>
          <w:sz w:val="32"/>
          <w:szCs w:val="32"/>
        </w:rPr>
        <w:t>万元，项目经费支出预算数</w:t>
      </w:r>
      <w:r>
        <w:rPr>
          <w:rFonts w:ascii="仿宋" w:eastAsia="仿宋" w:hAnsi="仿宋" w:cs="仿宋"/>
          <w:sz w:val="32"/>
          <w:szCs w:val="32"/>
        </w:rPr>
        <w:t>10,501.84</w:t>
      </w:r>
      <w:r>
        <w:rPr>
          <w:rFonts w:ascii="仿宋" w:eastAsia="仿宋" w:hAnsi="仿宋" w:cs="仿宋" w:hint="eastAsia"/>
          <w:sz w:val="32"/>
          <w:szCs w:val="32"/>
        </w:rPr>
        <w:t>万元；年末结转结余资金</w:t>
      </w:r>
      <w:r>
        <w:rPr>
          <w:rFonts w:ascii="仿宋" w:eastAsia="仿宋" w:hAnsi="仿宋" w:cs="仿宋"/>
          <w:sz w:val="32"/>
          <w:szCs w:val="32"/>
        </w:rPr>
        <w:t>2,424.54</w:t>
      </w:r>
      <w:r>
        <w:rPr>
          <w:rFonts w:ascii="仿宋" w:eastAsia="仿宋" w:hAnsi="仿宋" w:cs="仿宋" w:hint="eastAsia"/>
          <w:sz w:val="32"/>
          <w:szCs w:val="32"/>
        </w:rPr>
        <w:t>万元，结转结余率</w:t>
      </w:r>
      <w:r>
        <w:rPr>
          <w:rFonts w:ascii="仿宋" w:eastAsia="仿宋" w:hAnsi="仿宋" w:cs="仿宋"/>
          <w:sz w:val="32"/>
          <w:szCs w:val="32"/>
        </w:rPr>
        <w:t>8.95%</w:t>
      </w:r>
      <w:r>
        <w:rPr>
          <w:rFonts w:ascii="仿宋" w:eastAsia="仿宋" w:hAnsi="仿宋" w:cs="仿宋" w:hint="eastAsia"/>
          <w:sz w:val="32"/>
          <w:szCs w:val="32"/>
        </w:rPr>
        <w:t>。</w:t>
      </w:r>
    </w:p>
    <w:p w14:paraId="0F2AEE92" w14:textId="77777777" w:rsidR="00993813"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（五）</w:t>
      </w:r>
      <w:bookmarkEnd w:id="15"/>
      <w:r>
        <w:rPr>
          <w:rFonts w:ascii="楷体_GB2312" w:eastAsia="楷体_GB2312" w:hint="eastAsia"/>
          <w:sz w:val="32"/>
          <w:szCs w:val="32"/>
        </w:rPr>
        <w:t>部门</w:t>
      </w:r>
      <w:r>
        <w:rPr>
          <w:rFonts w:ascii="楷体_GB2312" w:eastAsia="楷体_GB2312"/>
          <w:sz w:val="32"/>
          <w:szCs w:val="32"/>
        </w:rPr>
        <w:t>预决算差异率</w:t>
      </w:r>
    </w:p>
    <w:p w14:paraId="7D0F15C0" w14:textId="77777777" w:rsidR="00993813" w:rsidRDefault="00000000">
      <w:pPr>
        <w:spacing w:line="560" w:lineRule="exact"/>
        <w:ind w:firstLineChars="200" w:firstLine="640"/>
        <w:rPr>
          <w:rFonts w:ascii="仿宋" w:eastAsia="仿宋" w:hAnsi="仿宋" w:cs="仿宋"/>
          <w:sz w:val="32"/>
          <w:szCs w:val="32"/>
        </w:rPr>
      </w:pP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人民法院2023年支出年初预算数</w:t>
      </w:r>
      <w:r>
        <w:rPr>
          <w:rFonts w:ascii="仿宋" w:eastAsia="仿宋" w:hAnsi="仿宋" w:cs="仿宋"/>
          <w:sz w:val="32"/>
          <w:szCs w:val="32"/>
        </w:rPr>
        <w:t>25,394.80</w:t>
      </w:r>
      <w:r>
        <w:rPr>
          <w:rFonts w:ascii="仿宋" w:eastAsia="仿宋" w:hAnsi="仿宋" w:cs="仿宋" w:hint="eastAsia"/>
          <w:sz w:val="32"/>
          <w:szCs w:val="32"/>
        </w:rPr>
        <w:t>万元，决算支出</w:t>
      </w:r>
      <w:r>
        <w:rPr>
          <w:rFonts w:ascii="仿宋" w:eastAsia="仿宋" w:hAnsi="仿宋" w:cs="仿宋"/>
          <w:sz w:val="32"/>
          <w:szCs w:val="32"/>
        </w:rPr>
        <w:t>24,661.74</w:t>
      </w:r>
      <w:r>
        <w:rPr>
          <w:rFonts w:ascii="仿宋" w:eastAsia="仿宋" w:hAnsi="仿宋" w:cs="仿宋" w:hint="eastAsia"/>
          <w:sz w:val="32"/>
          <w:szCs w:val="32"/>
        </w:rPr>
        <w:t>万元，部门预决算差异率</w:t>
      </w:r>
      <w:r>
        <w:rPr>
          <w:rFonts w:ascii="仿宋" w:eastAsia="仿宋" w:hAnsi="仿宋" w:cs="仿宋"/>
          <w:sz w:val="32"/>
          <w:szCs w:val="32"/>
        </w:rPr>
        <w:t>2.89%</w:t>
      </w:r>
      <w:r>
        <w:rPr>
          <w:rFonts w:ascii="仿宋" w:eastAsia="仿宋" w:hAnsi="仿宋" w:cs="仿宋" w:hint="eastAsia"/>
          <w:sz w:val="32"/>
          <w:szCs w:val="32"/>
        </w:rPr>
        <w:t>，低于市级平均差异率。</w:t>
      </w:r>
    </w:p>
    <w:p w14:paraId="46C2683A" w14:textId="77777777" w:rsidR="00993813" w:rsidRDefault="00000000">
      <w:pPr>
        <w:spacing w:line="560" w:lineRule="exact"/>
        <w:ind w:firstLineChars="200" w:firstLine="640"/>
        <w:outlineLvl w:val="0"/>
        <w:rPr>
          <w:rFonts w:ascii="黑体" w:eastAsia="黑体" w:hAnsi="黑体"/>
          <w:sz w:val="32"/>
          <w:szCs w:val="32"/>
        </w:rPr>
      </w:pPr>
      <w:bookmarkStart w:id="16" w:name="_Toc9419"/>
      <w:r>
        <w:rPr>
          <w:rFonts w:ascii="黑体" w:eastAsia="黑体" w:hAnsi="黑体" w:hint="eastAsia"/>
          <w:sz w:val="32"/>
          <w:szCs w:val="32"/>
        </w:rPr>
        <w:t>五、总体</w:t>
      </w:r>
      <w:r>
        <w:rPr>
          <w:rFonts w:ascii="黑体" w:eastAsia="黑体" w:hAnsi="黑体"/>
          <w:sz w:val="32"/>
          <w:szCs w:val="32"/>
        </w:rPr>
        <w:t>评价结论</w:t>
      </w:r>
      <w:bookmarkEnd w:id="16"/>
    </w:p>
    <w:p w14:paraId="2B254E1E" w14:textId="77777777" w:rsidR="00993813" w:rsidRDefault="00000000">
      <w:pPr>
        <w:spacing w:line="560" w:lineRule="exact"/>
        <w:ind w:firstLineChars="200" w:firstLine="640"/>
        <w:outlineLvl w:val="1"/>
        <w:rPr>
          <w:rFonts w:ascii="楷体_GB2312" w:eastAsia="楷体_GB2312"/>
          <w:sz w:val="32"/>
          <w:szCs w:val="32"/>
        </w:rPr>
      </w:pPr>
      <w:bookmarkStart w:id="17" w:name="_Toc31337"/>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bookmarkEnd w:id="17"/>
    </w:p>
    <w:p w14:paraId="51328E98" w14:textId="4803CAD0"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根据2023年度部门整体绩效目标申报表，</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人民法院各项年度工作任务均已按照部署要求和时间进度完成，整体工作产出完成情况较好。</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人民法院部门整体综合评价得分</w:t>
      </w:r>
      <w:r>
        <w:rPr>
          <w:rFonts w:ascii="仿宋" w:eastAsia="仿宋" w:hAnsi="仿宋" w:cs="仿宋"/>
          <w:sz w:val="32"/>
          <w:szCs w:val="32"/>
        </w:rPr>
        <w:t>9</w:t>
      </w:r>
      <w:r w:rsidR="00950BB9">
        <w:rPr>
          <w:rFonts w:ascii="仿宋" w:eastAsia="仿宋" w:hAnsi="仿宋" w:cs="仿宋" w:hint="eastAsia"/>
          <w:sz w:val="32"/>
          <w:szCs w:val="32"/>
        </w:rPr>
        <w:t>5</w:t>
      </w:r>
      <w:r>
        <w:rPr>
          <w:rFonts w:ascii="仿宋" w:eastAsia="仿宋" w:hAnsi="仿宋" w:cs="仿宋"/>
          <w:sz w:val="32"/>
          <w:szCs w:val="32"/>
        </w:rPr>
        <w:t>.21</w:t>
      </w:r>
      <w:r>
        <w:rPr>
          <w:rFonts w:ascii="仿宋" w:eastAsia="仿宋" w:hAnsi="仿宋" w:cs="仿宋" w:hint="eastAsia"/>
          <w:sz w:val="32"/>
          <w:szCs w:val="32"/>
        </w:rPr>
        <w:t>分，其中当年预算执行情况得分</w:t>
      </w:r>
      <w:r>
        <w:rPr>
          <w:rFonts w:ascii="仿宋" w:eastAsia="仿宋" w:hAnsi="仿宋" w:cs="仿宋"/>
          <w:sz w:val="32"/>
          <w:szCs w:val="32"/>
        </w:rPr>
        <w:t>18.21</w:t>
      </w:r>
      <w:r>
        <w:rPr>
          <w:rFonts w:ascii="仿宋" w:eastAsia="仿宋" w:hAnsi="仿宋" w:cs="仿宋" w:hint="eastAsia"/>
          <w:sz w:val="32"/>
          <w:szCs w:val="32"/>
        </w:rPr>
        <w:t>分，整体绩效目标实现情况得分</w:t>
      </w:r>
      <w:r w:rsidR="00950BB9">
        <w:rPr>
          <w:rFonts w:ascii="仿宋" w:eastAsia="仿宋" w:hAnsi="仿宋" w:cs="仿宋" w:hint="eastAsia"/>
          <w:sz w:val="32"/>
          <w:szCs w:val="32"/>
        </w:rPr>
        <w:t>60</w:t>
      </w:r>
      <w:r>
        <w:rPr>
          <w:rFonts w:ascii="仿宋" w:eastAsia="仿宋" w:hAnsi="仿宋" w:cs="仿宋" w:hint="eastAsia"/>
          <w:sz w:val="32"/>
          <w:szCs w:val="32"/>
        </w:rPr>
        <w:t>分，预算管理情况得分</w:t>
      </w:r>
      <w:r>
        <w:rPr>
          <w:rFonts w:ascii="仿宋" w:eastAsia="仿宋" w:hAnsi="仿宋" w:cs="仿宋"/>
          <w:sz w:val="32"/>
          <w:szCs w:val="32"/>
        </w:rPr>
        <w:t>17</w:t>
      </w:r>
      <w:r>
        <w:rPr>
          <w:rFonts w:ascii="仿宋" w:eastAsia="仿宋" w:hAnsi="仿宋" w:cs="仿宋" w:hint="eastAsia"/>
          <w:sz w:val="32"/>
          <w:szCs w:val="32"/>
        </w:rPr>
        <w:t>分。具体得分情况见下表：</w:t>
      </w:r>
    </w:p>
    <w:tbl>
      <w:tblPr>
        <w:tblW w:w="7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8"/>
        <w:gridCol w:w="1764"/>
        <w:gridCol w:w="2685"/>
      </w:tblGrid>
      <w:tr w:rsidR="00993813" w14:paraId="219A18B4" w14:textId="77777777">
        <w:trPr>
          <w:trHeight w:hRule="exact" w:val="486"/>
          <w:tblHeader/>
          <w:jc w:val="center"/>
        </w:trPr>
        <w:tc>
          <w:tcPr>
            <w:tcW w:w="3158" w:type="dxa"/>
            <w:shd w:val="clear" w:color="auto" w:fill="BEBEBE"/>
            <w:vAlign w:val="center"/>
          </w:tcPr>
          <w:p w14:paraId="1B9531D1" w14:textId="77777777" w:rsidR="00993813"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lastRenderedPageBreak/>
              <w:t>评价内容</w:t>
            </w:r>
          </w:p>
        </w:tc>
        <w:tc>
          <w:tcPr>
            <w:tcW w:w="1764" w:type="dxa"/>
            <w:shd w:val="clear" w:color="auto" w:fill="BEBEBE"/>
            <w:vAlign w:val="center"/>
          </w:tcPr>
          <w:p w14:paraId="45A4D52D" w14:textId="77777777" w:rsidR="00993813" w:rsidRDefault="00000000">
            <w:pPr>
              <w:widowControl/>
              <w:spacing w:line="360" w:lineRule="auto"/>
              <w:jc w:val="center"/>
              <w:rPr>
                <w:rFonts w:ascii="宋体" w:hAnsi="宋体" w:cs="宋体"/>
                <w:b/>
                <w:bCs/>
                <w:color w:val="000000"/>
                <w:kern w:val="0"/>
                <w:szCs w:val="21"/>
              </w:rPr>
            </w:pPr>
            <w:r>
              <w:rPr>
                <w:rFonts w:ascii="宋体" w:hAnsi="宋体" w:cs="宋体" w:hint="eastAsia"/>
                <w:b/>
                <w:bCs/>
                <w:color w:val="000000"/>
                <w:kern w:val="0"/>
                <w:szCs w:val="21"/>
              </w:rPr>
              <w:t>分值</w:t>
            </w:r>
          </w:p>
        </w:tc>
        <w:tc>
          <w:tcPr>
            <w:tcW w:w="2685" w:type="dxa"/>
            <w:shd w:val="clear" w:color="auto" w:fill="BEBEBE"/>
            <w:vAlign w:val="center"/>
          </w:tcPr>
          <w:p w14:paraId="5F92E64E" w14:textId="77777777" w:rsidR="00993813" w:rsidRDefault="00000000">
            <w:pPr>
              <w:widowControl/>
              <w:spacing w:line="360" w:lineRule="auto"/>
              <w:jc w:val="center"/>
              <w:rPr>
                <w:rFonts w:ascii="宋体" w:hAnsi="宋体" w:cs="宋体"/>
                <w:b/>
                <w:bCs/>
                <w:color w:val="000000"/>
                <w:kern w:val="0"/>
                <w:szCs w:val="21"/>
              </w:rPr>
            </w:pPr>
            <w:r>
              <w:rPr>
                <w:rFonts w:ascii="宋体" w:hAnsi="宋体" w:cs="宋体" w:hint="eastAsia"/>
                <w:b/>
                <w:bCs/>
                <w:color w:val="000000"/>
                <w:kern w:val="0"/>
                <w:szCs w:val="21"/>
              </w:rPr>
              <w:t>评价得分</w:t>
            </w:r>
          </w:p>
        </w:tc>
      </w:tr>
      <w:tr w:rsidR="00993813" w14:paraId="11620A06" w14:textId="77777777">
        <w:trPr>
          <w:trHeight w:hRule="exact" w:val="397"/>
          <w:jc w:val="center"/>
        </w:trPr>
        <w:tc>
          <w:tcPr>
            <w:tcW w:w="3158" w:type="dxa"/>
            <w:vAlign w:val="center"/>
          </w:tcPr>
          <w:p w14:paraId="2FB2671E" w14:textId="77777777" w:rsidR="00993813"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当年预算执行情况</w:t>
            </w:r>
          </w:p>
        </w:tc>
        <w:tc>
          <w:tcPr>
            <w:tcW w:w="1764" w:type="dxa"/>
            <w:vAlign w:val="center"/>
          </w:tcPr>
          <w:p w14:paraId="6A2AA670" w14:textId="77777777" w:rsidR="00993813"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20</w:t>
            </w:r>
          </w:p>
        </w:tc>
        <w:tc>
          <w:tcPr>
            <w:tcW w:w="2685" w:type="dxa"/>
            <w:vAlign w:val="center"/>
          </w:tcPr>
          <w:p w14:paraId="01400DE7" w14:textId="77777777" w:rsidR="00993813"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18.21</w:t>
            </w:r>
          </w:p>
        </w:tc>
      </w:tr>
      <w:tr w:rsidR="00993813" w14:paraId="38C3278A" w14:textId="77777777">
        <w:trPr>
          <w:trHeight w:hRule="exact" w:val="397"/>
          <w:jc w:val="center"/>
        </w:trPr>
        <w:tc>
          <w:tcPr>
            <w:tcW w:w="3158" w:type="dxa"/>
            <w:vAlign w:val="center"/>
          </w:tcPr>
          <w:p w14:paraId="79273702" w14:textId="77777777" w:rsidR="00993813"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整体绩效目标实现情况</w:t>
            </w:r>
          </w:p>
        </w:tc>
        <w:tc>
          <w:tcPr>
            <w:tcW w:w="1764" w:type="dxa"/>
            <w:vAlign w:val="center"/>
          </w:tcPr>
          <w:p w14:paraId="70764138" w14:textId="77777777" w:rsidR="00993813"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60</w:t>
            </w:r>
          </w:p>
        </w:tc>
        <w:tc>
          <w:tcPr>
            <w:tcW w:w="2685" w:type="dxa"/>
            <w:vAlign w:val="center"/>
          </w:tcPr>
          <w:p w14:paraId="03B102C0" w14:textId="6978A2DD" w:rsidR="00993813" w:rsidRDefault="00950BB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60</w:t>
            </w:r>
          </w:p>
        </w:tc>
      </w:tr>
      <w:tr w:rsidR="00993813" w14:paraId="6B8A397C" w14:textId="77777777">
        <w:trPr>
          <w:trHeight w:hRule="exact" w:val="397"/>
          <w:jc w:val="center"/>
        </w:trPr>
        <w:tc>
          <w:tcPr>
            <w:tcW w:w="3158" w:type="dxa"/>
            <w:vAlign w:val="center"/>
          </w:tcPr>
          <w:p w14:paraId="31D09DEB" w14:textId="77777777" w:rsidR="00993813"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预算管理情况</w:t>
            </w:r>
          </w:p>
        </w:tc>
        <w:tc>
          <w:tcPr>
            <w:tcW w:w="1764" w:type="dxa"/>
            <w:vAlign w:val="center"/>
          </w:tcPr>
          <w:p w14:paraId="2B471079" w14:textId="77777777" w:rsidR="00993813"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20</w:t>
            </w:r>
          </w:p>
        </w:tc>
        <w:tc>
          <w:tcPr>
            <w:tcW w:w="2685" w:type="dxa"/>
            <w:vAlign w:val="center"/>
          </w:tcPr>
          <w:p w14:paraId="604FAC1A" w14:textId="77777777" w:rsidR="00993813"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17</w:t>
            </w:r>
          </w:p>
        </w:tc>
      </w:tr>
      <w:tr w:rsidR="00993813" w14:paraId="2D21B739" w14:textId="77777777">
        <w:trPr>
          <w:trHeight w:hRule="exact" w:val="397"/>
          <w:jc w:val="center"/>
        </w:trPr>
        <w:tc>
          <w:tcPr>
            <w:tcW w:w="3158" w:type="dxa"/>
            <w:vAlign w:val="center"/>
          </w:tcPr>
          <w:p w14:paraId="30CC344C" w14:textId="77777777" w:rsidR="00993813"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综合得分</w:t>
            </w:r>
          </w:p>
        </w:tc>
        <w:tc>
          <w:tcPr>
            <w:tcW w:w="1764" w:type="dxa"/>
            <w:vAlign w:val="center"/>
          </w:tcPr>
          <w:p w14:paraId="24FF10F7" w14:textId="77777777" w:rsidR="00993813"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100</w:t>
            </w:r>
          </w:p>
        </w:tc>
        <w:tc>
          <w:tcPr>
            <w:tcW w:w="2685" w:type="dxa"/>
            <w:vAlign w:val="center"/>
          </w:tcPr>
          <w:p w14:paraId="683AA6E6" w14:textId="0C6FB595" w:rsidR="00993813"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9</w:t>
            </w:r>
            <w:r w:rsidR="00950BB9">
              <w:rPr>
                <w:rFonts w:ascii="宋体" w:hAnsi="宋体" w:cs="宋体" w:hint="eastAsia"/>
                <w:color w:val="000000"/>
                <w:kern w:val="0"/>
                <w:szCs w:val="21"/>
              </w:rPr>
              <w:t>5</w:t>
            </w:r>
            <w:r>
              <w:rPr>
                <w:rFonts w:ascii="宋体" w:hAnsi="宋体" w:cs="宋体" w:hint="eastAsia"/>
                <w:color w:val="000000"/>
                <w:kern w:val="0"/>
                <w:szCs w:val="21"/>
              </w:rPr>
              <w:t>.21</w:t>
            </w:r>
          </w:p>
        </w:tc>
      </w:tr>
    </w:tbl>
    <w:p w14:paraId="017ECE3E" w14:textId="77777777" w:rsidR="00993813" w:rsidRDefault="00000000">
      <w:pPr>
        <w:spacing w:line="560" w:lineRule="exact"/>
        <w:ind w:firstLineChars="200" w:firstLine="640"/>
        <w:outlineLvl w:val="1"/>
        <w:rPr>
          <w:rFonts w:ascii="楷体_GB2312" w:eastAsia="楷体_GB2312"/>
          <w:sz w:val="32"/>
          <w:szCs w:val="32"/>
        </w:rPr>
      </w:pPr>
      <w:bookmarkStart w:id="18" w:name="_Toc1422"/>
      <w:r>
        <w:rPr>
          <w:rFonts w:ascii="楷体_GB2312" w:eastAsia="楷体_GB2312" w:hint="eastAsia"/>
          <w:sz w:val="32"/>
          <w:szCs w:val="32"/>
        </w:rPr>
        <w:t>（二）存在的问题及原因分析</w:t>
      </w:r>
      <w:bookmarkEnd w:id="18"/>
    </w:p>
    <w:p w14:paraId="78BACD67"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1.部门整体绩效目标申报表填写不够完整，未体现产出成本、产出进度、经济效益、社会效益、服务对象满意度等指标，缺少资金使用计划、实施进度安排，指标的可</w:t>
      </w:r>
      <w:proofErr w:type="gramStart"/>
      <w:r>
        <w:rPr>
          <w:rFonts w:ascii="仿宋" w:eastAsia="仿宋" w:hAnsi="仿宋" w:cs="仿宋" w:hint="eastAsia"/>
          <w:sz w:val="32"/>
          <w:szCs w:val="32"/>
        </w:rPr>
        <w:t>考量</w:t>
      </w:r>
      <w:proofErr w:type="gramEnd"/>
      <w:r>
        <w:rPr>
          <w:rFonts w:ascii="仿宋" w:eastAsia="仿宋" w:hAnsi="仿宋" w:cs="仿宋" w:hint="eastAsia"/>
          <w:sz w:val="32"/>
          <w:szCs w:val="32"/>
        </w:rPr>
        <w:t>性不足。</w:t>
      </w:r>
    </w:p>
    <w:p w14:paraId="3166E10E" w14:textId="62CEE48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sz w:val="32"/>
          <w:szCs w:val="32"/>
        </w:rPr>
        <w:t>.</w:t>
      </w:r>
      <w:r>
        <w:rPr>
          <w:rFonts w:ascii="仿宋" w:eastAsia="仿宋" w:hAnsi="仿宋" w:cs="仿宋" w:hint="eastAsia"/>
          <w:sz w:val="32"/>
          <w:szCs w:val="32"/>
        </w:rPr>
        <w:t>未建立绩效跟踪管理办法，对资金支出和项目实施过程中与财政预算绩效管理有关的资金到位、资金支出、项目进程、目标实现等动态情况进行跟踪管理。未及时对财政支出的绩效目标实现程度、项目实施进度等情况进行汇总分析整理。</w:t>
      </w:r>
    </w:p>
    <w:p w14:paraId="52D4A609"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sz w:val="32"/>
          <w:szCs w:val="32"/>
        </w:rPr>
        <w:t>3.</w:t>
      </w:r>
      <w:r>
        <w:rPr>
          <w:rFonts w:hint="eastAsia"/>
        </w:rPr>
        <w:t xml:space="preserve"> </w:t>
      </w:r>
      <w:r>
        <w:rPr>
          <w:rFonts w:ascii="仿宋" w:eastAsia="仿宋" w:hAnsi="仿宋" w:cs="仿宋" w:hint="eastAsia"/>
          <w:sz w:val="32"/>
          <w:szCs w:val="32"/>
        </w:rPr>
        <w:t>部分项目支出存在支出进度慢的问题，如：大兴法院中央空调管道改造工程项目、大兴区</w:t>
      </w:r>
      <w:proofErr w:type="gramStart"/>
      <w:r>
        <w:rPr>
          <w:rFonts w:ascii="仿宋" w:eastAsia="仿宋" w:hAnsi="仿宋" w:cs="仿宋" w:hint="eastAsia"/>
          <w:sz w:val="32"/>
          <w:szCs w:val="32"/>
        </w:rPr>
        <w:t>庞</w:t>
      </w:r>
      <w:proofErr w:type="gramEnd"/>
      <w:r>
        <w:rPr>
          <w:rFonts w:ascii="仿宋" w:eastAsia="仿宋" w:hAnsi="仿宋" w:cs="仿宋" w:hint="eastAsia"/>
          <w:sz w:val="32"/>
          <w:szCs w:val="32"/>
        </w:rPr>
        <w:t>各庄人民法庭项目等，支出进度慢的项目主要集中于维修（护）类项目及基础设施建设类项目，受制于施工进度。</w:t>
      </w:r>
    </w:p>
    <w:p w14:paraId="42F279D7" w14:textId="04071DBF"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sz w:val="32"/>
          <w:szCs w:val="32"/>
        </w:rPr>
        <w:t>4.</w:t>
      </w:r>
      <w:r>
        <w:rPr>
          <w:rFonts w:ascii="仿宋" w:eastAsia="仿宋" w:hAnsi="仿宋" w:cs="仿宋" w:hint="eastAsia"/>
          <w:sz w:val="32"/>
          <w:szCs w:val="32"/>
        </w:rPr>
        <w:t>2023年部门整体绩效目标关于效果</w:t>
      </w:r>
      <w:r w:rsidRPr="00135C25">
        <w:rPr>
          <w:rFonts w:ascii="仿宋" w:eastAsia="仿宋" w:hAnsi="仿宋" w:cs="仿宋" w:hint="eastAsia"/>
          <w:sz w:val="32"/>
          <w:szCs w:val="32"/>
        </w:rPr>
        <w:t>实现情况的资料呈现不足，缺少相关资料的收集和统计分析</w:t>
      </w:r>
      <w:r w:rsidR="00135C25" w:rsidRPr="00135C25">
        <w:rPr>
          <w:rFonts w:ascii="仿宋" w:eastAsia="仿宋" w:hAnsi="仿宋" w:cs="仿宋" w:hint="eastAsia"/>
          <w:sz w:val="32"/>
          <w:szCs w:val="32"/>
        </w:rPr>
        <w:t>。</w:t>
      </w:r>
    </w:p>
    <w:p w14:paraId="6B390D63" w14:textId="77777777" w:rsidR="00993813" w:rsidRDefault="00000000">
      <w:pPr>
        <w:pStyle w:val="21"/>
        <w:spacing w:after="0" w:line="560" w:lineRule="exact"/>
        <w:ind w:leftChars="0" w:left="0" w:firstLineChars="200" w:firstLine="640"/>
        <w:outlineLvl w:val="0"/>
        <w:rPr>
          <w:rFonts w:ascii="仿宋_GB2312" w:eastAsia="仿宋_GB2312" w:hAnsi="宋体" w:cs="宋体"/>
          <w:color w:val="000000"/>
          <w:kern w:val="0"/>
          <w:sz w:val="32"/>
          <w:szCs w:val="32"/>
        </w:rPr>
      </w:pPr>
      <w:bookmarkStart w:id="19" w:name="_Toc27090"/>
      <w:r>
        <w:rPr>
          <w:rFonts w:ascii="黑体" w:eastAsia="黑体" w:hAnsi="黑体" w:cs="宋体" w:hint="eastAsia"/>
          <w:color w:val="000000"/>
          <w:kern w:val="0"/>
          <w:sz w:val="32"/>
          <w:szCs w:val="32"/>
        </w:rPr>
        <w:t>六、措施建议</w:t>
      </w:r>
      <w:bookmarkEnd w:id="19"/>
    </w:p>
    <w:p w14:paraId="06C37878" w14:textId="77777777" w:rsidR="00993813" w:rsidRDefault="00000000">
      <w:pPr>
        <w:spacing w:line="560" w:lineRule="exact"/>
        <w:ind w:firstLineChars="200" w:firstLine="640"/>
        <w:rPr>
          <w:rFonts w:ascii="仿宋" w:eastAsia="仿宋" w:hAnsi="仿宋" w:cs="仿宋"/>
          <w:sz w:val="32"/>
          <w:szCs w:val="32"/>
        </w:rPr>
      </w:pPr>
      <w:bookmarkStart w:id="20" w:name="_Toc24942"/>
      <w:r>
        <w:rPr>
          <w:rFonts w:ascii="仿宋" w:eastAsia="仿宋" w:hAnsi="仿宋" w:cs="仿宋"/>
          <w:sz w:val="32"/>
          <w:szCs w:val="32"/>
        </w:rPr>
        <w:t>1.</w:t>
      </w:r>
      <w:r>
        <w:rPr>
          <w:rFonts w:ascii="仿宋" w:eastAsia="仿宋" w:hAnsi="仿宋" w:cs="仿宋" w:hint="eastAsia"/>
          <w:sz w:val="32"/>
          <w:szCs w:val="32"/>
        </w:rPr>
        <w:t>建议</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人民法院结合部门职能、年度工作计划和重点工作任务，梳理部门主要产出和绩效，合理设置部门年度绩效目标和绩效指标，保证各项指标细化、量化和准确；提高绩效意识，加强绩效结果应用。</w:t>
      </w:r>
    </w:p>
    <w:p w14:paraId="13F13D7B" w14:textId="60B5DB4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2</w:t>
      </w:r>
      <w:r>
        <w:rPr>
          <w:rFonts w:ascii="仿宋" w:eastAsia="仿宋" w:hAnsi="仿宋" w:cs="仿宋"/>
          <w:sz w:val="32"/>
          <w:szCs w:val="32"/>
        </w:rPr>
        <w:t>.</w:t>
      </w:r>
      <w:r>
        <w:rPr>
          <w:rFonts w:ascii="仿宋" w:eastAsia="仿宋" w:hAnsi="仿宋" w:cs="仿宋" w:hint="eastAsia"/>
          <w:sz w:val="32"/>
          <w:szCs w:val="32"/>
        </w:rPr>
        <w:t>建议建立绩效跟踪管理办法，根据确定的绩效目标，运用科学、合理的绩效信息汇总分析方法，对财政支出的绩效目标实现程度、项目实施进度等情况进行阶段性跟踪管理和督促检查，及时发现问题并采取有效的措施纠正偏离绩效目标情况的管理活动。</w:t>
      </w:r>
      <w:bookmarkEnd w:id="20"/>
    </w:p>
    <w:p w14:paraId="28D05FC4"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建议在严格执行各项财政政策、严格资金支付流程的基础上，加快资金支出进度，根据各项工作相关要求，跟踪各项</w:t>
      </w:r>
      <w:proofErr w:type="gramStart"/>
      <w:r>
        <w:rPr>
          <w:rFonts w:ascii="仿宋" w:eastAsia="仿宋" w:hAnsi="仿宋" w:cs="仿宋" w:hint="eastAsia"/>
          <w:sz w:val="32"/>
          <w:szCs w:val="32"/>
        </w:rPr>
        <w:t>目执行</w:t>
      </w:r>
      <w:proofErr w:type="gramEnd"/>
      <w:r>
        <w:rPr>
          <w:rFonts w:ascii="仿宋" w:eastAsia="仿宋" w:hAnsi="仿宋" w:cs="仿宋" w:hint="eastAsia"/>
          <w:sz w:val="32"/>
          <w:szCs w:val="32"/>
        </w:rPr>
        <w:t>落实情况，按照合同约定付款时间及项目进度提示各项目经办人及时办理资金支付，切实提高财政资金使用效益。</w:t>
      </w:r>
    </w:p>
    <w:p w14:paraId="5CF6B200" w14:textId="68C2AD44"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sz w:val="32"/>
          <w:szCs w:val="32"/>
        </w:rPr>
        <w:t>.</w:t>
      </w:r>
      <w:r>
        <w:rPr>
          <w:rFonts w:ascii="仿宋" w:eastAsia="仿宋" w:hAnsi="仿宋" w:cs="仿宋" w:hint="eastAsia"/>
          <w:sz w:val="32"/>
          <w:szCs w:val="32"/>
        </w:rPr>
        <w:t>建议牢固树立绩效管理理念，加强绩效成果和项目效益的挖掘，注重收集绩效成果资料和效益支撑材料，充分展示项目效果和效益。</w:t>
      </w:r>
      <w:r>
        <w:rPr>
          <w:rFonts w:ascii="仿宋" w:eastAsia="仿宋" w:hAnsi="仿宋" w:cs="仿宋"/>
          <w:sz w:val="32"/>
          <w:szCs w:val="32"/>
        </w:rPr>
        <w:t xml:space="preserve"> </w:t>
      </w:r>
    </w:p>
    <w:p w14:paraId="7F1794FE" w14:textId="77777777" w:rsidR="00993813" w:rsidRDefault="00000000">
      <w:pPr>
        <w:pStyle w:val="21"/>
        <w:spacing w:after="0" w:line="560" w:lineRule="exact"/>
        <w:ind w:leftChars="0" w:left="0" w:firstLineChars="200" w:firstLine="640"/>
        <w:outlineLvl w:val="0"/>
        <w:rPr>
          <w:rFonts w:ascii="黑体" w:eastAsia="黑体" w:hAnsi="黑体" w:cs="宋体"/>
          <w:color w:val="000000"/>
          <w:kern w:val="0"/>
          <w:sz w:val="32"/>
          <w:szCs w:val="32"/>
        </w:rPr>
      </w:pPr>
      <w:bookmarkStart w:id="21" w:name="_Toc28380"/>
      <w:r>
        <w:rPr>
          <w:rFonts w:ascii="黑体" w:eastAsia="黑体" w:hAnsi="黑体" w:cs="宋体" w:hint="eastAsia"/>
          <w:color w:val="000000"/>
          <w:kern w:val="0"/>
          <w:sz w:val="32"/>
          <w:szCs w:val="32"/>
        </w:rPr>
        <w:t>七、附件</w:t>
      </w:r>
      <w:bookmarkEnd w:id="21"/>
    </w:p>
    <w:p w14:paraId="46BBE329" w14:textId="77777777" w:rsidR="00993813"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2023年部门整体绩效评价指标体系评分表</w:t>
      </w:r>
    </w:p>
    <w:p w14:paraId="310684B8" w14:textId="77777777" w:rsidR="00993813" w:rsidRDefault="00993813">
      <w:pPr>
        <w:jc w:val="left"/>
        <w:rPr>
          <w:sz w:val="32"/>
          <w:szCs w:val="32"/>
          <w:u w:val="single"/>
        </w:rPr>
      </w:pPr>
    </w:p>
    <w:p w14:paraId="621E651A" w14:textId="77777777" w:rsidR="00993813" w:rsidRDefault="00993813">
      <w:pPr>
        <w:spacing w:line="560" w:lineRule="exact"/>
        <w:outlineLvl w:val="0"/>
        <w:rPr>
          <w:rFonts w:ascii="黑体" w:eastAsia="黑体" w:hAnsi="黑体" w:cs="黑体"/>
          <w:bCs/>
          <w:color w:val="000000"/>
          <w:kern w:val="0"/>
          <w:sz w:val="32"/>
          <w:szCs w:val="32"/>
        </w:rPr>
      </w:pPr>
    </w:p>
    <w:p w14:paraId="4319839E" w14:textId="77777777" w:rsidR="00993813" w:rsidRDefault="00000000">
      <w:pPr>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br w:type="page"/>
      </w:r>
    </w:p>
    <w:p w14:paraId="44DB10D3" w14:textId="77777777" w:rsidR="00993813" w:rsidRDefault="00993813">
      <w:pPr>
        <w:pStyle w:val="a7"/>
        <w:sectPr w:rsidR="00993813">
          <w:footerReference w:type="default" r:id="rId12"/>
          <w:pgSz w:w="11906" w:h="16838"/>
          <w:pgMar w:top="1440" w:right="1800" w:bottom="1440" w:left="1800" w:header="851" w:footer="992" w:gutter="0"/>
          <w:pgNumType w:start="1"/>
          <w:cols w:space="425"/>
          <w:docGrid w:type="lines" w:linePitch="312"/>
        </w:sectPr>
      </w:pPr>
    </w:p>
    <w:p w14:paraId="232152FC" w14:textId="77777777" w:rsidR="00993813" w:rsidRDefault="00000000">
      <w:pPr>
        <w:spacing w:line="560" w:lineRule="exact"/>
        <w:jc w:val="left"/>
        <w:rPr>
          <w:rFonts w:ascii="仿宋" w:eastAsia="仿宋" w:hAnsi="仿宋" w:cs="宋体"/>
          <w:color w:val="000000"/>
          <w:kern w:val="0"/>
          <w:sz w:val="32"/>
          <w:szCs w:val="32"/>
        </w:rPr>
      </w:pPr>
      <w:r>
        <w:rPr>
          <w:rFonts w:ascii="仿宋" w:eastAsia="仿宋" w:hAnsi="仿宋" w:cs="宋体" w:hint="eastAsia"/>
          <w:color w:val="000000"/>
          <w:kern w:val="0"/>
          <w:sz w:val="32"/>
          <w:szCs w:val="32"/>
        </w:rPr>
        <w:lastRenderedPageBreak/>
        <w:t>附件：2023年部门整体绩效评价</w:t>
      </w:r>
      <w:r>
        <w:rPr>
          <w:rFonts w:ascii="仿宋" w:eastAsia="仿宋" w:hAnsi="仿宋" w:cs="微软雅黑" w:hint="eastAsia"/>
          <w:color w:val="000000"/>
          <w:kern w:val="0"/>
          <w:sz w:val="32"/>
          <w:szCs w:val="32"/>
        </w:rPr>
        <w:t>指标</w:t>
      </w:r>
      <w:r>
        <w:rPr>
          <w:rFonts w:ascii="仿宋" w:eastAsia="仿宋" w:hAnsi="仿宋" w:cs="___WRD_EMBED_SUB_47" w:hint="eastAsia"/>
          <w:color w:val="000000"/>
          <w:kern w:val="0"/>
          <w:sz w:val="32"/>
          <w:szCs w:val="32"/>
        </w:rPr>
        <w:t>体</w:t>
      </w:r>
      <w:r>
        <w:rPr>
          <w:rFonts w:ascii="仿宋" w:eastAsia="仿宋" w:hAnsi="仿宋" w:cs="微软雅黑" w:hint="eastAsia"/>
          <w:color w:val="000000"/>
          <w:kern w:val="0"/>
          <w:sz w:val="32"/>
          <w:szCs w:val="32"/>
        </w:rPr>
        <w:t>系</w:t>
      </w:r>
      <w:r>
        <w:rPr>
          <w:rFonts w:ascii="仿宋" w:eastAsia="仿宋" w:hAnsi="仿宋" w:cs="___WRD_EMBED_SUB_47" w:hint="eastAsia"/>
          <w:color w:val="000000"/>
          <w:kern w:val="0"/>
          <w:sz w:val="32"/>
          <w:szCs w:val="32"/>
        </w:rPr>
        <w:t>评</w:t>
      </w:r>
      <w:r>
        <w:rPr>
          <w:rFonts w:ascii="仿宋" w:eastAsia="仿宋" w:hAnsi="仿宋" w:cs="微软雅黑" w:hint="eastAsia"/>
          <w:color w:val="000000"/>
          <w:kern w:val="0"/>
          <w:sz w:val="32"/>
          <w:szCs w:val="32"/>
        </w:rPr>
        <w:t>分</w:t>
      </w:r>
      <w:r>
        <w:rPr>
          <w:rFonts w:ascii="仿宋" w:eastAsia="仿宋" w:hAnsi="仿宋" w:cs="___WRD_EMBED_SUB_47" w:hint="eastAsia"/>
          <w:color w:val="000000"/>
          <w:kern w:val="0"/>
          <w:sz w:val="32"/>
          <w:szCs w:val="32"/>
        </w:rPr>
        <w:t>表</w:t>
      </w:r>
    </w:p>
    <w:tbl>
      <w:tblPr>
        <w:tblW w:w="15440" w:type="dxa"/>
        <w:tblInd w:w="-601" w:type="dxa"/>
        <w:tblLayout w:type="fixed"/>
        <w:tblLook w:val="04A0" w:firstRow="1" w:lastRow="0" w:firstColumn="1" w:lastColumn="0" w:noHBand="0" w:noVBand="1"/>
      </w:tblPr>
      <w:tblGrid>
        <w:gridCol w:w="1190"/>
        <w:gridCol w:w="1054"/>
        <w:gridCol w:w="1335"/>
        <w:gridCol w:w="1285"/>
        <w:gridCol w:w="9"/>
        <w:gridCol w:w="3653"/>
        <w:gridCol w:w="12"/>
        <w:gridCol w:w="741"/>
        <w:gridCol w:w="12"/>
        <w:gridCol w:w="818"/>
        <w:gridCol w:w="12"/>
        <w:gridCol w:w="3483"/>
        <w:gridCol w:w="12"/>
        <w:gridCol w:w="1797"/>
        <w:gridCol w:w="12"/>
        <w:gridCol w:w="15"/>
      </w:tblGrid>
      <w:tr w:rsidR="00993813" w14:paraId="57FF667F" w14:textId="77777777">
        <w:trPr>
          <w:cantSplit/>
          <w:trHeight w:val="90"/>
        </w:trPr>
        <w:tc>
          <w:tcPr>
            <w:tcW w:w="15440" w:type="dxa"/>
            <w:gridSpan w:val="16"/>
            <w:tcBorders>
              <w:top w:val="nil"/>
              <w:left w:val="nil"/>
              <w:bottom w:val="single" w:sz="4" w:space="0" w:color="auto"/>
              <w:right w:val="nil"/>
            </w:tcBorders>
            <w:noWrap/>
            <w:vAlign w:val="bottom"/>
          </w:tcPr>
          <w:p w14:paraId="50794957" w14:textId="77777777" w:rsidR="00993813" w:rsidRDefault="00000000">
            <w:pPr>
              <w:widowControl/>
              <w:jc w:val="center"/>
              <w:rPr>
                <w:rFonts w:ascii="微软雅黑" w:eastAsia="微软雅黑" w:hAnsi="黑体" w:cs="宋体"/>
                <w:color w:val="000000"/>
                <w:kern w:val="0"/>
                <w:sz w:val="44"/>
                <w:szCs w:val="44"/>
              </w:rPr>
            </w:pPr>
            <w:r>
              <w:rPr>
                <w:rFonts w:ascii="微软雅黑" w:eastAsia="微软雅黑" w:hAnsi="黑体" w:cs="宋体" w:hint="eastAsia"/>
                <w:color w:val="000000"/>
                <w:kern w:val="0"/>
                <w:sz w:val="44"/>
                <w:szCs w:val="44"/>
              </w:rPr>
              <w:t>2023年部门整体绩效评价指标体系评分表</w:t>
            </w:r>
          </w:p>
        </w:tc>
      </w:tr>
      <w:tr w:rsidR="00993813" w14:paraId="7160F739" w14:textId="77777777">
        <w:trPr>
          <w:cantSplit/>
          <w:trHeight w:val="470"/>
        </w:trPr>
        <w:tc>
          <w:tcPr>
            <w:tcW w:w="15440" w:type="dxa"/>
            <w:gridSpan w:val="16"/>
            <w:tcBorders>
              <w:top w:val="single" w:sz="4" w:space="0" w:color="auto"/>
              <w:left w:val="single" w:sz="4" w:space="0" w:color="auto"/>
              <w:bottom w:val="single" w:sz="4" w:space="0" w:color="000000"/>
              <w:right w:val="single" w:sz="4" w:space="0" w:color="auto"/>
            </w:tcBorders>
            <w:vAlign w:val="center"/>
          </w:tcPr>
          <w:p w14:paraId="7C0BF272" w14:textId="77777777" w:rsidR="00993813"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当年预算执行情况（20分）</w:t>
            </w:r>
          </w:p>
        </w:tc>
      </w:tr>
      <w:tr w:rsidR="00993813" w14:paraId="3DA0DE3A" w14:textId="77777777">
        <w:trPr>
          <w:gridAfter w:val="2"/>
          <w:wAfter w:w="27" w:type="dxa"/>
          <w:cantSplit/>
          <w:trHeight w:val="660"/>
        </w:trPr>
        <w:tc>
          <w:tcPr>
            <w:tcW w:w="1190" w:type="dxa"/>
            <w:tcBorders>
              <w:top w:val="single" w:sz="4" w:space="0" w:color="auto"/>
              <w:left w:val="single" w:sz="4" w:space="0" w:color="auto"/>
              <w:bottom w:val="single" w:sz="4" w:space="0" w:color="auto"/>
              <w:right w:val="single" w:sz="4" w:space="0" w:color="auto"/>
            </w:tcBorders>
            <w:vAlign w:val="center"/>
          </w:tcPr>
          <w:p w14:paraId="2FF930A2"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1054" w:type="dxa"/>
            <w:tcBorders>
              <w:top w:val="single" w:sz="4" w:space="0" w:color="auto"/>
              <w:left w:val="single" w:sz="4" w:space="0" w:color="auto"/>
              <w:bottom w:val="single" w:sz="4" w:space="0" w:color="auto"/>
              <w:right w:val="single" w:sz="4" w:space="0" w:color="auto"/>
            </w:tcBorders>
            <w:vAlign w:val="center"/>
          </w:tcPr>
          <w:p w14:paraId="05CB7220"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1335" w:type="dxa"/>
            <w:tcBorders>
              <w:top w:val="single" w:sz="4" w:space="0" w:color="auto"/>
              <w:left w:val="single" w:sz="4" w:space="0" w:color="auto"/>
              <w:bottom w:val="single" w:sz="4" w:space="0" w:color="auto"/>
              <w:right w:val="single" w:sz="4" w:space="0" w:color="auto"/>
            </w:tcBorders>
            <w:vAlign w:val="center"/>
          </w:tcPr>
          <w:p w14:paraId="68E5DCBC"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1285" w:type="dxa"/>
            <w:tcBorders>
              <w:top w:val="single" w:sz="4" w:space="0" w:color="auto"/>
              <w:left w:val="single" w:sz="4" w:space="0" w:color="auto"/>
              <w:bottom w:val="single" w:sz="4" w:space="0" w:color="auto"/>
              <w:right w:val="single" w:sz="4" w:space="0" w:color="auto"/>
            </w:tcBorders>
            <w:vAlign w:val="center"/>
          </w:tcPr>
          <w:p w14:paraId="55521174"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3662" w:type="dxa"/>
            <w:gridSpan w:val="2"/>
            <w:tcBorders>
              <w:top w:val="single" w:sz="4" w:space="0" w:color="auto"/>
              <w:left w:val="single" w:sz="4" w:space="0" w:color="auto"/>
              <w:bottom w:val="single" w:sz="4" w:space="0" w:color="auto"/>
              <w:right w:val="single" w:sz="4" w:space="0" w:color="auto"/>
            </w:tcBorders>
            <w:vAlign w:val="center"/>
          </w:tcPr>
          <w:p w14:paraId="48748454"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753" w:type="dxa"/>
            <w:gridSpan w:val="2"/>
            <w:tcBorders>
              <w:top w:val="single" w:sz="4" w:space="0" w:color="auto"/>
              <w:left w:val="single" w:sz="4" w:space="0" w:color="auto"/>
              <w:bottom w:val="single" w:sz="4" w:space="0" w:color="auto"/>
              <w:right w:val="single" w:sz="4" w:space="0" w:color="auto"/>
            </w:tcBorders>
            <w:vAlign w:val="center"/>
          </w:tcPr>
          <w:p w14:paraId="390567A7"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1F66430B"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3495" w:type="dxa"/>
            <w:gridSpan w:val="2"/>
            <w:tcBorders>
              <w:top w:val="single" w:sz="4" w:space="0" w:color="auto"/>
              <w:left w:val="single" w:sz="4" w:space="0" w:color="auto"/>
              <w:bottom w:val="single" w:sz="4" w:space="0" w:color="auto"/>
              <w:right w:val="single" w:sz="4" w:space="0" w:color="auto"/>
            </w:tcBorders>
            <w:vAlign w:val="center"/>
          </w:tcPr>
          <w:p w14:paraId="3126BA83"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指标解释</w:t>
            </w:r>
          </w:p>
        </w:tc>
        <w:tc>
          <w:tcPr>
            <w:tcW w:w="1809" w:type="dxa"/>
            <w:gridSpan w:val="2"/>
            <w:tcBorders>
              <w:top w:val="single" w:sz="4" w:space="0" w:color="auto"/>
              <w:left w:val="nil"/>
              <w:bottom w:val="single" w:sz="4" w:space="0" w:color="auto"/>
              <w:right w:val="single" w:sz="4" w:space="0" w:color="auto"/>
            </w:tcBorders>
            <w:vAlign w:val="center"/>
          </w:tcPr>
          <w:p w14:paraId="35CE124D"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评分标准</w:t>
            </w:r>
          </w:p>
        </w:tc>
      </w:tr>
      <w:tr w:rsidR="00993813" w14:paraId="7C6AA29B" w14:textId="77777777">
        <w:trPr>
          <w:gridAfter w:val="2"/>
          <w:wAfter w:w="27" w:type="dxa"/>
          <w:cantSplit/>
          <w:trHeight w:val="630"/>
        </w:trPr>
        <w:tc>
          <w:tcPr>
            <w:tcW w:w="1190" w:type="dxa"/>
            <w:vMerge w:val="restart"/>
            <w:tcBorders>
              <w:top w:val="nil"/>
              <w:left w:val="single" w:sz="4" w:space="0" w:color="auto"/>
              <w:bottom w:val="single" w:sz="4" w:space="0" w:color="000000"/>
              <w:right w:val="single" w:sz="4" w:space="0" w:color="auto"/>
            </w:tcBorders>
            <w:vAlign w:val="center"/>
          </w:tcPr>
          <w:p w14:paraId="5F7A3122" w14:textId="77777777" w:rsidR="00993813" w:rsidRDefault="00000000">
            <w:pPr>
              <w:widowControl/>
              <w:jc w:val="right"/>
              <w:rPr>
                <w:rFonts w:ascii="宋体" w:hAnsi="宋体" w:cs="宋体"/>
                <w:color w:val="000000"/>
                <w:kern w:val="0"/>
                <w:sz w:val="20"/>
                <w:szCs w:val="20"/>
              </w:rPr>
            </w:pPr>
            <w:r>
              <w:rPr>
                <w:rFonts w:ascii="宋体" w:hAnsi="宋体" w:cs="宋体" w:hint="eastAsia"/>
                <w:color w:val="000000"/>
                <w:kern w:val="0"/>
                <w:sz w:val="20"/>
                <w:szCs w:val="20"/>
              </w:rPr>
              <w:t>当年预算执行情况（20）</w:t>
            </w:r>
          </w:p>
        </w:tc>
        <w:tc>
          <w:tcPr>
            <w:tcW w:w="1054" w:type="dxa"/>
            <w:tcBorders>
              <w:top w:val="single" w:sz="4" w:space="0" w:color="auto"/>
              <w:left w:val="single" w:sz="4" w:space="0" w:color="auto"/>
              <w:bottom w:val="single" w:sz="4" w:space="0" w:color="auto"/>
              <w:right w:val="single" w:sz="4" w:space="0" w:color="auto"/>
            </w:tcBorders>
            <w:vAlign w:val="center"/>
          </w:tcPr>
          <w:p w14:paraId="6DBBCBED"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资金总体</w:t>
            </w:r>
          </w:p>
        </w:tc>
        <w:tc>
          <w:tcPr>
            <w:tcW w:w="1335" w:type="dxa"/>
            <w:tcBorders>
              <w:top w:val="single" w:sz="4" w:space="0" w:color="auto"/>
              <w:left w:val="single" w:sz="4" w:space="0" w:color="auto"/>
              <w:bottom w:val="single" w:sz="4" w:space="0" w:color="auto"/>
              <w:right w:val="single" w:sz="4" w:space="0" w:color="auto"/>
            </w:tcBorders>
            <w:vAlign w:val="center"/>
          </w:tcPr>
          <w:p w14:paraId="588B367C" w14:textId="77777777" w:rsidR="00993813" w:rsidRDefault="00000000">
            <w:pPr>
              <w:widowControl/>
              <w:jc w:val="right"/>
              <w:rPr>
                <w:rFonts w:asciiTheme="minorEastAsia" w:eastAsiaTheme="minorEastAsia" w:hAnsiTheme="minorEastAsia" w:cs="宋体"/>
                <w:color w:val="000000"/>
                <w:kern w:val="0"/>
                <w:sz w:val="20"/>
                <w:szCs w:val="20"/>
              </w:rPr>
            </w:pPr>
            <w:r>
              <w:rPr>
                <w:rFonts w:asciiTheme="minorEastAsia" w:eastAsiaTheme="minorEastAsia" w:hAnsiTheme="minorEastAsia"/>
              </w:rPr>
              <w:t>27,086.29</w:t>
            </w:r>
          </w:p>
        </w:tc>
        <w:tc>
          <w:tcPr>
            <w:tcW w:w="1285" w:type="dxa"/>
            <w:tcBorders>
              <w:top w:val="single" w:sz="4" w:space="0" w:color="auto"/>
              <w:left w:val="single" w:sz="4" w:space="0" w:color="auto"/>
              <w:bottom w:val="single" w:sz="4" w:space="0" w:color="auto"/>
              <w:right w:val="single" w:sz="4" w:space="0" w:color="auto"/>
            </w:tcBorders>
            <w:vAlign w:val="center"/>
          </w:tcPr>
          <w:p w14:paraId="6FB628C2" w14:textId="77777777" w:rsidR="00993813" w:rsidRDefault="00000000">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rPr>
              <w:t>24,661.74</w:t>
            </w:r>
          </w:p>
        </w:tc>
        <w:tc>
          <w:tcPr>
            <w:tcW w:w="3662" w:type="dxa"/>
            <w:gridSpan w:val="2"/>
            <w:tcBorders>
              <w:top w:val="single" w:sz="4" w:space="0" w:color="auto"/>
              <w:left w:val="single" w:sz="4" w:space="0" w:color="auto"/>
              <w:bottom w:val="single" w:sz="4" w:space="0" w:color="auto"/>
              <w:right w:val="single" w:sz="4" w:space="0" w:color="auto"/>
            </w:tcBorders>
            <w:vAlign w:val="center"/>
          </w:tcPr>
          <w:p w14:paraId="3A468207" w14:textId="77777777" w:rsidR="00993813" w:rsidRDefault="00000000">
            <w:pPr>
              <w:widowControl/>
              <w:jc w:val="center"/>
              <w:rPr>
                <w:rFonts w:ascii="宋体" w:hAnsi="宋体" w:cs="宋体"/>
                <w:color w:val="000000"/>
                <w:kern w:val="0"/>
                <w:sz w:val="20"/>
                <w:szCs w:val="20"/>
              </w:rPr>
            </w:pPr>
            <w:r>
              <w:rPr>
                <w:rFonts w:ascii="宋体" w:hAnsi="宋体" w:cs="宋体"/>
                <w:color w:val="000000"/>
                <w:kern w:val="0"/>
                <w:sz w:val="20"/>
                <w:szCs w:val="20"/>
              </w:rPr>
              <w:t>91.05%</w:t>
            </w:r>
          </w:p>
        </w:tc>
        <w:tc>
          <w:tcPr>
            <w:tcW w:w="753" w:type="dxa"/>
            <w:gridSpan w:val="2"/>
            <w:vMerge w:val="restart"/>
            <w:tcBorders>
              <w:top w:val="single" w:sz="4" w:space="0" w:color="auto"/>
              <w:left w:val="single" w:sz="4" w:space="0" w:color="auto"/>
              <w:bottom w:val="single" w:sz="4" w:space="0" w:color="auto"/>
              <w:right w:val="single" w:sz="4" w:space="0" w:color="auto"/>
            </w:tcBorders>
            <w:noWrap/>
            <w:vAlign w:val="center"/>
          </w:tcPr>
          <w:p w14:paraId="3DF72195"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830" w:type="dxa"/>
            <w:gridSpan w:val="2"/>
            <w:vMerge w:val="restart"/>
            <w:tcBorders>
              <w:top w:val="single" w:sz="4" w:space="0" w:color="auto"/>
              <w:left w:val="single" w:sz="4" w:space="0" w:color="auto"/>
              <w:bottom w:val="single" w:sz="4" w:space="0" w:color="auto"/>
              <w:right w:val="single" w:sz="4" w:space="0" w:color="auto"/>
            </w:tcBorders>
            <w:noWrap/>
            <w:vAlign w:val="center"/>
          </w:tcPr>
          <w:p w14:paraId="4CD01F34" w14:textId="77777777" w:rsidR="00993813" w:rsidRDefault="00000000">
            <w:pPr>
              <w:widowControl/>
              <w:jc w:val="center"/>
              <w:rPr>
                <w:rFonts w:ascii="宋体" w:hAnsi="宋体" w:cs="宋体"/>
                <w:color w:val="000000"/>
                <w:kern w:val="0"/>
                <w:sz w:val="20"/>
                <w:szCs w:val="20"/>
              </w:rPr>
            </w:pPr>
            <w:r>
              <w:rPr>
                <w:rFonts w:ascii="宋体" w:hAnsi="宋体" w:cs="宋体"/>
                <w:color w:val="000000"/>
                <w:kern w:val="0"/>
                <w:sz w:val="20"/>
                <w:szCs w:val="20"/>
              </w:rPr>
              <w:t>18.21</w:t>
            </w:r>
          </w:p>
        </w:tc>
        <w:tc>
          <w:tcPr>
            <w:tcW w:w="3495" w:type="dxa"/>
            <w:gridSpan w:val="2"/>
            <w:vMerge w:val="restart"/>
            <w:tcBorders>
              <w:top w:val="single" w:sz="4" w:space="0" w:color="auto"/>
              <w:left w:val="single" w:sz="4" w:space="0" w:color="auto"/>
              <w:bottom w:val="single" w:sz="4" w:space="0" w:color="auto"/>
              <w:right w:val="single" w:sz="4" w:space="0" w:color="auto"/>
            </w:tcBorders>
            <w:vAlign w:val="center"/>
          </w:tcPr>
          <w:p w14:paraId="6749F211" w14:textId="77777777" w:rsidR="00993813"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部门全年执行数与全年预算数的比率。资金总体=基本支出+项目支出+其他</w:t>
            </w:r>
          </w:p>
        </w:tc>
        <w:tc>
          <w:tcPr>
            <w:tcW w:w="1809" w:type="dxa"/>
            <w:gridSpan w:val="2"/>
            <w:vMerge w:val="restart"/>
            <w:tcBorders>
              <w:top w:val="nil"/>
              <w:left w:val="single" w:sz="4" w:space="0" w:color="auto"/>
              <w:bottom w:val="single" w:sz="4" w:space="0" w:color="auto"/>
              <w:right w:val="single" w:sz="4" w:space="0" w:color="auto"/>
            </w:tcBorders>
            <w:vAlign w:val="center"/>
          </w:tcPr>
          <w:p w14:paraId="1AD870C3" w14:textId="77777777" w:rsidR="00993813" w:rsidRDefault="00000000">
            <w:pPr>
              <w:widowControl/>
              <w:ind w:leftChars="-47" w:left="-99" w:firstLineChars="55" w:firstLine="99"/>
              <w:jc w:val="left"/>
              <w:rPr>
                <w:rFonts w:ascii="宋体" w:hAnsi="宋体" w:cs="宋体"/>
                <w:color w:val="000000"/>
                <w:kern w:val="0"/>
                <w:sz w:val="18"/>
                <w:szCs w:val="18"/>
              </w:rPr>
            </w:pPr>
            <w:r>
              <w:rPr>
                <w:rFonts w:ascii="宋体" w:hAnsi="宋体" w:cs="宋体" w:hint="eastAsia"/>
                <w:color w:val="000000"/>
                <w:kern w:val="0"/>
                <w:sz w:val="18"/>
                <w:szCs w:val="18"/>
              </w:rPr>
              <w:t>①得分一档最高不能超过该指标分值上限（20分）。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w:t>
            </w:r>
          </w:p>
        </w:tc>
      </w:tr>
      <w:tr w:rsidR="00993813" w14:paraId="5EB59B5F" w14:textId="77777777">
        <w:trPr>
          <w:gridAfter w:val="2"/>
          <w:wAfter w:w="27" w:type="dxa"/>
          <w:cantSplit/>
          <w:trHeight w:val="600"/>
        </w:trPr>
        <w:tc>
          <w:tcPr>
            <w:tcW w:w="1190" w:type="dxa"/>
            <w:vMerge/>
            <w:tcBorders>
              <w:top w:val="nil"/>
              <w:left w:val="single" w:sz="4" w:space="0" w:color="auto"/>
              <w:bottom w:val="single" w:sz="4" w:space="0" w:color="000000"/>
              <w:right w:val="single" w:sz="4" w:space="0" w:color="auto"/>
            </w:tcBorders>
            <w:vAlign w:val="center"/>
          </w:tcPr>
          <w:p w14:paraId="21ED163D" w14:textId="77777777" w:rsidR="00993813" w:rsidRDefault="00993813">
            <w:pPr>
              <w:widowControl/>
              <w:jc w:val="left"/>
              <w:rPr>
                <w:rFonts w:ascii="宋体" w:hAnsi="宋体" w:cs="宋体"/>
                <w:color w:val="000000"/>
                <w:kern w:val="0"/>
                <w:sz w:val="20"/>
                <w:szCs w:val="20"/>
              </w:rPr>
            </w:pPr>
          </w:p>
        </w:tc>
        <w:tc>
          <w:tcPr>
            <w:tcW w:w="1054" w:type="dxa"/>
            <w:tcBorders>
              <w:top w:val="single" w:sz="4" w:space="0" w:color="auto"/>
              <w:left w:val="single" w:sz="4" w:space="0" w:color="auto"/>
              <w:bottom w:val="single" w:sz="4" w:space="0" w:color="auto"/>
              <w:right w:val="nil"/>
            </w:tcBorders>
            <w:vAlign w:val="center"/>
          </w:tcPr>
          <w:p w14:paraId="1F7AD470"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基本支出</w:t>
            </w:r>
          </w:p>
        </w:tc>
        <w:tc>
          <w:tcPr>
            <w:tcW w:w="1335" w:type="dxa"/>
            <w:tcBorders>
              <w:top w:val="single" w:sz="4" w:space="0" w:color="auto"/>
              <w:left w:val="single" w:sz="4" w:space="0" w:color="auto"/>
              <w:bottom w:val="single" w:sz="4" w:space="0" w:color="auto"/>
              <w:right w:val="single" w:sz="4" w:space="0" w:color="auto"/>
            </w:tcBorders>
            <w:vAlign w:val="center"/>
          </w:tcPr>
          <w:p w14:paraId="4634A1F5" w14:textId="77777777" w:rsidR="00993813" w:rsidRDefault="00000000">
            <w:pPr>
              <w:widowControl/>
              <w:jc w:val="right"/>
              <w:rPr>
                <w:rFonts w:asciiTheme="minorEastAsia" w:eastAsiaTheme="minorEastAsia" w:hAnsiTheme="minorEastAsia" w:cs="宋体"/>
                <w:color w:val="000000"/>
                <w:kern w:val="0"/>
                <w:sz w:val="20"/>
                <w:szCs w:val="20"/>
              </w:rPr>
            </w:pPr>
            <w:r>
              <w:rPr>
                <w:rFonts w:asciiTheme="minorEastAsia" w:eastAsiaTheme="minorEastAsia" w:hAnsiTheme="minorEastAsia"/>
              </w:rPr>
              <w:t>16,584.44</w:t>
            </w:r>
          </w:p>
        </w:tc>
        <w:tc>
          <w:tcPr>
            <w:tcW w:w="1285" w:type="dxa"/>
            <w:tcBorders>
              <w:top w:val="single" w:sz="4" w:space="0" w:color="auto"/>
              <w:left w:val="nil"/>
              <w:bottom w:val="single" w:sz="4" w:space="0" w:color="auto"/>
              <w:right w:val="single" w:sz="4" w:space="0" w:color="auto"/>
            </w:tcBorders>
            <w:vAlign w:val="center"/>
          </w:tcPr>
          <w:p w14:paraId="6C36029A" w14:textId="77777777" w:rsidR="00993813" w:rsidRDefault="00000000">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rPr>
              <w:t>16,258.53</w:t>
            </w:r>
          </w:p>
        </w:tc>
        <w:tc>
          <w:tcPr>
            <w:tcW w:w="3662" w:type="dxa"/>
            <w:gridSpan w:val="2"/>
            <w:vMerge w:val="restart"/>
            <w:tcBorders>
              <w:top w:val="single" w:sz="4" w:space="0" w:color="auto"/>
              <w:left w:val="single" w:sz="4" w:space="0" w:color="auto"/>
              <w:bottom w:val="single" w:sz="4" w:space="0" w:color="auto"/>
              <w:right w:val="single" w:sz="4" w:space="0" w:color="auto"/>
            </w:tcBorders>
            <w:vAlign w:val="center"/>
          </w:tcPr>
          <w:p w14:paraId="6F0EBC89"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753" w:type="dxa"/>
            <w:gridSpan w:val="2"/>
            <w:vMerge/>
            <w:tcBorders>
              <w:top w:val="single" w:sz="4" w:space="0" w:color="auto"/>
              <w:left w:val="single" w:sz="4" w:space="0" w:color="auto"/>
              <w:bottom w:val="single" w:sz="4" w:space="0" w:color="auto"/>
              <w:right w:val="single" w:sz="4" w:space="0" w:color="auto"/>
            </w:tcBorders>
            <w:vAlign w:val="center"/>
          </w:tcPr>
          <w:p w14:paraId="2363D7DF" w14:textId="77777777" w:rsidR="00993813" w:rsidRDefault="00993813">
            <w:pPr>
              <w:widowControl/>
              <w:jc w:val="left"/>
              <w:rPr>
                <w:rFonts w:ascii="宋体" w:hAnsi="宋体" w:cs="宋体"/>
                <w:color w:val="000000"/>
                <w:kern w:val="0"/>
                <w:sz w:val="20"/>
                <w:szCs w:val="20"/>
              </w:rPr>
            </w:pPr>
          </w:p>
        </w:tc>
        <w:tc>
          <w:tcPr>
            <w:tcW w:w="830" w:type="dxa"/>
            <w:gridSpan w:val="2"/>
            <w:vMerge/>
            <w:tcBorders>
              <w:top w:val="single" w:sz="4" w:space="0" w:color="auto"/>
              <w:left w:val="nil"/>
              <w:bottom w:val="single" w:sz="4" w:space="0" w:color="auto"/>
              <w:right w:val="nil"/>
            </w:tcBorders>
            <w:vAlign w:val="center"/>
          </w:tcPr>
          <w:p w14:paraId="485D427B" w14:textId="77777777" w:rsidR="00993813" w:rsidRDefault="00993813">
            <w:pPr>
              <w:widowControl/>
              <w:jc w:val="left"/>
              <w:rPr>
                <w:rFonts w:ascii="宋体" w:hAnsi="宋体" w:cs="宋体"/>
                <w:color w:val="000000"/>
                <w:kern w:val="0"/>
                <w:sz w:val="20"/>
                <w:szCs w:val="20"/>
              </w:rPr>
            </w:pPr>
          </w:p>
        </w:tc>
        <w:tc>
          <w:tcPr>
            <w:tcW w:w="3495" w:type="dxa"/>
            <w:gridSpan w:val="2"/>
            <w:vMerge/>
            <w:tcBorders>
              <w:top w:val="single" w:sz="4" w:space="0" w:color="auto"/>
              <w:left w:val="single" w:sz="4" w:space="0" w:color="auto"/>
              <w:bottom w:val="single" w:sz="4" w:space="0" w:color="auto"/>
              <w:right w:val="single" w:sz="4" w:space="0" w:color="auto"/>
            </w:tcBorders>
            <w:vAlign w:val="center"/>
          </w:tcPr>
          <w:p w14:paraId="3CCC3290" w14:textId="77777777" w:rsidR="00993813" w:rsidRDefault="00993813">
            <w:pPr>
              <w:widowControl/>
              <w:jc w:val="left"/>
              <w:rPr>
                <w:rFonts w:ascii="宋体" w:hAnsi="宋体" w:cs="宋体"/>
                <w:color w:val="000000"/>
                <w:kern w:val="0"/>
                <w:sz w:val="18"/>
                <w:szCs w:val="18"/>
              </w:rPr>
            </w:pPr>
          </w:p>
        </w:tc>
        <w:tc>
          <w:tcPr>
            <w:tcW w:w="1809" w:type="dxa"/>
            <w:gridSpan w:val="2"/>
            <w:vMerge/>
            <w:tcBorders>
              <w:top w:val="nil"/>
              <w:left w:val="single" w:sz="4" w:space="0" w:color="auto"/>
              <w:bottom w:val="single" w:sz="4" w:space="0" w:color="auto"/>
              <w:right w:val="single" w:sz="4" w:space="0" w:color="auto"/>
            </w:tcBorders>
            <w:vAlign w:val="center"/>
          </w:tcPr>
          <w:p w14:paraId="00BC9BE7" w14:textId="77777777" w:rsidR="00993813" w:rsidRDefault="00993813">
            <w:pPr>
              <w:widowControl/>
              <w:jc w:val="left"/>
              <w:rPr>
                <w:rFonts w:ascii="宋体" w:hAnsi="宋体" w:cs="宋体"/>
                <w:color w:val="000000"/>
                <w:kern w:val="0"/>
                <w:sz w:val="18"/>
                <w:szCs w:val="18"/>
              </w:rPr>
            </w:pPr>
          </w:p>
        </w:tc>
      </w:tr>
      <w:tr w:rsidR="00993813" w14:paraId="237EABD8" w14:textId="77777777">
        <w:trPr>
          <w:gridAfter w:val="2"/>
          <w:wAfter w:w="27" w:type="dxa"/>
          <w:cantSplit/>
          <w:trHeight w:val="615"/>
        </w:trPr>
        <w:tc>
          <w:tcPr>
            <w:tcW w:w="1190" w:type="dxa"/>
            <w:vMerge/>
            <w:tcBorders>
              <w:top w:val="nil"/>
              <w:left w:val="single" w:sz="4" w:space="0" w:color="auto"/>
              <w:bottom w:val="single" w:sz="4" w:space="0" w:color="000000"/>
              <w:right w:val="single" w:sz="4" w:space="0" w:color="auto"/>
            </w:tcBorders>
            <w:vAlign w:val="center"/>
          </w:tcPr>
          <w:p w14:paraId="78167D07" w14:textId="77777777" w:rsidR="00993813" w:rsidRDefault="00993813">
            <w:pPr>
              <w:widowControl/>
              <w:jc w:val="left"/>
              <w:rPr>
                <w:rFonts w:ascii="宋体" w:hAnsi="宋体" w:cs="宋体"/>
                <w:color w:val="000000"/>
                <w:kern w:val="0"/>
                <w:sz w:val="20"/>
                <w:szCs w:val="20"/>
              </w:rPr>
            </w:pPr>
          </w:p>
        </w:tc>
        <w:tc>
          <w:tcPr>
            <w:tcW w:w="1054" w:type="dxa"/>
            <w:tcBorders>
              <w:top w:val="single" w:sz="4" w:space="0" w:color="auto"/>
              <w:left w:val="single" w:sz="4" w:space="0" w:color="auto"/>
              <w:bottom w:val="single" w:sz="4" w:space="0" w:color="auto"/>
              <w:right w:val="nil"/>
            </w:tcBorders>
            <w:vAlign w:val="center"/>
          </w:tcPr>
          <w:p w14:paraId="11C761F8"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项目支出</w:t>
            </w:r>
          </w:p>
        </w:tc>
        <w:tc>
          <w:tcPr>
            <w:tcW w:w="1335" w:type="dxa"/>
            <w:tcBorders>
              <w:top w:val="single" w:sz="4" w:space="0" w:color="auto"/>
              <w:left w:val="single" w:sz="4" w:space="0" w:color="auto"/>
              <w:bottom w:val="single" w:sz="4" w:space="0" w:color="auto"/>
              <w:right w:val="single" w:sz="4" w:space="0" w:color="auto"/>
            </w:tcBorders>
            <w:vAlign w:val="center"/>
          </w:tcPr>
          <w:p w14:paraId="29061447" w14:textId="77777777" w:rsidR="00993813" w:rsidRDefault="00000000">
            <w:pPr>
              <w:widowControl/>
              <w:jc w:val="right"/>
              <w:rPr>
                <w:rFonts w:asciiTheme="minorEastAsia" w:eastAsiaTheme="minorEastAsia" w:hAnsiTheme="minorEastAsia" w:cs="宋体"/>
                <w:color w:val="000000"/>
                <w:kern w:val="0"/>
                <w:sz w:val="20"/>
                <w:szCs w:val="20"/>
              </w:rPr>
            </w:pPr>
            <w:r>
              <w:rPr>
                <w:rFonts w:asciiTheme="minorEastAsia" w:eastAsiaTheme="minorEastAsia" w:hAnsiTheme="minorEastAsia"/>
              </w:rPr>
              <w:t>10,501.84</w:t>
            </w:r>
          </w:p>
        </w:tc>
        <w:tc>
          <w:tcPr>
            <w:tcW w:w="1285" w:type="dxa"/>
            <w:tcBorders>
              <w:top w:val="single" w:sz="4" w:space="0" w:color="auto"/>
              <w:left w:val="nil"/>
              <w:bottom w:val="single" w:sz="4" w:space="0" w:color="auto"/>
              <w:right w:val="single" w:sz="4" w:space="0" w:color="auto"/>
            </w:tcBorders>
            <w:vAlign w:val="center"/>
          </w:tcPr>
          <w:p w14:paraId="6944AF92" w14:textId="77777777" w:rsidR="00993813" w:rsidRDefault="00000000">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rPr>
              <w:t>8,403.22</w:t>
            </w:r>
          </w:p>
        </w:tc>
        <w:tc>
          <w:tcPr>
            <w:tcW w:w="3662" w:type="dxa"/>
            <w:gridSpan w:val="2"/>
            <w:vMerge/>
            <w:tcBorders>
              <w:top w:val="single" w:sz="4" w:space="0" w:color="auto"/>
              <w:left w:val="single" w:sz="4" w:space="0" w:color="auto"/>
              <w:bottom w:val="single" w:sz="4" w:space="0" w:color="auto"/>
              <w:right w:val="single" w:sz="4" w:space="0" w:color="auto"/>
            </w:tcBorders>
            <w:vAlign w:val="center"/>
          </w:tcPr>
          <w:p w14:paraId="0B1074B2" w14:textId="77777777" w:rsidR="00993813" w:rsidRDefault="00993813">
            <w:pPr>
              <w:widowControl/>
              <w:jc w:val="left"/>
              <w:rPr>
                <w:rFonts w:ascii="宋体" w:hAnsi="宋体" w:cs="宋体"/>
                <w:color w:val="000000"/>
                <w:kern w:val="0"/>
                <w:sz w:val="20"/>
                <w:szCs w:val="20"/>
              </w:rPr>
            </w:pPr>
          </w:p>
        </w:tc>
        <w:tc>
          <w:tcPr>
            <w:tcW w:w="753" w:type="dxa"/>
            <w:gridSpan w:val="2"/>
            <w:vMerge/>
            <w:tcBorders>
              <w:top w:val="single" w:sz="4" w:space="0" w:color="auto"/>
              <w:left w:val="single" w:sz="4" w:space="0" w:color="auto"/>
              <w:bottom w:val="single" w:sz="4" w:space="0" w:color="auto"/>
              <w:right w:val="single" w:sz="4" w:space="0" w:color="auto"/>
            </w:tcBorders>
            <w:vAlign w:val="center"/>
          </w:tcPr>
          <w:p w14:paraId="11597F6C" w14:textId="77777777" w:rsidR="00993813" w:rsidRDefault="00993813">
            <w:pPr>
              <w:widowControl/>
              <w:jc w:val="left"/>
              <w:rPr>
                <w:rFonts w:ascii="宋体" w:hAnsi="宋体" w:cs="宋体"/>
                <w:color w:val="000000"/>
                <w:kern w:val="0"/>
                <w:sz w:val="20"/>
                <w:szCs w:val="20"/>
              </w:rPr>
            </w:pPr>
          </w:p>
        </w:tc>
        <w:tc>
          <w:tcPr>
            <w:tcW w:w="830" w:type="dxa"/>
            <w:gridSpan w:val="2"/>
            <w:vMerge/>
            <w:tcBorders>
              <w:top w:val="single" w:sz="4" w:space="0" w:color="auto"/>
              <w:left w:val="nil"/>
              <w:bottom w:val="single" w:sz="4" w:space="0" w:color="auto"/>
              <w:right w:val="nil"/>
            </w:tcBorders>
            <w:vAlign w:val="center"/>
          </w:tcPr>
          <w:p w14:paraId="317A12E6" w14:textId="77777777" w:rsidR="00993813" w:rsidRDefault="00993813">
            <w:pPr>
              <w:widowControl/>
              <w:jc w:val="left"/>
              <w:rPr>
                <w:rFonts w:ascii="宋体" w:hAnsi="宋体" w:cs="宋体"/>
                <w:color w:val="000000"/>
                <w:kern w:val="0"/>
                <w:sz w:val="20"/>
                <w:szCs w:val="20"/>
              </w:rPr>
            </w:pPr>
          </w:p>
        </w:tc>
        <w:tc>
          <w:tcPr>
            <w:tcW w:w="3495" w:type="dxa"/>
            <w:gridSpan w:val="2"/>
            <w:vMerge/>
            <w:tcBorders>
              <w:top w:val="single" w:sz="4" w:space="0" w:color="auto"/>
              <w:left w:val="single" w:sz="4" w:space="0" w:color="auto"/>
              <w:bottom w:val="single" w:sz="4" w:space="0" w:color="auto"/>
              <w:right w:val="single" w:sz="4" w:space="0" w:color="auto"/>
            </w:tcBorders>
            <w:vAlign w:val="center"/>
          </w:tcPr>
          <w:p w14:paraId="3333D207" w14:textId="77777777" w:rsidR="00993813" w:rsidRDefault="00993813">
            <w:pPr>
              <w:widowControl/>
              <w:jc w:val="left"/>
              <w:rPr>
                <w:rFonts w:ascii="宋体" w:hAnsi="宋体" w:cs="宋体"/>
                <w:color w:val="000000"/>
                <w:kern w:val="0"/>
                <w:sz w:val="18"/>
                <w:szCs w:val="18"/>
              </w:rPr>
            </w:pPr>
          </w:p>
        </w:tc>
        <w:tc>
          <w:tcPr>
            <w:tcW w:w="1809" w:type="dxa"/>
            <w:gridSpan w:val="2"/>
            <w:vMerge/>
            <w:tcBorders>
              <w:top w:val="nil"/>
              <w:left w:val="single" w:sz="4" w:space="0" w:color="auto"/>
              <w:bottom w:val="single" w:sz="4" w:space="0" w:color="auto"/>
              <w:right w:val="single" w:sz="4" w:space="0" w:color="auto"/>
            </w:tcBorders>
            <w:vAlign w:val="center"/>
          </w:tcPr>
          <w:p w14:paraId="660D3387" w14:textId="77777777" w:rsidR="00993813" w:rsidRDefault="00993813">
            <w:pPr>
              <w:widowControl/>
              <w:jc w:val="left"/>
              <w:rPr>
                <w:rFonts w:ascii="宋体" w:hAnsi="宋体" w:cs="宋体"/>
                <w:color w:val="000000"/>
                <w:kern w:val="0"/>
                <w:sz w:val="18"/>
                <w:szCs w:val="18"/>
              </w:rPr>
            </w:pPr>
          </w:p>
        </w:tc>
      </w:tr>
      <w:tr w:rsidR="00993813" w14:paraId="41BB189A" w14:textId="77777777">
        <w:trPr>
          <w:gridAfter w:val="2"/>
          <w:wAfter w:w="27" w:type="dxa"/>
          <w:cantSplit/>
          <w:trHeight w:val="4106"/>
        </w:trPr>
        <w:tc>
          <w:tcPr>
            <w:tcW w:w="1190" w:type="dxa"/>
            <w:vMerge/>
            <w:tcBorders>
              <w:top w:val="nil"/>
              <w:left w:val="single" w:sz="4" w:space="0" w:color="auto"/>
              <w:bottom w:val="single" w:sz="4" w:space="0" w:color="000000"/>
              <w:right w:val="single" w:sz="4" w:space="0" w:color="auto"/>
            </w:tcBorders>
            <w:vAlign w:val="center"/>
          </w:tcPr>
          <w:p w14:paraId="4D93433A" w14:textId="77777777" w:rsidR="00993813" w:rsidRDefault="00993813">
            <w:pPr>
              <w:widowControl/>
              <w:jc w:val="left"/>
              <w:rPr>
                <w:rFonts w:ascii="宋体" w:hAnsi="宋体" w:cs="宋体"/>
                <w:color w:val="000000"/>
                <w:kern w:val="0"/>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2586E608"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其他</w:t>
            </w:r>
          </w:p>
        </w:tc>
        <w:tc>
          <w:tcPr>
            <w:tcW w:w="1335" w:type="dxa"/>
            <w:tcBorders>
              <w:top w:val="single" w:sz="4" w:space="0" w:color="auto"/>
              <w:left w:val="nil"/>
              <w:bottom w:val="single" w:sz="4" w:space="0" w:color="auto"/>
              <w:right w:val="single" w:sz="4" w:space="0" w:color="auto"/>
            </w:tcBorders>
            <w:vAlign w:val="center"/>
          </w:tcPr>
          <w:p w14:paraId="43339234"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0</w:t>
            </w:r>
            <w:r>
              <w:rPr>
                <w:rFonts w:ascii="宋体" w:hAnsi="宋体" w:cs="宋体"/>
                <w:color w:val="000000"/>
                <w:kern w:val="0"/>
                <w:sz w:val="20"/>
                <w:szCs w:val="20"/>
              </w:rPr>
              <w:t>.00</w:t>
            </w:r>
          </w:p>
        </w:tc>
        <w:tc>
          <w:tcPr>
            <w:tcW w:w="1285" w:type="dxa"/>
            <w:tcBorders>
              <w:top w:val="single" w:sz="4" w:space="0" w:color="auto"/>
              <w:left w:val="nil"/>
              <w:bottom w:val="single" w:sz="4" w:space="0" w:color="auto"/>
              <w:right w:val="single" w:sz="4" w:space="0" w:color="auto"/>
            </w:tcBorders>
            <w:vAlign w:val="center"/>
          </w:tcPr>
          <w:p w14:paraId="2C7CB1CE"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0</w:t>
            </w:r>
            <w:r>
              <w:rPr>
                <w:rFonts w:ascii="宋体" w:hAnsi="宋体" w:cs="宋体"/>
                <w:color w:val="000000"/>
                <w:kern w:val="0"/>
                <w:sz w:val="20"/>
                <w:szCs w:val="20"/>
              </w:rPr>
              <w:t>.00</w:t>
            </w:r>
          </w:p>
        </w:tc>
        <w:tc>
          <w:tcPr>
            <w:tcW w:w="3662" w:type="dxa"/>
            <w:gridSpan w:val="2"/>
            <w:vMerge/>
            <w:tcBorders>
              <w:top w:val="single" w:sz="4" w:space="0" w:color="auto"/>
              <w:left w:val="single" w:sz="4" w:space="0" w:color="auto"/>
              <w:bottom w:val="single" w:sz="4" w:space="0" w:color="auto"/>
              <w:right w:val="single" w:sz="4" w:space="0" w:color="auto"/>
            </w:tcBorders>
            <w:vAlign w:val="center"/>
          </w:tcPr>
          <w:p w14:paraId="46BDE84E" w14:textId="77777777" w:rsidR="00993813" w:rsidRDefault="00993813">
            <w:pPr>
              <w:widowControl/>
              <w:jc w:val="left"/>
              <w:rPr>
                <w:rFonts w:ascii="宋体" w:hAnsi="宋体" w:cs="宋体"/>
                <w:color w:val="000000"/>
                <w:kern w:val="0"/>
                <w:sz w:val="20"/>
                <w:szCs w:val="20"/>
              </w:rPr>
            </w:pPr>
          </w:p>
        </w:tc>
        <w:tc>
          <w:tcPr>
            <w:tcW w:w="753" w:type="dxa"/>
            <w:gridSpan w:val="2"/>
            <w:vMerge/>
            <w:tcBorders>
              <w:top w:val="single" w:sz="4" w:space="0" w:color="auto"/>
              <w:left w:val="single" w:sz="4" w:space="0" w:color="auto"/>
              <w:bottom w:val="single" w:sz="4" w:space="0" w:color="auto"/>
              <w:right w:val="single" w:sz="4" w:space="0" w:color="auto"/>
            </w:tcBorders>
            <w:vAlign w:val="center"/>
          </w:tcPr>
          <w:p w14:paraId="7E85C236" w14:textId="77777777" w:rsidR="00993813" w:rsidRDefault="00993813">
            <w:pPr>
              <w:widowControl/>
              <w:jc w:val="left"/>
              <w:rPr>
                <w:rFonts w:ascii="宋体" w:hAnsi="宋体" w:cs="宋体"/>
                <w:color w:val="000000"/>
                <w:kern w:val="0"/>
                <w:sz w:val="20"/>
                <w:szCs w:val="20"/>
              </w:rPr>
            </w:pPr>
          </w:p>
        </w:tc>
        <w:tc>
          <w:tcPr>
            <w:tcW w:w="830" w:type="dxa"/>
            <w:gridSpan w:val="2"/>
            <w:vMerge/>
            <w:tcBorders>
              <w:top w:val="single" w:sz="4" w:space="0" w:color="auto"/>
              <w:left w:val="nil"/>
              <w:bottom w:val="single" w:sz="4" w:space="0" w:color="auto"/>
              <w:right w:val="nil"/>
            </w:tcBorders>
            <w:vAlign w:val="center"/>
          </w:tcPr>
          <w:p w14:paraId="6C789590" w14:textId="77777777" w:rsidR="00993813" w:rsidRDefault="00993813">
            <w:pPr>
              <w:widowControl/>
              <w:jc w:val="left"/>
              <w:rPr>
                <w:rFonts w:ascii="宋体" w:hAnsi="宋体" w:cs="宋体"/>
                <w:color w:val="000000"/>
                <w:kern w:val="0"/>
                <w:sz w:val="20"/>
                <w:szCs w:val="20"/>
              </w:rPr>
            </w:pPr>
          </w:p>
        </w:tc>
        <w:tc>
          <w:tcPr>
            <w:tcW w:w="3495" w:type="dxa"/>
            <w:gridSpan w:val="2"/>
            <w:vMerge/>
            <w:tcBorders>
              <w:top w:val="single" w:sz="4" w:space="0" w:color="auto"/>
              <w:left w:val="single" w:sz="4" w:space="0" w:color="auto"/>
              <w:bottom w:val="single" w:sz="4" w:space="0" w:color="auto"/>
              <w:right w:val="single" w:sz="4" w:space="0" w:color="auto"/>
            </w:tcBorders>
            <w:vAlign w:val="center"/>
          </w:tcPr>
          <w:p w14:paraId="690EB091" w14:textId="77777777" w:rsidR="00993813" w:rsidRDefault="00993813">
            <w:pPr>
              <w:widowControl/>
              <w:jc w:val="left"/>
              <w:rPr>
                <w:rFonts w:ascii="宋体" w:hAnsi="宋体" w:cs="宋体"/>
                <w:color w:val="000000"/>
                <w:kern w:val="0"/>
                <w:sz w:val="18"/>
                <w:szCs w:val="18"/>
              </w:rPr>
            </w:pPr>
          </w:p>
        </w:tc>
        <w:tc>
          <w:tcPr>
            <w:tcW w:w="1809" w:type="dxa"/>
            <w:gridSpan w:val="2"/>
            <w:vMerge/>
            <w:tcBorders>
              <w:top w:val="nil"/>
              <w:left w:val="single" w:sz="4" w:space="0" w:color="auto"/>
              <w:bottom w:val="single" w:sz="4" w:space="0" w:color="auto"/>
              <w:right w:val="single" w:sz="4" w:space="0" w:color="auto"/>
            </w:tcBorders>
            <w:vAlign w:val="center"/>
          </w:tcPr>
          <w:p w14:paraId="7398A33C" w14:textId="77777777" w:rsidR="00993813" w:rsidRDefault="00993813">
            <w:pPr>
              <w:widowControl/>
              <w:jc w:val="left"/>
              <w:rPr>
                <w:rFonts w:ascii="宋体" w:hAnsi="宋体" w:cs="宋体"/>
                <w:color w:val="000000"/>
                <w:kern w:val="0"/>
                <w:sz w:val="18"/>
                <w:szCs w:val="18"/>
              </w:rPr>
            </w:pPr>
          </w:p>
        </w:tc>
      </w:tr>
      <w:tr w:rsidR="00993813" w14:paraId="70B3654F" w14:textId="77777777">
        <w:trPr>
          <w:cantSplit/>
          <w:trHeight w:val="479"/>
        </w:trPr>
        <w:tc>
          <w:tcPr>
            <w:tcW w:w="15440" w:type="dxa"/>
            <w:gridSpan w:val="16"/>
            <w:tcBorders>
              <w:top w:val="nil"/>
              <w:left w:val="single" w:sz="4" w:space="0" w:color="auto"/>
              <w:bottom w:val="single" w:sz="4" w:space="0" w:color="auto"/>
              <w:right w:val="single" w:sz="4" w:space="0" w:color="auto"/>
            </w:tcBorders>
            <w:vAlign w:val="center"/>
          </w:tcPr>
          <w:p w14:paraId="41ABA3B0" w14:textId="77777777" w:rsidR="00993813"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二</w:t>
            </w:r>
            <w:r>
              <w:rPr>
                <w:rFonts w:ascii="宋体" w:hAnsi="宋体" w:cs="宋体"/>
                <w:color w:val="000000"/>
                <w:kern w:val="0"/>
                <w:sz w:val="18"/>
                <w:szCs w:val="18"/>
              </w:rPr>
              <w:t>、</w:t>
            </w:r>
            <w:r>
              <w:rPr>
                <w:rFonts w:ascii="宋体" w:hAnsi="宋体" w:cs="宋体" w:hint="eastAsia"/>
                <w:color w:val="000000"/>
                <w:kern w:val="0"/>
                <w:sz w:val="20"/>
                <w:szCs w:val="20"/>
              </w:rPr>
              <w:t>整体绩效目标实现情况（60分）</w:t>
            </w:r>
          </w:p>
        </w:tc>
      </w:tr>
      <w:tr w:rsidR="00993813" w14:paraId="595FD40D" w14:textId="77777777">
        <w:trPr>
          <w:gridAfter w:val="2"/>
          <w:wAfter w:w="27" w:type="dxa"/>
          <w:cantSplit/>
          <w:trHeight w:val="499"/>
        </w:trPr>
        <w:tc>
          <w:tcPr>
            <w:tcW w:w="1190" w:type="dxa"/>
            <w:tcBorders>
              <w:top w:val="single" w:sz="4" w:space="0" w:color="auto"/>
              <w:left w:val="single" w:sz="4" w:space="0" w:color="auto"/>
              <w:bottom w:val="single" w:sz="4" w:space="0" w:color="auto"/>
              <w:right w:val="single" w:sz="4" w:space="0" w:color="auto"/>
            </w:tcBorders>
            <w:vAlign w:val="center"/>
          </w:tcPr>
          <w:p w14:paraId="2D4287C1"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一</w:t>
            </w:r>
            <w:r>
              <w:rPr>
                <w:rFonts w:ascii="宋体" w:hAnsi="宋体" w:cs="宋体"/>
                <w:color w:val="000000"/>
                <w:kern w:val="0"/>
                <w:sz w:val="20"/>
                <w:szCs w:val="20"/>
              </w:rPr>
              <w:t>级指标</w:t>
            </w:r>
          </w:p>
        </w:tc>
        <w:tc>
          <w:tcPr>
            <w:tcW w:w="1054" w:type="dxa"/>
            <w:tcBorders>
              <w:top w:val="single" w:sz="4" w:space="0" w:color="auto"/>
              <w:left w:val="nil"/>
              <w:bottom w:val="single" w:sz="4" w:space="0" w:color="auto"/>
              <w:right w:val="single" w:sz="4" w:space="0" w:color="auto"/>
            </w:tcBorders>
            <w:vAlign w:val="center"/>
          </w:tcPr>
          <w:p w14:paraId="6C5EBAEC"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1335" w:type="dxa"/>
            <w:tcBorders>
              <w:top w:val="single" w:sz="4" w:space="0" w:color="auto"/>
              <w:left w:val="nil"/>
              <w:bottom w:val="single" w:sz="4" w:space="0" w:color="auto"/>
              <w:right w:val="single" w:sz="4" w:space="0" w:color="auto"/>
            </w:tcBorders>
            <w:vAlign w:val="center"/>
          </w:tcPr>
          <w:p w14:paraId="0935D857"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1285" w:type="dxa"/>
            <w:tcBorders>
              <w:top w:val="single" w:sz="4" w:space="0" w:color="auto"/>
              <w:left w:val="nil"/>
              <w:bottom w:val="single" w:sz="4" w:space="0" w:color="auto"/>
              <w:right w:val="single" w:sz="4" w:space="0" w:color="auto"/>
            </w:tcBorders>
            <w:vAlign w:val="center"/>
          </w:tcPr>
          <w:p w14:paraId="71B92498"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3662" w:type="dxa"/>
            <w:gridSpan w:val="2"/>
            <w:tcBorders>
              <w:top w:val="single" w:sz="4" w:space="0" w:color="auto"/>
              <w:left w:val="nil"/>
              <w:bottom w:val="single" w:sz="4" w:space="0" w:color="auto"/>
              <w:right w:val="single" w:sz="4" w:space="0" w:color="auto"/>
            </w:tcBorders>
            <w:vAlign w:val="center"/>
          </w:tcPr>
          <w:p w14:paraId="66BDD4C0"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753" w:type="dxa"/>
            <w:gridSpan w:val="2"/>
            <w:tcBorders>
              <w:top w:val="single" w:sz="4" w:space="0" w:color="auto"/>
              <w:left w:val="nil"/>
              <w:bottom w:val="single" w:sz="4" w:space="0" w:color="auto"/>
              <w:right w:val="single" w:sz="4" w:space="0" w:color="auto"/>
            </w:tcBorders>
            <w:vAlign w:val="center"/>
          </w:tcPr>
          <w:p w14:paraId="1B97BB92"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830" w:type="dxa"/>
            <w:gridSpan w:val="2"/>
            <w:tcBorders>
              <w:top w:val="single" w:sz="4" w:space="0" w:color="auto"/>
              <w:left w:val="nil"/>
              <w:bottom w:val="single" w:sz="4" w:space="0" w:color="auto"/>
              <w:right w:val="nil"/>
            </w:tcBorders>
            <w:vAlign w:val="center"/>
          </w:tcPr>
          <w:p w14:paraId="27038025"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3495" w:type="dxa"/>
            <w:gridSpan w:val="2"/>
            <w:tcBorders>
              <w:top w:val="single" w:sz="4" w:space="0" w:color="auto"/>
              <w:left w:val="single" w:sz="4" w:space="0" w:color="auto"/>
              <w:bottom w:val="single" w:sz="4" w:space="0" w:color="auto"/>
              <w:right w:val="single" w:sz="4" w:space="0" w:color="auto"/>
            </w:tcBorders>
            <w:vAlign w:val="center"/>
          </w:tcPr>
          <w:p w14:paraId="4C57D672" w14:textId="77777777" w:rsidR="00993813" w:rsidRDefault="00000000">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809" w:type="dxa"/>
            <w:gridSpan w:val="2"/>
            <w:tcBorders>
              <w:top w:val="single" w:sz="4" w:space="0" w:color="auto"/>
              <w:left w:val="single" w:sz="4" w:space="0" w:color="auto"/>
              <w:bottom w:val="single" w:sz="4" w:space="0" w:color="auto"/>
              <w:right w:val="single" w:sz="4" w:space="0" w:color="auto"/>
            </w:tcBorders>
            <w:vAlign w:val="center"/>
          </w:tcPr>
          <w:p w14:paraId="60CAA66F" w14:textId="77777777" w:rsidR="00993813"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993813" w14:paraId="23AC6972" w14:textId="77777777">
        <w:trPr>
          <w:gridAfter w:val="2"/>
          <w:wAfter w:w="27" w:type="dxa"/>
          <w:cantSplit/>
          <w:trHeight w:val="1600"/>
        </w:trPr>
        <w:tc>
          <w:tcPr>
            <w:tcW w:w="1190" w:type="dxa"/>
            <w:vMerge w:val="restart"/>
            <w:tcBorders>
              <w:top w:val="single" w:sz="4" w:space="0" w:color="auto"/>
              <w:left w:val="single" w:sz="4" w:space="0" w:color="auto"/>
              <w:bottom w:val="single" w:sz="4" w:space="0" w:color="auto"/>
              <w:right w:val="single" w:sz="4" w:space="0" w:color="auto"/>
            </w:tcBorders>
            <w:vAlign w:val="center"/>
          </w:tcPr>
          <w:p w14:paraId="4C56EDDC"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整体绩效目标实现情况（60）</w:t>
            </w:r>
          </w:p>
        </w:tc>
        <w:tc>
          <w:tcPr>
            <w:tcW w:w="1054" w:type="dxa"/>
            <w:vMerge w:val="restart"/>
            <w:tcBorders>
              <w:top w:val="single" w:sz="4" w:space="0" w:color="auto"/>
              <w:left w:val="nil"/>
              <w:bottom w:val="single" w:sz="4" w:space="0" w:color="auto"/>
              <w:right w:val="single" w:sz="4" w:space="0" w:color="auto"/>
            </w:tcBorders>
            <w:vAlign w:val="center"/>
          </w:tcPr>
          <w:p w14:paraId="3DEFE36B" w14:textId="77777777" w:rsidR="00993813" w:rsidRDefault="00993813">
            <w:pPr>
              <w:widowControl/>
              <w:jc w:val="center"/>
              <w:rPr>
                <w:rFonts w:ascii="宋体" w:hAnsi="宋体" w:cs="宋体"/>
                <w:color w:val="000000"/>
                <w:kern w:val="0"/>
                <w:sz w:val="20"/>
                <w:szCs w:val="20"/>
              </w:rPr>
            </w:pPr>
          </w:p>
          <w:p w14:paraId="36F45930" w14:textId="77777777" w:rsidR="00993813"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产出（30）</w:t>
            </w:r>
          </w:p>
        </w:tc>
        <w:tc>
          <w:tcPr>
            <w:tcW w:w="1335" w:type="dxa"/>
            <w:tcBorders>
              <w:top w:val="single" w:sz="4" w:space="0" w:color="auto"/>
              <w:left w:val="nil"/>
              <w:bottom w:val="single" w:sz="4" w:space="0" w:color="auto"/>
              <w:right w:val="single" w:sz="4" w:space="0" w:color="auto"/>
            </w:tcBorders>
            <w:vAlign w:val="center"/>
          </w:tcPr>
          <w:p w14:paraId="570E4DB1" w14:textId="77777777" w:rsidR="00993813"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产出数量</w:t>
            </w:r>
          </w:p>
        </w:tc>
        <w:tc>
          <w:tcPr>
            <w:tcW w:w="1285" w:type="dxa"/>
            <w:tcBorders>
              <w:top w:val="single" w:sz="4" w:space="0" w:color="auto"/>
              <w:left w:val="nil"/>
              <w:bottom w:val="single" w:sz="4" w:space="0" w:color="auto"/>
              <w:right w:val="single" w:sz="4" w:space="0" w:color="auto"/>
            </w:tcBorders>
            <w:vAlign w:val="center"/>
          </w:tcPr>
          <w:p w14:paraId="5AC77589" w14:textId="77777777" w:rsidR="00993813" w:rsidRDefault="00000000">
            <w:pPr>
              <w:jc w:val="left"/>
              <w:rPr>
                <w:rFonts w:ascii="宋体" w:hAnsi="宋体" w:cs="宋体"/>
                <w:color w:val="000000"/>
                <w:kern w:val="0"/>
                <w:sz w:val="20"/>
                <w:szCs w:val="20"/>
              </w:rPr>
            </w:pPr>
            <w:r>
              <w:rPr>
                <w:rFonts w:ascii="宋体" w:hAnsi="宋体" w:cs="宋体" w:hint="eastAsia"/>
                <w:color w:val="000000"/>
                <w:kern w:val="0"/>
                <w:sz w:val="20"/>
                <w:szCs w:val="20"/>
              </w:rPr>
              <w:t>18个项目</w:t>
            </w:r>
          </w:p>
        </w:tc>
        <w:tc>
          <w:tcPr>
            <w:tcW w:w="3662" w:type="dxa"/>
            <w:gridSpan w:val="2"/>
            <w:tcBorders>
              <w:top w:val="single" w:sz="4" w:space="0" w:color="auto"/>
              <w:left w:val="nil"/>
              <w:bottom w:val="single" w:sz="4" w:space="0" w:color="auto"/>
              <w:right w:val="single" w:sz="4" w:space="0" w:color="auto"/>
            </w:tcBorders>
            <w:vAlign w:val="center"/>
          </w:tcPr>
          <w:p w14:paraId="30F4FABD"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实际完成18个项目</w:t>
            </w:r>
          </w:p>
        </w:tc>
        <w:tc>
          <w:tcPr>
            <w:tcW w:w="753" w:type="dxa"/>
            <w:gridSpan w:val="2"/>
            <w:tcBorders>
              <w:top w:val="single" w:sz="4" w:space="0" w:color="auto"/>
              <w:left w:val="nil"/>
              <w:bottom w:val="single" w:sz="4" w:space="0" w:color="auto"/>
              <w:right w:val="single" w:sz="4" w:space="0" w:color="auto"/>
            </w:tcBorders>
            <w:vAlign w:val="center"/>
          </w:tcPr>
          <w:p w14:paraId="4143E2B3" w14:textId="77777777" w:rsidR="00993813" w:rsidRDefault="00993813">
            <w:pPr>
              <w:widowControl/>
              <w:jc w:val="center"/>
              <w:rPr>
                <w:rFonts w:ascii="宋体" w:hAnsi="宋体" w:cs="宋体"/>
                <w:color w:val="000000"/>
                <w:kern w:val="0"/>
                <w:sz w:val="20"/>
                <w:szCs w:val="20"/>
              </w:rPr>
            </w:pPr>
          </w:p>
          <w:p w14:paraId="645CD626" w14:textId="77777777" w:rsidR="00993813"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830" w:type="dxa"/>
            <w:gridSpan w:val="2"/>
            <w:tcBorders>
              <w:top w:val="single" w:sz="4" w:space="0" w:color="auto"/>
              <w:left w:val="nil"/>
              <w:bottom w:val="single" w:sz="4" w:space="0" w:color="auto"/>
              <w:right w:val="nil"/>
            </w:tcBorders>
            <w:vAlign w:val="center"/>
          </w:tcPr>
          <w:p w14:paraId="589069F0" w14:textId="77777777" w:rsidR="00993813" w:rsidRDefault="00993813">
            <w:pPr>
              <w:widowControl/>
              <w:jc w:val="center"/>
              <w:rPr>
                <w:rFonts w:ascii="宋体" w:hAnsi="宋体" w:cs="宋体"/>
                <w:color w:val="000000"/>
                <w:kern w:val="0"/>
                <w:sz w:val="20"/>
                <w:szCs w:val="20"/>
              </w:rPr>
            </w:pPr>
          </w:p>
          <w:p w14:paraId="373CF8E0" w14:textId="77777777" w:rsidR="00993813"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3495" w:type="dxa"/>
            <w:gridSpan w:val="2"/>
            <w:vMerge w:val="restart"/>
            <w:tcBorders>
              <w:top w:val="single" w:sz="4" w:space="0" w:color="auto"/>
              <w:left w:val="single" w:sz="4" w:space="0" w:color="auto"/>
              <w:bottom w:val="single" w:sz="4" w:space="0" w:color="auto"/>
              <w:right w:val="single" w:sz="4" w:space="0" w:color="auto"/>
            </w:tcBorders>
            <w:vAlign w:val="center"/>
          </w:tcPr>
          <w:p w14:paraId="3924774D" w14:textId="77777777" w:rsidR="00993813" w:rsidRDefault="0000000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按时完成率=（按时完成工作数/实际完成工作数）×100%。按时完成工作数：部门（单位）按照整体绩效目标确定的时限实际完成的工作任务数量。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：单位产出相对于上一年度的节约额；②单位产出相对于市场同类产出的节约额；③部门公用经费的控制情况。</w:t>
            </w:r>
          </w:p>
        </w:tc>
        <w:tc>
          <w:tcPr>
            <w:tcW w:w="1809" w:type="dxa"/>
            <w:gridSpan w:val="2"/>
            <w:vMerge w:val="restart"/>
            <w:tcBorders>
              <w:top w:val="single" w:sz="4" w:space="0" w:color="auto"/>
              <w:left w:val="single" w:sz="4" w:space="0" w:color="auto"/>
              <w:bottom w:val="single" w:sz="4" w:space="0" w:color="auto"/>
              <w:right w:val="single" w:sz="4" w:space="0" w:color="auto"/>
            </w:tcBorders>
            <w:vAlign w:val="center"/>
          </w:tcPr>
          <w:p w14:paraId="47019B37" w14:textId="77777777" w:rsidR="00993813"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rsidR="00993813" w14:paraId="3148CF8E" w14:textId="77777777">
        <w:trPr>
          <w:gridAfter w:val="2"/>
          <w:wAfter w:w="27" w:type="dxa"/>
          <w:cantSplit/>
          <w:trHeight w:val="1838"/>
        </w:trPr>
        <w:tc>
          <w:tcPr>
            <w:tcW w:w="1190" w:type="dxa"/>
            <w:vMerge/>
            <w:tcBorders>
              <w:top w:val="single" w:sz="4" w:space="0" w:color="auto"/>
              <w:left w:val="single" w:sz="4" w:space="0" w:color="auto"/>
              <w:bottom w:val="single" w:sz="4" w:space="0" w:color="auto"/>
              <w:right w:val="single" w:sz="4" w:space="0" w:color="auto"/>
            </w:tcBorders>
            <w:vAlign w:val="center"/>
          </w:tcPr>
          <w:p w14:paraId="2855F370" w14:textId="77777777" w:rsidR="00993813" w:rsidRDefault="00993813">
            <w:pPr>
              <w:widowControl/>
              <w:jc w:val="left"/>
              <w:rPr>
                <w:rFonts w:ascii="宋体" w:hAnsi="宋体" w:cs="宋体"/>
                <w:color w:val="000000"/>
                <w:kern w:val="0"/>
                <w:sz w:val="20"/>
                <w:szCs w:val="20"/>
              </w:rPr>
            </w:pPr>
          </w:p>
        </w:tc>
        <w:tc>
          <w:tcPr>
            <w:tcW w:w="1054" w:type="dxa"/>
            <w:vMerge/>
            <w:tcBorders>
              <w:top w:val="single" w:sz="4" w:space="0" w:color="auto"/>
              <w:left w:val="single" w:sz="4" w:space="0" w:color="auto"/>
              <w:bottom w:val="single" w:sz="4" w:space="0" w:color="auto"/>
              <w:right w:val="single" w:sz="4" w:space="0" w:color="auto"/>
            </w:tcBorders>
            <w:vAlign w:val="center"/>
          </w:tcPr>
          <w:p w14:paraId="0468CBEF" w14:textId="77777777" w:rsidR="00993813" w:rsidRDefault="00993813">
            <w:pPr>
              <w:widowControl/>
              <w:jc w:val="left"/>
              <w:rPr>
                <w:rFonts w:ascii="宋体" w:hAnsi="宋体" w:cs="宋体"/>
                <w:color w:val="000000"/>
                <w:kern w:val="0"/>
                <w:sz w:val="20"/>
                <w:szCs w:val="20"/>
              </w:rPr>
            </w:pPr>
          </w:p>
        </w:tc>
        <w:tc>
          <w:tcPr>
            <w:tcW w:w="1335" w:type="dxa"/>
            <w:tcBorders>
              <w:top w:val="single" w:sz="4" w:space="0" w:color="auto"/>
              <w:left w:val="nil"/>
              <w:bottom w:val="single" w:sz="4" w:space="0" w:color="auto"/>
              <w:right w:val="single" w:sz="4" w:space="0" w:color="auto"/>
            </w:tcBorders>
            <w:vAlign w:val="center"/>
          </w:tcPr>
          <w:p w14:paraId="436444CC"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产出质量</w:t>
            </w:r>
          </w:p>
        </w:tc>
        <w:tc>
          <w:tcPr>
            <w:tcW w:w="1285" w:type="dxa"/>
            <w:tcBorders>
              <w:top w:val="single" w:sz="4" w:space="0" w:color="auto"/>
              <w:left w:val="nil"/>
              <w:bottom w:val="single" w:sz="4" w:space="0" w:color="auto"/>
              <w:right w:val="single" w:sz="4" w:space="0" w:color="auto"/>
            </w:tcBorders>
            <w:vAlign w:val="center"/>
          </w:tcPr>
          <w:p w14:paraId="78B0300E" w14:textId="77777777"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质量达标率1</w:t>
            </w:r>
            <w:r>
              <w:rPr>
                <w:rFonts w:ascii="宋体" w:hAnsi="宋体" w:cs="宋体"/>
                <w:color w:val="000000"/>
                <w:kern w:val="0"/>
                <w:sz w:val="20"/>
                <w:szCs w:val="20"/>
              </w:rPr>
              <w:t>00</w:t>
            </w:r>
            <w:r>
              <w:rPr>
                <w:rFonts w:ascii="宋体" w:hAnsi="宋体" w:cs="宋体" w:hint="eastAsia"/>
                <w:color w:val="000000"/>
                <w:kern w:val="0"/>
                <w:sz w:val="20"/>
                <w:szCs w:val="20"/>
              </w:rPr>
              <w:t>%</w:t>
            </w:r>
          </w:p>
        </w:tc>
        <w:tc>
          <w:tcPr>
            <w:tcW w:w="3662" w:type="dxa"/>
            <w:gridSpan w:val="2"/>
            <w:tcBorders>
              <w:top w:val="single" w:sz="4" w:space="0" w:color="auto"/>
              <w:left w:val="nil"/>
              <w:bottom w:val="single" w:sz="4" w:space="0" w:color="auto"/>
              <w:right w:val="single" w:sz="4" w:space="0" w:color="auto"/>
            </w:tcBorders>
            <w:vAlign w:val="center"/>
          </w:tcPr>
          <w:p w14:paraId="1A308326"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18个项目质量全部达标。</w:t>
            </w:r>
          </w:p>
        </w:tc>
        <w:tc>
          <w:tcPr>
            <w:tcW w:w="753" w:type="dxa"/>
            <w:gridSpan w:val="2"/>
            <w:tcBorders>
              <w:top w:val="single" w:sz="4" w:space="0" w:color="auto"/>
              <w:left w:val="single" w:sz="4" w:space="0" w:color="auto"/>
              <w:bottom w:val="single" w:sz="4" w:space="0" w:color="auto"/>
              <w:right w:val="single" w:sz="4" w:space="0" w:color="auto"/>
            </w:tcBorders>
            <w:vAlign w:val="center"/>
          </w:tcPr>
          <w:p w14:paraId="5223F83C"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830" w:type="dxa"/>
            <w:gridSpan w:val="2"/>
            <w:tcBorders>
              <w:top w:val="single" w:sz="4" w:space="0" w:color="auto"/>
              <w:left w:val="nil"/>
              <w:bottom w:val="single" w:sz="4" w:space="0" w:color="auto"/>
              <w:right w:val="nil"/>
            </w:tcBorders>
            <w:noWrap/>
            <w:vAlign w:val="center"/>
          </w:tcPr>
          <w:p w14:paraId="48F6EED0"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3495" w:type="dxa"/>
            <w:gridSpan w:val="2"/>
            <w:vMerge/>
            <w:tcBorders>
              <w:top w:val="nil"/>
              <w:left w:val="single" w:sz="4" w:space="0" w:color="auto"/>
              <w:bottom w:val="single" w:sz="4" w:space="0" w:color="auto"/>
              <w:right w:val="single" w:sz="4" w:space="0" w:color="auto"/>
            </w:tcBorders>
            <w:vAlign w:val="center"/>
          </w:tcPr>
          <w:p w14:paraId="4434734F" w14:textId="77777777" w:rsidR="00993813" w:rsidRDefault="00993813">
            <w:pPr>
              <w:widowControl/>
              <w:jc w:val="left"/>
              <w:rPr>
                <w:rFonts w:ascii="宋体" w:hAnsi="宋体" w:cs="宋体"/>
                <w:color w:val="000000"/>
                <w:kern w:val="0"/>
                <w:sz w:val="18"/>
                <w:szCs w:val="18"/>
              </w:rPr>
            </w:pPr>
          </w:p>
        </w:tc>
        <w:tc>
          <w:tcPr>
            <w:tcW w:w="1809" w:type="dxa"/>
            <w:gridSpan w:val="2"/>
            <w:vMerge/>
            <w:tcBorders>
              <w:top w:val="nil"/>
              <w:left w:val="single" w:sz="4" w:space="0" w:color="auto"/>
              <w:bottom w:val="single" w:sz="4" w:space="0" w:color="auto"/>
              <w:right w:val="single" w:sz="4" w:space="0" w:color="auto"/>
            </w:tcBorders>
            <w:vAlign w:val="center"/>
          </w:tcPr>
          <w:p w14:paraId="2B387E0F" w14:textId="77777777" w:rsidR="00993813" w:rsidRDefault="00993813">
            <w:pPr>
              <w:widowControl/>
              <w:jc w:val="left"/>
              <w:rPr>
                <w:rFonts w:ascii="宋体" w:hAnsi="宋体" w:cs="宋体"/>
                <w:color w:val="000000"/>
                <w:kern w:val="0"/>
                <w:sz w:val="18"/>
                <w:szCs w:val="18"/>
              </w:rPr>
            </w:pPr>
          </w:p>
        </w:tc>
      </w:tr>
      <w:tr w:rsidR="00993813" w14:paraId="114B1AE7" w14:textId="77777777">
        <w:trPr>
          <w:gridAfter w:val="2"/>
          <w:wAfter w:w="27" w:type="dxa"/>
          <w:cantSplit/>
          <w:trHeight w:val="1357"/>
        </w:trPr>
        <w:tc>
          <w:tcPr>
            <w:tcW w:w="1190" w:type="dxa"/>
            <w:vMerge/>
            <w:tcBorders>
              <w:top w:val="single" w:sz="4" w:space="0" w:color="auto"/>
              <w:left w:val="single" w:sz="4" w:space="0" w:color="auto"/>
              <w:bottom w:val="single" w:sz="4" w:space="0" w:color="auto"/>
              <w:right w:val="single" w:sz="4" w:space="0" w:color="auto"/>
            </w:tcBorders>
            <w:vAlign w:val="center"/>
          </w:tcPr>
          <w:p w14:paraId="514F46B6" w14:textId="77777777" w:rsidR="00993813" w:rsidRDefault="00993813">
            <w:pPr>
              <w:widowControl/>
              <w:jc w:val="left"/>
              <w:rPr>
                <w:rFonts w:ascii="宋体" w:hAnsi="宋体" w:cs="宋体"/>
                <w:color w:val="000000"/>
                <w:kern w:val="0"/>
                <w:sz w:val="20"/>
                <w:szCs w:val="20"/>
              </w:rPr>
            </w:pPr>
          </w:p>
        </w:tc>
        <w:tc>
          <w:tcPr>
            <w:tcW w:w="1054" w:type="dxa"/>
            <w:vMerge/>
            <w:tcBorders>
              <w:top w:val="single" w:sz="4" w:space="0" w:color="auto"/>
              <w:left w:val="single" w:sz="4" w:space="0" w:color="auto"/>
              <w:bottom w:val="single" w:sz="4" w:space="0" w:color="auto"/>
              <w:right w:val="single" w:sz="4" w:space="0" w:color="auto"/>
            </w:tcBorders>
            <w:vAlign w:val="center"/>
          </w:tcPr>
          <w:p w14:paraId="6958A2EF" w14:textId="77777777" w:rsidR="00993813" w:rsidRDefault="00993813">
            <w:pPr>
              <w:widowControl/>
              <w:jc w:val="left"/>
              <w:rPr>
                <w:rFonts w:ascii="宋体" w:hAnsi="宋体" w:cs="宋体"/>
                <w:color w:val="000000"/>
                <w:kern w:val="0"/>
                <w:sz w:val="20"/>
                <w:szCs w:val="20"/>
              </w:rPr>
            </w:pPr>
          </w:p>
        </w:tc>
        <w:tc>
          <w:tcPr>
            <w:tcW w:w="1335" w:type="dxa"/>
            <w:tcBorders>
              <w:top w:val="single" w:sz="4" w:space="0" w:color="auto"/>
              <w:left w:val="nil"/>
              <w:bottom w:val="single" w:sz="4" w:space="0" w:color="auto"/>
              <w:right w:val="single" w:sz="4" w:space="0" w:color="auto"/>
            </w:tcBorders>
            <w:vAlign w:val="center"/>
          </w:tcPr>
          <w:p w14:paraId="086F9D78"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产出进度</w:t>
            </w:r>
          </w:p>
        </w:tc>
        <w:tc>
          <w:tcPr>
            <w:tcW w:w="1285" w:type="dxa"/>
            <w:tcBorders>
              <w:top w:val="single" w:sz="4" w:space="0" w:color="auto"/>
              <w:left w:val="nil"/>
              <w:bottom w:val="single" w:sz="4" w:space="0" w:color="auto"/>
              <w:right w:val="single" w:sz="4" w:space="0" w:color="auto"/>
            </w:tcBorders>
            <w:vAlign w:val="center"/>
          </w:tcPr>
          <w:p w14:paraId="3CF8B4A0" w14:textId="77777777"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按照规定时限完成</w:t>
            </w:r>
          </w:p>
        </w:tc>
        <w:tc>
          <w:tcPr>
            <w:tcW w:w="3662" w:type="dxa"/>
            <w:gridSpan w:val="2"/>
            <w:tcBorders>
              <w:top w:val="single" w:sz="4" w:space="0" w:color="auto"/>
              <w:left w:val="nil"/>
              <w:bottom w:val="single" w:sz="4" w:space="0" w:color="auto"/>
              <w:right w:val="single" w:sz="4" w:space="0" w:color="auto"/>
            </w:tcBorders>
            <w:vAlign w:val="center"/>
          </w:tcPr>
          <w:p w14:paraId="2C362229" w14:textId="77777777" w:rsidR="00993813" w:rsidRDefault="00000000">
            <w:pPr>
              <w:widowControl/>
              <w:jc w:val="left"/>
              <w:rPr>
                <w:rFonts w:ascii="宋体" w:hAnsi="宋体" w:cs="宋体"/>
                <w:color w:val="000000"/>
                <w:kern w:val="0"/>
                <w:sz w:val="20"/>
                <w:szCs w:val="20"/>
              </w:rPr>
            </w:pPr>
            <w:proofErr w:type="gramStart"/>
            <w:r>
              <w:rPr>
                <w:rFonts w:ascii="宋体" w:hAnsi="宋体" w:cs="宋体" w:hint="eastAsia"/>
                <w:color w:val="000000"/>
                <w:kern w:val="0"/>
                <w:sz w:val="20"/>
                <w:szCs w:val="20"/>
              </w:rPr>
              <w:t>大兴区</w:t>
            </w:r>
            <w:proofErr w:type="gramEnd"/>
            <w:r>
              <w:rPr>
                <w:rFonts w:ascii="宋体" w:hAnsi="宋体" w:cs="宋体" w:hint="eastAsia"/>
                <w:color w:val="000000"/>
                <w:kern w:val="0"/>
                <w:sz w:val="20"/>
                <w:szCs w:val="20"/>
              </w:rPr>
              <w:t>人民法院2023年度人员经费均按月及时发放，日常公用支出以及18个项目均已按时完成。</w:t>
            </w:r>
          </w:p>
        </w:tc>
        <w:tc>
          <w:tcPr>
            <w:tcW w:w="753" w:type="dxa"/>
            <w:gridSpan w:val="2"/>
            <w:tcBorders>
              <w:top w:val="single" w:sz="4" w:space="0" w:color="auto"/>
              <w:left w:val="single" w:sz="4" w:space="0" w:color="auto"/>
              <w:bottom w:val="single" w:sz="4" w:space="0" w:color="auto"/>
              <w:right w:val="single" w:sz="4" w:space="0" w:color="auto"/>
            </w:tcBorders>
            <w:vAlign w:val="center"/>
          </w:tcPr>
          <w:p w14:paraId="33C9560A"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830" w:type="dxa"/>
            <w:gridSpan w:val="2"/>
            <w:tcBorders>
              <w:top w:val="single" w:sz="4" w:space="0" w:color="auto"/>
              <w:left w:val="nil"/>
              <w:bottom w:val="single" w:sz="4" w:space="0" w:color="auto"/>
              <w:right w:val="nil"/>
            </w:tcBorders>
            <w:noWrap/>
            <w:vAlign w:val="center"/>
          </w:tcPr>
          <w:p w14:paraId="4DF67AA0"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3495" w:type="dxa"/>
            <w:gridSpan w:val="2"/>
            <w:vMerge/>
            <w:tcBorders>
              <w:top w:val="nil"/>
              <w:left w:val="single" w:sz="4" w:space="0" w:color="auto"/>
              <w:bottom w:val="single" w:sz="4" w:space="0" w:color="auto"/>
              <w:right w:val="single" w:sz="4" w:space="0" w:color="auto"/>
            </w:tcBorders>
            <w:vAlign w:val="center"/>
          </w:tcPr>
          <w:p w14:paraId="03CB206C" w14:textId="77777777" w:rsidR="00993813" w:rsidRDefault="00993813">
            <w:pPr>
              <w:widowControl/>
              <w:jc w:val="left"/>
              <w:rPr>
                <w:rFonts w:ascii="宋体" w:hAnsi="宋体" w:cs="宋体"/>
                <w:color w:val="000000"/>
                <w:kern w:val="0"/>
                <w:sz w:val="18"/>
                <w:szCs w:val="18"/>
              </w:rPr>
            </w:pPr>
          </w:p>
        </w:tc>
        <w:tc>
          <w:tcPr>
            <w:tcW w:w="1809" w:type="dxa"/>
            <w:gridSpan w:val="2"/>
            <w:vMerge/>
            <w:tcBorders>
              <w:top w:val="nil"/>
              <w:left w:val="single" w:sz="4" w:space="0" w:color="auto"/>
              <w:bottom w:val="single" w:sz="4" w:space="0" w:color="auto"/>
              <w:right w:val="single" w:sz="4" w:space="0" w:color="auto"/>
            </w:tcBorders>
            <w:vAlign w:val="center"/>
          </w:tcPr>
          <w:p w14:paraId="22A78FF9" w14:textId="77777777" w:rsidR="00993813" w:rsidRDefault="00993813">
            <w:pPr>
              <w:widowControl/>
              <w:jc w:val="left"/>
              <w:rPr>
                <w:rFonts w:ascii="宋体" w:hAnsi="宋体" w:cs="宋体"/>
                <w:color w:val="000000"/>
                <w:kern w:val="0"/>
                <w:sz w:val="18"/>
                <w:szCs w:val="18"/>
              </w:rPr>
            </w:pPr>
          </w:p>
        </w:tc>
      </w:tr>
      <w:tr w:rsidR="00993813" w14:paraId="13F652D1" w14:textId="77777777">
        <w:trPr>
          <w:gridAfter w:val="2"/>
          <w:wAfter w:w="27" w:type="dxa"/>
          <w:cantSplit/>
          <w:trHeight w:val="2681"/>
        </w:trPr>
        <w:tc>
          <w:tcPr>
            <w:tcW w:w="1190" w:type="dxa"/>
            <w:vMerge/>
            <w:tcBorders>
              <w:top w:val="single" w:sz="4" w:space="0" w:color="auto"/>
              <w:left w:val="single" w:sz="4" w:space="0" w:color="auto"/>
              <w:bottom w:val="single" w:sz="4" w:space="0" w:color="auto"/>
              <w:right w:val="single" w:sz="4" w:space="0" w:color="auto"/>
            </w:tcBorders>
            <w:vAlign w:val="center"/>
          </w:tcPr>
          <w:p w14:paraId="0953C26C" w14:textId="77777777" w:rsidR="00993813" w:rsidRDefault="00993813">
            <w:pPr>
              <w:widowControl/>
              <w:jc w:val="left"/>
              <w:rPr>
                <w:rFonts w:ascii="宋体" w:hAnsi="宋体" w:cs="宋体"/>
                <w:color w:val="000000"/>
                <w:kern w:val="0"/>
                <w:sz w:val="20"/>
                <w:szCs w:val="20"/>
              </w:rPr>
            </w:pPr>
          </w:p>
        </w:tc>
        <w:tc>
          <w:tcPr>
            <w:tcW w:w="1054" w:type="dxa"/>
            <w:vMerge/>
            <w:tcBorders>
              <w:top w:val="single" w:sz="4" w:space="0" w:color="auto"/>
              <w:left w:val="single" w:sz="4" w:space="0" w:color="auto"/>
              <w:bottom w:val="single" w:sz="4" w:space="0" w:color="auto"/>
              <w:right w:val="single" w:sz="4" w:space="0" w:color="auto"/>
            </w:tcBorders>
            <w:vAlign w:val="center"/>
          </w:tcPr>
          <w:p w14:paraId="6D566D0B" w14:textId="77777777" w:rsidR="00993813" w:rsidRDefault="00993813">
            <w:pPr>
              <w:widowControl/>
              <w:jc w:val="left"/>
              <w:rPr>
                <w:rFonts w:ascii="宋体" w:hAnsi="宋体" w:cs="宋体"/>
                <w:color w:val="000000"/>
                <w:kern w:val="0"/>
                <w:sz w:val="20"/>
                <w:szCs w:val="20"/>
              </w:rPr>
            </w:pPr>
          </w:p>
        </w:tc>
        <w:tc>
          <w:tcPr>
            <w:tcW w:w="1335" w:type="dxa"/>
            <w:tcBorders>
              <w:top w:val="single" w:sz="4" w:space="0" w:color="auto"/>
              <w:left w:val="nil"/>
              <w:bottom w:val="single" w:sz="4" w:space="0" w:color="auto"/>
              <w:right w:val="single" w:sz="4" w:space="0" w:color="auto"/>
            </w:tcBorders>
            <w:vAlign w:val="center"/>
          </w:tcPr>
          <w:p w14:paraId="27A22799" w14:textId="77777777" w:rsidR="00993813" w:rsidRDefault="00000000">
            <w:pPr>
              <w:widowControl/>
              <w:jc w:val="center"/>
            </w:pPr>
            <w:r>
              <w:rPr>
                <w:rFonts w:hint="eastAsia"/>
              </w:rPr>
              <w:t>产出成本</w:t>
            </w:r>
          </w:p>
        </w:tc>
        <w:tc>
          <w:tcPr>
            <w:tcW w:w="1285" w:type="dxa"/>
            <w:tcBorders>
              <w:top w:val="single" w:sz="4" w:space="0" w:color="auto"/>
              <w:left w:val="nil"/>
              <w:bottom w:val="single" w:sz="4" w:space="0" w:color="auto"/>
              <w:right w:val="single" w:sz="4" w:space="0" w:color="auto"/>
            </w:tcBorders>
            <w:vAlign w:val="center"/>
          </w:tcPr>
          <w:p w14:paraId="12D5E1F1" w14:textId="77777777"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部门公用经费的控制情况</w:t>
            </w:r>
          </w:p>
        </w:tc>
        <w:tc>
          <w:tcPr>
            <w:tcW w:w="3662" w:type="dxa"/>
            <w:gridSpan w:val="2"/>
            <w:tcBorders>
              <w:top w:val="single" w:sz="4" w:space="0" w:color="auto"/>
              <w:left w:val="nil"/>
              <w:bottom w:val="single" w:sz="4" w:space="0" w:color="auto"/>
              <w:right w:val="single" w:sz="4" w:space="0" w:color="auto"/>
            </w:tcBorders>
            <w:vAlign w:val="center"/>
          </w:tcPr>
          <w:p w14:paraId="3249875C" w14:textId="2D63C5D1" w:rsidR="00993813" w:rsidRDefault="00000000">
            <w:pPr>
              <w:widowControl/>
              <w:rPr>
                <w:rFonts w:ascii="宋体" w:hAnsi="宋体" w:cs="宋体"/>
                <w:color w:val="000000"/>
                <w:kern w:val="0"/>
                <w:sz w:val="20"/>
                <w:szCs w:val="20"/>
              </w:rPr>
            </w:pPr>
            <w:proofErr w:type="gramStart"/>
            <w:r>
              <w:rPr>
                <w:rFonts w:ascii="宋体" w:hAnsi="宋体" w:cs="宋体" w:hint="eastAsia"/>
                <w:color w:val="000000"/>
                <w:kern w:val="0"/>
                <w:sz w:val="20"/>
                <w:szCs w:val="20"/>
              </w:rPr>
              <w:t>大兴区</w:t>
            </w:r>
            <w:proofErr w:type="gramEnd"/>
            <w:r>
              <w:rPr>
                <w:rFonts w:ascii="宋体" w:hAnsi="宋体" w:cs="宋体" w:hint="eastAsia"/>
                <w:color w:val="000000"/>
                <w:kern w:val="0"/>
                <w:sz w:val="20"/>
                <w:szCs w:val="20"/>
              </w:rPr>
              <w:t>人民法院2023年部分经费实现成本节约，如： 公务用车运行维护费2023年决算数85.30万元，比2023年年初预算数115</w:t>
            </w:r>
            <w:r w:rsidRPr="00C6352F">
              <w:rPr>
                <w:rFonts w:ascii="宋体" w:hAnsi="宋体" w:cs="宋体" w:hint="eastAsia"/>
                <w:color w:val="000000"/>
                <w:kern w:val="0"/>
                <w:sz w:val="20"/>
                <w:szCs w:val="20"/>
              </w:rPr>
              <w:t>.50万元减少30.2万元。2023年公务接待费决算数0万元，比2023年年初预算数1.9万元减少1.9万元。</w:t>
            </w:r>
          </w:p>
        </w:tc>
        <w:tc>
          <w:tcPr>
            <w:tcW w:w="753" w:type="dxa"/>
            <w:gridSpan w:val="2"/>
            <w:tcBorders>
              <w:top w:val="single" w:sz="4" w:space="0" w:color="auto"/>
              <w:left w:val="single" w:sz="4" w:space="0" w:color="auto"/>
              <w:bottom w:val="single" w:sz="4" w:space="0" w:color="auto"/>
              <w:right w:val="single" w:sz="4" w:space="0" w:color="auto"/>
            </w:tcBorders>
            <w:vAlign w:val="center"/>
          </w:tcPr>
          <w:p w14:paraId="49DA9FB9"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830" w:type="dxa"/>
            <w:gridSpan w:val="2"/>
            <w:tcBorders>
              <w:top w:val="single" w:sz="4" w:space="0" w:color="auto"/>
              <w:left w:val="nil"/>
              <w:bottom w:val="single" w:sz="4" w:space="0" w:color="auto"/>
              <w:right w:val="nil"/>
            </w:tcBorders>
            <w:noWrap/>
            <w:vAlign w:val="center"/>
          </w:tcPr>
          <w:p w14:paraId="632E6B19"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3495" w:type="dxa"/>
            <w:gridSpan w:val="2"/>
            <w:vMerge/>
            <w:tcBorders>
              <w:top w:val="nil"/>
              <w:left w:val="single" w:sz="4" w:space="0" w:color="auto"/>
              <w:bottom w:val="single" w:sz="4" w:space="0" w:color="auto"/>
              <w:right w:val="single" w:sz="4" w:space="0" w:color="auto"/>
            </w:tcBorders>
            <w:vAlign w:val="center"/>
          </w:tcPr>
          <w:p w14:paraId="06CF97B2" w14:textId="77777777" w:rsidR="00993813" w:rsidRDefault="00993813">
            <w:pPr>
              <w:widowControl/>
              <w:jc w:val="left"/>
              <w:rPr>
                <w:rFonts w:ascii="宋体" w:hAnsi="宋体" w:cs="宋体"/>
                <w:color w:val="000000"/>
                <w:kern w:val="0"/>
                <w:sz w:val="18"/>
                <w:szCs w:val="18"/>
              </w:rPr>
            </w:pPr>
          </w:p>
        </w:tc>
        <w:tc>
          <w:tcPr>
            <w:tcW w:w="1809" w:type="dxa"/>
            <w:gridSpan w:val="2"/>
            <w:vMerge/>
            <w:tcBorders>
              <w:top w:val="nil"/>
              <w:left w:val="single" w:sz="4" w:space="0" w:color="auto"/>
              <w:bottom w:val="single" w:sz="4" w:space="0" w:color="auto"/>
              <w:right w:val="single" w:sz="4" w:space="0" w:color="auto"/>
            </w:tcBorders>
            <w:vAlign w:val="center"/>
          </w:tcPr>
          <w:p w14:paraId="64FB3392" w14:textId="77777777" w:rsidR="00993813" w:rsidRDefault="00993813">
            <w:pPr>
              <w:widowControl/>
              <w:jc w:val="left"/>
              <w:rPr>
                <w:rFonts w:ascii="宋体" w:hAnsi="宋体" w:cs="宋体"/>
                <w:color w:val="000000"/>
                <w:kern w:val="0"/>
                <w:sz w:val="18"/>
                <w:szCs w:val="18"/>
              </w:rPr>
            </w:pPr>
          </w:p>
        </w:tc>
      </w:tr>
      <w:tr w:rsidR="00993813" w14:paraId="5829B161" w14:textId="77777777">
        <w:trPr>
          <w:gridAfter w:val="2"/>
          <w:wAfter w:w="27" w:type="dxa"/>
          <w:cantSplit/>
          <w:trHeight w:val="7361"/>
        </w:trPr>
        <w:tc>
          <w:tcPr>
            <w:tcW w:w="1190" w:type="dxa"/>
            <w:vMerge/>
            <w:tcBorders>
              <w:top w:val="single" w:sz="4" w:space="0" w:color="auto"/>
              <w:left w:val="single" w:sz="4" w:space="0" w:color="auto"/>
              <w:bottom w:val="single" w:sz="4" w:space="0" w:color="auto"/>
              <w:right w:val="single" w:sz="4" w:space="0" w:color="auto"/>
            </w:tcBorders>
            <w:vAlign w:val="center"/>
          </w:tcPr>
          <w:p w14:paraId="6BD3C92E" w14:textId="77777777" w:rsidR="00993813" w:rsidRDefault="00993813">
            <w:pPr>
              <w:widowControl/>
              <w:jc w:val="left"/>
              <w:rPr>
                <w:rFonts w:ascii="宋体" w:hAnsi="宋体" w:cs="宋体"/>
                <w:color w:val="000000"/>
                <w:kern w:val="0"/>
                <w:sz w:val="20"/>
                <w:szCs w:val="20"/>
              </w:rPr>
            </w:pPr>
          </w:p>
        </w:tc>
        <w:tc>
          <w:tcPr>
            <w:tcW w:w="1054" w:type="dxa"/>
            <w:vMerge w:val="restart"/>
            <w:tcBorders>
              <w:top w:val="single" w:sz="4" w:space="0" w:color="auto"/>
              <w:left w:val="single" w:sz="4" w:space="0" w:color="auto"/>
              <w:bottom w:val="single" w:sz="4" w:space="0" w:color="auto"/>
              <w:right w:val="single" w:sz="4" w:space="0" w:color="auto"/>
            </w:tcBorders>
            <w:vAlign w:val="center"/>
          </w:tcPr>
          <w:p w14:paraId="36D9DED3"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效果（30）</w:t>
            </w:r>
          </w:p>
        </w:tc>
        <w:tc>
          <w:tcPr>
            <w:tcW w:w="1335" w:type="dxa"/>
            <w:tcBorders>
              <w:top w:val="single" w:sz="4" w:space="0" w:color="auto"/>
              <w:left w:val="nil"/>
              <w:bottom w:val="single" w:sz="4" w:space="0" w:color="auto"/>
              <w:right w:val="single" w:sz="4" w:space="0" w:color="auto"/>
            </w:tcBorders>
            <w:vAlign w:val="center"/>
          </w:tcPr>
          <w:p w14:paraId="5F461AE5"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经济效益</w:t>
            </w:r>
          </w:p>
        </w:tc>
        <w:tc>
          <w:tcPr>
            <w:tcW w:w="1285" w:type="dxa"/>
            <w:tcBorders>
              <w:top w:val="single" w:sz="4" w:space="0" w:color="auto"/>
              <w:left w:val="nil"/>
              <w:bottom w:val="single" w:sz="4" w:space="0" w:color="auto"/>
              <w:right w:val="single" w:sz="4" w:space="0" w:color="auto"/>
            </w:tcBorders>
            <w:vAlign w:val="center"/>
          </w:tcPr>
          <w:p w14:paraId="1F829FA8" w14:textId="77777777"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单位履行职责对经济发展所带来的直接或间接影响</w:t>
            </w:r>
          </w:p>
        </w:tc>
        <w:tc>
          <w:tcPr>
            <w:tcW w:w="3662" w:type="dxa"/>
            <w:gridSpan w:val="2"/>
            <w:tcBorders>
              <w:top w:val="single" w:sz="4" w:space="0" w:color="auto"/>
              <w:left w:val="nil"/>
              <w:bottom w:val="single" w:sz="4" w:space="0" w:color="auto"/>
              <w:right w:val="single" w:sz="4" w:space="0" w:color="auto"/>
            </w:tcBorders>
            <w:vAlign w:val="center"/>
          </w:tcPr>
          <w:p w14:paraId="7133A90D" w14:textId="77777777"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1）严厉打击集资诈骗、非法吸收公众存款等犯罪行为，审结57起相关案件，判处罪犯93人，涉案金额超13亿元。在区委政法委统筹下，加强对“恒大未来城”关联案件的司法应对，通过示范性判决妥善处理“带押过户”等焦点问题，保障房地产市场平稳发展。</w:t>
            </w:r>
          </w:p>
          <w:p w14:paraId="3D4C5A22" w14:textId="77777777" w:rsidR="00380AD4" w:rsidRDefault="00380AD4">
            <w:pPr>
              <w:widowControl/>
              <w:jc w:val="left"/>
              <w:rPr>
                <w:rFonts w:ascii="宋体" w:hAnsi="宋体" w:cs="宋体"/>
                <w:color w:val="000000"/>
                <w:kern w:val="0"/>
                <w:sz w:val="20"/>
                <w:szCs w:val="20"/>
              </w:rPr>
            </w:pPr>
          </w:p>
          <w:p w14:paraId="65E93A54" w14:textId="0E11007C"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（2）增强失信惩戒，依法对拒不履行生效判决的某出租车公司罚款100万元，</w:t>
            </w:r>
            <w:proofErr w:type="gramStart"/>
            <w:r>
              <w:rPr>
                <w:rFonts w:ascii="宋体" w:hAnsi="宋体" w:cs="宋体" w:hint="eastAsia"/>
                <w:color w:val="000000"/>
                <w:kern w:val="0"/>
                <w:sz w:val="20"/>
                <w:szCs w:val="20"/>
              </w:rPr>
              <w:t>发还案</w:t>
            </w:r>
            <w:proofErr w:type="gramEnd"/>
            <w:r>
              <w:rPr>
                <w:rFonts w:ascii="宋体" w:hAnsi="宋体" w:cs="宋体" w:hint="eastAsia"/>
                <w:color w:val="000000"/>
                <w:kern w:val="0"/>
                <w:sz w:val="20"/>
                <w:szCs w:val="20"/>
              </w:rPr>
              <w:t>款22.7亿元，网上拍卖标的物1118件，成交金额4.1亿元，为当事人减免佣金1300万元。</w:t>
            </w:r>
          </w:p>
          <w:p w14:paraId="3CE1A064" w14:textId="77777777" w:rsidR="00380AD4" w:rsidRDefault="00380AD4">
            <w:pPr>
              <w:widowControl/>
              <w:jc w:val="left"/>
              <w:rPr>
                <w:rFonts w:ascii="宋体" w:hAnsi="宋体" w:cs="宋体"/>
                <w:color w:val="000000"/>
                <w:kern w:val="0"/>
                <w:sz w:val="20"/>
                <w:szCs w:val="20"/>
              </w:rPr>
            </w:pPr>
          </w:p>
          <w:p w14:paraId="3F6F83DB" w14:textId="352A8FF6"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（3）精准服务全区重点产业发展，邀请市区企业界代表召开征求意见座谈会，对临空经济区与生物医药基地的企业涉</w:t>
            </w:r>
            <w:proofErr w:type="gramStart"/>
            <w:r>
              <w:rPr>
                <w:rFonts w:ascii="宋体" w:hAnsi="宋体" w:cs="宋体" w:hint="eastAsia"/>
                <w:color w:val="000000"/>
                <w:kern w:val="0"/>
                <w:sz w:val="20"/>
                <w:szCs w:val="20"/>
              </w:rPr>
              <w:t>诉情况</w:t>
            </w:r>
            <w:proofErr w:type="gramEnd"/>
            <w:r>
              <w:rPr>
                <w:rFonts w:ascii="宋体" w:hAnsi="宋体" w:cs="宋体" w:hint="eastAsia"/>
                <w:color w:val="000000"/>
                <w:kern w:val="0"/>
                <w:sz w:val="20"/>
                <w:szCs w:val="20"/>
              </w:rPr>
              <w:t>进行专题调研，深入南航、厦航开展普法宣传，探索涉企信用修复机制。</w:t>
            </w:r>
          </w:p>
        </w:tc>
        <w:tc>
          <w:tcPr>
            <w:tcW w:w="753" w:type="dxa"/>
            <w:gridSpan w:val="2"/>
            <w:tcBorders>
              <w:top w:val="single" w:sz="4" w:space="0" w:color="auto"/>
              <w:left w:val="single" w:sz="4" w:space="0" w:color="auto"/>
              <w:bottom w:val="single" w:sz="4" w:space="0" w:color="auto"/>
              <w:right w:val="single" w:sz="4" w:space="0" w:color="auto"/>
            </w:tcBorders>
            <w:noWrap/>
            <w:vAlign w:val="center"/>
          </w:tcPr>
          <w:p w14:paraId="34222C25"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830" w:type="dxa"/>
            <w:gridSpan w:val="2"/>
            <w:tcBorders>
              <w:top w:val="single" w:sz="4" w:space="0" w:color="auto"/>
              <w:left w:val="nil"/>
              <w:bottom w:val="single" w:sz="4" w:space="0" w:color="auto"/>
              <w:right w:val="nil"/>
            </w:tcBorders>
            <w:noWrap/>
            <w:vAlign w:val="center"/>
          </w:tcPr>
          <w:p w14:paraId="1E045B24"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3495" w:type="dxa"/>
            <w:gridSpan w:val="2"/>
            <w:vMerge w:val="restart"/>
            <w:tcBorders>
              <w:top w:val="single" w:sz="4" w:space="0" w:color="auto"/>
              <w:left w:val="single" w:sz="4" w:space="0" w:color="auto"/>
              <w:bottom w:val="single" w:sz="4" w:space="0" w:color="auto"/>
              <w:right w:val="single" w:sz="4" w:space="0" w:color="auto"/>
            </w:tcBorders>
            <w:vAlign w:val="center"/>
          </w:tcPr>
          <w:p w14:paraId="2829236F" w14:textId="77777777" w:rsidR="00993813" w:rsidRDefault="0000000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经济效益</w:t>
            </w:r>
            <w:r>
              <w:rPr>
                <w:rFonts w:ascii="宋体" w:hAnsi="宋体" w:cs="宋体" w:hint="eastAsia"/>
                <w:color w:val="000000"/>
                <w:kern w:val="0"/>
                <w:sz w:val="18"/>
                <w:szCs w:val="18"/>
              </w:rPr>
              <w:t>：部门（单位）履行职责对经济发展所带来的直接或间接影响。</w:t>
            </w:r>
            <w:r>
              <w:rPr>
                <w:rFonts w:ascii="宋体" w:hAnsi="宋体" w:cs="宋体" w:hint="eastAsia"/>
                <w:b/>
                <w:bCs/>
                <w:color w:val="000000"/>
                <w:kern w:val="0"/>
                <w:sz w:val="18"/>
                <w:szCs w:val="18"/>
              </w:rPr>
              <w:t>社会效益</w:t>
            </w:r>
            <w:r>
              <w:rPr>
                <w:rFonts w:ascii="宋体" w:hAnsi="宋体" w:cs="宋体" w:hint="eastAsia"/>
                <w:color w:val="000000"/>
                <w:kern w:val="0"/>
                <w:sz w:val="18"/>
                <w:szCs w:val="18"/>
              </w:rPr>
              <w:t>：部门（单位）履行职责对社会发展所带来的直接或间接影响。</w:t>
            </w:r>
            <w:r>
              <w:rPr>
                <w:rFonts w:ascii="宋体" w:hAnsi="宋体" w:cs="宋体" w:hint="eastAsia"/>
                <w:b/>
                <w:bCs/>
                <w:color w:val="000000"/>
                <w:kern w:val="0"/>
                <w:sz w:val="18"/>
                <w:szCs w:val="18"/>
              </w:rPr>
              <w:t>环境效益</w:t>
            </w:r>
            <w:r>
              <w:rPr>
                <w:rFonts w:ascii="宋体" w:hAnsi="宋体" w:cs="宋体" w:hint="eastAsia"/>
                <w:color w:val="000000"/>
                <w:kern w:val="0"/>
                <w:sz w:val="18"/>
                <w:szCs w:val="18"/>
              </w:rPr>
              <w:t>：部门（单位）履行职责对环境所带来的直接或间接影响。</w:t>
            </w:r>
            <w:r>
              <w:rPr>
                <w:rFonts w:ascii="宋体" w:hAnsi="宋体" w:cs="宋体" w:hint="eastAsia"/>
                <w:b/>
                <w:bCs/>
                <w:color w:val="000000"/>
                <w:kern w:val="0"/>
                <w:sz w:val="18"/>
                <w:szCs w:val="18"/>
              </w:rPr>
              <w:t>可持续性影响：</w:t>
            </w:r>
            <w:r>
              <w:rPr>
                <w:rFonts w:ascii="宋体" w:hAnsi="宋体" w:cs="宋体" w:hint="eastAsia"/>
                <w:color w:val="000000"/>
                <w:kern w:val="0"/>
                <w:sz w:val="18"/>
                <w:szCs w:val="18"/>
              </w:rPr>
              <w:t>部门绩效目标实现的长效机制建设情况，部门工作效率提升措施的创新。</w:t>
            </w:r>
            <w:r>
              <w:rPr>
                <w:rFonts w:ascii="宋体" w:hAnsi="宋体" w:cs="宋体" w:hint="eastAsia"/>
                <w:b/>
                <w:bCs/>
                <w:color w:val="000000"/>
                <w:kern w:val="0"/>
                <w:sz w:val="18"/>
                <w:szCs w:val="18"/>
              </w:rPr>
              <w:t>服务对象满意度</w:t>
            </w:r>
            <w:r>
              <w:rPr>
                <w:rFonts w:ascii="宋体" w:hAnsi="宋体" w:cs="宋体" w:hint="eastAsia"/>
                <w:color w:val="000000"/>
                <w:kern w:val="0"/>
                <w:sz w:val="18"/>
                <w:szCs w:val="18"/>
              </w:rPr>
              <w:t>：部门（单位）的服务对象对部门履职效果的满意程度。</w:t>
            </w:r>
          </w:p>
        </w:tc>
        <w:tc>
          <w:tcPr>
            <w:tcW w:w="1809" w:type="dxa"/>
            <w:gridSpan w:val="2"/>
            <w:vMerge w:val="restart"/>
            <w:tcBorders>
              <w:top w:val="single" w:sz="4" w:space="0" w:color="auto"/>
              <w:left w:val="single" w:sz="4" w:space="0" w:color="auto"/>
              <w:bottom w:val="single" w:sz="4" w:space="0" w:color="auto"/>
              <w:right w:val="single" w:sz="4" w:space="0" w:color="auto"/>
            </w:tcBorders>
            <w:vAlign w:val="center"/>
          </w:tcPr>
          <w:p w14:paraId="4D412B5F" w14:textId="77777777" w:rsidR="00993813"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部门根据实际情况选择指标进行填写，并将其细化为相应的个性化指标。对于效益类指标可从受益对象瞄准度、受益广度和受益深度上进行设计分析。</w:t>
            </w:r>
          </w:p>
        </w:tc>
      </w:tr>
      <w:tr w:rsidR="00993813" w14:paraId="2B2FF1A0" w14:textId="77777777">
        <w:trPr>
          <w:gridAfter w:val="2"/>
          <w:wAfter w:w="27" w:type="dxa"/>
          <w:cantSplit/>
          <w:trHeight w:val="1173"/>
        </w:trPr>
        <w:tc>
          <w:tcPr>
            <w:tcW w:w="1190" w:type="dxa"/>
            <w:vMerge/>
            <w:tcBorders>
              <w:top w:val="single" w:sz="4" w:space="0" w:color="auto"/>
              <w:left w:val="single" w:sz="4" w:space="0" w:color="auto"/>
              <w:bottom w:val="single" w:sz="4" w:space="0" w:color="auto"/>
              <w:right w:val="single" w:sz="4" w:space="0" w:color="auto"/>
            </w:tcBorders>
            <w:vAlign w:val="center"/>
          </w:tcPr>
          <w:p w14:paraId="5286B638" w14:textId="77777777" w:rsidR="00993813" w:rsidRDefault="00993813">
            <w:pPr>
              <w:widowControl/>
              <w:jc w:val="left"/>
              <w:rPr>
                <w:rFonts w:ascii="宋体" w:hAnsi="宋体" w:cs="宋体"/>
                <w:color w:val="000000"/>
                <w:kern w:val="0"/>
                <w:sz w:val="20"/>
                <w:szCs w:val="20"/>
              </w:rPr>
            </w:pPr>
          </w:p>
        </w:tc>
        <w:tc>
          <w:tcPr>
            <w:tcW w:w="1054" w:type="dxa"/>
            <w:vMerge/>
            <w:tcBorders>
              <w:top w:val="single" w:sz="4" w:space="0" w:color="auto"/>
              <w:left w:val="single" w:sz="4" w:space="0" w:color="auto"/>
              <w:bottom w:val="single" w:sz="4" w:space="0" w:color="auto"/>
              <w:right w:val="single" w:sz="4" w:space="0" w:color="auto"/>
            </w:tcBorders>
            <w:vAlign w:val="center"/>
          </w:tcPr>
          <w:p w14:paraId="15097656" w14:textId="77777777" w:rsidR="00993813" w:rsidRDefault="00993813">
            <w:pPr>
              <w:widowControl/>
              <w:jc w:val="center"/>
              <w:rPr>
                <w:rFonts w:ascii="宋体" w:hAnsi="宋体" w:cs="宋体"/>
                <w:color w:val="000000"/>
                <w:kern w:val="0"/>
                <w:sz w:val="20"/>
                <w:szCs w:val="20"/>
              </w:rPr>
            </w:pPr>
          </w:p>
        </w:tc>
        <w:tc>
          <w:tcPr>
            <w:tcW w:w="1335" w:type="dxa"/>
            <w:tcBorders>
              <w:top w:val="single" w:sz="4" w:space="0" w:color="auto"/>
              <w:left w:val="nil"/>
              <w:bottom w:val="single" w:sz="4" w:space="0" w:color="auto"/>
              <w:right w:val="single" w:sz="4" w:space="0" w:color="auto"/>
            </w:tcBorders>
            <w:vAlign w:val="center"/>
          </w:tcPr>
          <w:p w14:paraId="270D7B9D"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社会效益</w:t>
            </w:r>
          </w:p>
        </w:tc>
        <w:tc>
          <w:tcPr>
            <w:tcW w:w="1285" w:type="dxa"/>
            <w:tcBorders>
              <w:top w:val="single" w:sz="4" w:space="0" w:color="auto"/>
              <w:left w:val="nil"/>
              <w:bottom w:val="single" w:sz="4" w:space="0" w:color="auto"/>
              <w:right w:val="single" w:sz="4" w:space="0" w:color="auto"/>
            </w:tcBorders>
            <w:vAlign w:val="center"/>
          </w:tcPr>
          <w:p w14:paraId="4B4BFC9E" w14:textId="77777777"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单位履行职责对社会发展所带来的直接或间接影响</w:t>
            </w:r>
          </w:p>
        </w:tc>
        <w:tc>
          <w:tcPr>
            <w:tcW w:w="3662" w:type="dxa"/>
            <w:gridSpan w:val="2"/>
            <w:tcBorders>
              <w:top w:val="single" w:sz="4" w:space="0" w:color="auto"/>
              <w:left w:val="nil"/>
              <w:bottom w:val="single" w:sz="4" w:space="0" w:color="auto"/>
              <w:right w:val="single" w:sz="4" w:space="0" w:color="auto"/>
            </w:tcBorders>
            <w:vAlign w:val="center"/>
          </w:tcPr>
          <w:p w14:paraId="619EF642" w14:textId="77777777" w:rsidR="00226FCE" w:rsidRDefault="00226FCE">
            <w:pPr>
              <w:widowControl/>
              <w:jc w:val="left"/>
              <w:rPr>
                <w:rFonts w:ascii="宋体" w:hAnsi="宋体" w:cs="宋体"/>
                <w:color w:val="000000"/>
                <w:kern w:val="0"/>
                <w:sz w:val="20"/>
                <w:szCs w:val="20"/>
              </w:rPr>
            </w:pPr>
          </w:p>
          <w:p w14:paraId="3D271749" w14:textId="7BD626E4"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1）依法惩治刑事犯罪，常态化推进扫黑除恶，依法审理陈某等5人恶势力团伙犯罪案件。审结故意伤害、抢劫等暴力犯罪和诈骗、敲诈勒索等侵犯财产犯罪案件661件，审结寻衅滋事、妨害公务等扰乱社会管理秩序的犯罪案件140件，审结危害食品药品安全案件13件、危险驾驶案件252件、侵犯公民个人信息案件45件，维护政治安全和社会稳定，增强人民群众安全感。</w:t>
            </w:r>
          </w:p>
          <w:p w14:paraId="562F21CF" w14:textId="77777777" w:rsidR="00380AD4" w:rsidRDefault="00380AD4">
            <w:pPr>
              <w:widowControl/>
              <w:jc w:val="left"/>
              <w:rPr>
                <w:rFonts w:ascii="宋体" w:hAnsi="宋体" w:cs="宋体"/>
                <w:color w:val="000000"/>
                <w:kern w:val="0"/>
                <w:sz w:val="20"/>
                <w:szCs w:val="20"/>
              </w:rPr>
            </w:pPr>
          </w:p>
          <w:p w14:paraId="1FB515DA" w14:textId="36D2F5DE"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（2）依法严惩虐待、拐卖、</w:t>
            </w:r>
            <w:proofErr w:type="gramStart"/>
            <w:r>
              <w:rPr>
                <w:rFonts w:ascii="宋体" w:hAnsi="宋体" w:cs="宋体" w:hint="eastAsia"/>
                <w:color w:val="000000"/>
                <w:kern w:val="0"/>
                <w:sz w:val="20"/>
                <w:szCs w:val="20"/>
              </w:rPr>
              <w:t>性侵未成年人</w:t>
            </w:r>
            <w:proofErr w:type="gramEnd"/>
            <w:r>
              <w:rPr>
                <w:rFonts w:ascii="宋体" w:hAnsi="宋体" w:cs="宋体" w:hint="eastAsia"/>
                <w:color w:val="000000"/>
                <w:kern w:val="0"/>
                <w:sz w:val="20"/>
                <w:szCs w:val="20"/>
              </w:rPr>
              <w:t>的犯罪行为。引入专业社工力</w:t>
            </w:r>
            <w:proofErr w:type="gramStart"/>
            <w:r>
              <w:rPr>
                <w:rFonts w:ascii="宋体" w:hAnsi="宋体" w:cs="宋体" w:hint="eastAsia"/>
                <w:color w:val="000000"/>
                <w:kern w:val="0"/>
                <w:sz w:val="20"/>
                <w:szCs w:val="20"/>
              </w:rPr>
              <w:t>量参与</w:t>
            </w:r>
            <w:proofErr w:type="gramEnd"/>
            <w:r>
              <w:rPr>
                <w:rFonts w:ascii="宋体" w:hAnsi="宋体" w:cs="宋体" w:hint="eastAsia"/>
                <w:color w:val="000000"/>
                <w:kern w:val="0"/>
                <w:sz w:val="20"/>
                <w:szCs w:val="20"/>
              </w:rPr>
              <w:t>法庭调查、判后回访，对9名未成年被告人适用非监禁刑，把“教育、感化、挽救”方针落在实处。全面推进“法治进校园”，开展校园普法活动42场。</w:t>
            </w:r>
            <w:proofErr w:type="gramStart"/>
            <w:r>
              <w:rPr>
                <w:rFonts w:ascii="宋体" w:hAnsi="宋体" w:cs="宋体" w:hint="eastAsia"/>
                <w:color w:val="000000"/>
                <w:kern w:val="0"/>
                <w:sz w:val="20"/>
                <w:szCs w:val="20"/>
              </w:rPr>
              <w:t>大兴区</w:t>
            </w:r>
            <w:proofErr w:type="gramEnd"/>
            <w:r>
              <w:rPr>
                <w:rFonts w:ascii="宋体" w:hAnsi="宋体" w:cs="宋体" w:hint="eastAsia"/>
                <w:color w:val="000000"/>
                <w:kern w:val="0"/>
                <w:sz w:val="20"/>
                <w:szCs w:val="20"/>
              </w:rPr>
              <w:t>人民法院挂牌区少先队校外实践教育基地，最高法院影视中心到</w:t>
            </w:r>
            <w:proofErr w:type="gramStart"/>
            <w:r>
              <w:rPr>
                <w:rFonts w:ascii="宋体" w:hAnsi="宋体" w:cs="宋体" w:hint="eastAsia"/>
                <w:color w:val="000000"/>
                <w:kern w:val="0"/>
                <w:sz w:val="20"/>
                <w:szCs w:val="20"/>
              </w:rPr>
              <w:t>大兴区</w:t>
            </w:r>
            <w:proofErr w:type="gramEnd"/>
            <w:r>
              <w:rPr>
                <w:rFonts w:ascii="宋体" w:hAnsi="宋体" w:cs="宋体" w:hint="eastAsia"/>
                <w:color w:val="000000"/>
                <w:kern w:val="0"/>
                <w:sz w:val="20"/>
                <w:szCs w:val="20"/>
              </w:rPr>
              <w:t>人民法院采风少年司法工作，黄村人民法庭被评为“2017-2022年度北京市未成年人保护工作先进集体”。</w:t>
            </w:r>
          </w:p>
          <w:p w14:paraId="14DD61A2" w14:textId="77777777" w:rsidR="00380AD4" w:rsidRDefault="00380AD4">
            <w:pPr>
              <w:widowControl/>
              <w:jc w:val="left"/>
              <w:rPr>
                <w:rFonts w:ascii="宋体" w:hAnsi="宋体" w:cs="宋体"/>
                <w:color w:val="000000"/>
                <w:kern w:val="0"/>
                <w:sz w:val="20"/>
                <w:szCs w:val="20"/>
              </w:rPr>
            </w:pPr>
          </w:p>
          <w:p w14:paraId="011406DE" w14:textId="6930EC12"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（3）在全区积极建设38个“普法驿站”“兴法治共建基地”，开展“京法巡回讲堂”150余场，召开新闻通报会7场，围绕养老服务、商品房买卖、遗嘱继承等社会热点进行以案释法。</w:t>
            </w:r>
          </w:p>
          <w:p w14:paraId="26126330" w14:textId="77777777" w:rsidR="00380AD4" w:rsidRDefault="00380AD4">
            <w:pPr>
              <w:widowControl/>
              <w:jc w:val="left"/>
              <w:rPr>
                <w:rFonts w:ascii="宋体" w:hAnsi="宋体" w:cs="宋体"/>
                <w:color w:val="000000"/>
                <w:kern w:val="0"/>
                <w:sz w:val="20"/>
                <w:szCs w:val="20"/>
              </w:rPr>
            </w:pPr>
          </w:p>
          <w:p w14:paraId="3F76F03E" w14:textId="77777777" w:rsidR="00380AD4" w:rsidRDefault="00380AD4">
            <w:pPr>
              <w:widowControl/>
              <w:jc w:val="left"/>
              <w:rPr>
                <w:rFonts w:ascii="宋体" w:hAnsi="宋体" w:cs="宋体"/>
                <w:color w:val="000000"/>
                <w:kern w:val="0"/>
                <w:sz w:val="20"/>
                <w:szCs w:val="20"/>
              </w:rPr>
            </w:pPr>
          </w:p>
          <w:p w14:paraId="78582EBD" w14:textId="2A7401D4"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（4）为临空经济区建设提供有力保障，与河北省廊坊市中级人民法院会签合作协议，深化京津</w:t>
            </w:r>
            <w:proofErr w:type="gramStart"/>
            <w:r>
              <w:rPr>
                <w:rFonts w:ascii="宋体" w:hAnsi="宋体" w:cs="宋体" w:hint="eastAsia"/>
                <w:color w:val="000000"/>
                <w:kern w:val="0"/>
                <w:sz w:val="20"/>
                <w:szCs w:val="20"/>
              </w:rPr>
              <w:t>冀司法</w:t>
            </w:r>
            <w:proofErr w:type="gramEnd"/>
            <w:r>
              <w:rPr>
                <w:rFonts w:ascii="宋体" w:hAnsi="宋体" w:cs="宋体" w:hint="eastAsia"/>
                <w:color w:val="000000"/>
                <w:kern w:val="0"/>
                <w:sz w:val="20"/>
                <w:szCs w:val="20"/>
              </w:rPr>
              <w:t>协同，营商环境工作案例被市高级法院《京法网事》采纳推广。</w:t>
            </w:r>
          </w:p>
          <w:p w14:paraId="6CF3DDC5" w14:textId="77777777" w:rsidR="00380AD4" w:rsidRDefault="00380AD4">
            <w:pPr>
              <w:widowControl/>
              <w:jc w:val="left"/>
              <w:rPr>
                <w:rFonts w:ascii="宋体" w:hAnsi="宋体" w:cs="宋体"/>
                <w:color w:val="000000"/>
                <w:kern w:val="0"/>
                <w:sz w:val="20"/>
                <w:szCs w:val="20"/>
              </w:rPr>
            </w:pPr>
          </w:p>
          <w:p w14:paraId="6A05FC6C" w14:textId="50EB4646"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（5）深化府院沟通，参与全市宅基地颁证试点工作法律论证，</w:t>
            </w:r>
            <w:proofErr w:type="gramStart"/>
            <w:r>
              <w:rPr>
                <w:rFonts w:ascii="宋体" w:hAnsi="宋体" w:cs="宋体" w:hint="eastAsia"/>
                <w:color w:val="000000"/>
                <w:kern w:val="0"/>
                <w:sz w:val="20"/>
                <w:szCs w:val="20"/>
              </w:rPr>
              <w:t>赴行政</w:t>
            </w:r>
            <w:proofErr w:type="gramEnd"/>
            <w:r>
              <w:rPr>
                <w:rFonts w:ascii="宋体" w:hAnsi="宋体" w:cs="宋体" w:hint="eastAsia"/>
                <w:color w:val="000000"/>
                <w:kern w:val="0"/>
                <w:sz w:val="20"/>
                <w:szCs w:val="20"/>
              </w:rPr>
              <w:t>机关开展法律适用座谈、依法行政培训等活动19次，邀请行政执法人员旁听公开庭审9场，发布全区行政案件司法审查年度报告，</w:t>
            </w:r>
            <w:proofErr w:type="gramStart"/>
            <w:r>
              <w:rPr>
                <w:rFonts w:ascii="宋体" w:hAnsi="宋体" w:cs="宋体" w:hint="eastAsia"/>
                <w:color w:val="000000"/>
                <w:kern w:val="0"/>
                <w:sz w:val="20"/>
                <w:szCs w:val="20"/>
              </w:rPr>
              <w:t>促推行</w:t>
            </w:r>
            <w:proofErr w:type="gramEnd"/>
            <w:r>
              <w:rPr>
                <w:rFonts w:ascii="宋体" w:hAnsi="宋体" w:cs="宋体" w:hint="eastAsia"/>
                <w:color w:val="000000"/>
                <w:kern w:val="0"/>
                <w:sz w:val="20"/>
                <w:szCs w:val="20"/>
              </w:rPr>
              <w:t>政执法活动依法有效开展。</w:t>
            </w:r>
          </w:p>
        </w:tc>
        <w:tc>
          <w:tcPr>
            <w:tcW w:w="753" w:type="dxa"/>
            <w:gridSpan w:val="2"/>
            <w:tcBorders>
              <w:top w:val="single" w:sz="4" w:space="0" w:color="auto"/>
              <w:left w:val="single" w:sz="4" w:space="0" w:color="auto"/>
              <w:bottom w:val="single" w:sz="4" w:space="0" w:color="auto"/>
              <w:right w:val="single" w:sz="4" w:space="0" w:color="auto"/>
            </w:tcBorders>
            <w:noWrap/>
            <w:vAlign w:val="center"/>
          </w:tcPr>
          <w:p w14:paraId="02B1B90B"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8</w:t>
            </w:r>
          </w:p>
        </w:tc>
        <w:tc>
          <w:tcPr>
            <w:tcW w:w="830" w:type="dxa"/>
            <w:gridSpan w:val="2"/>
            <w:tcBorders>
              <w:top w:val="single" w:sz="4" w:space="0" w:color="auto"/>
              <w:left w:val="nil"/>
              <w:bottom w:val="single" w:sz="4" w:space="0" w:color="auto"/>
              <w:right w:val="nil"/>
            </w:tcBorders>
            <w:noWrap/>
            <w:vAlign w:val="center"/>
          </w:tcPr>
          <w:p w14:paraId="77148D7F" w14:textId="77777777" w:rsidR="00993813" w:rsidRDefault="00000000">
            <w:pPr>
              <w:pStyle w:val="3"/>
              <w:ind w:firstLineChars="100" w:firstLine="210"/>
              <w:rPr>
                <w:rFonts w:ascii="仿宋" w:eastAsia="仿宋" w:hAnsi="仿宋"/>
                <w:b w:val="0"/>
                <w:bCs w:val="0"/>
              </w:rPr>
            </w:pPr>
            <w:bookmarkStart w:id="22" w:name="_Toc16754"/>
            <w:r>
              <w:rPr>
                <w:rFonts w:ascii="仿宋" w:eastAsia="仿宋" w:hAnsi="仿宋" w:hint="eastAsia"/>
                <w:b w:val="0"/>
                <w:bCs w:val="0"/>
              </w:rPr>
              <w:t>8</w:t>
            </w:r>
            <w:bookmarkEnd w:id="22"/>
          </w:p>
        </w:tc>
        <w:tc>
          <w:tcPr>
            <w:tcW w:w="3495" w:type="dxa"/>
            <w:gridSpan w:val="2"/>
            <w:vMerge/>
            <w:tcBorders>
              <w:top w:val="single" w:sz="4" w:space="0" w:color="auto"/>
              <w:left w:val="single" w:sz="4" w:space="0" w:color="auto"/>
              <w:bottom w:val="single" w:sz="4" w:space="0" w:color="auto"/>
              <w:right w:val="single" w:sz="4" w:space="0" w:color="auto"/>
            </w:tcBorders>
            <w:vAlign w:val="center"/>
          </w:tcPr>
          <w:p w14:paraId="6A852B4F" w14:textId="77777777" w:rsidR="00993813" w:rsidRDefault="00993813">
            <w:pPr>
              <w:widowControl/>
              <w:jc w:val="left"/>
              <w:rPr>
                <w:rFonts w:ascii="宋体" w:hAnsi="宋体" w:cs="宋体"/>
                <w:b/>
                <w:bCs/>
                <w:color w:val="000000"/>
                <w:kern w:val="0"/>
                <w:sz w:val="18"/>
                <w:szCs w:val="18"/>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tcPr>
          <w:p w14:paraId="11DB754E" w14:textId="77777777" w:rsidR="00993813" w:rsidRDefault="00993813">
            <w:pPr>
              <w:widowControl/>
              <w:jc w:val="left"/>
              <w:rPr>
                <w:rFonts w:ascii="宋体" w:hAnsi="宋体" w:cs="宋体"/>
                <w:color w:val="000000"/>
                <w:kern w:val="0"/>
                <w:sz w:val="18"/>
                <w:szCs w:val="18"/>
              </w:rPr>
            </w:pPr>
          </w:p>
        </w:tc>
      </w:tr>
      <w:tr w:rsidR="00993813" w14:paraId="46A2ED9A" w14:textId="77777777">
        <w:trPr>
          <w:gridAfter w:val="2"/>
          <w:wAfter w:w="27" w:type="dxa"/>
          <w:cantSplit/>
          <w:trHeight w:val="1173"/>
        </w:trPr>
        <w:tc>
          <w:tcPr>
            <w:tcW w:w="1190" w:type="dxa"/>
            <w:tcBorders>
              <w:top w:val="single" w:sz="4" w:space="0" w:color="auto"/>
              <w:left w:val="single" w:sz="4" w:space="0" w:color="auto"/>
              <w:bottom w:val="single" w:sz="4" w:space="0" w:color="auto"/>
              <w:right w:val="single" w:sz="4" w:space="0" w:color="auto"/>
            </w:tcBorders>
            <w:vAlign w:val="center"/>
          </w:tcPr>
          <w:p w14:paraId="69555B1E" w14:textId="77777777" w:rsidR="00993813" w:rsidRDefault="00993813">
            <w:pPr>
              <w:widowControl/>
              <w:jc w:val="left"/>
              <w:rPr>
                <w:rFonts w:ascii="宋体" w:hAnsi="宋体" w:cs="宋体"/>
                <w:color w:val="000000"/>
                <w:kern w:val="0"/>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0A957F7E" w14:textId="77777777" w:rsidR="00993813" w:rsidRDefault="00993813">
            <w:pPr>
              <w:widowControl/>
              <w:jc w:val="center"/>
              <w:rPr>
                <w:rFonts w:ascii="宋体" w:hAnsi="宋体" w:cs="宋体"/>
                <w:color w:val="000000"/>
                <w:kern w:val="0"/>
                <w:sz w:val="20"/>
                <w:szCs w:val="20"/>
              </w:rPr>
            </w:pPr>
          </w:p>
        </w:tc>
        <w:tc>
          <w:tcPr>
            <w:tcW w:w="1335" w:type="dxa"/>
            <w:tcBorders>
              <w:top w:val="single" w:sz="4" w:space="0" w:color="auto"/>
              <w:left w:val="nil"/>
              <w:bottom w:val="single" w:sz="4" w:space="0" w:color="auto"/>
              <w:right w:val="single" w:sz="4" w:space="0" w:color="auto"/>
            </w:tcBorders>
            <w:vAlign w:val="center"/>
          </w:tcPr>
          <w:p w14:paraId="2448C656"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可持续影响</w:t>
            </w:r>
          </w:p>
        </w:tc>
        <w:tc>
          <w:tcPr>
            <w:tcW w:w="1285" w:type="dxa"/>
            <w:tcBorders>
              <w:top w:val="single" w:sz="4" w:space="0" w:color="auto"/>
              <w:left w:val="nil"/>
              <w:bottom w:val="single" w:sz="4" w:space="0" w:color="auto"/>
              <w:right w:val="single" w:sz="4" w:space="0" w:color="auto"/>
            </w:tcBorders>
            <w:vAlign w:val="center"/>
          </w:tcPr>
          <w:p w14:paraId="16EDA89D"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全力服务经济社会高质量发展</w:t>
            </w:r>
          </w:p>
        </w:tc>
        <w:tc>
          <w:tcPr>
            <w:tcW w:w="3662" w:type="dxa"/>
            <w:gridSpan w:val="2"/>
            <w:tcBorders>
              <w:top w:val="single" w:sz="4" w:space="0" w:color="auto"/>
              <w:left w:val="nil"/>
              <w:bottom w:val="single" w:sz="4" w:space="0" w:color="auto"/>
              <w:right w:val="single" w:sz="4" w:space="0" w:color="auto"/>
            </w:tcBorders>
            <w:vAlign w:val="center"/>
          </w:tcPr>
          <w:p w14:paraId="366A3A92" w14:textId="77777777" w:rsidR="00993813" w:rsidRDefault="00000000">
            <w:pPr>
              <w:pStyle w:val="3"/>
              <w:spacing w:line="240" w:lineRule="atLeast"/>
              <w:jc w:val="left"/>
              <w:rPr>
                <w:rFonts w:ascii="宋体" w:hAnsi="宋体" w:cs="宋体"/>
                <w:b w:val="0"/>
                <w:bCs w:val="0"/>
                <w:color w:val="000000"/>
                <w:kern w:val="0"/>
                <w:sz w:val="20"/>
                <w:szCs w:val="20"/>
              </w:rPr>
            </w:pPr>
            <w:bookmarkStart w:id="23" w:name="_Toc32515"/>
            <w:r>
              <w:rPr>
                <w:rFonts w:ascii="宋体" w:hAnsi="宋体" w:cs="宋体" w:hint="eastAsia"/>
                <w:b w:val="0"/>
                <w:bCs w:val="0"/>
                <w:color w:val="000000"/>
                <w:kern w:val="0"/>
                <w:sz w:val="20"/>
                <w:szCs w:val="20"/>
              </w:rPr>
              <w:t>（1）创新家事调解与家事裁判执行对接机制，与区妇联合作设置“伴视家园”，取得良好社会效果。构建诉讼服务大厅、12368热线、移动终端等全方位诉讼服务体系，将案款发放、评估鉴定等工作统一归口处理，规范线上服务标准和流程。</w:t>
            </w:r>
            <w:bookmarkEnd w:id="23"/>
          </w:p>
          <w:p w14:paraId="2455BAF9" w14:textId="77777777" w:rsidR="00993813" w:rsidRDefault="00000000">
            <w:pPr>
              <w:pStyle w:val="3"/>
              <w:spacing w:line="240" w:lineRule="atLeast"/>
              <w:jc w:val="left"/>
              <w:rPr>
                <w:rFonts w:ascii="宋体" w:hAnsi="宋体" w:cs="宋体"/>
                <w:b w:val="0"/>
                <w:bCs w:val="0"/>
                <w:color w:val="000000"/>
                <w:kern w:val="0"/>
                <w:sz w:val="20"/>
                <w:szCs w:val="20"/>
              </w:rPr>
            </w:pPr>
            <w:bookmarkStart w:id="24" w:name="_Toc22275"/>
            <w:r>
              <w:rPr>
                <w:rFonts w:ascii="宋体" w:hAnsi="宋体" w:cs="宋体" w:hint="eastAsia"/>
                <w:b w:val="0"/>
                <w:bCs w:val="0"/>
                <w:color w:val="000000"/>
                <w:kern w:val="0"/>
                <w:sz w:val="20"/>
                <w:szCs w:val="20"/>
              </w:rPr>
              <w:t>（2）强化民生司法保障，与两区劳动争议仲裁院建立“双向互动”机制，完善裁审衔接。不断深化“一轴多翼”家事纠纷解决机制，依法适用财产申报令、家庭教育指导令，维护妇女、儿童、老年人合法权益。</w:t>
            </w:r>
            <w:bookmarkEnd w:id="24"/>
          </w:p>
          <w:p w14:paraId="07F2A453" w14:textId="77777777" w:rsidR="00993813" w:rsidRDefault="00000000">
            <w:pPr>
              <w:pStyle w:val="3"/>
              <w:spacing w:line="240" w:lineRule="atLeast"/>
              <w:jc w:val="left"/>
              <w:rPr>
                <w:rFonts w:ascii="宋体" w:hAnsi="宋体" w:cs="宋体"/>
                <w:b w:val="0"/>
                <w:bCs w:val="0"/>
                <w:color w:val="000000"/>
                <w:kern w:val="0"/>
                <w:sz w:val="20"/>
                <w:szCs w:val="20"/>
              </w:rPr>
            </w:pPr>
            <w:bookmarkStart w:id="25" w:name="_Toc19161"/>
            <w:r>
              <w:rPr>
                <w:rFonts w:ascii="宋体" w:hAnsi="宋体" w:cs="宋体" w:hint="eastAsia"/>
                <w:b w:val="0"/>
                <w:bCs w:val="0"/>
                <w:color w:val="000000"/>
                <w:kern w:val="0"/>
                <w:sz w:val="20"/>
                <w:szCs w:val="20"/>
              </w:rPr>
              <w:t>（3）不断深化“多元调解+速裁”。制定落实</w:t>
            </w:r>
            <w:proofErr w:type="gramStart"/>
            <w:r>
              <w:rPr>
                <w:rFonts w:ascii="宋体" w:hAnsi="宋体" w:cs="宋体" w:hint="eastAsia"/>
                <w:b w:val="0"/>
                <w:bCs w:val="0"/>
                <w:color w:val="000000"/>
                <w:kern w:val="0"/>
                <w:sz w:val="20"/>
                <w:szCs w:val="20"/>
              </w:rPr>
              <w:t>大兴区</w:t>
            </w:r>
            <w:proofErr w:type="gramEnd"/>
            <w:r>
              <w:rPr>
                <w:rFonts w:ascii="宋体" w:hAnsi="宋体" w:cs="宋体" w:hint="eastAsia"/>
                <w:b w:val="0"/>
                <w:bCs w:val="0"/>
                <w:color w:val="000000"/>
                <w:kern w:val="0"/>
                <w:sz w:val="20"/>
                <w:szCs w:val="20"/>
              </w:rPr>
              <w:t>人民法院《2023年度深化诉源治理实施方案》，参与区委“接诉即办”改革“每月一题”，与区城指中心加强合作，探索12345和12368热线闭环对接、一体推进，促进供暖、房地产、建设工程等领域的纠纷治理关口前移。</w:t>
            </w:r>
            <w:bookmarkEnd w:id="25"/>
          </w:p>
        </w:tc>
        <w:tc>
          <w:tcPr>
            <w:tcW w:w="753" w:type="dxa"/>
            <w:gridSpan w:val="2"/>
            <w:tcBorders>
              <w:top w:val="single" w:sz="4" w:space="0" w:color="auto"/>
              <w:left w:val="single" w:sz="4" w:space="0" w:color="auto"/>
              <w:bottom w:val="single" w:sz="4" w:space="0" w:color="auto"/>
              <w:right w:val="single" w:sz="4" w:space="0" w:color="auto"/>
            </w:tcBorders>
            <w:noWrap/>
            <w:vAlign w:val="center"/>
          </w:tcPr>
          <w:p w14:paraId="0296AAAB"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830" w:type="dxa"/>
            <w:gridSpan w:val="2"/>
            <w:tcBorders>
              <w:top w:val="single" w:sz="4" w:space="0" w:color="auto"/>
              <w:left w:val="nil"/>
              <w:bottom w:val="single" w:sz="4" w:space="0" w:color="auto"/>
              <w:right w:val="nil"/>
            </w:tcBorders>
            <w:noWrap/>
            <w:vAlign w:val="center"/>
          </w:tcPr>
          <w:p w14:paraId="691E2388" w14:textId="77777777" w:rsidR="00993813" w:rsidRDefault="00000000">
            <w:pPr>
              <w:pStyle w:val="3"/>
              <w:jc w:val="center"/>
              <w:rPr>
                <w:rFonts w:asciiTheme="minorEastAsia" w:eastAsiaTheme="minorEastAsia" w:hAnsiTheme="minorEastAsia"/>
                <w:b w:val="0"/>
                <w:bCs w:val="0"/>
              </w:rPr>
            </w:pPr>
            <w:bookmarkStart w:id="26" w:name="_Toc12800"/>
            <w:r>
              <w:rPr>
                <w:rFonts w:asciiTheme="minorEastAsia" w:eastAsiaTheme="minorEastAsia" w:hAnsiTheme="minorEastAsia" w:hint="eastAsia"/>
                <w:b w:val="0"/>
                <w:bCs w:val="0"/>
              </w:rPr>
              <w:t>8</w:t>
            </w:r>
            <w:bookmarkEnd w:id="26"/>
          </w:p>
        </w:tc>
        <w:tc>
          <w:tcPr>
            <w:tcW w:w="3495" w:type="dxa"/>
            <w:gridSpan w:val="2"/>
            <w:vMerge/>
            <w:tcBorders>
              <w:top w:val="single" w:sz="4" w:space="0" w:color="auto"/>
              <w:left w:val="single" w:sz="4" w:space="0" w:color="auto"/>
              <w:bottom w:val="single" w:sz="4" w:space="0" w:color="auto"/>
              <w:right w:val="single" w:sz="4" w:space="0" w:color="auto"/>
            </w:tcBorders>
            <w:vAlign w:val="center"/>
          </w:tcPr>
          <w:p w14:paraId="44460834" w14:textId="77777777" w:rsidR="00993813" w:rsidRDefault="00993813">
            <w:pPr>
              <w:widowControl/>
              <w:jc w:val="left"/>
              <w:rPr>
                <w:rFonts w:ascii="宋体" w:hAnsi="宋体" w:cs="宋体"/>
                <w:b/>
                <w:bCs/>
                <w:color w:val="000000"/>
                <w:kern w:val="0"/>
                <w:sz w:val="18"/>
                <w:szCs w:val="18"/>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tcPr>
          <w:p w14:paraId="4DB57DAB" w14:textId="77777777" w:rsidR="00993813" w:rsidRDefault="00993813">
            <w:pPr>
              <w:widowControl/>
              <w:jc w:val="left"/>
              <w:rPr>
                <w:rFonts w:ascii="宋体" w:hAnsi="宋体" w:cs="宋体"/>
                <w:color w:val="000000"/>
                <w:kern w:val="0"/>
                <w:sz w:val="18"/>
                <w:szCs w:val="18"/>
              </w:rPr>
            </w:pPr>
          </w:p>
        </w:tc>
      </w:tr>
      <w:tr w:rsidR="00993813" w14:paraId="1F20A6C6" w14:textId="77777777">
        <w:trPr>
          <w:gridAfter w:val="2"/>
          <w:wAfter w:w="27" w:type="dxa"/>
          <w:cantSplit/>
          <w:trHeight w:val="2684"/>
        </w:trPr>
        <w:tc>
          <w:tcPr>
            <w:tcW w:w="1190" w:type="dxa"/>
            <w:tcBorders>
              <w:top w:val="single" w:sz="4" w:space="0" w:color="auto"/>
              <w:left w:val="single" w:sz="4" w:space="0" w:color="auto"/>
              <w:bottom w:val="single" w:sz="4" w:space="0" w:color="auto"/>
              <w:right w:val="single" w:sz="4" w:space="0" w:color="auto"/>
            </w:tcBorders>
            <w:vAlign w:val="center"/>
          </w:tcPr>
          <w:p w14:paraId="7381F6AC" w14:textId="77777777" w:rsidR="00993813" w:rsidRDefault="00993813">
            <w:pPr>
              <w:widowControl/>
              <w:jc w:val="left"/>
              <w:rPr>
                <w:rFonts w:ascii="宋体" w:hAnsi="宋体" w:cs="宋体"/>
                <w:color w:val="000000"/>
                <w:kern w:val="0"/>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5BE11A7F" w14:textId="77777777" w:rsidR="00993813" w:rsidRDefault="00993813">
            <w:pPr>
              <w:widowControl/>
              <w:jc w:val="center"/>
              <w:rPr>
                <w:rFonts w:ascii="宋体" w:hAnsi="宋体" w:cs="宋体"/>
                <w:color w:val="000000"/>
                <w:kern w:val="0"/>
                <w:sz w:val="20"/>
                <w:szCs w:val="20"/>
              </w:rPr>
            </w:pPr>
          </w:p>
        </w:tc>
        <w:tc>
          <w:tcPr>
            <w:tcW w:w="1335" w:type="dxa"/>
            <w:tcBorders>
              <w:top w:val="single" w:sz="4" w:space="0" w:color="auto"/>
              <w:left w:val="nil"/>
              <w:bottom w:val="single" w:sz="4" w:space="0" w:color="auto"/>
              <w:right w:val="single" w:sz="4" w:space="0" w:color="auto"/>
            </w:tcBorders>
            <w:vAlign w:val="center"/>
          </w:tcPr>
          <w:p w14:paraId="65C25745"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服务对象满意度</w:t>
            </w:r>
          </w:p>
        </w:tc>
        <w:tc>
          <w:tcPr>
            <w:tcW w:w="1285" w:type="dxa"/>
            <w:tcBorders>
              <w:top w:val="single" w:sz="4" w:space="0" w:color="auto"/>
              <w:left w:val="nil"/>
              <w:bottom w:val="single" w:sz="4" w:space="0" w:color="auto"/>
              <w:right w:val="single" w:sz="4" w:space="0" w:color="auto"/>
            </w:tcBorders>
            <w:vAlign w:val="center"/>
          </w:tcPr>
          <w:p w14:paraId="6B9AE9CD" w14:textId="77777777"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服务对象对部门履职效果的满意程度</w:t>
            </w:r>
          </w:p>
        </w:tc>
        <w:tc>
          <w:tcPr>
            <w:tcW w:w="3662" w:type="dxa"/>
            <w:gridSpan w:val="2"/>
            <w:tcBorders>
              <w:top w:val="single" w:sz="4" w:space="0" w:color="auto"/>
              <w:left w:val="nil"/>
              <w:bottom w:val="single" w:sz="4" w:space="0" w:color="auto"/>
              <w:right w:val="single" w:sz="4" w:space="0" w:color="auto"/>
            </w:tcBorders>
            <w:vAlign w:val="center"/>
          </w:tcPr>
          <w:p w14:paraId="3108415A" w14:textId="27AE20B0" w:rsidR="00993813" w:rsidRDefault="00135C25">
            <w:pPr>
              <w:pStyle w:val="3"/>
              <w:spacing w:line="240" w:lineRule="atLeast"/>
              <w:jc w:val="left"/>
            </w:pPr>
            <w:r w:rsidRPr="00135C25">
              <w:rPr>
                <w:rFonts w:ascii="宋体" w:hAnsi="宋体" w:cs="宋体" w:hint="eastAsia"/>
                <w:b w:val="0"/>
                <w:bCs w:val="0"/>
                <w:color w:val="000000"/>
                <w:kern w:val="0"/>
                <w:sz w:val="20"/>
                <w:szCs w:val="20"/>
              </w:rPr>
              <w:t>2023年，区法院工作报告获</w:t>
            </w:r>
            <w:proofErr w:type="gramStart"/>
            <w:r w:rsidRPr="00135C25">
              <w:rPr>
                <w:rFonts w:ascii="宋体" w:hAnsi="宋体" w:cs="宋体" w:hint="eastAsia"/>
                <w:b w:val="0"/>
                <w:bCs w:val="0"/>
                <w:color w:val="000000"/>
                <w:kern w:val="0"/>
                <w:sz w:val="20"/>
                <w:szCs w:val="20"/>
              </w:rPr>
              <w:t>大兴区</w:t>
            </w:r>
            <w:proofErr w:type="gramEnd"/>
            <w:r w:rsidRPr="00135C25">
              <w:rPr>
                <w:rFonts w:ascii="宋体" w:hAnsi="宋体" w:cs="宋体" w:hint="eastAsia"/>
                <w:b w:val="0"/>
                <w:bCs w:val="0"/>
                <w:color w:val="000000"/>
                <w:kern w:val="0"/>
                <w:sz w:val="20"/>
                <w:szCs w:val="20"/>
              </w:rPr>
              <w:t>第六届人民代表大会第四次会议全票通过。</w:t>
            </w:r>
          </w:p>
        </w:tc>
        <w:tc>
          <w:tcPr>
            <w:tcW w:w="753" w:type="dxa"/>
            <w:gridSpan w:val="2"/>
            <w:tcBorders>
              <w:top w:val="single" w:sz="4" w:space="0" w:color="auto"/>
              <w:left w:val="single" w:sz="4" w:space="0" w:color="auto"/>
              <w:bottom w:val="single" w:sz="4" w:space="0" w:color="auto"/>
              <w:right w:val="single" w:sz="4" w:space="0" w:color="auto"/>
            </w:tcBorders>
            <w:noWrap/>
            <w:vAlign w:val="center"/>
          </w:tcPr>
          <w:p w14:paraId="24BFF87B"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830" w:type="dxa"/>
            <w:gridSpan w:val="2"/>
            <w:tcBorders>
              <w:top w:val="single" w:sz="4" w:space="0" w:color="auto"/>
              <w:left w:val="nil"/>
              <w:bottom w:val="single" w:sz="4" w:space="0" w:color="auto"/>
              <w:right w:val="nil"/>
            </w:tcBorders>
            <w:noWrap/>
            <w:vAlign w:val="center"/>
          </w:tcPr>
          <w:p w14:paraId="73AC57E7" w14:textId="5FE6FC96" w:rsidR="00993813" w:rsidRDefault="00135C25">
            <w:pPr>
              <w:pStyle w:val="3"/>
              <w:jc w:val="center"/>
              <w:rPr>
                <w:rFonts w:ascii="仿宋" w:eastAsia="仿宋" w:hAnsi="仿宋"/>
                <w:b w:val="0"/>
                <w:bCs w:val="0"/>
              </w:rPr>
            </w:pPr>
            <w:r>
              <w:rPr>
                <w:rFonts w:ascii="仿宋" w:eastAsia="仿宋" w:hAnsi="仿宋" w:hint="eastAsia"/>
                <w:b w:val="0"/>
                <w:bCs w:val="0"/>
              </w:rPr>
              <w:t>6</w:t>
            </w:r>
          </w:p>
        </w:tc>
        <w:tc>
          <w:tcPr>
            <w:tcW w:w="3495" w:type="dxa"/>
            <w:gridSpan w:val="2"/>
            <w:vMerge/>
            <w:tcBorders>
              <w:top w:val="single" w:sz="4" w:space="0" w:color="auto"/>
              <w:left w:val="single" w:sz="4" w:space="0" w:color="auto"/>
              <w:bottom w:val="single" w:sz="4" w:space="0" w:color="auto"/>
              <w:right w:val="single" w:sz="4" w:space="0" w:color="auto"/>
            </w:tcBorders>
            <w:vAlign w:val="center"/>
          </w:tcPr>
          <w:p w14:paraId="35B5353A" w14:textId="77777777" w:rsidR="00993813" w:rsidRDefault="00993813">
            <w:pPr>
              <w:widowControl/>
              <w:jc w:val="left"/>
              <w:rPr>
                <w:rFonts w:ascii="宋体" w:hAnsi="宋体" w:cs="宋体"/>
                <w:b/>
                <w:bCs/>
                <w:color w:val="000000"/>
                <w:kern w:val="0"/>
                <w:sz w:val="18"/>
                <w:szCs w:val="18"/>
              </w:rPr>
            </w:pPr>
          </w:p>
        </w:tc>
        <w:tc>
          <w:tcPr>
            <w:tcW w:w="1809" w:type="dxa"/>
            <w:gridSpan w:val="2"/>
            <w:vMerge/>
            <w:tcBorders>
              <w:top w:val="single" w:sz="4" w:space="0" w:color="auto"/>
              <w:left w:val="single" w:sz="4" w:space="0" w:color="auto"/>
              <w:bottom w:val="single" w:sz="4" w:space="0" w:color="auto"/>
              <w:right w:val="single" w:sz="4" w:space="0" w:color="auto"/>
            </w:tcBorders>
            <w:vAlign w:val="center"/>
          </w:tcPr>
          <w:p w14:paraId="03C7B2BD" w14:textId="77777777" w:rsidR="00993813" w:rsidRDefault="00993813">
            <w:pPr>
              <w:widowControl/>
              <w:jc w:val="left"/>
              <w:rPr>
                <w:rFonts w:ascii="宋体" w:hAnsi="宋体" w:cs="宋体"/>
                <w:color w:val="000000"/>
                <w:kern w:val="0"/>
                <w:sz w:val="18"/>
                <w:szCs w:val="18"/>
              </w:rPr>
            </w:pPr>
          </w:p>
        </w:tc>
      </w:tr>
      <w:tr w:rsidR="00993813" w14:paraId="2943FB06" w14:textId="77777777">
        <w:trPr>
          <w:cantSplit/>
          <w:trHeight w:val="487"/>
        </w:trPr>
        <w:tc>
          <w:tcPr>
            <w:tcW w:w="15440" w:type="dxa"/>
            <w:gridSpan w:val="16"/>
            <w:tcBorders>
              <w:top w:val="single" w:sz="4" w:space="0" w:color="auto"/>
              <w:left w:val="single" w:sz="4" w:space="0" w:color="auto"/>
              <w:bottom w:val="single" w:sz="4" w:space="0" w:color="auto"/>
              <w:right w:val="single" w:sz="4" w:space="0" w:color="auto"/>
            </w:tcBorders>
            <w:vAlign w:val="center"/>
          </w:tcPr>
          <w:p w14:paraId="42AAB08D" w14:textId="77777777" w:rsidR="00993813"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lastRenderedPageBreak/>
              <w:t>三</w:t>
            </w:r>
            <w:r>
              <w:rPr>
                <w:rFonts w:ascii="宋体" w:hAnsi="宋体" w:cs="宋体"/>
                <w:color w:val="000000"/>
                <w:kern w:val="0"/>
                <w:sz w:val="18"/>
                <w:szCs w:val="18"/>
              </w:rPr>
              <w:t>、</w:t>
            </w:r>
            <w:r>
              <w:rPr>
                <w:rFonts w:ascii="宋体" w:hAnsi="宋体" w:cs="宋体" w:hint="eastAsia"/>
                <w:color w:val="000000"/>
                <w:kern w:val="0"/>
                <w:sz w:val="20"/>
                <w:szCs w:val="20"/>
              </w:rPr>
              <w:t>预算管理情况（20分）</w:t>
            </w:r>
          </w:p>
        </w:tc>
      </w:tr>
      <w:tr w:rsidR="00993813" w14:paraId="60D7F2B5" w14:textId="77777777">
        <w:trPr>
          <w:gridAfter w:val="2"/>
          <w:wAfter w:w="27" w:type="dxa"/>
          <w:cantSplit/>
          <w:trHeight w:val="702"/>
        </w:trPr>
        <w:tc>
          <w:tcPr>
            <w:tcW w:w="1190" w:type="dxa"/>
            <w:tcBorders>
              <w:top w:val="single" w:sz="4" w:space="0" w:color="auto"/>
              <w:left w:val="single" w:sz="4" w:space="0" w:color="auto"/>
              <w:bottom w:val="single" w:sz="4" w:space="0" w:color="auto"/>
              <w:right w:val="single" w:sz="4" w:space="0" w:color="auto"/>
            </w:tcBorders>
            <w:vAlign w:val="center"/>
          </w:tcPr>
          <w:p w14:paraId="3001DAF0"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1054" w:type="dxa"/>
            <w:tcBorders>
              <w:top w:val="single" w:sz="4" w:space="0" w:color="auto"/>
              <w:left w:val="single" w:sz="4" w:space="0" w:color="auto"/>
              <w:bottom w:val="single" w:sz="4" w:space="0" w:color="auto"/>
              <w:right w:val="single" w:sz="4" w:space="0" w:color="auto"/>
            </w:tcBorders>
            <w:vAlign w:val="center"/>
          </w:tcPr>
          <w:p w14:paraId="52390726"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1335" w:type="dxa"/>
            <w:tcBorders>
              <w:top w:val="single" w:sz="4" w:space="0" w:color="auto"/>
              <w:left w:val="nil"/>
              <w:bottom w:val="single" w:sz="4" w:space="0" w:color="auto"/>
              <w:right w:val="single" w:sz="4" w:space="0" w:color="auto"/>
            </w:tcBorders>
            <w:vAlign w:val="center"/>
          </w:tcPr>
          <w:p w14:paraId="70D40E19"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1285" w:type="dxa"/>
            <w:tcBorders>
              <w:top w:val="single" w:sz="4" w:space="0" w:color="auto"/>
              <w:left w:val="nil"/>
              <w:bottom w:val="single" w:sz="4" w:space="0" w:color="auto"/>
              <w:right w:val="single" w:sz="4" w:space="0" w:color="auto"/>
            </w:tcBorders>
            <w:vAlign w:val="center"/>
          </w:tcPr>
          <w:p w14:paraId="122DD85C"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值</w:t>
            </w:r>
          </w:p>
        </w:tc>
        <w:tc>
          <w:tcPr>
            <w:tcW w:w="3662" w:type="dxa"/>
            <w:gridSpan w:val="2"/>
            <w:tcBorders>
              <w:top w:val="single" w:sz="4" w:space="0" w:color="auto"/>
              <w:left w:val="nil"/>
              <w:bottom w:val="single" w:sz="4" w:space="0" w:color="auto"/>
              <w:right w:val="single" w:sz="4" w:space="0" w:color="auto"/>
            </w:tcBorders>
            <w:vAlign w:val="center"/>
          </w:tcPr>
          <w:p w14:paraId="03D1FDE5"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w:t>
            </w:r>
            <w:r>
              <w:rPr>
                <w:rFonts w:ascii="宋体" w:hAnsi="宋体" w:cs="宋体"/>
                <w:color w:val="000000"/>
                <w:kern w:val="0"/>
                <w:sz w:val="20"/>
                <w:szCs w:val="20"/>
              </w:rPr>
              <w:t>值</w:t>
            </w:r>
          </w:p>
        </w:tc>
        <w:tc>
          <w:tcPr>
            <w:tcW w:w="753" w:type="dxa"/>
            <w:gridSpan w:val="2"/>
            <w:tcBorders>
              <w:top w:val="single" w:sz="4" w:space="0" w:color="auto"/>
              <w:left w:val="nil"/>
              <w:bottom w:val="single" w:sz="4" w:space="0" w:color="auto"/>
              <w:right w:val="single" w:sz="4" w:space="0" w:color="auto"/>
            </w:tcBorders>
            <w:noWrap/>
            <w:vAlign w:val="center"/>
          </w:tcPr>
          <w:p w14:paraId="2A05DDB6"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分</w:t>
            </w:r>
            <w:r>
              <w:rPr>
                <w:rFonts w:ascii="宋体" w:hAnsi="宋体" w:cs="宋体"/>
                <w:color w:val="000000"/>
                <w:kern w:val="0"/>
                <w:sz w:val="20"/>
                <w:szCs w:val="20"/>
              </w:rPr>
              <w:t>值</w:t>
            </w:r>
          </w:p>
        </w:tc>
        <w:tc>
          <w:tcPr>
            <w:tcW w:w="830" w:type="dxa"/>
            <w:gridSpan w:val="2"/>
            <w:tcBorders>
              <w:top w:val="single" w:sz="4" w:space="0" w:color="auto"/>
              <w:left w:val="nil"/>
              <w:bottom w:val="single" w:sz="4" w:space="0" w:color="auto"/>
              <w:right w:val="nil"/>
            </w:tcBorders>
            <w:noWrap/>
            <w:vAlign w:val="center"/>
          </w:tcPr>
          <w:p w14:paraId="3E174657"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得</w:t>
            </w:r>
            <w:r>
              <w:rPr>
                <w:rFonts w:ascii="宋体" w:hAnsi="宋体" w:cs="宋体"/>
                <w:color w:val="000000"/>
                <w:kern w:val="0"/>
                <w:sz w:val="20"/>
                <w:szCs w:val="20"/>
              </w:rPr>
              <w:t>分</w:t>
            </w:r>
          </w:p>
        </w:tc>
        <w:tc>
          <w:tcPr>
            <w:tcW w:w="3495" w:type="dxa"/>
            <w:gridSpan w:val="2"/>
            <w:tcBorders>
              <w:top w:val="single" w:sz="4" w:space="0" w:color="auto"/>
              <w:left w:val="single" w:sz="4" w:space="0" w:color="auto"/>
              <w:bottom w:val="single" w:sz="4" w:space="0" w:color="auto"/>
              <w:right w:val="single" w:sz="4" w:space="0" w:color="auto"/>
            </w:tcBorders>
            <w:vAlign w:val="center"/>
          </w:tcPr>
          <w:p w14:paraId="1DF24C6D" w14:textId="77777777" w:rsidR="00993813" w:rsidRDefault="00000000">
            <w:pPr>
              <w:widowControl/>
              <w:jc w:val="center"/>
              <w:rPr>
                <w:rFonts w:ascii="宋体" w:hAnsi="宋体" w:cs="宋体"/>
                <w:b/>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809" w:type="dxa"/>
            <w:gridSpan w:val="2"/>
            <w:tcBorders>
              <w:top w:val="single" w:sz="4" w:space="0" w:color="auto"/>
              <w:left w:val="nil"/>
              <w:bottom w:val="single" w:sz="4" w:space="0" w:color="auto"/>
              <w:right w:val="single" w:sz="4" w:space="0" w:color="auto"/>
            </w:tcBorders>
            <w:vAlign w:val="center"/>
          </w:tcPr>
          <w:p w14:paraId="736ABCBF" w14:textId="77777777" w:rsidR="00993813"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993813" w14:paraId="1CE85B8E" w14:textId="77777777">
        <w:trPr>
          <w:gridAfter w:val="2"/>
          <w:wAfter w:w="27" w:type="dxa"/>
          <w:cantSplit/>
          <w:trHeight w:val="1230"/>
        </w:trPr>
        <w:tc>
          <w:tcPr>
            <w:tcW w:w="1190" w:type="dxa"/>
            <w:vMerge w:val="restart"/>
            <w:tcBorders>
              <w:top w:val="single" w:sz="4" w:space="0" w:color="auto"/>
              <w:left w:val="single" w:sz="4" w:space="0" w:color="auto"/>
              <w:bottom w:val="single" w:sz="4" w:space="0" w:color="auto"/>
              <w:right w:val="single" w:sz="4" w:space="0" w:color="auto"/>
            </w:tcBorders>
            <w:vAlign w:val="center"/>
          </w:tcPr>
          <w:p w14:paraId="5786E564"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预算管理情况（20）</w:t>
            </w:r>
          </w:p>
        </w:tc>
        <w:tc>
          <w:tcPr>
            <w:tcW w:w="1054" w:type="dxa"/>
            <w:vMerge w:val="restart"/>
            <w:tcBorders>
              <w:top w:val="single" w:sz="4" w:space="0" w:color="auto"/>
              <w:left w:val="single" w:sz="4" w:space="0" w:color="auto"/>
              <w:bottom w:val="single" w:sz="4" w:space="0" w:color="auto"/>
              <w:right w:val="single" w:sz="4" w:space="0" w:color="auto"/>
            </w:tcBorders>
            <w:vAlign w:val="center"/>
          </w:tcPr>
          <w:p w14:paraId="6D1B0CC9"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财务管理（4）</w:t>
            </w:r>
          </w:p>
        </w:tc>
        <w:tc>
          <w:tcPr>
            <w:tcW w:w="1335" w:type="dxa"/>
            <w:tcBorders>
              <w:top w:val="single" w:sz="4" w:space="0" w:color="auto"/>
              <w:left w:val="nil"/>
              <w:bottom w:val="single" w:sz="4" w:space="0" w:color="auto"/>
              <w:right w:val="single" w:sz="4" w:space="0" w:color="auto"/>
            </w:tcBorders>
            <w:vAlign w:val="center"/>
          </w:tcPr>
          <w:p w14:paraId="41C66498"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1285" w:type="dxa"/>
            <w:tcBorders>
              <w:top w:val="single" w:sz="4" w:space="0" w:color="auto"/>
              <w:left w:val="nil"/>
              <w:bottom w:val="single" w:sz="4" w:space="0" w:color="auto"/>
              <w:right w:val="single" w:sz="4" w:space="0" w:color="auto"/>
            </w:tcBorders>
            <w:vAlign w:val="center"/>
          </w:tcPr>
          <w:p w14:paraId="730DF282" w14:textId="77777777" w:rsidR="00993813" w:rsidRDefault="00000000">
            <w:pPr>
              <w:widowControl/>
              <w:rPr>
                <w:rFonts w:ascii="宋体" w:hAnsi="宋体" w:cs="宋体"/>
                <w:color w:val="000000"/>
                <w:kern w:val="0"/>
                <w:sz w:val="20"/>
                <w:szCs w:val="20"/>
              </w:rPr>
            </w:pPr>
            <w:r>
              <w:rPr>
                <w:rFonts w:ascii="宋体" w:hAnsi="宋体" w:cs="宋体" w:hint="eastAsia"/>
                <w:color w:val="000000"/>
                <w:kern w:val="0"/>
                <w:sz w:val="20"/>
                <w:szCs w:val="20"/>
              </w:rPr>
              <w:t>建立完整的预算管理、财务管理、会计核算制度</w:t>
            </w:r>
          </w:p>
        </w:tc>
        <w:tc>
          <w:tcPr>
            <w:tcW w:w="3662" w:type="dxa"/>
            <w:gridSpan w:val="2"/>
            <w:tcBorders>
              <w:top w:val="single" w:sz="4" w:space="0" w:color="auto"/>
              <w:left w:val="nil"/>
              <w:bottom w:val="single" w:sz="4" w:space="0" w:color="auto"/>
              <w:right w:val="single" w:sz="4" w:space="0" w:color="auto"/>
            </w:tcBorders>
            <w:vAlign w:val="center"/>
          </w:tcPr>
          <w:p w14:paraId="791D5684" w14:textId="1EB20266" w:rsidR="00993813" w:rsidRDefault="00000000">
            <w:pPr>
              <w:widowControl/>
              <w:rPr>
                <w:rFonts w:ascii="宋体" w:hAnsi="宋体" w:cs="宋体"/>
                <w:color w:val="000000"/>
                <w:kern w:val="0"/>
                <w:sz w:val="20"/>
                <w:szCs w:val="20"/>
              </w:rPr>
            </w:pPr>
            <w:r>
              <w:rPr>
                <w:rFonts w:ascii="宋体" w:hAnsi="宋体" w:cs="宋体" w:hint="eastAsia"/>
                <w:color w:val="000000"/>
                <w:kern w:val="0"/>
                <w:sz w:val="20"/>
                <w:szCs w:val="20"/>
              </w:rPr>
              <w:t>已建立完整的预算管理、财务管理、会计核算制度，并不断结合实际情况修订完善</w:t>
            </w:r>
            <w:r w:rsidR="006B7EB1">
              <w:rPr>
                <w:rFonts w:ascii="宋体" w:hAnsi="宋体" w:cs="宋体" w:hint="eastAsia"/>
                <w:color w:val="000000"/>
                <w:kern w:val="0"/>
                <w:sz w:val="20"/>
                <w:szCs w:val="20"/>
              </w:rPr>
              <w:t>，但未建立</w:t>
            </w:r>
            <w:r w:rsidR="006B7EB1" w:rsidRPr="006B7EB1">
              <w:rPr>
                <w:rFonts w:ascii="宋体" w:hAnsi="宋体" w:cs="宋体" w:hint="eastAsia"/>
                <w:color w:val="000000"/>
                <w:kern w:val="0"/>
                <w:sz w:val="20"/>
                <w:szCs w:val="20"/>
              </w:rPr>
              <w:t>绩效跟踪管理办法</w:t>
            </w:r>
            <w:r w:rsidR="006B7EB1">
              <w:rPr>
                <w:rFonts w:ascii="宋体" w:hAnsi="宋体" w:cs="宋体" w:hint="eastAsia"/>
                <w:color w:val="000000"/>
                <w:kern w:val="0"/>
                <w:sz w:val="20"/>
                <w:szCs w:val="20"/>
              </w:rPr>
              <w:t>。</w:t>
            </w:r>
          </w:p>
        </w:tc>
        <w:tc>
          <w:tcPr>
            <w:tcW w:w="753" w:type="dxa"/>
            <w:gridSpan w:val="2"/>
            <w:tcBorders>
              <w:top w:val="single" w:sz="4" w:space="0" w:color="auto"/>
              <w:left w:val="nil"/>
              <w:bottom w:val="single" w:sz="4" w:space="0" w:color="auto"/>
              <w:right w:val="single" w:sz="4" w:space="0" w:color="auto"/>
            </w:tcBorders>
            <w:noWrap/>
            <w:vAlign w:val="center"/>
          </w:tcPr>
          <w:p w14:paraId="758CF85E"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830" w:type="dxa"/>
            <w:gridSpan w:val="2"/>
            <w:tcBorders>
              <w:top w:val="single" w:sz="4" w:space="0" w:color="auto"/>
              <w:left w:val="nil"/>
              <w:bottom w:val="single" w:sz="4" w:space="0" w:color="auto"/>
              <w:right w:val="nil"/>
            </w:tcBorders>
            <w:noWrap/>
            <w:vAlign w:val="center"/>
          </w:tcPr>
          <w:p w14:paraId="3C211613"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r>
              <w:rPr>
                <w:rFonts w:ascii="宋体" w:hAnsi="宋体" w:cs="宋体"/>
                <w:color w:val="000000"/>
                <w:kern w:val="0"/>
                <w:sz w:val="20"/>
                <w:szCs w:val="20"/>
              </w:rPr>
              <w:t>.5</w:t>
            </w:r>
          </w:p>
        </w:tc>
        <w:tc>
          <w:tcPr>
            <w:tcW w:w="3495" w:type="dxa"/>
            <w:gridSpan w:val="2"/>
            <w:tcBorders>
              <w:top w:val="single" w:sz="4" w:space="0" w:color="auto"/>
              <w:left w:val="single" w:sz="4" w:space="0" w:color="auto"/>
              <w:bottom w:val="single" w:sz="4" w:space="0" w:color="auto"/>
              <w:right w:val="single" w:sz="4" w:space="0" w:color="auto"/>
            </w:tcBorders>
            <w:vAlign w:val="center"/>
          </w:tcPr>
          <w:p w14:paraId="5C58AE58" w14:textId="77777777" w:rsidR="00993813" w:rsidRDefault="0000000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财务管理制度健全性:</w:t>
            </w:r>
            <w:r>
              <w:rPr>
                <w:rFonts w:ascii="宋体" w:hAnsi="宋体" w:cs="宋体" w:hint="eastAsia"/>
                <w:color w:val="000000"/>
                <w:kern w:val="0"/>
                <w:sz w:val="18"/>
                <w:szCs w:val="18"/>
              </w:rPr>
              <w:t>部门（单位）为加强财务管理、规范财务行为而制定的管理制度。</w:t>
            </w:r>
          </w:p>
        </w:tc>
        <w:tc>
          <w:tcPr>
            <w:tcW w:w="1809" w:type="dxa"/>
            <w:gridSpan w:val="2"/>
            <w:tcBorders>
              <w:top w:val="single" w:sz="4" w:space="0" w:color="auto"/>
              <w:left w:val="nil"/>
              <w:bottom w:val="single" w:sz="4" w:space="0" w:color="auto"/>
              <w:right w:val="single" w:sz="4" w:space="0" w:color="auto"/>
            </w:tcBorders>
            <w:vAlign w:val="center"/>
          </w:tcPr>
          <w:p w14:paraId="51253ED5" w14:textId="77777777" w:rsidR="00993813"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①预算资金管理办法、绩效跟踪管理办法、资产管理办法等各项制度是否健全；②部门内部财务管理制度是否完整、合</w:t>
            </w:r>
            <w:proofErr w:type="gramStart"/>
            <w:r>
              <w:rPr>
                <w:rFonts w:ascii="宋体" w:hAnsi="宋体" w:cs="宋体" w:hint="eastAsia"/>
                <w:color w:val="000000"/>
                <w:kern w:val="0"/>
                <w:sz w:val="18"/>
                <w:szCs w:val="18"/>
              </w:rPr>
              <w:t>规</w:t>
            </w:r>
            <w:proofErr w:type="gramEnd"/>
            <w:r>
              <w:rPr>
                <w:rFonts w:ascii="宋体" w:hAnsi="宋体" w:cs="宋体" w:hint="eastAsia"/>
                <w:color w:val="000000"/>
                <w:kern w:val="0"/>
                <w:sz w:val="18"/>
                <w:szCs w:val="18"/>
              </w:rPr>
              <w:t>；③会计核算制度是否完整、合</w:t>
            </w:r>
            <w:proofErr w:type="gramStart"/>
            <w:r>
              <w:rPr>
                <w:rFonts w:ascii="宋体" w:hAnsi="宋体" w:cs="宋体" w:hint="eastAsia"/>
                <w:color w:val="000000"/>
                <w:kern w:val="0"/>
                <w:sz w:val="18"/>
                <w:szCs w:val="18"/>
              </w:rPr>
              <w:t>规</w:t>
            </w:r>
            <w:proofErr w:type="gramEnd"/>
            <w:r>
              <w:rPr>
                <w:rFonts w:ascii="宋体" w:hAnsi="宋体" w:cs="宋体" w:hint="eastAsia"/>
                <w:color w:val="000000"/>
                <w:kern w:val="0"/>
                <w:sz w:val="18"/>
                <w:szCs w:val="18"/>
              </w:rPr>
              <w:t>。每有一项不合格扣0.5分，扣完为止。</w:t>
            </w:r>
          </w:p>
        </w:tc>
      </w:tr>
      <w:tr w:rsidR="00993813" w14:paraId="4A4A1825" w14:textId="77777777">
        <w:trPr>
          <w:gridAfter w:val="2"/>
          <w:wAfter w:w="27" w:type="dxa"/>
          <w:cantSplit/>
          <w:trHeight w:val="7499"/>
        </w:trPr>
        <w:tc>
          <w:tcPr>
            <w:tcW w:w="1190" w:type="dxa"/>
            <w:vMerge/>
            <w:tcBorders>
              <w:top w:val="single" w:sz="4" w:space="0" w:color="auto"/>
              <w:left w:val="single" w:sz="4" w:space="0" w:color="auto"/>
              <w:bottom w:val="single" w:sz="4" w:space="0" w:color="000000"/>
              <w:right w:val="single" w:sz="4" w:space="0" w:color="auto"/>
            </w:tcBorders>
            <w:vAlign w:val="center"/>
          </w:tcPr>
          <w:p w14:paraId="190D18D3" w14:textId="77777777" w:rsidR="00993813" w:rsidRDefault="00993813">
            <w:pPr>
              <w:widowControl/>
              <w:jc w:val="left"/>
              <w:rPr>
                <w:rFonts w:ascii="宋体" w:hAnsi="宋体" w:cs="宋体"/>
                <w:color w:val="000000"/>
                <w:kern w:val="0"/>
                <w:sz w:val="20"/>
                <w:szCs w:val="20"/>
              </w:rPr>
            </w:pPr>
          </w:p>
        </w:tc>
        <w:tc>
          <w:tcPr>
            <w:tcW w:w="1054" w:type="dxa"/>
            <w:vMerge/>
            <w:tcBorders>
              <w:top w:val="single" w:sz="4" w:space="0" w:color="auto"/>
              <w:left w:val="single" w:sz="4" w:space="0" w:color="auto"/>
              <w:bottom w:val="single" w:sz="4" w:space="0" w:color="auto"/>
              <w:right w:val="single" w:sz="4" w:space="0" w:color="auto"/>
            </w:tcBorders>
            <w:vAlign w:val="center"/>
          </w:tcPr>
          <w:p w14:paraId="267E2002" w14:textId="77777777" w:rsidR="00993813" w:rsidRDefault="00993813">
            <w:pPr>
              <w:widowControl/>
              <w:jc w:val="left"/>
              <w:rPr>
                <w:rFonts w:ascii="宋体" w:hAnsi="宋体" w:cs="宋体"/>
                <w:color w:val="000000"/>
                <w:kern w:val="0"/>
                <w:sz w:val="20"/>
                <w:szCs w:val="20"/>
              </w:rPr>
            </w:pPr>
          </w:p>
        </w:tc>
        <w:tc>
          <w:tcPr>
            <w:tcW w:w="1335" w:type="dxa"/>
            <w:tcBorders>
              <w:top w:val="single" w:sz="4" w:space="0" w:color="auto"/>
              <w:left w:val="nil"/>
              <w:bottom w:val="single" w:sz="4" w:space="0" w:color="auto"/>
              <w:right w:val="single" w:sz="4" w:space="0" w:color="auto"/>
            </w:tcBorders>
            <w:vAlign w:val="center"/>
          </w:tcPr>
          <w:p w14:paraId="4F9EBFE5"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性和安全性</w:t>
            </w:r>
          </w:p>
        </w:tc>
        <w:tc>
          <w:tcPr>
            <w:tcW w:w="1285" w:type="dxa"/>
            <w:tcBorders>
              <w:top w:val="single" w:sz="4" w:space="0" w:color="auto"/>
              <w:left w:val="nil"/>
              <w:bottom w:val="single" w:sz="4" w:space="0" w:color="auto"/>
              <w:right w:val="single" w:sz="4" w:space="0" w:color="auto"/>
            </w:tcBorders>
            <w:vAlign w:val="center"/>
          </w:tcPr>
          <w:p w14:paraId="1834A5DC"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使用预算资金符合相关的预算财务管理制度的规定，符合相关规定的开支范围。　</w:t>
            </w:r>
          </w:p>
        </w:tc>
        <w:tc>
          <w:tcPr>
            <w:tcW w:w="3662" w:type="dxa"/>
            <w:gridSpan w:val="2"/>
            <w:tcBorders>
              <w:top w:val="single" w:sz="4" w:space="0" w:color="auto"/>
              <w:left w:val="nil"/>
              <w:bottom w:val="single" w:sz="4" w:space="0" w:color="auto"/>
              <w:right w:val="single" w:sz="4" w:space="0" w:color="auto"/>
            </w:tcBorders>
            <w:vAlign w:val="center"/>
          </w:tcPr>
          <w:p w14:paraId="36CBB174" w14:textId="77777777" w:rsidR="00993813" w:rsidRDefault="00000000">
            <w:pPr>
              <w:widowControl/>
              <w:rPr>
                <w:rFonts w:ascii="宋体" w:hAnsi="宋体" w:cs="宋体"/>
                <w:color w:val="000000"/>
                <w:kern w:val="0"/>
                <w:sz w:val="20"/>
                <w:szCs w:val="20"/>
              </w:rPr>
            </w:pPr>
            <w:r>
              <w:rPr>
                <w:rFonts w:ascii="宋体" w:hAnsi="宋体" w:cs="宋体" w:hint="eastAsia"/>
                <w:color w:val="000000"/>
                <w:kern w:val="0"/>
                <w:sz w:val="20"/>
                <w:szCs w:val="20"/>
              </w:rPr>
              <w:t>资金使用整体合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且安全，部分项目支出存在支出进度慢的问题。</w:t>
            </w:r>
          </w:p>
        </w:tc>
        <w:tc>
          <w:tcPr>
            <w:tcW w:w="753" w:type="dxa"/>
            <w:gridSpan w:val="2"/>
            <w:tcBorders>
              <w:top w:val="single" w:sz="4" w:space="0" w:color="auto"/>
              <w:left w:val="nil"/>
              <w:bottom w:val="single" w:sz="4" w:space="0" w:color="auto"/>
              <w:right w:val="single" w:sz="4" w:space="0" w:color="auto"/>
            </w:tcBorders>
            <w:noWrap/>
            <w:vAlign w:val="center"/>
          </w:tcPr>
          <w:p w14:paraId="3F638263"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830" w:type="dxa"/>
            <w:gridSpan w:val="2"/>
            <w:tcBorders>
              <w:top w:val="single" w:sz="4" w:space="0" w:color="auto"/>
              <w:left w:val="nil"/>
              <w:bottom w:val="single" w:sz="4" w:space="0" w:color="auto"/>
              <w:right w:val="nil"/>
            </w:tcBorders>
            <w:noWrap/>
            <w:vAlign w:val="center"/>
          </w:tcPr>
          <w:p w14:paraId="678DE23C"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1.5</w:t>
            </w:r>
          </w:p>
        </w:tc>
        <w:tc>
          <w:tcPr>
            <w:tcW w:w="3495" w:type="dxa"/>
            <w:gridSpan w:val="2"/>
            <w:tcBorders>
              <w:top w:val="single" w:sz="4" w:space="0" w:color="auto"/>
              <w:left w:val="single" w:sz="4" w:space="0" w:color="auto"/>
              <w:bottom w:val="single" w:sz="4" w:space="0" w:color="auto"/>
              <w:right w:val="single" w:sz="4" w:space="0" w:color="auto"/>
            </w:tcBorders>
            <w:vAlign w:val="center"/>
          </w:tcPr>
          <w:p w14:paraId="492D0292" w14:textId="77777777" w:rsidR="00993813" w:rsidRDefault="0000000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资金使用合</w:t>
            </w:r>
            <w:proofErr w:type="gramStart"/>
            <w:r>
              <w:rPr>
                <w:rFonts w:ascii="宋体" w:hAnsi="宋体" w:cs="宋体" w:hint="eastAsia"/>
                <w:b/>
                <w:bCs/>
                <w:color w:val="000000"/>
                <w:kern w:val="0"/>
                <w:sz w:val="18"/>
                <w:szCs w:val="18"/>
              </w:rPr>
              <w:t>规</w:t>
            </w:r>
            <w:proofErr w:type="gramEnd"/>
            <w:r>
              <w:rPr>
                <w:rFonts w:ascii="宋体" w:hAnsi="宋体" w:cs="宋体" w:hint="eastAsia"/>
                <w:b/>
                <w:bCs/>
                <w:color w:val="000000"/>
                <w:kern w:val="0"/>
                <w:sz w:val="18"/>
                <w:szCs w:val="18"/>
              </w:rPr>
              <w:t>性和安全性:</w:t>
            </w:r>
            <w:r>
              <w:rPr>
                <w:rFonts w:ascii="宋体" w:hAnsi="宋体" w:cs="宋体" w:hint="eastAsia"/>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809" w:type="dxa"/>
            <w:gridSpan w:val="2"/>
            <w:tcBorders>
              <w:top w:val="single" w:sz="4" w:space="0" w:color="auto"/>
              <w:left w:val="nil"/>
              <w:bottom w:val="single" w:sz="4" w:space="0" w:color="auto"/>
              <w:right w:val="single" w:sz="4" w:space="0" w:color="auto"/>
            </w:tcBorders>
            <w:vAlign w:val="center"/>
          </w:tcPr>
          <w:p w14:paraId="5EC86EA8" w14:textId="77777777" w:rsidR="00993813"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993813" w14:paraId="67AFEC46" w14:textId="77777777">
        <w:trPr>
          <w:gridAfter w:val="2"/>
          <w:wAfter w:w="27" w:type="dxa"/>
          <w:cantSplit/>
          <w:trHeight w:val="2538"/>
        </w:trPr>
        <w:tc>
          <w:tcPr>
            <w:tcW w:w="1190" w:type="dxa"/>
            <w:vMerge/>
            <w:tcBorders>
              <w:top w:val="nil"/>
              <w:left w:val="single" w:sz="4" w:space="0" w:color="auto"/>
              <w:bottom w:val="single" w:sz="4" w:space="0" w:color="000000"/>
              <w:right w:val="single" w:sz="4" w:space="0" w:color="auto"/>
            </w:tcBorders>
            <w:vAlign w:val="center"/>
          </w:tcPr>
          <w:p w14:paraId="178D199D" w14:textId="77777777" w:rsidR="00993813" w:rsidRDefault="00993813">
            <w:pPr>
              <w:widowControl/>
              <w:jc w:val="left"/>
              <w:rPr>
                <w:rFonts w:ascii="宋体" w:hAnsi="宋体" w:cs="宋体"/>
                <w:color w:val="000000"/>
                <w:kern w:val="0"/>
                <w:sz w:val="20"/>
                <w:szCs w:val="20"/>
              </w:rPr>
            </w:pPr>
          </w:p>
        </w:tc>
        <w:tc>
          <w:tcPr>
            <w:tcW w:w="1054" w:type="dxa"/>
            <w:vMerge/>
            <w:tcBorders>
              <w:top w:val="nil"/>
              <w:left w:val="single" w:sz="4" w:space="0" w:color="auto"/>
              <w:bottom w:val="single" w:sz="4" w:space="0" w:color="auto"/>
              <w:right w:val="single" w:sz="4" w:space="0" w:color="auto"/>
            </w:tcBorders>
            <w:vAlign w:val="center"/>
          </w:tcPr>
          <w:p w14:paraId="1B1C4B2B" w14:textId="77777777" w:rsidR="00993813" w:rsidRDefault="00993813">
            <w:pPr>
              <w:widowControl/>
              <w:jc w:val="left"/>
              <w:rPr>
                <w:rFonts w:ascii="宋体" w:hAnsi="宋体" w:cs="宋体"/>
                <w:color w:val="000000"/>
                <w:kern w:val="0"/>
                <w:sz w:val="20"/>
                <w:szCs w:val="20"/>
              </w:rPr>
            </w:pPr>
          </w:p>
        </w:tc>
        <w:tc>
          <w:tcPr>
            <w:tcW w:w="1335" w:type="dxa"/>
            <w:tcBorders>
              <w:top w:val="nil"/>
              <w:left w:val="nil"/>
              <w:bottom w:val="single" w:sz="4" w:space="0" w:color="auto"/>
              <w:right w:val="single" w:sz="4" w:space="0" w:color="auto"/>
            </w:tcBorders>
            <w:vAlign w:val="center"/>
          </w:tcPr>
          <w:p w14:paraId="277C6DC4"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1285" w:type="dxa"/>
            <w:tcBorders>
              <w:top w:val="nil"/>
              <w:left w:val="nil"/>
              <w:bottom w:val="single" w:sz="4" w:space="0" w:color="auto"/>
              <w:right w:val="single" w:sz="4" w:space="0" w:color="auto"/>
            </w:tcBorders>
            <w:vAlign w:val="center"/>
          </w:tcPr>
          <w:p w14:paraId="6B8BB412"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w:t>
            </w:r>
            <w:proofErr w:type="gramStart"/>
            <w:r>
              <w:rPr>
                <w:rFonts w:ascii="宋体" w:hAnsi="宋体" w:cs="宋体" w:hint="eastAsia"/>
                <w:color w:val="000000"/>
                <w:kern w:val="0"/>
                <w:sz w:val="20"/>
                <w:szCs w:val="20"/>
              </w:rPr>
              <w:t xml:space="preserve">完善　</w:t>
            </w:r>
            <w:proofErr w:type="gramEnd"/>
          </w:p>
        </w:tc>
        <w:tc>
          <w:tcPr>
            <w:tcW w:w="3662" w:type="dxa"/>
            <w:gridSpan w:val="2"/>
            <w:tcBorders>
              <w:top w:val="nil"/>
              <w:left w:val="nil"/>
              <w:bottom w:val="single" w:sz="4" w:space="0" w:color="auto"/>
              <w:right w:val="single" w:sz="4" w:space="0" w:color="auto"/>
            </w:tcBorders>
            <w:vAlign w:val="center"/>
          </w:tcPr>
          <w:p w14:paraId="6987F565" w14:textId="77777777"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2023年，会计基础信息和会计信息资料完整、真实和准确。</w:t>
            </w:r>
          </w:p>
        </w:tc>
        <w:tc>
          <w:tcPr>
            <w:tcW w:w="753" w:type="dxa"/>
            <w:gridSpan w:val="2"/>
            <w:tcBorders>
              <w:top w:val="nil"/>
              <w:left w:val="nil"/>
              <w:bottom w:val="single" w:sz="4" w:space="0" w:color="auto"/>
              <w:right w:val="single" w:sz="4" w:space="0" w:color="auto"/>
            </w:tcBorders>
            <w:noWrap/>
            <w:vAlign w:val="center"/>
          </w:tcPr>
          <w:p w14:paraId="1FDE2266"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830" w:type="dxa"/>
            <w:gridSpan w:val="2"/>
            <w:tcBorders>
              <w:top w:val="nil"/>
              <w:left w:val="nil"/>
              <w:bottom w:val="single" w:sz="4" w:space="0" w:color="auto"/>
              <w:right w:val="nil"/>
            </w:tcBorders>
            <w:noWrap/>
            <w:vAlign w:val="center"/>
          </w:tcPr>
          <w:p w14:paraId="27DA5C74"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3495" w:type="dxa"/>
            <w:gridSpan w:val="2"/>
            <w:tcBorders>
              <w:top w:val="nil"/>
              <w:left w:val="single" w:sz="4" w:space="0" w:color="auto"/>
              <w:bottom w:val="single" w:sz="4" w:space="0" w:color="auto"/>
              <w:right w:val="single" w:sz="4" w:space="0" w:color="auto"/>
            </w:tcBorders>
            <w:vAlign w:val="center"/>
          </w:tcPr>
          <w:p w14:paraId="7F1986DC" w14:textId="77777777" w:rsidR="00993813" w:rsidRDefault="0000000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会计基础信息完善性:</w:t>
            </w:r>
            <w:r>
              <w:rPr>
                <w:rFonts w:ascii="宋体" w:hAnsi="宋体" w:cs="宋体" w:hint="eastAsia"/>
                <w:color w:val="000000"/>
                <w:kern w:val="0"/>
                <w:sz w:val="18"/>
                <w:szCs w:val="18"/>
              </w:rPr>
              <w:t>部门（单位）会计基础信息情况。</w:t>
            </w:r>
          </w:p>
        </w:tc>
        <w:tc>
          <w:tcPr>
            <w:tcW w:w="1809" w:type="dxa"/>
            <w:gridSpan w:val="2"/>
            <w:tcBorders>
              <w:top w:val="nil"/>
              <w:left w:val="nil"/>
              <w:bottom w:val="single" w:sz="4" w:space="0" w:color="auto"/>
              <w:right w:val="single" w:sz="4" w:space="0" w:color="auto"/>
            </w:tcBorders>
            <w:vAlign w:val="center"/>
          </w:tcPr>
          <w:p w14:paraId="11579305" w14:textId="77777777" w:rsidR="00993813"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rsidR="00993813" w14:paraId="49A47612" w14:textId="77777777">
        <w:trPr>
          <w:gridAfter w:val="2"/>
          <w:wAfter w:w="27" w:type="dxa"/>
          <w:cantSplit/>
          <w:trHeight w:val="2220"/>
        </w:trPr>
        <w:tc>
          <w:tcPr>
            <w:tcW w:w="1190" w:type="dxa"/>
            <w:vMerge/>
            <w:tcBorders>
              <w:top w:val="nil"/>
              <w:left w:val="single" w:sz="4" w:space="0" w:color="auto"/>
              <w:bottom w:val="single" w:sz="4" w:space="0" w:color="000000"/>
              <w:right w:val="single" w:sz="4" w:space="0" w:color="auto"/>
            </w:tcBorders>
            <w:vAlign w:val="center"/>
          </w:tcPr>
          <w:p w14:paraId="630821E1" w14:textId="77777777" w:rsidR="00993813" w:rsidRDefault="00993813">
            <w:pPr>
              <w:widowControl/>
              <w:jc w:val="left"/>
              <w:rPr>
                <w:rFonts w:ascii="宋体" w:hAnsi="宋体" w:cs="宋体"/>
                <w:color w:val="000000"/>
                <w:kern w:val="0"/>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A089685"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资产管理（4）</w:t>
            </w:r>
          </w:p>
        </w:tc>
        <w:tc>
          <w:tcPr>
            <w:tcW w:w="1335" w:type="dxa"/>
            <w:tcBorders>
              <w:top w:val="single" w:sz="4" w:space="0" w:color="auto"/>
              <w:left w:val="single" w:sz="4" w:space="0" w:color="auto"/>
              <w:bottom w:val="single" w:sz="4" w:space="0" w:color="auto"/>
              <w:right w:val="single" w:sz="4" w:space="0" w:color="auto"/>
            </w:tcBorders>
            <w:vAlign w:val="center"/>
          </w:tcPr>
          <w:p w14:paraId="468347BB"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资产管理规范性</w:t>
            </w:r>
          </w:p>
        </w:tc>
        <w:tc>
          <w:tcPr>
            <w:tcW w:w="1285" w:type="dxa"/>
            <w:tcBorders>
              <w:top w:val="single" w:sz="4" w:space="0" w:color="auto"/>
              <w:left w:val="single" w:sz="4" w:space="0" w:color="auto"/>
              <w:bottom w:val="single" w:sz="4" w:space="0" w:color="auto"/>
              <w:right w:val="single" w:sz="4" w:space="0" w:color="auto"/>
            </w:tcBorders>
            <w:vAlign w:val="center"/>
          </w:tcPr>
          <w:p w14:paraId="35639B7D" w14:textId="77777777"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资产保持安全完整，资产配置合理，资产使用和资产处理规范</w:t>
            </w:r>
          </w:p>
        </w:tc>
        <w:tc>
          <w:tcPr>
            <w:tcW w:w="3662" w:type="dxa"/>
            <w:gridSpan w:val="2"/>
            <w:tcBorders>
              <w:top w:val="single" w:sz="4" w:space="0" w:color="auto"/>
              <w:left w:val="single" w:sz="4" w:space="0" w:color="auto"/>
              <w:bottom w:val="single" w:sz="4" w:space="0" w:color="auto"/>
              <w:right w:val="single" w:sz="4" w:space="0" w:color="auto"/>
            </w:tcBorders>
            <w:vAlign w:val="center"/>
          </w:tcPr>
          <w:p w14:paraId="4950D9FC" w14:textId="77777777" w:rsidR="00993813" w:rsidRDefault="00000000">
            <w:pPr>
              <w:widowControl/>
              <w:jc w:val="left"/>
              <w:rPr>
                <w:rFonts w:ascii="宋体" w:hAnsi="宋体" w:cs="宋体"/>
                <w:color w:val="000000"/>
                <w:kern w:val="0"/>
                <w:sz w:val="20"/>
                <w:szCs w:val="20"/>
              </w:rPr>
            </w:pPr>
            <w:proofErr w:type="gramStart"/>
            <w:r>
              <w:rPr>
                <w:rFonts w:ascii="宋体" w:hAnsi="宋体" w:cs="宋体" w:hint="eastAsia"/>
                <w:color w:val="000000"/>
                <w:kern w:val="0"/>
                <w:sz w:val="20"/>
                <w:szCs w:val="20"/>
              </w:rPr>
              <w:t>大兴区</w:t>
            </w:r>
            <w:proofErr w:type="gramEnd"/>
            <w:r>
              <w:rPr>
                <w:rFonts w:ascii="宋体" w:hAnsi="宋体" w:cs="宋体" w:hint="eastAsia"/>
                <w:color w:val="000000"/>
                <w:kern w:val="0"/>
                <w:sz w:val="20"/>
                <w:szCs w:val="20"/>
              </w:rPr>
              <w:t>人民法院资产日常管理、新增、报废等工作均严格按照市财政局的规定程序办理，资产动态系统与会计账簿系统总额保持一致。</w:t>
            </w:r>
          </w:p>
        </w:tc>
        <w:tc>
          <w:tcPr>
            <w:tcW w:w="753" w:type="dxa"/>
            <w:gridSpan w:val="2"/>
            <w:tcBorders>
              <w:top w:val="single" w:sz="4" w:space="0" w:color="auto"/>
              <w:left w:val="single" w:sz="4" w:space="0" w:color="auto"/>
              <w:bottom w:val="single" w:sz="4" w:space="0" w:color="auto"/>
              <w:right w:val="single" w:sz="4" w:space="0" w:color="auto"/>
            </w:tcBorders>
            <w:vAlign w:val="center"/>
          </w:tcPr>
          <w:p w14:paraId="3DC76EA4"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26EC581B" w14:textId="7A19FACD" w:rsidR="00993813" w:rsidRDefault="00000000">
            <w:pPr>
              <w:widowControl/>
              <w:jc w:val="center"/>
              <w:rPr>
                <w:rFonts w:ascii="宋体" w:hAnsi="宋体" w:cs="宋体"/>
                <w:color w:val="000000"/>
                <w:kern w:val="0"/>
                <w:sz w:val="20"/>
                <w:szCs w:val="20"/>
              </w:rPr>
            </w:pPr>
            <w:r>
              <w:rPr>
                <w:rFonts w:ascii="宋体" w:hAnsi="宋体" w:cs="宋体"/>
                <w:color w:val="000000"/>
                <w:kern w:val="0"/>
                <w:sz w:val="20"/>
                <w:szCs w:val="20"/>
              </w:rPr>
              <w:t>4</w:t>
            </w:r>
          </w:p>
        </w:tc>
        <w:tc>
          <w:tcPr>
            <w:tcW w:w="3495" w:type="dxa"/>
            <w:gridSpan w:val="2"/>
            <w:tcBorders>
              <w:top w:val="single" w:sz="4" w:space="0" w:color="auto"/>
              <w:left w:val="single" w:sz="4" w:space="0" w:color="auto"/>
              <w:bottom w:val="single" w:sz="4" w:space="0" w:color="auto"/>
              <w:right w:val="single" w:sz="4" w:space="0" w:color="auto"/>
            </w:tcBorders>
            <w:vAlign w:val="center"/>
          </w:tcPr>
          <w:p w14:paraId="53FCC512" w14:textId="77777777" w:rsidR="00993813" w:rsidRDefault="0000000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资产管理规范性:</w:t>
            </w:r>
            <w:r>
              <w:rPr>
                <w:rFonts w:ascii="宋体" w:hAnsi="宋体" w:cs="宋体" w:hint="eastAsia"/>
                <w:color w:val="000000"/>
                <w:kern w:val="0"/>
                <w:sz w:val="18"/>
                <w:szCs w:val="18"/>
              </w:rPr>
              <w:t>部门（单位）的资产是否保持安全完整，资产配置是否合理，资产使用和资产处理是否规范，用以反映和考核部门（单位）资产管理的整体水平。</w:t>
            </w:r>
          </w:p>
        </w:tc>
        <w:tc>
          <w:tcPr>
            <w:tcW w:w="1809" w:type="dxa"/>
            <w:gridSpan w:val="2"/>
            <w:tcBorders>
              <w:top w:val="single" w:sz="4" w:space="0" w:color="auto"/>
              <w:left w:val="single" w:sz="4" w:space="0" w:color="auto"/>
              <w:bottom w:val="single" w:sz="4" w:space="0" w:color="auto"/>
              <w:right w:val="single" w:sz="4" w:space="0" w:color="auto"/>
            </w:tcBorders>
            <w:vAlign w:val="center"/>
          </w:tcPr>
          <w:p w14:paraId="23212566" w14:textId="77777777" w:rsidR="00993813"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993813" w14:paraId="0B527D77" w14:textId="77777777">
        <w:trPr>
          <w:gridAfter w:val="2"/>
          <w:wAfter w:w="27" w:type="dxa"/>
          <w:cantSplit/>
          <w:trHeight w:val="1210"/>
        </w:trPr>
        <w:tc>
          <w:tcPr>
            <w:tcW w:w="1190" w:type="dxa"/>
            <w:vMerge/>
            <w:tcBorders>
              <w:top w:val="nil"/>
              <w:left w:val="single" w:sz="4" w:space="0" w:color="auto"/>
              <w:bottom w:val="single" w:sz="4" w:space="0" w:color="000000"/>
              <w:right w:val="single" w:sz="4" w:space="0" w:color="auto"/>
            </w:tcBorders>
            <w:vAlign w:val="center"/>
          </w:tcPr>
          <w:p w14:paraId="45527D56" w14:textId="77777777" w:rsidR="00993813" w:rsidRDefault="00993813">
            <w:pPr>
              <w:widowControl/>
              <w:jc w:val="left"/>
              <w:rPr>
                <w:rFonts w:ascii="宋体" w:hAnsi="宋体" w:cs="宋体"/>
                <w:color w:val="000000"/>
                <w:kern w:val="0"/>
                <w:sz w:val="20"/>
                <w:szCs w:val="20"/>
              </w:rPr>
            </w:pPr>
          </w:p>
        </w:tc>
        <w:tc>
          <w:tcPr>
            <w:tcW w:w="1054" w:type="dxa"/>
            <w:tcBorders>
              <w:top w:val="single" w:sz="4" w:space="0" w:color="auto"/>
              <w:left w:val="nil"/>
              <w:bottom w:val="single" w:sz="4" w:space="0" w:color="auto"/>
              <w:right w:val="single" w:sz="4" w:space="0" w:color="auto"/>
            </w:tcBorders>
            <w:vAlign w:val="center"/>
          </w:tcPr>
          <w:p w14:paraId="089F1C32"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绩效管理（4）</w:t>
            </w:r>
          </w:p>
        </w:tc>
        <w:tc>
          <w:tcPr>
            <w:tcW w:w="1335" w:type="dxa"/>
            <w:tcBorders>
              <w:top w:val="single" w:sz="4" w:space="0" w:color="auto"/>
              <w:left w:val="nil"/>
              <w:bottom w:val="single" w:sz="4" w:space="0" w:color="auto"/>
              <w:right w:val="single" w:sz="4" w:space="0" w:color="auto"/>
            </w:tcBorders>
            <w:vAlign w:val="center"/>
          </w:tcPr>
          <w:p w14:paraId="5B09565F"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绩效管理情况</w:t>
            </w:r>
          </w:p>
        </w:tc>
        <w:tc>
          <w:tcPr>
            <w:tcW w:w="1285" w:type="dxa"/>
            <w:tcBorders>
              <w:top w:val="single" w:sz="4" w:space="0" w:color="auto"/>
              <w:left w:val="nil"/>
              <w:bottom w:val="single" w:sz="4" w:space="0" w:color="auto"/>
              <w:right w:val="single" w:sz="4" w:space="0" w:color="auto"/>
            </w:tcBorders>
            <w:vAlign w:val="center"/>
          </w:tcPr>
          <w:p w14:paraId="10435ACC" w14:textId="77777777"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绩效管理信息的汇总和应用情况</w:t>
            </w:r>
          </w:p>
        </w:tc>
        <w:tc>
          <w:tcPr>
            <w:tcW w:w="3662" w:type="dxa"/>
            <w:gridSpan w:val="2"/>
            <w:tcBorders>
              <w:top w:val="single" w:sz="4" w:space="0" w:color="auto"/>
              <w:left w:val="nil"/>
              <w:bottom w:val="single" w:sz="4" w:space="0" w:color="auto"/>
              <w:right w:val="single" w:sz="4" w:space="0" w:color="auto"/>
            </w:tcBorders>
            <w:vAlign w:val="center"/>
          </w:tcPr>
          <w:p w14:paraId="02FF0740" w14:textId="77777777"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全方位把握部门整体预算执行、整体绩效目标实现和预算管理情况，但未及时对绩效信息进行汇总分析整理。</w:t>
            </w:r>
          </w:p>
        </w:tc>
        <w:tc>
          <w:tcPr>
            <w:tcW w:w="753" w:type="dxa"/>
            <w:gridSpan w:val="2"/>
            <w:tcBorders>
              <w:top w:val="single" w:sz="4" w:space="0" w:color="auto"/>
              <w:left w:val="nil"/>
              <w:bottom w:val="single" w:sz="4" w:space="0" w:color="auto"/>
              <w:right w:val="single" w:sz="4" w:space="0" w:color="auto"/>
            </w:tcBorders>
            <w:vAlign w:val="center"/>
          </w:tcPr>
          <w:p w14:paraId="0CC5CC23"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830" w:type="dxa"/>
            <w:gridSpan w:val="2"/>
            <w:tcBorders>
              <w:top w:val="single" w:sz="4" w:space="0" w:color="auto"/>
              <w:left w:val="nil"/>
              <w:bottom w:val="single" w:sz="4" w:space="0" w:color="auto"/>
              <w:right w:val="nil"/>
            </w:tcBorders>
            <w:vAlign w:val="center"/>
          </w:tcPr>
          <w:p w14:paraId="1B3522CD"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3495" w:type="dxa"/>
            <w:gridSpan w:val="2"/>
            <w:tcBorders>
              <w:top w:val="single" w:sz="4" w:space="0" w:color="auto"/>
              <w:left w:val="single" w:sz="4" w:space="0" w:color="auto"/>
              <w:bottom w:val="single" w:sz="4" w:space="0" w:color="auto"/>
              <w:right w:val="single" w:sz="4" w:space="0" w:color="auto"/>
            </w:tcBorders>
            <w:vAlign w:val="center"/>
          </w:tcPr>
          <w:p w14:paraId="6084D2E6" w14:textId="77777777" w:rsidR="00993813" w:rsidRDefault="0000000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绩效管理情况:</w:t>
            </w:r>
            <w:r>
              <w:rPr>
                <w:rFonts w:ascii="宋体" w:hAnsi="宋体" w:cs="宋体" w:hint="eastAsia"/>
                <w:color w:val="000000"/>
                <w:kern w:val="0"/>
                <w:sz w:val="18"/>
                <w:szCs w:val="18"/>
              </w:rPr>
              <w:t>考核部门（单位）在绩效管理信息的汇总和应用情况。</w:t>
            </w:r>
          </w:p>
        </w:tc>
        <w:tc>
          <w:tcPr>
            <w:tcW w:w="1809" w:type="dxa"/>
            <w:gridSpan w:val="2"/>
            <w:tcBorders>
              <w:top w:val="single" w:sz="4" w:space="0" w:color="auto"/>
              <w:left w:val="nil"/>
              <w:bottom w:val="single" w:sz="4" w:space="0" w:color="auto"/>
              <w:right w:val="single" w:sz="4" w:space="0" w:color="auto"/>
            </w:tcBorders>
            <w:vAlign w:val="center"/>
          </w:tcPr>
          <w:p w14:paraId="629BBA99" w14:textId="77777777" w:rsidR="00993813"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①部门（单位）是否及时对绩效信息进行汇总分析整理；②部门（单位）是否对绩效目标偏离情况及时进行矫正。每有一项不合格扣2分。</w:t>
            </w:r>
          </w:p>
        </w:tc>
      </w:tr>
      <w:tr w:rsidR="00993813" w14:paraId="68811F98" w14:textId="77777777">
        <w:trPr>
          <w:gridAfter w:val="1"/>
          <w:wAfter w:w="15" w:type="dxa"/>
          <w:cantSplit/>
          <w:trHeight w:val="394"/>
        </w:trPr>
        <w:tc>
          <w:tcPr>
            <w:tcW w:w="1190" w:type="dxa"/>
            <w:vMerge/>
            <w:tcBorders>
              <w:top w:val="nil"/>
              <w:left w:val="single" w:sz="4" w:space="0" w:color="auto"/>
              <w:bottom w:val="single" w:sz="4" w:space="0" w:color="000000"/>
              <w:right w:val="single" w:sz="4" w:space="0" w:color="auto"/>
            </w:tcBorders>
            <w:vAlign w:val="center"/>
          </w:tcPr>
          <w:p w14:paraId="76A3F7B3" w14:textId="77777777" w:rsidR="00993813" w:rsidRDefault="00993813">
            <w:pPr>
              <w:widowControl/>
              <w:jc w:val="left"/>
              <w:rPr>
                <w:rFonts w:ascii="宋体" w:hAnsi="宋体" w:cs="宋体"/>
                <w:color w:val="000000"/>
                <w:kern w:val="0"/>
                <w:sz w:val="20"/>
                <w:szCs w:val="20"/>
              </w:rPr>
            </w:pPr>
          </w:p>
        </w:tc>
        <w:tc>
          <w:tcPr>
            <w:tcW w:w="1054" w:type="dxa"/>
            <w:tcBorders>
              <w:top w:val="single" w:sz="4" w:space="0" w:color="auto"/>
              <w:left w:val="nil"/>
              <w:bottom w:val="single" w:sz="4" w:space="0" w:color="auto"/>
              <w:right w:val="single" w:sz="4" w:space="0" w:color="auto"/>
            </w:tcBorders>
            <w:vAlign w:val="center"/>
          </w:tcPr>
          <w:p w14:paraId="0B627415"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指标　</w:t>
            </w:r>
          </w:p>
        </w:tc>
        <w:tc>
          <w:tcPr>
            <w:tcW w:w="2629" w:type="dxa"/>
            <w:gridSpan w:val="3"/>
            <w:tcBorders>
              <w:top w:val="single" w:sz="4" w:space="0" w:color="auto"/>
              <w:left w:val="nil"/>
              <w:bottom w:val="single" w:sz="4" w:space="0" w:color="auto"/>
              <w:right w:val="single" w:sz="4" w:space="0" w:color="000000"/>
            </w:tcBorders>
            <w:vAlign w:val="center"/>
          </w:tcPr>
          <w:p w14:paraId="5B0C0C64"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2022年</w:t>
            </w:r>
          </w:p>
        </w:tc>
        <w:tc>
          <w:tcPr>
            <w:tcW w:w="3665" w:type="dxa"/>
            <w:gridSpan w:val="2"/>
            <w:tcBorders>
              <w:top w:val="single" w:sz="4" w:space="0" w:color="auto"/>
              <w:left w:val="nil"/>
              <w:bottom w:val="single" w:sz="4" w:space="0" w:color="auto"/>
              <w:right w:val="single" w:sz="4" w:space="0" w:color="auto"/>
            </w:tcBorders>
            <w:vAlign w:val="center"/>
          </w:tcPr>
          <w:p w14:paraId="78442C18"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2023年</w:t>
            </w:r>
          </w:p>
        </w:tc>
        <w:tc>
          <w:tcPr>
            <w:tcW w:w="753" w:type="dxa"/>
            <w:gridSpan w:val="2"/>
            <w:tcBorders>
              <w:top w:val="single" w:sz="4" w:space="0" w:color="auto"/>
              <w:left w:val="nil"/>
              <w:bottom w:val="single" w:sz="4" w:space="0" w:color="auto"/>
              <w:right w:val="single" w:sz="4" w:space="0" w:color="auto"/>
            </w:tcBorders>
            <w:vAlign w:val="center"/>
          </w:tcPr>
          <w:p w14:paraId="6A5C97C4"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830" w:type="dxa"/>
            <w:gridSpan w:val="2"/>
            <w:tcBorders>
              <w:top w:val="single" w:sz="4" w:space="0" w:color="auto"/>
              <w:left w:val="nil"/>
              <w:bottom w:val="single" w:sz="4" w:space="0" w:color="auto"/>
              <w:right w:val="single" w:sz="4" w:space="0" w:color="auto"/>
            </w:tcBorders>
            <w:vAlign w:val="center"/>
          </w:tcPr>
          <w:p w14:paraId="7D372E90"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3495" w:type="dxa"/>
            <w:gridSpan w:val="2"/>
            <w:tcBorders>
              <w:top w:val="single" w:sz="4" w:space="0" w:color="auto"/>
              <w:left w:val="single" w:sz="4" w:space="0" w:color="auto"/>
              <w:bottom w:val="single" w:sz="4" w:space="0" w:color="auto"/>
              <w:right w:val="single" w:sz="4" w:space="0" w:color="auto"/>
            </w:tcBorders>
            <w:vAlign w:val="center"/>
          </w:tcPr>
          <w:p w14:paraId="49024DE3" w14:textId="77777777" w:rsidR="00993813" w:rsidRDefault="00000000">
            <w:pPr>
              <w:widowControl/>
              <w:jc w:val="center"/>
              <w:rPr>
                <w:rFonts w:ascii="宋体" w:hAnsi="宋体" w:cs="宋体"/>
                <w:color w:val="000000"/>
                <w:kern w:val="0"/>
                <w:sz w:val="20"/>
                <w:szCs w:val="20"/>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809" w:type="dxa"/>
            <w:gridSpan w:val="2"/>
            <w:tcBorders>
              <w:top w:val="single" w:sz="4" w:space="0" w:color="auto"/>
              <w:left w:val="nil"/>
              <w:bottom w:val="single" w:sz="4" w:space="0" w:color="auto"/>
              <w:right w:val="single" w:sz="4" w:space="0" w:color="auto"/>
            </w:tcBorders>
            <w:vAlign w:val="center"/>
          </w:tcPr>
          <w:p w14:paraId="7872D5CD" w14:textId="77777777" w:rsidR="00993813" w:rsidRDefault="00000000">
            <w:pPr>
              <w:widowControl/>
              <w:jc w:val="center"/>
              <w:rPr>
                <w:rFonts w:eastAsia="Times New Roman"/>
                <w:kern w:val="0"/>
                <w:sz w:val="20"/>
                <w:szCs w:val="20"/>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993813" w14:paraId="7F237B4C" w14:textId="77777777">
        <w:trPr>
          <w:gridAfter w:val="1"/>
          <w:wAfter w:w="15" w:type="dxa"/>
          <w:cantSplit/>
          <w:trHeight w:val="4156"/>
        </w:trPr>
        <w:tc>
          <w:tcPr>
            <w:tcW w:w="1190" w:type="dxa"/>
            <w:vMerge/>
            <w:tcBorders>
              <w:top w:val="nil"/>
              <w:left w:val="single" w:sz="4" w:space="0" w:color="auto"/>
              <w:bottom w:val="single" w:sz="4" w:space="0" w:color="000000"/>
              <w:right w:val="single" w:sz="4" w:space="0" w:color="auto"/>
            </w:tcBorders>
            <w:vAlign w:val="center"/>
          </w:tcPr>
          <w:p w14:paraId="3CA5E974" w14:textId="77777777" w:rsidR="00993813" w:rsidRDefault="00993813">
            <w:pPr>
              <w:widowControl/>
              <w:jc w:val="left"/>
              <w:rPr>
                <w:rFonts w:ascii="宋体" w:hAnsi="宋体" w:cs="宋体"/>
                <w:color w:val="000000"/>
                <w:kern w:val="0"/>
                <w:sz w:val="20"/>
                <w:szCs w:val="20"/>
              </w:rPr>
            </w:pPr>
          </w:p>
        </w:tc>
        <w:tc>
          <w:tcPr>
            <w:tcW w:w="1054" w:type="dxa"/>
            <w:tcBorders>
              <w:top w:val="nil"/>
              <w:left w:val="nil"/>
              <w:bottom w:val="single" w:sz="4" w:space="0" w:color="auto"/>
              <w:right w:val="single" w:sz="4" w:space="0" w:color="auto"/>
            </w:tcBorders>
            <w:vAlign w:val="center"/>
          </w:tcPr>
          <w:p w14:paraId="43F9DBCF" w14:textId="77777777" w:rsidR="00993813" w:rsidRDefault="00000000">
            <w:pPr>
              <w:widowControl/>
              <w:rPr>
                <w:rFonts w:ascii="宋体" w:hAnsi="宋体" w:cs="宋体"/>
                <w:color w:val="000000"/>
                <w:kern w:val="0"/>
                <w:sz w:val="20"/>
                <w:szCs w:val="20"/>
              </w:rPr>
            </w:pPr>
            <w:r>
              <w:rPr>
                <w:rFonts w:ascii="宋体" w:hAnsi="宋体" w:cs="宋体" w:hint="eastAsia"/>
                <w:color w:val="000000"/>
                <w:kern w:val="0"/>
                <w:sz w:val="20"/>
                <w:szCs w:val="20"/>
              </w:rPr>
              <w:t>结转结余率（4）</w:t>
            </w:r>
          </w:p>
        </w:tc>
        <w:tc>
          <w:tcPr>
            <w:tcW w:w="2629" w:type="dxa"/>
            <w:gridSpan w:val="3"/>
            <w:tcBorders>
              <w:top w:val="single" w:sz="4" w:space="0" w:color="auto"/>
              <w:left w:val="nil"/>
              <w:bottom w:val="single" w:sz="4" w:space="0" w:color="auto"/>
              <w:right w:val="single" w:sz="4" w:space="0" w:color="000000"/>
            </w:tcBorders>
            <w:vAlign w:val="center"/>
          </w:tcPr>
          <w:p w14:paraId="637277C7" w14:textId="77777777" w:rsidR="00993813" w:rsidRDefault="00000000">
            <w:pPr>
              <w:widowControl/>
              <w:jc w:val="center"/>
              <w:rPr>
                <w:rFonts w:ascii="宋体" w:hAnsi="宋体" w:cs="宋体"/>
                <w:color w:val="000000"/>
                <w:kern w:val="0"/>
                <w:sz w:val="20"/>
                <w:szCs w:val="20"/>
              </w:rPr>
            </w:pPr>
            <w:r>
              <w:rPr>
                <w:rFonts w:ascii="宋体" w:hAnsi="宋体" w:cs="宋体"/>
                <w:color w:val="000000"/>
                <w:kern w:val="0"/>
                <w:sz w:val="20"/>
                <w:szCs w:val="20"/>
              </w:rPr>
              <w:t>16.23%</w:t>
            </w:r>
          </w:p>
        </w:tc>
        <w:tc>
          <w:tcPr>
            <w:tcW w:w="3665" w:type="dxa"/>
            <w:gridSpan w:val="2"/>
            <w:tcBorders>
              <w:top w:val="nil"/>
              <w:left w:val="nil"/>
              <w:bottom w:val="single" w:sz="4" w:space="0" w:color="auto"/>
              <w:right w:val="single" w:sz="4" w:space="0" w:color="auto"/>
            </w:tcBorders>
            <w:vAlign w:val="center"/>
          </w:tcPr>
          <w:p w14:paraId="3969F67E" w14:textId="77777777" w:rsidR="00993813" w:rsidRDefault="00000000">
            <w:pPr>
              <w:widowControl/>
              <w:jc w:val="center"/>
              <w:rPr>
                <w:rFonts w:ascii="宋体" w:hAnsi="宋体" w:cs="宋体"/>
                <w:color w:val="000000"/>
                <w:kern w:val="0"/>
                <w:sz w:val="20"/>
                <w:szCs w:val="20"/>
              </w:rPr>
            </w:pPr>
            <w:r>
              <w:rPr>
                <w:rFonts w:ascii="宋体" w:hAnsi="宋体" w:cs="宋体"/>
                <w:color w:val="000000"/>
                <w:kern w:val="0"/>
                <w:sz w:val="20"/>
                <w:szCs w:val="20"/>
              </w:rPr>
              <w:t>8.95%</w:t>
            </w:r>
          </w:p>
        </w:tc>
        <w:tc>
          <w:tcPr>
            <w:tcW w:w="753" w:type="dxa"/>
            <w:gridSpan w:val="2"/>
            <w:tcBorders>
              <w:top w:val="nil"/>
              <w:left w:val="nil"/>
              <w:bottom w:val="single" w:sz="4" w:space="0" w:color="auto"/>
              <w:right w:val="single" w:sz="4" w:space="0" w:color="auto"/>
            </w:tcBorders>
            <w:vAlign w:val="center"/>
          </w:tcPr>
          <w:p w14:paraId="31221A83"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830" w:type="dxa"/>
            <w:gridSpan w:val="2"/>
            <w:tcBorders>
              <w:top w:val="nil"/>
              <w:left w:val="nil"/>
              <w:bottom w:val="single" w:sz="4" w:space="0" w:color="auto"/>
              <w:right w:val="nil"/>
            </w:tcBorders>
            <w:vAlign w:val="center"/>
          </w:tcPr>
          <w:p w14:paraId="045FEC29"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495" w:type="dxa"/>
            <w:gridSpan w:val="2"/>
            <w:tcBorders>
              <w:top w:val="single" w:sz="4" w:space="0" w:color="auto"/>
              <w:left w:val="single" w:sz="4" w:space="0" w:color="auto"/>
              <w:bottom w:val="single" w:sz="4" w:space="0" w:color="auto"/>
              <w:right w:val="single" w:sz="4" w:space="0" w:color="auto"/>
            </w:tcBorders>
            <w:vAlign w:val="center"/>
          </w:tcPr>
          <w:p w14:paraId="6EF388D4" w14:textId="77777777" w:rsidR="00993813"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结转结余率=结转结余总额/支出预算数×100%。</w:t>
            </w:r>
            <w:r>
              <w:rPr>
                <w:rFonts w:ascii="宋体" w:hAnsi="宋体" w:cs="宋体" w:hint="eastAsia"/>
                <w:color w:val="000000"/>
                <w:kern w:val="0"/>
                <w:sz w:val="18"/>
                <w:szCs w:val="18"/>
              </w:rPr>
              <w:br/>
              <w:t>结转结余总额：部门（单位）本年度的结转资金与结余资金之</w:t>
            </w:r>
            <w:proofErr w:type="gramStart"/>
            <w:r>
              <w:rPr>
                <w:rFonts w:ascii="宋体" w:hAnsi="宋体" w:cs="宋体" w:hint="eastAsia"/>
                <w:color w:val="000000"/>
                <w:kern w:val="0"/>
                <w:sz w:val="18"/>
                <w:szCs w:val="18"/>
              </w:rPr>
              <w:t>和</w:t>
            </w:r>
            <w:proofErr w:type="gramEnd"/>
            <w:r>
              <w:rPr>
                <w:rFonts w:ascii="宋体" w:hAnsi="宋体" w:cs="宋体" w:hint="eastAsia"/>
                <w:color w:val="000000"/>
                <w:kern w:val="0"/>
                <w:sz w:val="18"/>
                <w:szCs w:val="18"/>
              </w:rPr>
              <w:t>。</w:t>
            </w:r>
          </w:p>
        </w:tc>
        <w:tc>
          <w:tcPr>
            <w:tcW w:w="1809" w:type="dxa"/>
            <w:gridSpan w:val="2"/>
            <w:tcBorders>
              <w:top w:val="single" w:sz="4" w:space="0" w:color="auto"/>
              <w:left w:val="nil"/>
              <w:bottom w:val="single" w:sz="4" w:space="0" w:color="auto"/>
              <w:right w:val="single" w:sz="4" w:space="0" w:color="auto"/>
            </w:tcBorders>
            <w:vAlign w:val="center"/>
          </w:tcPr>
          <w:p w14:paraId="0FD5261A" w14:textId="77777777" w:rsidR="00993813"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部门结转结余率低于上年的不扣分；高于上年结余率，每高出1个百分点扣0.4分，扣完为止。（说明：如</w:t>
            </w:r>
            <w:proofErr w:type="gramStart"/>
            <w:r>
              <w:rPr>
                <w:rFonts w:ascii="宋体" w:hAnsi="宋体" w:cs="宋体" w:hint="eastAsia"/>
                <w:color w:val="000000"/>
                <w:kern w:val="0"/>
                <w:sz w:val="18"/>
                <w:szCs w:val="18"/>
              </w:rPr>
              <w:t>非预算</w:t>
            </w:r>
            <w:proofErr w:type="gramEnd"/>
            <w:r>
              <w:rPr>
                <w:rFonts w:ascii="宋体" w:hAnsi="宋体" w:cs="宋体" w:hint="eastAsia"/>
                <w:color w:val="000000"/>
                <w:kern w:val="0"/>
                <w:sz w:val="18"/>
                <w:szCs w:val="18"/>
              </w:rPr>
              <w:t>部门主观因素导致扣分的，在评分结果征求意见环节，经与相关部门预算主管处室共同研究，可作为例外情况酌情考虑。）</w:t>
            </w:r>
          </w:p>
        </w:tc>
      </w:tr>
      <w:tr w:rsidR="00993813" w14:paraId="20505112" w14:textId="77777777">
        <w:trPr>
          <w:gridAfter w:val="1"/>
          <w:wAfter w:w="15" w:type="dxa"/>
          <w:cantSplit/>
          <w:trHeight w:val="981"/>
        </w:trPr>
        <w:tc>
          <w:tcPr>
            <w:tcW w:w="1190" w:type="dxa"/>
            <w:vMerge/>
            <w:tcBorders>
              <w:top w:val="nil"/>
              <w:left w:val="single" w:sz="4" w:space="0" w:color="auto"/>
              <w:bottom w:val="single" w:sz="4" w:space="0" w:color="000000"/>
              <w:right w:val="single" w:sz="4" w:space="0" w:color="auto"/>
            </w:tcBorders>
            <w:vAlign w:val="center"/>
          </w:tcPr>
          <w:p w14:paraId="0F3E1A3C" w14:textId="77777777" w:rsidR="00993813" w:rsidRDefault="00993813">
            <w:pPr>
              <w:widowControl/>
              <w:jc w:val="left"/>
              <w:rPr>
                <w:rFonts w:ascii="宋体" w:hAnsi="宋体" w:cs="宋体"/>
                <w:color w:val="000000"/>
                <w:kern w:val="0"/>
                <w:sz w:val="20"/>
                <w:szCs w:val="20"/>
              </w:rPr>
            </w:pPr>
          </w:p>
        </w:tc>
        <w:tc>
          <w:tcPr>
            <w:tcW w:w="1054" w:type="dxa"/>
            <w:tcBorders>
              <w:top w:val="nil"/>
              <w:left w:val="nil"/>
              <w:bottom w:val="single" w:sz="4" w:space="0" w:color="auto"/>
              <w:right w:val="single" w:sz="4" w:space="0" w:color="auto"/>
            </w:tcBorders>
            <w:vAlign w:val="center"/>
          </w:tcPr>
          <w:p w14:paraId="5C811A94" w14:textId="77777777" w:rsidR="00993813" w:rsidRDefault="00000000">
            <w:pPr>
              <w:widowControl/>
              <w:rPr>
                <w:rFonts w:ascii="宋体" w:hAnsi="宋体" w:cs="宋体"/>
                <w:color w:val="000000"/>
                <w:kern w:val="0"/>
                <w:sz w:val="20"/>
                <w:szCs w:val="20"/>
              </w:rPr>
            </w:pPr>
            <w:r>
              <w:rPr>
                <w:rFonts w:ascii="宋体" w:hAnsi="宋体" w:cs="宋体" w:hint="eastAsia"/>
                <w:color w:val="000000"/>
                <w:kern w:val="0"/>
                <w:sz w:val="20"/>
                <w:szCs w:val="20"/>
              </w:rPr>
              <w:t>部门预决算差异率（4）</w:t>
            </w:r>
          </w:p>
        </w:tc>
        <w:tc>
          <w:tcPr>
            <w:tcW w:w="2629" w:type="dxa"/>
            <w:gridSpan w:val="3"/>
            <w:tcBorders>
              <w:top w:val="single" w:sz="4" w:space="0" w:color="auto"/>
              <w:left w:val="nil"/>
              <w:bottom w:val="single" w:sz="4" w:space="0" w:color="auto"/>
              <w:right w:val="nil"/>
            </w:tcBorders>
            <w:vAlign w:val="center"/>
          </w:tcPr>
          <w:p w14:paraId="5FE5951A" w14:textId="77777777" w:rsidR="00993813" w:rsidRDefault="00000000">
            <w:pPr>
              <w:widowControl/>
              <w:jc w:val="center"/>
              <w:rPr>
                <w:rFonts w:ascii="宋体" w:hAnsi="宋体" w:cs="宋体"/>
                <w:color w:val="000000"/>
                <w:kern w:val="0"/>
                <w:sz w:val="20"/>
                <w:szCs w:val="20"/>
              </w:rPr>
            </w:pPr>
            <w:r>
              <w:rPr>
                <w:rFonts w:ascii="宋体" w:hAnsi="宋体" w:cs="宋体"/>
                <w:color w:val="000000"/>
                <w:kern w:val="0"/>
                <w:sz w:val="20"/>
                <w:szCs w:val="20"/>
              </w:rPr>
              <w:t>-0.88%</w:t>
            </w:r>
          </w:p>
        </w:tc>
        <w:tc>
          <w:tcPr>
            <w:tcW w:w="3665" w:type="dxa"/>
            <w:gridSpan w:val="2"/>
            <w:tcBorders>
              <w:top w:val="nil"/>
              <w:left w:val="single" w:sz="4" w:space="0" w:color="auto"/>
              <w:bottom w:val="single" w:sz="4" w:space="0" w:color="auto"/>
              <w:right w:val="single" w:sz="4" w:space="0" w:color="auto"/>
            </w:tcBorders>
            <w:vAlign w:val="center"/>
          </w:tcPr>
          <w:p w14:paraId="0595F186" w14:textId="77777777" w:rsidR="00993813"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color w:val="000000"/>
                <w:kern w:val="0"/>
                <w:sz w:val="20"/>
                <w:szCs w:val="20"/>
              </w:rPr>
              <w:t xml:space="preserve">          </w:t>
            </w:r>
            <w:r>
              <w:rPr>
                <w:rFonts w:ascii="宋体" w:hAnsi="宋体" w:cs="宋体" w:hint="eastAsia"/>
                <w:color w:val="000000"/>
                <w:kern w:val="0"/>
                <w:sz w:val="20"/>
                <w:szCs w:val="20"/>
              </w:rPr>
              <w:t xml:space="preserve">    </w:t>
            </w:r>
            <w:r>
              <w:rPr>
                <w:rFonts w:ascii="宋体" w:hAnsi="宋体" w:cs="宋体"/>
                <w:color w:val="000000"/>
                <w:kern w:val="0"/>
                <w:sz w:val="20"/>
                <w:szCs w:val="20"/>
              </w:rPr>
              <w:t>2.89%</w:t>
            </w:r>
          </w:p>
        </w:tc>
        <w:tc>
          <w:tcPr>
            <w:tcW w:w="753" w:type="dxa"/>
            <w:gridSpan w:val="2"/>
            <w:tcBorders>
              <w:top w:val="nil"/>
              <w:left w:val="nil"/>
              <w:bottom w:val="single" w:sz="4" w:space="0" w:color="auto"/>
              <w:right w:val="single" w:sz="4" w:space="0" w:color="auto"/>
            </w:tcBorders>
            <w:vAlign w:val="center"/>
          </w:tcPr>
          <w:p w14:paraId="645F4472"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830" w:type="dxa"/>
            <w:gridSpan w:val="2"/>
            <w:tcBorders>
              <w:top w:val="nil"/>
              <w:left w:val="nil"/>
              <w:bottom w:val="single" w:sz="4" w:space="0" w:color="auto"/>
              <w:right w:val="nil"/>
            </w:tcBorders>
            <w:vAlign w:val="center"/>
          </w:tcPr>
          <w:p w14:paraId="35D1AE0B"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495" w:type="dxa"/>
            <w:gridSpan w:val="2"/>
            <w:tcBorders>
              <w:top w:val="nil"/>
              <w:left w:val="single" w:sz="4" w:space="0" w:color="auto"/>
              <w:bottom w:val="single" w:sz="4" w:space="0" w:color="auto"/>
              <w:right w:val="single" w:sz="4" w:space="0" w:color="auto"/>
            </w:tcBorders>
            <w:vAlign w:val="center"/>
          </w:tcPr>
          <w:p w14:paraId="480EB3A9" w14:textId="77777777" w:rsidR="00993813"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通过年度部门决算与年初部门预算对比，对部门的年度支出情况进行考核，衡量部门预算的约束力。</w:t>
            </w:r>
          </w:p>
        </w:tc>
        <w:tc>
          <w:tcPr>
            <w:tcW w:w="1809" w:type="dxa"/>
            <w:gridSpan w:val="2"/>
            <w:tcBorders>
              <w:top w:val="nil"/>
              <w:left w:val="nil"/>
              <w:bottom w:val="single" w:sz="4" w:space="0" w:color="auto"/>
              <w:right w:val="single" w:sz="4" w:space="0" w:color="auto"/>
            </w:tcBorders>
            <w:vAlign w:val="center"/>
          </w:tcPr>
          <w:p w14:paraId="770F4829" w14:textId="77777777" w:rsidR="00993813"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部门预决算差异率高于市级平均差异率（28.3%）的，每高出10%（含），扣0.4分，扣完为止。</w:t>
            </w:r>
          </w:p>
        </w:tc>
      </w:tr>
      <w:tr w:rsidR="00993813" w14:paraId="7D7B8B30" w14:textId="77777777">
        <w:trPr>
          <w:gridAfter w:val="1"/>
          <w:wAfter w:w="15" w:type="dxa"/>
          <w:cantSplit/>
          <w:trHeight w:val="484"/>
        </w:trPr>
        <w:tc>
          <w:tcPr>
            <w:tcW w:w="8538" w:type="dxa"/>
            <w:gridSpan w:val="7"/>
            <w:tcBorders>
              <w:top w:val="single" w:sz="4" w:space="0" w:color="auto"/>
              <w:left w:val="single" w:sz="4" w:space="0" w:color="auto"/>
              <w:bottom w:val="single" w:sz="4" w:space="0" w:color="auto"/>
              <w:right w:val="single" w:sz="4" w:space="0" w:color="auto"/>
            </w:tcBorders>
            <w:vAlign w:val="center"/>
          </w:tcPr>
          <w:p w14:paraId="4442E2E6"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753" w:type="dxa"/>
            <w:gridSpan w:val="2"/>
            <w:tcBorders>
              <w:top w:val="nil"/>
              <w:left w:val="nil"/>
              <w:bottom w:val="single" w:sz="4" w:space="0" w:color="auto"/>
              <w:right w:val="single" w:sz="4" w:space="0" w:color="auto"/>
            </w:tcBorders>
            <w:vAlign w:val="center"/>
          </w:tcPr>
          <w:p w14:paraId="550776B5" w14:textId="77777777" w:rsidR="00993813"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830" w:type="dxa"/>
            <w:gridSpan w:val="2"/>
            <w:tcBorders>
              <w:top w:val="nil"/>
              <w:left w:val="nil"/>
              <w:bottom w:val="single" w:sz="4" w:space="0" w:color="auto"/>
              <w:right w:val="nil"/>
            </w:tcBorders>
            <w:vAlign w:val="center"/>
          </w:tcPr>
          <w:p w14:paraId="1A61DFD6" w14:textId="0663C0D3" w:rsidR="00993813" w:rsidRDefault="00000000">
            <w:pPr>
              <w:widowControl/>
              <w:jc w:val="center"/>
              <w:rPr>
                <w:rFonts w:ascii="宋体" w:hAnsi="宋体" w:cs="宋体"/>
                <w:color w:val="000000"/>
                <w:kern w:val="0"/>
                <w:sz w:val="20"/>
                <w:szCs w:val="20"/>
              </w:rPr>
            </w:pPr>
            <w:r>
              <w:rPr>
                <w:rFonts w:ascii="宋体" w:hAnsi="宋体" w:cs="宋体"/>
                <w:color w:val="000000"/>
                <w:kern w:val="0"/>
                <w:sz w:val="20"/>
                <w:szCs w:val="20"/>
              </w:rPr>
              <w:t>9</w:t>
            </w:r>
            <w:r w:rsidR="00950BB9">
              <w:rPr>
                <w:rFonts w:ascii="宋体" w:hAnsi="宋体" w:cs="宋体" w:hint="eastAsia"/>
                <w:color w:val="000000"/>
                <w:kern w:val="0"/>
                <w:sz w:val="20"/>
                <w:szCs w:val="20"/>
              </w:rPr>
              <w:t>5</w:t>
            </w:r>
            <w:r>
              <w:rPr>
                <w:rFonts w:ascii="宋体" w:hAnsi="宋体" w:cs="宋体"/>
                <w:color w:val="000000"/>
                <w:kern w:val="0"/>
                <w:sz w:val="20"/>
                <w:szCs w:val="20"/>
              </w:rPr>
              <w:t>.21</w:t>
            </w:r>
          </w:p>
        </w:tc>
        <w:tc>
          <w:tcPr>
            <w:tcW w:w="5304" w:type="dxa"/>
            <w:gridSpan w:val="4"/>
            <w:tcBorders>
              <w:top w:val="single" w:sz="4" w:space="0" w:color="auto"/>
              <w:left w:val="single" w:sz="4" w:space="0" w:color="auto"/>
              <w:bottom w:val="single" w:sz="4" w:space="0" w:color="auto"/>
              <w:right w:val="single" w:sz="4" w:space="0" w:color="000000"/>
            </w:tcBorders>
            <w:vAlign w:val="center"/>
          </w:tcPr>
          <w:p w14:paraId="37D4E5AA" w14:textId="77777777" w:rsidR="00993813" w:rsidRDefault="00993813">
            <w:pPr>
              <w:widowControl/>
              <w:jc w:val="center"/>
              <w:rPr>
                <w:rFonts w:ascii="宋体" w:hAnsi="宋体" w:cs="宋体"/>
                <w:color w:val="000000"/>
                <w:kern w:val="0"/>
                <w:sz w:val="18"/>
                <w:szCs w:val="18"/>
              </w:rPr>
            </w:pPr>
          </w:p>
        </w:tc>
      </w:tr>
    </w:tbl>
    <w:p w14:paraId="0797A7E1" w14:textId="77777777" w:rsidR="00993813" w:rsidRDefault="00993813"/>
    <w:sectPr w:rsidR="00993813">
      <w:pgSz w:w="16838" w:h="11906" w:orient="landscape"/>
      <w:pgMar w:top="993" w:right="1440" w:bottom="1349"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59AC4" w14:textId="77777777" w:rsidR="00980798" w:rsidRDefault="00980798">
      <w:r>
        <w:separator/>
      </w:r>
    </w:p>
  </w:endnote>
  <w:endnote w:type="continuationSeparator" w:id="0">
    <w:p w14:paraId="05877C3C" w14:textId="77777777" w:rsidR="00980798" w:rsidRDefault="0098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embedRegular r:id="rId1" w:subsetted="1" w:fontKey="{8DE15CFD-9D16-4723-9A38-87880304BD51}"/>
    <w:embedBold r:id="rId2" w:subsetted="1" w:fontKey="{BE297644-7414-4145-8A37-A21EE4FB5892}"/>
  </w:font>
  <w:font w:name="仿宋_GB2312">
    <w:panose1 w:val="02010609030101010101"/>
    <w:charset w:val="86"/>
    <w:family w:val="modern"/>
    <w:pitch w:val="fixed"/>
    <w:sig w:usb0="00000001" w:usb1="080E0000" w:usb2="00000010" w:usb3="00000000" w:csb0="00040000" w:csb1="00000000"/>
    <w:embedRegular r:id="rId3" w:subsetted="1" w:fontKey="{95F13034-F686-4371-8330-AD12CA2DD266}"/>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embedRegular r:id="rId4" w:subsetted="1" w:fontKey="{90CB37E6-81B5-4A95-AB64-445240A72357}"/>
    <w:embedBold r:id="rId5" w:subsetted="1" w:fontKey="{923470D1-7BAA-4EC7-8150-66617E6FD86A}"/>
  </w:font>
  <w:font w:name="Verdana">
    <w:panose1 w:val="020B0604030504040204"/>
    <w:charset w:val="00"/>
    <w:family w:val="swiss"/>
    <w:pitch w:val="variable"/>
    <w:sig w:usb0="A00006FF" w:usb1="4000205B" w:usb2="00000010" w:usb3="00000000" w:csb0="0000019F" w:csb1="00000000"/>
  </w:font>
  <w:font w:name="方正仿宋_GBK">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6" w:subsetted="1" w:fontKey="{612A51B5-B490-4595-BC94-DF0FDD7CA0C5}"/>
    <w:embedBold r:id="rId7" w:subsetted="1" w:fontKey="{15424CCD-5047-4D68-A471-35F03ED72443}"/>
  </w:font>
  <w:font w:name="楷体">
    <w:panose1 w:val="02010609060101010101"/>
    <w:charset w:val="86"/>
    <w:family w:val="modern"/>
    <w:pitch w:val="fixed"/>
    <w:sig w:usb0="800002BF" w:usb1="38CF7CFA" w:usb2="00000016" w:usb3="00000000" w:csb0="00040001" w:csb1="00000000"/>
    <w:embedRegular r:id="rId8" w:subsetted="1" w:fontKey="{72D3DAD3-9CD6-49B4-8265-341F459C2650}"/>
  </w:font>
  <w:font w:name="微软雅黑">
    <w:panose1 w:val="020B0503020204020204"/>
    <w:charset w:val="86"/>
    <w:family w:val="swiss"/>
    <w:pitch w:val="variable"/>
    <w:sig w:usb0="80000287" w:usb1="2ACF3C50" w:usb2="00000016" w:usb3="00000000" w:csb0="0004001F" w:csb1="00000000"/>
    <w:embedRegular r:id="rId9" w:subsetted="1" w:fontKey="{F84C0983-AA61-4F29-9B7A-7BAAEB53D0C0}"/>
  </w:font>
  <w:font w:name="___WRD_EMBED_SUB_44">
    <w:altName w:val="宋体"/>
    <w:charset w:val="86"/>
    <w:family w:val="modern"/>
    <w:pitch w:val="default"/>
    <w:sig w:usb0="00000000" w:usb1="00000000" w:usb2="00000010" w:usb3="00000000" w:csb0="00040000" w:csb1="00000000"/>
  </w:font>
  <w:font w:name="___WRD_EMBED_SUB_47">
    <w:altName w:val="宋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55FA1" w14:textId="77777777" w:rsidR="00993813" w:rsidRDefault="00993813">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A149B" w14:textId="77777777" w:rsidR="00993813" w:rsidRDefault="00993813">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36AED" w14:textId="77777777" w:rsidR="00993813" w:rsidRDefault="00993813">
    <w:pPr>
      <w:pStyle w:val="ab"/>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FBE4C" w14:textId="77777777" w:rsidR="00993813" w:rsidRDefault="00993813">
    <w:pPr>
      <w:pStyle w:val="ab"/>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FEC35" w14:textId="77777777" w:rsidR="00993813" w:rsidRDefault="00000000">
    <w:pPr>
      <w:pStyle w:val="ab"/>
      <w:jc w:val="center"/>
    </w:pPr>
    <w:r>
      <w:rPr>
        <w:noProof/>
      </w:rPr>
      <mc:AlternateContent>
        <mc:Choice Requires="wps">
          <w:drawing>
            <wp:anchor distT="0" distB="0" distL="114300" distR="114300" simplePos="0" relativeHeight="251659264" behindDoc="0" locked="0" layoutInCell="1" allowOverlap="1" wp14:anchorId="12E02A73" wp14:editId="3CC92C15">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AD0536" w14:textId="77777777" w:rsidR="00993813" w:rsidRDefault="00000000">
                          <w:pPr>
                            <w:pStyle w:val="ab"/>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7F9E7" w14:textId="77777777" w:rsidR="00980798" w:rsidRDefault="00980798">
      <w:r>
        <w:separator/>
      </w:r>
    </w:p>
  </w:footnote>
  <w:footnote w:type="continuationSeparator" w:id="0">
    <w:p w14:paraId="58C3A47E" w14:textId="77777777" w:rsidR="00980798" w:rsidRDefault="009807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A404FB2"/>
    <w:multiLevelType w:val="singleLevel"/>
    <w:tmpl w:val="FA404FB2"/>
    <w:lvl w:ilvl="0">
      <w:start w:val="2"/>
      <w:numFmt w:val="chineseCounting"/>
      <w:suff w:val="nothing"/>
      <w:lvlText w:val="%1、"/>
      <w:lvlJc w:val="left"/>
      <w:rPr>
        <w:rFonts w:hint="eastAsia"/>
      </w:rPr>
    </w:lvl>
  </w:abstractNum>
  <w:num w:numId="1" w16cid:durableId="1526944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E2Yjk4YmIzNmU0NTlhYWUzMjM0YzlkZTdkZGFjYzEifQ=="/>
  </w:docVars>
  <w:rsids>
    <w:rsidRoot w:val="00C32925"/>
    <w:rsid w:val="AFF59FBF"/>
    <w:rsid w:val="BFFFC696"/>
    <w:rsid w:val="FD6E6727"/>
    <w:rsid w:val="00003BC8"/>
    <w:rsid w:val="0000779F"/>
    <w:rsid w:val="0002088C"/>
    <w:rsid w:val="00020D40"/>
    <w:rsid w:val="00021C3A"/>
    <w:rsid w:val="0002243A"/>
    <w:rsid w:val="00031879"/>
    <w:rsid w:val="0003381F"/>
    <w:rsid w:val="00036AEA"/>
    <w:rsid w:val="000414F7"/>
    <w:rsid w:val="0004758E"/>
    <w:rsid w:val="00047816"/>
    <w:rsid w:val="000508FA"/>
    <w:rsid w:val="00051481"/>
    <w:rsid w:val="00056504"/>
    <w:rsid w:val="00056CB0"/>
    <w:rsid w:val="00066406"/>
    <w:rsid w:val="00073675"/>
    <w:rsid w:val="000737D6"/>
    <w:rsid w:val="00080672"/>
    <w:rsid w:val="000813E0"/>
    <w:rsid w:val="000918E4"/>
    <w:rsid w:val="00096001"/>
    <w:rsid w:val="000A11D0"/>
    <w:rsid w:val="000A4093"/>
    <w:rsid w:val="000C11A8"/>
    <w:rsid w:val="000C594E"/>
    <w:rsid w:val="000C6CB6"/>
    <w:rsid w:val="000D0178"/>
    <w:rsid w:val="000D08CA"/>
    <w:rsid w:val="000E7B70"/>
    <w:rsid w:val="000F5EE5"/>
    <w:rsid w:val="000F6A50"/>
    <w:rsid w:val="00106297"/>
    <w:rsid w:val="001137D0"/>
    <w:rsid w:val="00124ED5"/>
    <w:rsid w:val="001265C6"/>
    <w:rsid w:val="00127C01"/>
    <w:rsid w:val="001359C0"/>
    <w:rsid w:val="00135C25"/>
    <w:rsid w:val="0014028C"/>
    <w:rsid w:val="001442D2"/>
    <w:rsid w:val="00145846"/>
    <w:rsid w:val="001522DF"/>
    <w:rsid w:val="00152B40"/>
    <w:rsid w:val="001671A7"/>
    <w:rsid w:val="001677E3"/>
    <w:rsid w:val="00172349"/>
    <w:rsid w:val="001735D7"/>
    <w:rsid w:val="00176F20"/>
    <w:rsid w:val="00182FE6"/>
    <w:rsid w:val="00192053"/>
    <w:rsid w:val="001925BC"/>
    <w:rsid w:val="00192C17"/>
    <w:rsid w:val="0019346E"/>
    <w:rsid w:val="001966B7"/>
    <w:rsid w:val="001A23DF"/>
    <w:rsid w:val="001B2701"/>
    <w:rsid w:val="001B6C38"/>
    <w:rsid w:val="001C15D8"/>
    <w:rsid w:val="001C203F"/>
    <w:rsid w:val="001C55DD"/>
    <w:rsid w:val="001E5F3D"/>
    <w:rsid w:val="002054F6"/>
    <w:rsid w:val="00205557"/>
    <w:rsid w:val="002064D9"/>
    <w:rsid w:val="00215D54"/>
    <w:rsid w:val="00226698"/>
    <w:rsid w:val="00226FCE"/>
    <w:rsid w:val="002273E2"/>
    <w:rsid w:val="0024355D"/>
    <w:rsid w:val="002457E8"/>
    <w:rsid w:val="002560C9"/>
    <w:rsid w:val="00256D22"/>
    <w:rsid w:val="00270C29"/>
    <w:rsid w:val="00272735"/>
    <w:rsid w:val="00282E73"/>
    <w:rsid w:val="002855B1"/>
    <w:rsid w:val="00286517"/>
    <w:rsid w:val="0029403E"/>
    <w:rsid w:val="002A42E8"/>
    <w:rsid w:val="002A7E9A"/>
    <w:rsid w:val="002C0ECA"/>
    <w:rsid w:val="002C32D2"/>
    <w:rsid w:val="002D60E1"/>
    <w:rsid w:val="002E1DA9"/>
    <w:rsid w:val="00303294"/>
    <w:rsid w:val="0030335A"/>
    <w:rsid w:val="00303FAB"/>
    <w:rsid w:val="003120DB"/>
    <w:rsid w:val="0031212F"/>
    <w:rsid w:val="003246F5"/>
    <w:rsid w:val="00327633"/>
    <w:rsid w:val="00327FB0"/>
    <w:rsid w:val="00335D7B"/>
    <w:rsid w:val="00342979"/>
    <w:rsid w:val="00345870"/>
    <w:rsid w:val="0034647D"/>
    <w:rsid w:val="003547E5"/>
    <w:rsid w:val="00355C64"/>
    <w:rsid w:val="00370A43"/>
    <w:rsid w:val="00380AD4"/>
    <w:rsid w:val="0038279A"/>
    <w:rsid w:val="00386F06"/>
    <w:rsid w:val="003910F6"/>
    <w:rsid w:val="00392AF6"/>
    <w:rsid w:val="003953C7"/>
    <w:rsid w:val="0039593C"/>
    <w:rsid w:val="00395B3E"/>
    <w:rsid w:val="00395C53"/>
    <w:rsid w:val="00396318"/>
    <w:rsid w:val="003B48FC"/>
    <w:rsid w:val="003B700E"/>
    <w:rsid w:val="003D15AF"/>
    <w:rsid w:val="003E0671"/>
    <w:rsid w:val="003E3E65"/>
    <w:rsid w:val="003F642B"/>
    <w:rsid w:val="004016C7"/>
    <w:rsid w:val="004035EC"/>
    <w:rsid w:val="00413C1A"/>
    <w:rsid w:val="00417425"/>
    <w:rsid w:val="00422C4B"/>
    <w:rsid w:val="00435747"/>
    <w:rsid w:val="00442D75"/>
    <w:rsid w:val="004552CC"/>
    <w:rsid w:val="0046104A"/>
    <w:rsid w:val="00461E1B"/>
    <w:rsid w:val="00473804"/>
    <w:rsid w:val="00473BAB"/>
    <w:rsid w:val="0047736D"/>
    <w:rsid w:val="00477A92"/>
    <w:rsid w:val="00497CBC"/>
    <w:rsid w:val="004A48A9"/>
    <w:rsid w:val="004A4ADE"/>
    <w:rsid w:val="004C50CF"/>
    <w:rsid w:val="004D0D57"/>
    <w:rsid w:val="004D3780"/>
    <w:rsid w:val="004E7C98"/>
    <w:rsid w:val="004F1880"/>
    <w:rsid w:val="00501668"/>
    <w:rsid w:val="00501E50"/>
    <w:rsid w:val="00517C04"/>
    <w:rsid w:val="005204FD"/>
    <w:rsid w:val="00524916"/>
    <w:rsid w:val="00531AD8"/>
    <w:rsid w:val="00545BDB"/>
    <w:rsid w:val="00551744"/>
    <w:rsid w:val="00557A9B"/>
    <w:rsid w:val="0056140C"/>
    <w:rsid w:val="005672B7"/>
    <w:rsid w:val="005827F1"/>
    <w:rsid w:val="00587799"/>
    <w:rsid w:val="005931A2"/>
    <w:rsid w:val="00594A9F"/>
    <w:rsid w:val="005A0B45"/>
    <w:rsid w:val="005A169F"/>
    <w:rsid w:val="005A5D54"/>
    <w:rsid w:val="005B4713"/>
    <w:rsid w:val="005C011E"/>
    <w:rsid w:val="005C3AB6"/>
    <w:rsid w:val="005E0AA6"/>
    <w:rsid w:val="005E144C"/>
    <w:rsid w:val="005E19BD"/>
    <w:rsid w:val="00604D89"/>
    <w:rsid w:val="0060735C"/>
    <w:rsid w:val="006132C8"/>
    <w:rsid w:val="00627007"/>
    <w:rsid w:val="00636738"/>
    <w:rsid w:val="00647C6B"/>
    <w:rsid w:val="00657313"/>
    <w:rsid w:val="00666581"/>
    <w:rsid w:val="0066720D"/>
    <w:rsid w:val="006709A0"/>
    <w:rsid w:val="006A6550"/>
    <w:rsid w:val="006B0F60"/>
    <w:rsid w:val="006B13F7"/>
    <w:rsid w:val="006B2ABE"/>
    <w:rsid w:val="006B7EB1"/>
    <w:rsid w:val="006C122B"/>
    <w:rsid w:val="006C162B"/>
    <w:rsid w:val="006C462B"/>
    <w:rsid w:val="006C5E39"/>
    <w:rsid w:val="006E2334"/>
    <w:rsid w:val="006F3025"/>
    <w:rsid w:val="006F49C9"/>
    <w:rsid w:val="006F5800"/>
    <w:rsid w:val="00707FA0"/>
    <w:rsid w:val="00722C36"/>
    <w:rsid w:val="00723B6F"/>
    <w:rsid w:val="0072530F"/>
    <w:rsid w:val="00732977"/>
    <w:rsid w:val="0074075D"/>
    <w:rsid w:val="00743A71"/>
    <w:rsid w:val="00747EEF"/>
    <w:rsid w:val="0075297E"/>
    <w:rsid w:val="00766997"/>
    <w:rsid w:val="00767CC1"/>
    <w:rsid w:val="00770AA8"/>
    <w:rsid w:val="00771145"/>
    <w:rsid w:val="00772BCF"/>
    <w:rsid w:val="00775CF2"/>
    <w:rsid w:val="007765C2"/>
    <w:rsid w:val="007801A6"/>
    <w:rsid w:val="007A1035"/>
    <w:rsid w:val="007A505F"/>
    <w:rsid w:val="007A524D"/>
    <w:rsid w:val="007A6037"/>
    <w:rsid w:val="007B3277"/>
    <w:rsid w:val="007C06AB"/>
    <w:rsid w:val="007C23F5"/>
    <w:rsid w:val="007C3322"/>
    <w:rsid w:val="007C60A0"/>
    <w:rsid w:val="007E5775"/>
    <w:rsid w:val="007E5AA5"/>
    <w:rsid w:val="007F5994"/>
    <w:rsid w:val="00804002"/>
    <w:rsid w:val="00804A7F"/>
    <w:rsid w:val="008071CF"/>
    <w:rsid w:val="008120BA"/>
    <w:rsid w:val="00815ABB"/>
    <w:rsid w:val="0082402A"/>
    <w:rsid w:val="008247EC"/>
    <w:rsid w:val="00830A8E"/>
    <w:rsid w:val="00836099"/>
    <w:rsid w:val="0083775A"/>
    <w:rsid w:val="00845F1D"/>
    <w:rsid w:val="008465EA"/>
    <w:rsid w:val="00846A06"/>
    <w:rsid w:val="00847B71"/>
    <w:rsid w:val="00850537"/>
    <w:rsid w:val="008609BD"/>
    <w:rsid w:val="008663C8"/>
    <w:rsid w:val="008845C9"/>
    <w:rsid w:val="008851D5"/>
    <w:rsid w:val="008A1B54"/>
    <w:rsid w:val="008A6DA8"/>
    <w:rsid w:val="008B0241"/>
    <w:rsid w:val="008B4D8C"/>
    <w:rsid w:val="008C1D78"/>
    <w:rsid w:val="008C20BC"/>
    <w:rsid w:val="008C2E48"/>
    <w:rsid w:val="008C3E66"/>
    <w:rsid w:val="008C488B"/>
    <w:rsid w:val="008C6E80"/>
    <w:rsid w:val="008D1DA2"/>
    <w:rsid w:val="008D7F3E"/>
    <w:rsid w:val="008E1D18"/>
    <w:rsid w:val="008F2560"/>
    <w:rsid w:val="008F2DEE"/>
    <w:rsid w:val="0090571B"/>
    <w:rsid w:val="0091112B"/>
    <w:rsid w:val="00911BAB"/>
    <w:rsid w:val="00927AEE"/>
    <w:rsid w:val="00934AD7"/>
    <w:rsid w:val="00940D57"/>
    <w:rsid w:val="00946CF5"/>
    <w:rsid w:val="00950BB9"/>
    <w:rsid w:val="009547EF"/>
    <w:rsid w:val="00954CBF"/>
    <w:rsid w:val="00970366"/>
    <w:rsid w:val="009728EB"/>
    <w:rsid w:val="00974165"/>
    <w:rsid w:val="00980798"/>
    <w:rsid w:val="00982BE7"/>
    <w:rsid w:val="009847CB"/>
    <w:rsid w:val="00993813"/>
    <w:rsid w:val="009A4845"/>
    <w:rsid w:val="009A70BF"/>
    <w:rsid w:val="009A7E30"/>
    <w:rsid w:val="009B1BC1"/>
    <w:rsid w:val="009B45B9"/>
    <w:rsid w:val="009C0CF5"/>
    <w:rsid w:val="009C343D"/>
    <w:rsid w:val="009C3A75"/>
    <w:rsid w:val="009D546D"/>
    <w:rsid w:val="009E1673"/>
    <w:rsid w:val="009E54D6"/>
    <w:rsid w:val="009F1883"/>
    <w:rsid w:val="009F5B18"/>
    <w:rsid w:val="00A006D3"/>
    <w:rsid w:val="00A01CE0"/>
    <w:rsid w:val="00A26169"/>
    <w:rsid w:val="00A27A60"/>
    <w:rsid w:val="00A43C29"/>
    <w:rsid w:val="00A4582E"/>
    <w:rsid w:val="00A47B96"/>
    <w:rsid w:val="00A53521"/>
    <w:rsid w:val="00A53E00"/>
    <w:rsid w:val="00A61359"/>
    <w:rsid w:val="00A61ADE"/>
    <w:rsid w:val="00A72786"/>
    <w:rsid w:val="00A74DAF"/>
    <w:rsid w:val="00A82B16"/>
    <w:rsid w:val="00A913BA"/>
    <w:rsid w:val="00A957FE"/>
    <w:rsid w:val="00A95C57"/>
    <w:rsid w:val="00A97A9E"/>
    <w:rsid w:val="00AB3B42"/>
    <w:rsid w:val="00AB6395"/>
    <w:rsid w:val="00AC46DB"/>
    <w:rsid w:val="00AC58E1"/>
    <w:rsid w:val="00AD55D1"/>
    <w:rsid w:val="00AE2863"/>
    <w:rsid w:val="00AE79F5"/>
    <w:rsid w:val="00AF3E84"/>
    <w:rsid w:val="00AF46D0"/>
    <w:rsid w:val="00AF5262"/>
    <w:rsid w:val="00AF6E54"/>
    <w:rsid w:val="00AF7326"/>
    <w:rsid w:val="00B056AE"/>
    <w:rsid w:val="00B05A18"/>
    <w:rsid w:val="00B115F6"/>
    <w:rsid w:val="00B16827"/>
    <w:rsid w:val="00B25EF3"/>
    <w:rsid w:val="00B260E8"/>
    <w:rsid w:val="00B26B1F"/>
    <w:rsid w:val="00B311E3"/>
    <w:rsid w:val="00B3598A"/>
    <w:rsid w:val="00B4556E"/>
    <w:rsid w:val="00B45BC8"/>
    <w:rsid w:val="00B507B5"/>
    <w:rsid w:val="00B537FC"/>
    <w:rsid w:val="00B74142"/>
    <w:rsid w:val="00B82AA5"/>
    <w:rsid w:val="00BA3FAD"/>
    <w:rsid w:val="00BB7DC1"/>
    <w:rsid w:val="00BD3B54"/>
    <w:rsid w:val="00BE1404"/>
    <w:rsid w:val="00BE1512"/>
    <w:rsid w:val="00BF4558"/>
    <w:rsid w:val="00C01C49"/>
    <w:rsid w:val="00C04137"/>
    <w:rsid w:val="00C05BF2"/>
    <w:rsid w:val="00C07B99"/>
    <w:rsid w:val="00C1135D"/>
    <w:rsid w:val="00C21076"/>
    <w:rsid w:val="00C232FE"/>
    <w:rsid w:val="00C32925"/>
    <w:rsid w:val="00C361FE"/>
    <w:rsid w:val="00C36F1A"/>
    <w:rsid w:val="00C51B3C"/>
    <w:rsid w:val="00C560F9"/>
    <w:rsid w:val="00C61FD6"/>
    <w:rsid w:val="00C6352F"/>
    <w:rsid w:val="00C635AC"/>
    <w:rsid w:val="00C7480C"/>
    <w:rsid w:val="00C777B1"/>
    <w:rsid w:val="00C82C27"/>
    <w:rsid w:val="00C86AD0"/>
    <w:rsid w:val="00C91231"/>
    <w:rsid w:val="00C973BB"/>
    <w:rsid w:val="00CB3FA9"/>
    <w:rsid w:val="00CB6EEF"/>
    <w:rsid w:val="00CD1984"/>
    <w:rsid w:val="00CE3013"/>
    <w:rsid w:val="00CE5BE7"/>
    <w:rsid w:val="00CF06B6"/>
    <w:rsid w:val="00CF11A1"/>
    <w:rsid w:val="00CF295E"/>
    <w:rsid w:val="00CF2BF7"/>
    <w:rsid w:val="00D06C00"/>
    <w:rsid w:val="00D10F33"/>
    <w:rsid w:val="00D13B59"/>
    <w:rsid w:val="00D167F3"/>
    <w:rsid w:val="00D16EBA"/>
    <w:rsid w:val="00D17C86"/>
    <w:rsid w:val="00D20CD1"/>
    <w:rsid w:val="00D25D4D"/>
    <w:rsid w:val="00D3329E"/>
    <w:rsid w:val="00D34B73"/>
    <w:rsid w:val="00D36128"/>
    <w:rsid w:val="00D439E5"/>
    <w:rsid w:val="00D47546"/>
    <w:rsid w:val="00D546FD"/>
    <w:rsid w:val="00D56E34"/>
    <w:rsid w:val="00D618DF"/>
    <w:rsid w:val="00D70E01"/>
    <w:rsid w:val="00D735FD"/>
    <w:rsid w:val="00D74C60"/>
    <w:rsid w:val="00D7515C"/>
    <w:rsid w:val="00D7633A"/>
    <w:rsid w:val="00D76DE6"/>
    <w:rsid w:val="00D812AA"/>
    <w:rsid w:val="00D85114"/>
    <w:rsid w:val="00D85FD9"/>
    <w:rsid w:val="00D86DE2"/>
    <w:rsid w:val="00D8788C"/>
    <w:rsid w:val="00D923FC"/>
    <w:rsid w:val="00D93805"/>
    <w:rsid w:val="00D95784"/>
    <w:rsid w:val="00DA0B53"/>
    <w:rsid w:val="00DA299A"/>
    <w:rsid w:val="00DA3905"/>
    <w:rsid w:val="00DA682A"/>
    <w:rsid w:val="00DC08D3"/>
    <w:rsid w:val="00DC4CA0"/>
    <w:rsid w:val="00DC6BCC"/>
    <w:rsid w:val="00DD0BE4"/>
    <w:rsid w:val="00DD6961"/>
    <w:rsid w:val="00DE3195"/>
    <w:rsid w:val="00DE7CBB"/>
    <w:rsid w:val="00DE7F2C"/>
    <w:rsid w:val="00DF29A2"/>
    <w:rsid w:val="00DF4B14"/>
    <w:rsid w:val="00E00C12"/>
    <w:rsid w:val="00E02A1F"/>
    <w:rsid w:val="00E02B15"/>
    <w:rsid w:val="00E12F20"/>
    <w:rsid w:val="00E2206B"/>
    <w:rsid w:val="00E22428"/>
    <w:rsid w:val="00E409C6"/>
    <w:rsid w:val="00E430AC"/>
    <w:rsid w:val="00E46071"/>
    <w:rsid w:val="00E463B3"/>
    <w:rsid w:val="00E46E8F"/>
    <w:rsid w:val="00E60D2B"/>
    <w:rsid w:val="00E65C1C"/>
    <w:rsid w:val="00E65F5C"/>
    <w:rsid w:val="00E77483"/>
    <w:rsid w:val="00E83192"/>
    <w:rsid w:val="00E8341E"/>
    <w:rsid w:val="00E84511"/>
    <w:rsid w:val="00E94067"/>
    <w:rsid w:val="00E96157"/>
    <w:rsid w:val="00E9688A"/>
    <w:rsid w:val="00E96C47"/>
    <w:rsid w:val="00E97D5C"/>
    <w:rsid w:val="00E97EFE"/>
    <w:rsid w:val="00EA06E0"/>
    <w:rsid w:val="00EA17B4"/>
    <w:rsid w:val="00EA6F1C"/>
    <w:rsid w:val="00EB3BA2"/>
    <w:rsid w:val="00EB405B"/>
    <w:rsid w:val="00EC2B60"/>
    <w:rsid w:val="00EC52A6"/>
    <w:rsid w:val="00ED1585"/>
    <w:rsid w:val="00EE13AE"/>
    <w:rsid w:val="00EE38BA"/>
    <w:rsid w:val="00EF5822"/>
    <w:rsid w:val="00F02F3A"/>
    <w:rsid w:val="00F02F5A"/>
    <w:rsid w:val="00F036B0"/>
    <w:rsid w:val="00F06B08"/>
    <w:rsid w:val="00F07BD4"/>
    <w:rsid w:val="00F14730"/>
    <w:rsid w:val="00F16155"/>
    <w:rsid w:val="00F205EB"/>
    <w:rsid w:val="00F30EBA"/>
    <w:rsid w:val="00F31E0B"/>
    <w:rsid w:val="00F44304"/>
    <w:rsid w:val="00F44C75"/>
    <w:rsid w:val="00F45E56"/>
    <w:rsid w:val="00F461A3"/>
    <w:rsid w:val="00F511E1"/>
    <w:rsid w:val="00F560A3"/>
    <w:rsid w:val="00F5786B"/>
    <w:rsid w:val="00F63008"/>
    <w:rsid w:val="00F63F33"/>
    <w:rsid w:val="00F64E33"/>
    <w:rsid w:val="00F734D7"/>
    <w:rsid w:val="00F77099"/>
    <w:rsid w:val="00F772EE"/>
    <w:rsid w:val="00F80ADC"/>
    <w:rsid w:val="00F81133"/>
    <w:rsid w:val="00F90832"/>
    <w:rsid w:val="00FA09B4"/>
    <w:rsid w:val="00FB64C9"/>
    <w:rsid w:val="00FB6C86"/>
    <w:rsid w:val="00FC08EE"/>
    <w:rsid w:val="00FC1D72"/>
    <w:rsid w:val="00FC6762"/>
    <w:rsid w:val="00FD3431"/>
    <w:rsid w:val="00FD754D"/>
    <w:rsid w:val="00FE5760"/>
    <w:rsid w:val="00FE7C3C"/>
    <w:rsid w:val="00FF2031"/>
    <w:rsid w:val="00FF3186"/>
    <w:rsid w:val="00FF5D7A"/>
    <w:rsid w:val="019609A9"/>
    <w:rsid w:val="023F2212"/>
    <w:rsid w:val="05FB46B0"/>
    <w:rsid w:val="070A2FBC"/>
    <w:rsid w:val="0883119F"/>
    <w:rsid w:val="0A283ED3"/>
    <w:rsid w:val="0A86035E"/>
    <w:rsid w:val="0AA55410"/>
    <w:rsid w:val="0B037E51"/>
    <w:rsid w:val="0B534F80"/>
    <w:rsid w:val="0C3B22A3"/>
    <w:rsid w:val="0D6214AA"/>
    <w:rsid w:val="0D7F205C"/>
    <w:rsid w:val="0DA059F5"/>
    <w:rsid w:val="0E6F3E7F"/>
    <w:rsid w:val="0F0C5A70"/>
    <w:rsid w:val="11E77A07"/>
    <w:rsid w:val="12295B18"/>
    <w:rsid w:val="132C232D"/>
    <w:rsid w:val="134D7DA8"/>
    <w:rsid w:val="14507354"/>
    <w:rsid w:val="146B333A"/>
    <w:rsid w:val="15AA79D9"/>
    <w:rsid w:val="17095AE2"/>
    <w:rsid w:val="17D81BBE"/>
    <w:rsid w:val="1B001029"/>
    <w:rsid w:val="1B512096"/>
    <w:rsid w:val="1B5F5790"/>
    <w:rsid w:val="1D6D2E22"/>
    <w:rsid w:val="1E807DB1"/>
    <w:rsid w:val="1E85148C"/>
    <w:rsid w:val="1FA4324B"/>
    <w:rsid w:val="1FCE3F40"/>
    <w:rsid w:val="205F3620"/>
    <w:rsid w:val="208D334A"/>
    <w:rsid w:val="20A774A8"/>
    <w:rsid w:val="21750684"/>
    <w:rsid w:val="219507C9"/>
    <w:rsid w:val="219759BF"/>
    <w:rsid w:val="2316568F"/>
    <w:rsid w:val="23A67EEB"/>
    <w:rsid w:val="25681E8D"/>
    <w:rsid w:val="25967434"/>
    <w:rsid w:val="26CC5EBA"/>
    <w:rsid w:val="26DD103B"/>
    <w:rsid w:val="2A6308E4"/>
    <w:rsid w:val="2B1B1944"/>
    <w:rsid w:val="2B314DBC"/>
    <w:rsid w:val="2B654C0F"/>
    <w:rsid w:val="2D764CC2"/>
    <w:rsid w:val="2E7A444E"/>
    <w:rsid w:val="2E7E596A"/>
    <w:rsid w:val="30592E90"/>
    <w:rsid w:val="307B7BCB"/>
    <w:rsid w:val="30F11CB3"/>
    <w:rsid w:val="321725F9"/>
    <w:rsid w:val="32343183"/>
    <w:rsid w:val="33D67D32"/>
    <w:rsid w:val="34263D2B"/>
    <w:rsid w:val="36557856"/>
    <w:rsid w:val="377834F5"/>
    <w:rsid w:val="38E0637F"/>
    <w:rsid w:val="39754C6C"/>
    <w:rsid w:val="3A1273C6"/>
    <w:rsid w:val="3AC14625"/>
    <w:rsid w:val="3AE7285E"/>
    <w:rsid w:val="3B0B27DC"/>
    <w:rsid w:val="3D792B22"/>
    <w:rsid w:val="3EBA6941"/>
    <w:rsid w:val="40101DFE"/>
    <w:rsid w:val="41B13C8E"/>
    <w:rsid w:val="41CF0949"/>
    <w:rsid w:val="43FB613F"/>
    <w:rsid w:val="44501A81"/>
    <w:rsid w:val="48B40105"/>
    <w:rsid w:val="49B46387"/>
    <w:rsid w:val="49BD4DC7"/>
    <w:rsid w:val="4B544FAC"/>
    <w:rsid w:val="4BCF2A83"/>
    <w:rsid w:val="4CEE78AF"/>
    <w:rsid w:val="4D1F6494"/>
    <w:rsid w:val="4D341EAC"/>
    <w:rsid w:val="4E70055B"/>
    <w:rsid w:val="4EFF54A1"/>
    <w:rsid w:val="514D4A7F"/>
    <w:rsid w:val="51E270AC"/>
    <w:rsid w:val="525653AD"/>
    <w:rsid w:val="52764596"/>
    <w:rsid w:val="52923265"/>
    <w:rsid w:val="535E29A3"/>
    <w:rsid w:val="53640B20"/>
    <w:rsid w:val="54042454"/>
    <w:rsid w:val="544B7B6F"/>
    <w:rsid w:val="54E22DEA"/>
    <w:rsid w:val="56041754"/>
    <w:rsid w:val="58335D58"/>
    <w:rsid w:val="59E80594"/>
    <w:rsid w:val="59F64A21"/>
    <w:rsid w:val="5A1F62D7"/>
    <w:rsid w:val="5CD22E02"/>
    <w:rsid w:val="5DA75773"/>
    <w:rsid w:val="5DDF5185"/>
    <w:rsid w:val="5F48540F"/>
    <w:rsid w:val="60324543"/>
    <w:rsid w:val="603364C5"/>
    <w:rsid w:val="6288754D"/>
    <w:rsid w:val="62D67E3F"/>
    <w:rsid w:val="63933A29"/>
    <w:rsid w:val="639B4E00"/>
    <w:rsid w:val="64690BE5"/>
    <w:rsid w:val="663E5660"/>
    <w:rsid w:val="6658247E"/>
    <w:rsid w:val="66813FDF"/>
    <w:rsid w:val="68EB739B"/>
    <w:rsid w:val="69076CB6"/>
    <w:rsid w:val="69F740AB"/>
    <w:rsid w:val="6C305B70"/>
    <w:rsid w:val="707838B4"/>
    <w:rsid w:val="70FB1883"/>
    <w:rsid w:val="73716D78"/>
    <w:rsid w:val="73FBAC65"/>
    <w:rsid w:val="753E53F8"/>
    <w:rsid w:val="75B91F62"/>
    <w:rsid w:val="764845E6"/>
    <w:rsid w:val="76D257BC"/>
    <w:rsid w:val="77647450"/>
    <w:rsid w:val="77CF38D2"/>
    <w:rsid w:val="78F60349"/>
    <w:rsid w:val="793E1645"/>
    <w:rsid w:val="79B17BC5"/>
    <w:rsid w:val="7B875081"/>
    <w:rsid w:val="7C821233"/>
    <w:rsid w:val="7D7B0C16"/>
    <w:rsid w:val="7DFC2364"/>
    <w:rsid w:val="7F2969B9"/>
    <w:rsid w:val="7FD363BD"/>
    <w:rsid w:val="7FF7FEF3"/>
    <w:rsid w:val="7FFF0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6841C9"/>
  <w15:docId w15:val="{657F75A7-FF0F-4C0C-93BA-33F1C963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qFormat="1"/>
    <w:lsdException w:name="Normal Indent" w:qFormat="1"/>
    <w:lsdException w:name="footnote text" w:uiPriority="99" w:unhideWhenUsed="1" w:qFormat="1"/>
    <w:lsdException w:name="annotation text" w:qFormat="1"/>
    <w:lsdException w:name="header" w:qFormat="1"/>
    <w:lsdException w:name="footer" w:uiPriority="99" w:qFormat="1"/>
    <w:lsdException w:name="caption" w:semiHidden="1" w:unhideWhenUsed="1" w:qFormat="1"/>
    <w:lsdException w:name="footnote reference" w:uiPriority="99" w:unhideWhenUsed="1" w:qFormat="1"/>
    <w:lsdException w:name="annotation reference"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Body Text Indent 2" w:qFormat="1"/>
    <w:lsdException w:name="Hyperlink" w:uiPriority="99" w:unhideWhenUsed="1"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paragraph" w:styleId="20">
    <w:name w:val="heading 2"/>
    <w:basedOn w:val="a"/>
    <w:next w:val="a"/>
    <w:uiPriority w:val="9"/>
    <w:qFormat/>
    <w:pPr>
      <w:spacing w:line="560" w:lineRule="exact"/>
      <w:ind w:firstLineChars="200" w:firstLine="640"/>
      <w:outlineLvl w:val="1"/>
    </w:pPr>
    <w:rPr>
      <w:rFonts w:ascii="楷体_GB2312" w:eastAsia="楷体_GB2312" w:hAnsi="楷体_GB2312" w:cs="楷体_GB2312"/>
      <w:color w:val="000000"/>
      <w:kern w:val="0"/>
      <w:sz w:val="32"/>
      <w:szCs w:val="32"/>
    </w:rPr>
  </w:style>
  <w:style w:type="paragraph" w:styleId="3">
    <w:name w:val="heading 3"/>
    <w:basedOn w:val="a"/>
    <w:next w:val="a"/>
    <w:uiPriority w:val="9"/>
    <w:unhideWhenUsed/>
    <w:qFormat/>
    <w:pPr>
      <w:keepNext/>
      <w:keepLines/>
      <w:spacing w:before="260" w:after="260" w:line="416" w:lineRule="auto"/>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qFormat/>
    <w:pPr>
      <w:suppressAutoHyphens/>
      <w:spacing w:line="580" w:lineRule="exact"/>
      <w:ind w:firstLineChars="200" w:firstLine="420"/>
    </w:pPr>
    <w:rPr>
      <w:rFonts w:ascii="仿宋_GB2312" w:eastAsia="仿宋_GB2312" w:hAnsi="Calibri"/>
      <w:sz w:val="32"/>
    </w:rPr>
  </w:style>
  <w:style w:type="paragraph" w:styleId="a3">
    <w:name w:val="Body Text Indent"/>
    <w:basedOn w:val="a"/>
    <w:next w:val="a4"/>
    <w:qFormat/>
    <w:pPr>
      <w:spacing w:after="120"/>
      <w:ind w:leftChars="200" w:left="420"/>
    </w:pPr>
  </w:style>
  <w:style w:type="paragraph" w:styleId="a4">
    <w:name w:val="Normal Indent"/>
    <w:basedOn w:val="a"/>
    <w:next w:val="a3"/>
    <w:qFormat/>
    <w:pPr>
      <w:ind w:firstLineChars="200" w:firstLine="420"/>
    </w:pPr>
  </w:style>
  <w:style w:type="paragraph" w:styleId="a5">
    <w:name w:val="annotation text"/>
    <w:basedOn w:val="a"/>
    <w:link w:val="a6"/>
    <w:qFormat/>
    <w:pPr>
      <w:jc w:val="left"/>
    </w:pPr>
  </w:style>
  <w:style w:type="paragraph" w:styleId="a7">
    <w:name w:val="Body Text"/>
    <w:basedOn w:val="a"/>
    <w:next w:val="a"/>
    <w:qFormat/>
    <w:pPr>
      <w:spacing w:line="640" w:lineRule="exact"/>
      <w:ind w:firstLine="960"/>
    </w:pPr>
  </w:style>
  <w:style w:type="paragraph" w:styleId="TOC3">
    <w:name w:val="toc 3"/>
    <w:basedOn w:val="a"/>
    <w:next w:val="a"/>
    <w:qFormat/>
    <w:pPr>
      <w:ind w:leftChars="400" w:left="840"/>
    </w:pPr>
  </w:style>
  <w:style w:type="paragraph" w:styleId="a8">
    <w:name w:val="Plain Text"/>
    <w:basedOn w:val="a"/>
    <w:uiPriority w:val="99"/>
    <w:unhideWhenUsed/>
    <w:qFormat/>
    <w:rPr>
      <w:rFonts w:ascii="宋体" w:hAnsi="Courier New"/>
      <w:szCs w:val="21"/>
    </w:rPr>
  </w:style>
  <w:style w:type="paragraph" w:styleId="21">
    <w:name w:val="Body Text Indent 2"/>
    <w:basedOn w:val="a"/>
    <w:qFormat/>
    <w:pPr>
      <w:spacing w:after="120" w:line="480" w:lineRule="auto"/>
      <w:ind w:leftChars="200" w:left="420"/>
    </w:pPr>
  </w:style>
  <w:style w:type="paragraph" w:styleId="a9">
    <w:name w:val="Balloon Text"/>
    <w:basedOn w:val="a"/>
    <w:link w:val="aa"/>
    <w:qFormat/>
    <w:rPr>
      <w:sz w:val="18"/>
      <w:szCs w:val="18"/>
    </w:rPr>
  </w:style>
  <w:style w:type="paragraph" w:styleId="ab">
    <w:name w:val="footer"/>
    <w:basedOn w:val="a"/>
    <w:uiPriority w:val="99"/>
    <w:qFormat/>
    <w:pPr>
      <w:tabs>
        <w:tab w:val="center" w:pos="4153"/>
        <w:tab w:val="right" w:pos="8306"/>
      </w:tabs>
      <w:snapToGrid w:val="0"/>
      <w:jc w:val="left"/>
    </w:pPr>
    <w:rPr>
      <w:sz w:val="18"/>
      <w:szCs w:val="20"/>
    </w:rPr>
  </w:style>
  <w:style w:type="paragraph" w:styleId="ac">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uiPriority w:val="39"/>
    <w:unhideWhenUsed/>
    <w:qFormat/>
    <w:pPr>
      <w:tabs>
        <w:tab w:val="right" w:leader="dot" w:pos="8296"/>
      </w:tabs>
    </w:pPr>
    <w:rPr>
      <w:rFonts w:ascii="仿宋" w:eastAsia="仿宋" w:hAnsi="仿宋"/>
      <w:b/>
      <w:sz w:val="28"/>
      <w:szCs w:val="28"/>
    </w:rPr>
  </w:style>
  <w:style w:type="paragraph" w:styleId="ad">
    <w:name w:val="footnote text"/>
    <w:basedOn w:val="a"/>
    <w:uiPriority w:val="99"/>
    <w:unhideWhenUsed/>
    <w:qFormat/>
    <w:pPr>
      <w:snapToGrid w:val="0"/>
      <w:jc w:val="left"/>
    </w:pPr>
    <w:rPr>
      <w:sz w:val="18"/>
      <w:szCs w:val="18"/>
    </w:rPr>
  </w:style>
  <w:style w:type="paragraph" w:styleId="TOC2">
    <w:name w:val="toc 2"/>
    <w:basedOn w:val="a"/>
    <w:next w:val="a"/>
    <w:uiPriority w:val="39"/>
    <w:unhideWhenUsed/>
    <w:qFormat/>
    <w:pPr>
      <w:ind w:leftChars="200" w:left="420"/>
    </w:pPr>
  </w:style>
  <w:style w:type="paragraph" w:styleId="ae">
    <w:name w:val="Normal (Web)"/>
    <w:basedOn w:val="a"/>
    <w:qFormat/>
    <w:pPr>
      <w:spacing w:beforeAutospacing="1" w:afterAutospacing="1"/>
      <w:jc w:val="left"/>
    </w:pPr>
    <w:rPr>
      <w:kern w:val="0"/>
      <w:sz w:val="24"/>
    </w:rPr>
  </w:style>
  <w:style w:type="paragraph" w:styleId="af">
    <w:name w:val="annotation subject"/>
    <w:basedOn w:val="a5"/>
    <w:next w:val="a5"/>
    <w:link w:val="af0"/>
    <w:qFormat/>
    <w:rPr>
      <w:b/>
      <w:bCs/>
    </w:rPr>
  </w:style>
  <w:style w:type="paragraph" w:styleId="af1">
    <w:name w:val="Body Text First Indent"/>
    <w:basedOn w:val="a7"/>
    <w:qFormat/>
    <w:pPr>
      <w:ind w:firstLineChars="100" w:firstLine="420"/>
    </w:pPr>
  </w:style>
  <w:style w:type="table" w:styleId="af2">
    <w:name w:val="Table Grid"/>
    <w:basedOn w:val="a1"/>
    <w:uiPriority w:val="59"/>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qFormat/>
    <w:rPr>
      <w:color w:val="0000FF"/>
      <w:u w:val="single"/>
    </w:rPr>
  </w:style>
  <w:style w:type="character" w:styleId="af4">
    <w:name w:val="annotation reference"/>
    <w:basedOn w:val="a0"/>
    <w:qFormat/>
    <w:rPr>
      <w:sz w:val="21"/>
      <w:szCs w:val="21"/>
    </w:rPr>
  </w:style>
  <w:style w:type="character" w:styleId="af5">
    <w:name w:val="footnote reference"/>
    <w:basedOn w:val="a0"/>
    <w:uiPriority w:val="99"/>
    <w:unhideWhenUsed/>
    <w:qFormat/>
    <w:rPr>
      <w:vertAlign w:val="superscript"/>
    </w:rPr>
  </w:style>
  <w:style w:type="paragraph" w:customStyle="1" w:styleId="af6">
    <w:name w:val="表格"/>
    <w:basedOn w:val="a"/>
    <w:qFormat/>
    <w:pPr>
      <w:jc w:val="center"/>
    </w:pPr>
    <w:rPr>
      <w:rFonts w:ascii="Verdana" w:eastAsia="仿宋_GB2312" w:hAnsi="Verdana"/>
      <w:sz w:val="24"/>
      <w:lang w:eastAsia="en-US"/>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a6">
    <w:name w:val="批注文字 字符"/>
    <w:basedOn w:val="a0"/>
    <w:link w:val="a5"/>
    <w:qFormat/>
    <w:rPr>
      <w:kern w:val="2"/>
      <w:sz w:val="21"/>
      <w:szCs w:val="24"/>
    </w:rPr>
  </w:style>
  <w:style w:type="character" w:customStyle="1" w:styleId="af0">
    <w:name w:val="批注主题 字符"/>
    <w:basedOn w:val="a6"/>
    <w:link w:val="af"/>
    <w:qFormat/>
    <w:rPr>
      <w:b/>
      <w:bCs/>
      <w:kern w:val="2"/>
      <w:sz w:val="21"/>
      <w:szCs w:val="24"/>
    </w:rPr>
  </w:style>
  <w:style w:type="character" w:customStyle="1" w:styleId="aa">
    <w:name w:val="批注框文本 字符"/>
    <w:basedOn w:val="a0"/>
    <w:link w:val="a9"/>
    <w:qFormat/>
    <w:rPr>
      <w:kern w:val="2"/>
      <w:sz w:val="18"/>
      <w:szCs w:val="18"/>
    </w:rPr>
  </w:style>
  <w:style w:type="paragraph" w:customStyle="1" w:styleId="af7">
    <w:name w:val="附件栏"/>
    <w:basedOn w:val="a"/>
    <w:uiPriority w:val="99"/>
    <w:qFormat/>
    <w:pPr>
      <w:autoSpaceDE w:val="0"/>
      <w:autoSpaceDN w:val="0"/>
      <w:snapToGrid w:val="0"/>
      <w:spacing w:line="590" w:lineRule="atLeast"/>
      <w:ind w:firstLine="624"/>
    </w:pPr>
    <w:rPr>
      <w:rFonts w:eastAsia="方正仿宋_GBK"/>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30</Pages>
  <Words>2335</Words>
  <Characters>13311</Characters>
  <Application>Microsoft Office Word</Application>
  <DocSecurity>0</DocSecurity>
  <Lines>110</Lines>
  <Paragraphs>31</Paragraphs>
  <ScaleCrop>false</ScaleCrop>
  <Company/>
  <LinksUpToDate>false</LinksUpToDate>
  <CharactersWithSpaces>15615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zxj</dc:creator>
  <cp:lastModifiedBy>EVA 王</cp:lastModifiedBy>
  <cp:revision>125</cp:revision>
  <cp:lastPrinted>2024-05-09T20:03:00Z</cp:lastPrinted>
  <dcterms:created xsi:type="dcterms:W3CDTF">2023-05-19T16:43:00Z</dcterms:created>
  <dcterms:modified xsi:type="dcterms:W3CDTF">2024-05-16T05:42:00Z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F1548AB2EA5B4FE78DD5552CFDF61B5C</vt:lpwstr>
  </property>
</Properties>
</file>