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2420" w:type="dxa"/>
        <w:tblInd w:w="472" w:type="dxa"/>
        <w:tblLayout w:type="fixed"/>
        <w:tblCellMar>
          <w:top w:w="0" w:type="dxa"/>
          <w:left w:w="108" w:type="dxa"/>
          <w:bottom w:w="0" w:type="dxa"/>
          <w:right w:w="108" w:type="dxa"/>
        </w:tblCellMar>
      </w:tblPr>
      <w:tblGrid>
        <w:gridCol w:w="750"/>
        <w:gridCol w:w="775"/>
        <w:gridCol w:w="1016"/>
        <w:gridCol w:w="1016"/>
        <w:gridCol w:w="943"/>
        <w:gridCol w:w="640"/>
        <w:gridCol w:w="716"/>
        <w:gridCol w:w="3219"/>
        <w:gridCol w:w="3345"/>
      </w:tblGrid>
      <w:tr>
        <w:trPr>
          <w:trHeight w:val="499" w:hRule="atLeast"/>
        </w:trPr>
        <w:tc>
          <w:tcPr>
            <w:tcW w:w="12420" w:type="dxa"/>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bookmarkStart w:id="0" w:name="_GoBack"/>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12420"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9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6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33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75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6,252.88</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6,059.77</w:t>
            </w:r>
          </w:p>
        </w:tc>
        <w:tc>
          <w:tcPr>
            <w:tcW w:w="9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96.91%</w:t>
            </w:r>
          </w:p>
        </w:tc>
        <w:tc>
          <w:tcPr>
            <w:tcW w:w="64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71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19.38</w:t>
            </w:r>
          </w:p>
        </w:tc>
        <w:tc>
          <w:tcPr>
            <w:tcW w:w="321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部门全年执行数与全年预算数的比率。资金总体=基本支出+项目支出+其他</w:t>
            </w:r>
          </w:p>
        </w:tc>
        <w:tc>
          <w:tcPr>
            <w:tcW w:w="334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5,527.20</w:t>
            </w:r>
          </w:p>
        </w:tc>
        <w:tc>
          <w:tcPr>
            <w:tcW w:w="9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2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p>
        </w:tc>
        <w:tc>
          <w:tcPr>
            <w:tcW w:w="10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lang w:val="en-US" w:eastAsia="zh-CN"/>
              </w:rPr>
            </w:pPr>
            <w:r>
              <w:rPr>
                <w:rFonts w:hint="default" w:ascii="宋体" w:hAnsi="宋体" w:cs="宋体"/>
                <w:color w:val="000000"/>
                <w:kern w:val="0"/>
                <w:sz w:val="20"/>
                <w:szCs w:val="20"/>
                <w:highlight w:val="none"/>
                <w:lang w:val="en-US" w:eastAsia="zh-CN"/>
              </w:rPr>
              <w:t>532.58</w:t>
            </w: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2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9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2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12420" w:type="dxa"/>
            <w:gridSpan w:val="9"/>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77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6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4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7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775"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101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负责受理审查本院管辖提请逮捕的案件。　</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716" w:type="dxa"/>
            <w:vMerge w:val="restart"/>
            <w:tcBorders>
              <w:top w:val="single" w:color="auto" w:sz="4" w:space="0"/>
              <w:left w:val="nil"/>
              <w:right w:val="nil"/>
            </w:tcBorders>
            <w:vAlign w:val="center"/>
          </w:tcPr>
          <w:p>
            <w:pPr>
              <w:jc w:val="center"/>
              <w:rPr>
                <w:rFonts w:ascii="宋体" w:hAnsi="宋体" w:cs="宋体"/>
                <w:color w:val="000000"/>
                <w:kern w:val="0"/>
                <w:sz w:val="20"/>
                <w:szCs w:val="20"/>
              </w:rPr>
            </w:pPr>
            <w:r>
              <w:rPr>
                <w:rFonts w:ascii="宋体" w:hAnsi="宋体" w:cs="宋体"/>
                <w:color w:val="000000"/>
                <w:kern w:val="0"/>
                <w:sz w:val="20"/>
                <w:szCs w:val="20"/>
              </w:rPr>
              <w:t>30</w:t>
            </w:r>
          </w:p>
        </w:tc>
        <w:tc>
          <w:tcPr>
            <w:tcW w:w="321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34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负责受理审查本院管辖提起公诉的案件，并出庭支持公诉。　</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3</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负责受理辖区内公民和法人的检举、控告、申诉的案件。</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5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指标4</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负责受理辖区内公益诉讼工作的开展。</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5</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负责对辖区内的民事、经济、行政诉讼判决的监督。</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6</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负责对区公安局侦查工作的法律监督。　</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7</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负责对辖区内监管场所收押犯罪嫌疑人、罪犯改造工作的监督。</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8</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负责本后勤管理和物质装备工作。</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9</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院的党建工作和干部教育管理以及思想政治工作。</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10</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负责本院党的纪律检查和行政监察工作。</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指标1</w:t>
            </w:r>
            <w:r>
              <w:rPr>
                <w:rFonts w:ascii="宋体" w:hAnsi="宋体" w:cs="宋体"/>
                <w:color w:val="000000"/>
                <w:kern w:val="0"/>
                <w:sz w:val="20"/>
                <w:szCs w:val="20"/>
              </w:rPr>
              <w:t>1</w:t>
            </w:r>
          </w:p>
        </w:tc>
        <w:tc>
          <w:tcPr>
            <w:tcW w:w="101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负责由上级人民检察院交办的其他工作。</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bottom w:val="single" w:color="auto" w:sz="4" w:space="0"/>
              <w:right w:val="nil"/>
            </w:tcBorders>
            <w:noWrap/>
            <w:vAlign w:val="center"/>
          </w:tcPr>
          <w:p>
            <w:pPr>
              <w:widowControl/>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牢记国之大者，以精准监督的法治追求践行新时代检察使命</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640" w:type="dxa"/>
            <w:vMerge w:val="restart"/>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716" w:type="dxa"/>
            <w:vMerge w:val="restart"/>
            <w:tcBorders>
              <w:top w:val="nil"/>
              <w:left w:val="nil"/>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p>
          <w:p>
            <w:pPr>
              <w:widowControl/>
              <w:jc w:val="center"/>
              <w:rPr>
                <w:rFonts w:ascii="宋体" w:hAnsi="宋体" w:cs="宋体"/>
                <w:color w:val="000000"/>
                <w:kern w:val="0"/>
                <w:sz w:val="20"/>
                <w:szCs w:val="20"/>
              </w:rPr>
            </w:pPr>
            <w:r>
              <w:rPr>
                <w:rFonts w:ascii="宋体" w:hAnsi="宋体" w:cs="宋体"/>
                <w:color w:val="000000"/>
                <w:kern w:val="0"/>
                <w:sz w:val="20"/>
                <w:szCs w:val="20"/>
              </w:rPr>
              <w:t>2</w:t>
            </w:r>
            <w:r>
              <w:rPr>
                <w:rFonts w:hint="eastAsia" w:ascii="宋体" w:hAnsi="宋体" w:cs="宋体"/>
                <w:color w:val="000000"/>
                <w:kern w:val="0"/>
                <w:sz w:val="20"/>
                <w:szCs w:val="20"/>
                <w:lang w:val="en-US" w:eastAsia="zh-CN"/>
              </w:rPr>
              <w:t>5</w:t>
            </w:r>
            <w:r>
              <w:rPr>
                <w:rFonts w:ascii="宋体" w:hAnsi="宋体" w:cs="宋体"/>
                <w:color w:val="000000"/>
                <w:kern w:val="0"/>
                <w:sz w:val="20"/>
                <w:szCs w:val="20"/>
              </w:rPr>
              <w:t>.7</w:t>
            </w:r>
            <w:r>
              <w:rPr>
                <w:rFonts w:hint="eastAsia" w:ascii="宋体" w:hAnsi="宋体" w:cs="宋体"/>
                <w:color w:val="000000"/>
                <w:kern w:val="0"/>
                <w:sz w:val="20"/>
                <w:szCs w:val="20"/>
              </w:rPr>
              <w:t>　</w:t>
            </w:r>
          </w:p>
        </w:tc>
        <w:tc>
          <w:tcPr>
            <w:tcW w:w="3219"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34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突出保水担当，以生态检察的绿色答卷贡献新时代检察力量　</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筑牢发展根基，以管党治检的更严要求锻造新时代检察铁军</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right w:val="nil"/>
            </w:tcBorders>
            <w:noWrap/>
            <w:vAlign w:val="center"/>
          </w:tcPr>
          <w:p>
            <w:pPr>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ind w:firstLine="200" w:firstLineChars="100"/>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指标</w:t>
            </w:r>
            <w:r>
              <w:rPr>
                <w:rFonts w:hint="eastAsia" w:ascii="宋体" w:hAnsi="宋体" w:cs="宋体"/>
                <w:color w:val="000000"/>
                <w:kern w:val="0"/>
                <w:sz w:val="20"/>
                <w:szCs w:val="20"/>
                <w:lang w:val="en-US" w:eastAsia="zh-CN"/>
              </w:rPr>
              <w:t>4</w:t>
            </w: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站稳人民立场，以司法为民的生动实践诠释新时代检察情怀　</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6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16" w:type="dxa"/>
            <w:vMerge w:val="continue"/>
            <w:tcBorders>
              <w:left w:val="nil"/>
              <w:bottom w:val="single" w:color="auto" w:sz="4" w:space="0"/>
              <w:right w:val="nil"/>
            </w:tcBorders>
            <w:noWrap/>
            <w:vAlign w:val="center"/>
          </w:tcPr>
          <w:p>
            <w:pPr>
              <w:widowControl/>
              <w:jc w:val="center"/>
              <w:rPr>
                <w:rFonts w:ascii="宋体" w:hAnsi="宋体" w:cs="宋体"/>
                <w:color w:val="000000"/>
                <w:kern w:val="0"/>
                <w:sz w:val="20"/>
                <w:szCs w:val="20"/>
              </w:rPr>
            </w:pPr>
          </w:p>
        </w:tc>
        <w:tc>
          <w:tcPr>
            <w:tcW w:w="321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3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12420"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4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16"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4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7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7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制度健全</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制度健全</w:t>
            </w:r>
          </w:p>
        </w:tc>
        <w:tc>
          <w:tcPr>
            <w:tcW w:w="64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16"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34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454" w:hRule="atLeast"/>
        </w:trPr>
        <w:tc>
          <w:tcPr>
            <w:tcW w:w="75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1016"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w:t>
            </w:r>
          </w:p>
        </w:tc>
        <w:tc>
          <w:tcPr>
            <w:tcW w:w="640"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16"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34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1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101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w:t>
            </w:r>
          </w:p>
        </w:tc>
        <w:tc>
          <w:tcPr>
            <w:tcW w:w="640"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16"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21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101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w:t>
            </w:r>
          </w:p>
        </w:tc>
        <w:tc>
          <w:tcPr>
            <w:tcW w:w="94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w:t>
            </w:r>
          </w:p>
        </w:tc>
        <w:tc>
          <w:tcPr>
            <w:tcW w:w="6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34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10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101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开展绩效管理工作</w:t>
            </w:r>
          </w:p>
        </w:tc>
        <w:tc>
          <w:tcPr>
            <w:tcW w:w="94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开展绩效管理工作</w:t>
            </w:r>
          </w:p>
        </w:tc>
        <w:tc>
          <w:tcPr>
            <w:tcW w:w="6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34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203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94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6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345"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03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4.09%</w:t>
            </w:r>
          </w:p>
        </w:tc>
        <w:tc>
          <w:tcPr>
            <w:tcW w:w="9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 xml:space="preserve"> </w:t>
            </w:r>
            <w:r>
              <w:rPr>
                <w:rFonts w:hint="eastAsia" w:ascii="宋体" w:hAnsi="宋体" w:cs="宋体"/>
                <w:color w:val="000000"/>
                <w:kern w:val="0"/>
                <w:sz w:val="20"/>
                <w:szCs w:val="20"/>
              </w:rPr>
              <w:t>2.47%</w:t>
            </w:r>
          </w:p>
        </w:tc>
        <w:tc>
          <w:tcPr>
            <w:tcW w:w="6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4</w:t>
            </w:r>
          </w:p>
        </w:tc>
        <w:tc>
          <w:tcPr>
            <w:tcW w:w="32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34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77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032"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4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-2.84%</w:t>
            </w:r>
          </w:p>
        </w:tc>
        <w:tc>
          <w:tcPr>
            <w:tcW w:w="6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16"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4</w:t>
            </w:r>
          </w:p>
        </w:tc>
        <w:tc>
          <w:tcPr>
            <w:tcW w:w="321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3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4500"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6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6" w:type="dxa"/>
            <w:tcBorders>
              <w:top w:val="nil"/>
              <w:left w:val="nil"/>
              <w:bottom w:val="single" w:color="auto" w:sz="4" w:space="0"/>
              <w:right w:val="nil"/>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9</w:t>
            </w:r>
            <w:r>
              <w:rPr>
                <w:rFonts w:hint="eastAsia" w:ascii="宋体" w:hAnsi="宋体" w:cs="宋体"/>
                <w:color w:val="000000"/>
                <w:kern w:val="0"/>
                <w:sz w:val="20"/>
                <w:szCs w:val="20"/>
                <w:lang w:val="en-US" w:eastAsia="zh-CN"/>
              </w:rPr>
              <w:t>5</w:t>
            </w:r>
            <w:r>
              <w:rPr>
                <w:rFonts w:ascii="宋体" w:hAnsi="宋体" w:cs="宋体"/>
                <w:color w:val="000000"/>
                <w:kern w:val="0"/>
                <w:sz w:val="20"/>
                <w:szCs w:val="20"/>
              </w:rPr>
              <w:t>.</w:t>
            </w:r>
            <w:r>
              <w:rPr>
                <w:rFonts w:hint="eastAsia" w:ascii="宋体" w:hAnsi="宋体" w:cs="宋体"/>
                <w:color w:val="000000"/>
                <w:kern w:val="0"/>
                <w:sz w:val="20"/>
                <w:szCs w:val="20"/>
                <w:lang w:val="en-US" w:eastAsia="zh-CN"/>
              </w:rPr>
              <w:t>08</w:t>
            </w:r>
          </w:p>
        </w:tc>
        <w:tc>
          <w:tcPr>
            <w:tcW w:w="656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bookmarkEnd w:id="0"/>
    </w:tbl>
    <w:p>
      <w:pPr>
        <w:spacing w:line="20" w:lineRule="exact"/>
        <w:ind w:left="-21" w:leftChars="-10" w:right="42" w:rightChars="20"/>
      </w:pPr>
    </w:p>
    <w:p>
      <w:pPr>
        <w:spacing w:line="600" w:lineRule="exact"/>
        <w:ind w:firstLine="640" w:firstLineChars="200"/>
        <w:rPr>
          <w:rFonts w:ascii="仿宋_GB2312" w:hAnsi="宋体" w:eastAsia="仿宋_GB2312" w:cs="宋体"/>
          <w:color w:val="000000"/>
          <w:kern w:val="0"/>
          <w:sz w:val="32"/>
          <w:szCs w:val="32"/>
        </w:rPr>
      </w:pPr>
    </w:p>
    <w:p>
      <w:r>
        <w:rPr>
          <w:rFonts w:hint="eastAsia" w:ascii="方正小标宋简体" w:eastAsia="方正小标宋简体"/>
          <w:sz w:val="36"/>
          <w:szCs w:val="36"/>
        </w:rPr>
        <w:t xml:space="preserve"> </w:t>
      </w:r>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NzA1ODI0Y2M3MmYyNGE2OGM5MWFiODYxN2JlOGMifQ=="/>
  </w:docVars>
  <w:rsids>
    <w:rsidRoot w:val="F77F09F4"/>
    <w:rsid w:val="0001228A"/>
    <w:rsid w:val="0005173E"/>
    <w:rsid w:val="000827FE"/>
    <w:rsid w:val="00146B6C"/>
    <w:rsid w:val="001C5E6D"/>
    <w:rsid w:val="002C5375"/>
    <w:rsid w:val="002E43B0"/>
    <w:rsid w:val="00382E02"/>
    <w:rsid w:val="003C31C4"/>
    <w:rsid w:val="004505EB"/>
    <w:rsid w:val="004F67B8"/>
    <w:rsid w:val="00510593"/>
    <w:rsid w:val="005D7F90"/>
    <w:rsid w:val="00644218"/>
    <w:rsid w:val="00651D0F"/>
    <w:rsid w:val="00922A6C"/>
    <w:rsid w:val="00A81822"/>
    <w:rsid w:val="00B602F5"/>
    <w:rsid w:val="00BF4ADB"/>
    <w:rsid w:val="00C415CD"/>
    <w:rsid w:val="00D10C4A"/>
    <w:rsid w:val="00DB1E89"/>
    <w:rsid w:val="00E2056B"/>
    <w:rsid w:val="00E54260"/>
    <w:rsid w:val="0ECF9C51"/>
    <w:rsid w:val="104C11F1"/>
    <w:rsid w:val="1AE8012F"/>
    <w:rsid w:val="35A654FE"/>
    <w:rsid w:val="37173543"/>
    <w:rsid w:val="3FF76880"/>
    <w:rsid w:val="47263AEC"/>
    <w:rsid w:val="4F0E71DC"/>
    <w:rsid w:val="4FC07F1C"/>
    <w:rsid w:val="571A13AB"/>
    <w:rsid w:val="5A634BE9"/>
    <w:rsid w:val="6F523358"/>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483</Words>
  <Characters>2759</Characters>
  <Lines>22</Lines>
  <Paragraphs>6</Paragraphs>
  <TotalTime>0</TotalTime>
  <ScaleCrop>false</ScaleCrop>
  <LinksUpToDate>false</LinksUpToDate>
  <CharactersWithSpaces>3236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user</cp:lastModifiedBy>
  <dcterms:modified xsi:type="dcterms:W3CDTF">2024-06-11T00:41:28Z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E3135C435A604C8E97524C633947913C_12</vt:lpwstr>
  </property>
</Properties>
</file>