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after="120"/>
        <w:jc w:val="center"/>
        <w:rPr>
          <w:rFonts w:ascii="Times New Roman" w:hAnsi="Times New Roman"/>
          <w:b/>
          <w:bCs/>
          <w:sz w:val="36"/>
          <w:szCs w:val="36"/>
        </w:rPr>
      </w:pPr>
      <w:bookmarkStart w:id="53" w:name="_GoBack"/>
      <w:bookmarkEnd w:id="53"/>
      <w:r>
        <w:rPr>
          <w:rFonts w:hint="eastAsia" w:ascii="Times New Roman" w:hAnsi="Times New Roman"/>
          <w:b/>
          <w:bCs/>
          <w:sz w:val="36"/>
          <w:szCs w:val="36"/>
        </w:rPr>
        <w:t>北京市密云区人民检察院</w:t>
      </w:r>
    </w:p>
    <w:p>
      <w:pPr>
        <w:spacing w:before="120" w:after="120"/>
        <w:jc w:val="center"/>
        <w:rPr>
          <w:rFonts w:ascii="宋体" w:hAnsi="宋体" w:cs="仿宋_GB2312"/>
          <w:b/>
          <w:sz w:val="44"/>
          <w:szCs w:val="44"/>
        </w:rPr>
      </w:pPr>
      <w:r>
        <w:rPr>
          <w:rFonts w:hint="eastAsia" w:ascii="Times New Roman" w:hAnsi="Times New Roman"/>
          <w:b/>
          <w:bCs/>
          <w:sz w:val="36"/>
          <w:szCs w:val="36"/>
        </w:rPr>
        <w:t>信息化运维费项目绩效评价报告</w:t>
      </w:r>
    </w:p>
    <w:p>
      <w:pPr>
        <w:spacing w:line="360" w:lineRule="auto"/>
        <w:ind w:firstLine="640" w:firstLineChars="200"/>
        <w:rPr>
          <w:rFonts w:ascii="仿宋_GB2312" w:eastAsia="仿宋_GB2312" w:cs="仿宋_GB2312"/>
          <w:sz w:val="32"/>
          <w:szCs w:val="32"/>
        </w:rPr>
      </w:pPr>
      <w:bookmarkStart w:id="0" w:name="_Toc375717368"/>
    </w:p>
    <w:p>
      <w:pPr>
        <w:pStyle w:val="2"/>
        <w:spacing w:line="360" w:lineRule="auto"/>
        <w:ind w:left="0" w:leftChars="0" w:firstLine="640" w:firstLineChars="200"/>
        <w:rPr>
          <w:rFonts w:ascii="黑体" w:hAnsi="黑体" w:eastAsia="黑体"/>
          <w:b w:val="0"/>
          <w:szCs w:val="32"/>
        </w:rPr>
      </w:pPr>
      <w:bookmarkStart w:id="1" w:name="_Toc424911755"/>
      <w:bookmarkStart w:id="2" w:name="_Toc19512"/>
      <w:r>
        <w:rPr>
          <w:rFonts w:hint="eastAsia" w:ascii="黑体" w:hAnsi="黑体" w:eastAsia="黑体"/>
          <w:b w:val="0"/>
          <w:szCs w:val="32"/>
        </w:rPr>
        <w:t>一、</w:t>
      </w:r>
      <w:bookmarkEnd w:id="0"/>
      <w:bookmarkEnd w:id="1"/>
      <w:bookmarkStart w:id="3" w:name="_Toc375717369"/>
      <w:r>
        <w:rPr>
          <w:rFonts w:hint="eastAsia" w:ascii="黑体" w:hAnsi="黑体" w:eastAsia="黑体"/>
          <w:b w:val="0"/>
          <w:szCs w:val="32"/>
        </w:rPr>
        <w:t>基本情况</w:t>
      </w:r>
      <w:bookmarkEnd w:id="2"/>
    </w:p>
    <w:p>
      <w:pPr>
        <w:pStyle w:val="3"/>
        <w:keepNext w:val="0"/>
        <w:keepLines w:val="0"/>
        <w:spacing w:before="0" w:after="0" w:line="360" w:lineRule="auto"/>
        <w:ind w:firstLine="640" w:firstLineChars="200"/>
        <w:rPr>
          <w:rFonts w:ascii="楷体" w:hAnsi="楷体" w:eastAsia="楷体"/>
          <w:b w:val="0"/>
        </w:rPr>
      </w:pPr>
      <w:bookmarkStart w:id="4" w:name="_Toc424911756"/>
      <w:bookmarkStart w:id="5" w:name="_Toc10466"/>
      <w:r>
        <w:rPr>
          <w:rFonts w:hint="eastAsia" w:ascii="仿宋_GB2312" w:hAnsi="仿宋_GB2312" w:eastAsia="仿宋_GB2312" w:cs="仿宋_GB2312"/>
          <w:b w:val="0"/>
        </w:rPr>
        <w:t>（一）项目概况</w:t>
      </w:r>
      <w:bookmarkEnd w:id="3"/>
      <w:bookmarkEnd w:id="4"/>
      <w:bookmarkEnd w:id="5"/>
      <w:bookmarkStart w:id="6" w:name="_Toc375717370"/>
    </w:p>
    <w:p>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密云区人民检察院信息化已经完全融入了检察业务和办公工作，检察业务信息化多元化发展和信息技术的快速更新，检察机关统一业务应用系统运行维护次数明显增加，难度有所增强，为了进一步管理和完善运维服务体系，聘请专业技术人员提供科学、规范、高质量的信息化运维管理服务。具体运维内容包括现有机房所有主机系统、网络系统、安防系统，检察机关统一业务应用系统和网站应用系统。</w:t>
      </w:r>
    </w:p>
    <w:p>
      <w:pPr>
        <w:pStyle w:val="3"/>
        <w:spacing w:before="0" w:after="0" w:line="360" w:lineRule="auto"/>
        <w:ind w:firstLine="640" w:firstLineChars="200"/>
        <w:rPr>
          <w:rFonts w:ascii="仿宋_GB2312" w:hAnsi="仿宋_GB2312" w:eastAsia="仿宋_GB2312" w:cs="仿宋_GB2312"/>
          <w:b w:val="0"/>
        </w:rPr>
      </w:pPr>
      <w:bookmarkStart w:id="7" w:name="_Toc11746"/>
      <w:bookmarkStart w:id="8" w:name="_Toc424911757"/>
      <w:r>
        <w:rPr>
          <w:rFonts w:hint="eastAsia" w:ascii="仿宋_GB2312" w:hAnsi="仿宋_GB2312" w:eastAsia="仿宋_GB2312" w:cs="仿宋_GB2312"/>
          <w:b w:val="0"/>
        </w:rPr>
        <w:t>（二）</w:t>
      </w:r>
      <w:bookmarkEnd w:id="6"/>
      <w:bookmarkEnd w:id="7"/>
      <w:bookmarkEnd w:id="8"/>
      <w:r>
        <w:rPr>
          <w:rFonts w:hint="eastAsia" w:ascii="仿宋_GB2312" w:hAnsi="仿宋_GB2312" w:eastAsia="仿宋_GB2312" w:cs="仿宋_GB2312"/>
          <w:b w:val="0"/>
        </w:rPr>
        <w:t>项目资金投入和使用情况</w:t>
      </w:r>
    </w:p>
    <w:p>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2</w:t>
      </w:r>
      <w:r>
        <w:rPr>
          <w:rFonts w:ascii="仿宋_GB2312" w:eastAsia="仿宋_GB2312" w:cs="仿宋_GB2312"/>
          <w:sz w:val="32"/>
          <w:szCs w:val="32"/>
        </w:rPr>
        <w:t>02</w:t>
      </w:r>
      <w:r>
        <w:rPr>
          <w:rFonts w:hint="eastAsia" w:ascii="仿宋_GB2312" w:eastAsia="仿宋_GB2312" w:cs="仿宋_GB2312"/>
          <w:sz w:val="32"/>
          <w:szCs w:val="32"/>
        </w:rPr>
        <w:t>3年度，信息化运维费项目</w:t>
      </w:r>
      <w:r>
        <w:rPr>
          <w:rFonts w:ascii="仿宋_GB2312" w:eastAsia="仿宋_GB2312" w:cs="仿宋_GB2312"/>
          <w:sz w:val="32"/>
          <w:szCs w:val="32"/>
        </w:rPr>
        <w:t>申请</w:t>
      </w:r>
      <w:r>
        <w:rPr>
          <w:rFonts w:hint="eastAsia" w:ascii="仿宋_GB2312" w:eastAsia="仿宋_GB2312" w:cs="仿宋_GB2312"/>
          <w:sz w:val="32"/>
          <w:szCs w:val="32"/>
        </w:rPr>
        <w:t>财政预算资金</w:t>
      </w:r>
      <w:r>
        <w:rPr>
          <w:rFonts w:ascii="仿宋_GB2312" w:eastAsia="仿宋_GB2312" w:cs="仿宋_GB2312"/>
          <w:sz w:val="32"/>
          <w:szCs w:val="32"/>
        </w:rPr>
        <w:t>5</w:t>
      </w:r>
      <w:r>
        <w:rPr>
          <w:rFonts w:hint="eastAsia" w:ascii="仿宋_GB2312" w:eastAsia="仿宋_GB2312" w:cs="仿宋_GB2312"/>
          <w:sz w:val="32"/>
          <w:szCs w:val="32"/>
        </w:rPr>
        <w:t>3.00万元，实际批复预算资金</w:t>
      </w:r>
      <w:r>
        <w:rPr>
          <w:rFonts w:ascii="仿宋_GB2312" w:eastAsia="仿宋_GB2312" w:cs="仿宋_GB2312"/>
          <w:sz w:val="32"/>
          <w:szCs w:val="32"/>
        </w:rPr>
        <w:t>5</w:t>
      </w:r>
      <w:r>
        <w:rPr>
          <w:rFonts w:hint="eastAsia" w:ascii="仿宋_GB2312" w:eastAsia="仿宋_GB2312" w:cs="仿宋_GB2312"/>
          <w:sz w:val="32"/>
          <w:szCs w:val="32"/>
        </w:rPr>
        <w:t>2.80万元。截至2023年12月31日，项目资金支出金额</w:t>
      </w:r>
      <w:r>
        <w:rPr>
          <w:rFonts w:ascii="仿宋_GB2312" w:eastAsia="仿宋_GB2312" w:cs="仿宋_GB2312"/>
          <w:sz w:val="32"/>
          <w:szCs w:val="32"/>
        </w:rPr>
        <w:t>52.80</w:t>
      </w:r>
      <w:r>
        <w:rPr>
          <w:rFonts w:hint="eastAsia" w:ascii="仿宋_GB2312" w:eastAsia="仿宋_GB2312" w:cs="仿宋_GB2312"/>
          <w:sz w:val="32"/>
          <w:szCs w:val="32"/>
        </w:rPr>
        <w:t>万元，预算执行率100.00</w:t>
      </w:r>
      <w:r>
        <w:rPr>
          <w:rFonts w:ascii="仿宋_GB2312" w:eastAsia="仿宋_GB2312" w:cs="仿宋_GB2312"/>
          <w:sz w:val="32"/>
          <w:szCs w:val="32"/>
        </w:rPr>
        <w:t>%</w:t>
      </w:r>
      <w:r>
        <w:rPr>
          <w:rFonts w:hint="eastAsia" w:ascii="仿宋_GB2312" w:eastAsia="仿宋_GB2312" w:cs="仿宋_GB2312"/>
          <w:sz w:val="32"/>
          <w:szCs w:val="32"/>
        </w:rPr>
        <w:t>。</w:t>
      </w:r>
      <w:bookmarkStart w:id="9" w:name="_Toc424911758"/>
      <w:bookmarkStart w:id="10" w:name="_Toc375717371"/>
    </w:p>
    <w:p>
      <w:pPr>
        <w:pStyle w:val="3"/>
        <w:spacing w:before="0" w:after="0" w:line="360" w:lineRule="auto"/>
        <w:ind w:firstLine="640" w:firstLineChars="200"/>
        <w:rPr>
          <w:rFonts w:ascii="楷体" w:hAnsi="楷体" w:eastAsia="楷体"/>
          <w:b w:val="0"/>
        </w:rPr>
      </w:pPr>
      <w:bookmarkStart w:id="11" w:name="_Toc28571"/>
      <w:r>
        <w:rPr>
          <w:rFonts w:hint="eastAsia" w:ascii="仿宋_GB2312" w:hAnsi="仿宋_GB2312" w:eastAsia="仿宋_GB2312" w:cs="仿宋_GB2312"/>
          <w:b w:val="0"/>
        </w:rPr>
        <w:t>（三）项目绩效目标</w:t>
      </w:r>
      <w:bookmarkEnd w:id="9"/>
      <w:bookmarkEnd w:id="10"/>
      <w:bookmarkEnd w:id="11"/>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密云区人民检察院信息化已经完全融入了检察业务和办公工作，检察业务信息化多元化发展和信息技术的快速更新，检察机关统一业务应用系统运行维护次数明显增加，难度有所增强，为了进一步管理和完善运维服务体系，聘请专业技术人员提供科学、规范、高质量的信息化运维管理服务。</w:t>
      </w:r>
    </w:p>
    <w:p>
      <w:pPr>
        <w:pStyle w:val="2"/>
        <w:spacing w:line="360" w:lineRule="auto"/>
        <w:ind w:left="0" w:leftChars="0" w:firstLine="640" w:firstLineChars="200"/>
        <w:rPr>
          <w:rFonts w:ascii="黑体" w:hAnsi="黑体" w:eastAsia="黑体"/>
          <w:b w:val="0"/>
          <w:szCs w:val="32"/>
        </w:rPr>
      </w:pPr>
      <w:bookmarkStart w:id="12" w:name="_Toc424911759"/>
      <w:bookmarkStart w:id="13" w:name="_Toc375717372"/>
      <w:bookmarkStart w:id="14" w:name="_Toc4916"/>
      <w:r>
        <w:rPr>
          <w:rFonts w:hint="eastAsia" w:ascii="黑体" w:hAnsi="黑体" w:eastAsia="黑体"/>
          <w:b w:val="0"/>
          <w:szCs w:val="32"/>
        </w:rPr>
        <w:t>二、绩效评价工作</w:t>
      </w:r>
      <w:bookmarkEnd w:id="12"/>
      <w:bookmarkEnd w:id="13"/>
      <w:r>
        <w:rPr>
          <w:rFonts w:hint="eastAsia" w:ascii="黑体" w:hAnsi="黑体" w:eastAsia="黑体"/>
          <w:b w:val="0"/>
          <w:szCs w:val="32"/>
        </w:rPr>
        <w:t>开展情况</w:t>
      </w:r>
      <w:bookmarkEnd w:id="14"/>
      <w:r>
        <w:rPr>
          <w:rFonts w:ascii="黑体" w:hAnsi="黑体" w:eastAsia="黑体"/>
          <w:b w:val="0"/>
          <w:szCs w:val="32"/>
        </w:rPr>
        <w:tab/>
      </w:r>
    </w:p>
    <w:p>
      <w:pPr>
        <w:pStyle w:val="3"/>
        <w:keepNext w:val="0"/>
        <w:keepLines w:val="0"/>
        <w:spacing w:before="0" w:after="0" w:line="360" w:lineRule="auto"/>
        <w:ind w:firstLine="640" w:firstLineChars="200"/>
        <w:rPr>
          <w:rFonts w:ascii="仿宋_GB2312" w:hAnsi="仿宋_GB2312" w:eastAsia="仿宋_GB2312" w:cs="仿宋_GB2312"/>
          <w:b w:val="0"/>
          <w:highlight w:val="none"/>
        </w:rPr>
      </w:pPr>
      <w:bookmarkStart w:id="15" w:name="_Toc424911760"/>
      <w:bookmarkStart w:id="16" w:name="_Toc375717373"/>
      <w:bookmarkStart w:id="17" w:name="_Toc7506"/>
      <w:r>
        <w:rPr>
          <w:rFonts w:hint="eastAsia" w:ascii="仿宋_GB2312" w:hAnsi="仿宋_GB2312" w:eastAsia="仿宋_GB2312" w:cs="仿宋_GB2312"/>
          <w:b w:val="0"/>
          <w:highlight w:val="none"/>
        </w:rPr>
        <w:t>（一）</w:t>
      </w:r>
      <w:bookmarkEnd w:id="15"/>
      <w:bookmarkEnd w:id="16"/>
      <w:r>
        <w:rPr>
          <w:rFonts w:hint="eastAsia" w:ascii="仿宋_GB2312" w:hAnsi="仿宋_GB2312" w:eastAsia="仿宋_GB2312" w:cs="仿宋_GB2312"/>
          <w:b w:val="0"/>
          <w:highlight w:val="none"/>
        </w:rPr>
        <w:t>绩效评价目的、对象和范围</w:t>
      </w:r>
      <w:bookmarkEnd w:id="17"/>
    </w:p>
    <w:p>
      <w:pPr>
        <w:spacing w:line="360" w:lineRule="auto"/>
        <w:ind w:firstLine="640" w:firstLineChars="200"/>
        <w:rPr>
          <w:rFonts w:ascii="楷体" w:hAnsi="楷体" w:eastAsia="楷体"/>
          <w:sz w:val="32"/>
          <w:szCs w:val="32"/>
          <w:highlight w:val="none"/>
        </w:rPr>
      </w:pPr>
      <w:bookmarkStart w:id="18" w:name="_Toc16735"/>
      <w:r>
        <w:rPr>
          <w:rFonts w:ascii="仿宋_GB2312" w:hAnsi="仿宋_GB2312" w:eastAsia="仿宋_GB2312" w:cs="仿宋_GB2312"/>
          <w:sz w:val="32"/>
          <w:szCs w:val="32"/>
          <w:highlight w:val="none"/>
        </w:rPr>
        <w:t>1.评价目的</w:t>
      </w:r>
      <w:bookmarkEnd w:id="18"/>
      <w:r>
        <w:rPr>
          <w:rFonts w:ascii="楷体" w:hAnsi="楷体" w:eastAsia="楷体"/>
          <w:sz w:val="32"/>
          <w:szCs w:val="32"/>
          <w:highlight w:val="none"/>
        </w:rPr>
        <w:tab/>
      </w:r>
    </w:p>
    <w:p>
      <w:pPr>
        <w:spacing w:line="360" w:lineRule="auto"/>
        <w:ind w:firstLine="640" w:firstLineChars="200"/>
        <w:rPr>
          <w:highlight w:val="none"/>
        </w:rPr>
      </w:pPr>
      <w:r>
        <w:rPr>
          <w:rFonts w:hint="eastAsia" w:ascii="仿宋_GB2312" w:eastAsia="仿宋_GB2312" w:cs="仿宋_GB2312"/>
          <w:sz w:val="32"/>
          <w:szCs w:val="32"/>
          <w:highlight w:val="none"/>
        </w:rPr>
        <w:t>本次绩效评价是为了全面分析和综合评价区检察院信息化运维费投入的效果，重点评价项目决策程序的规范性；绩效目标的有效性；预算执行和项目实施的规范性</w:t>
      </w:r>
      <w:r>
        <w:rPr>
          <w:rFonts w:hint="eastAsia" w:ascii="仿宋_GB2312" w:eastAsia="仿宋_GB2312" w:cs="仿宋_GB2312"/>
          <w:sz w:val="32"/>
          <w:szCs w:val="32"/>
          <w:highlight w:val="none"/>
          <w:lang w:eastAsia="zh-CN"/>
        </w:rPr>
        <w:t>;</w:t>
      </w:r>
      <w:r>
        <w:rPr>
          <w:rFonts w:hint="eastAsia" w:ascii="仿宋_GB2312" w:eastAsia="仿宋_GB2312" w:cs="仿宋_GB2312"/>
          <w:sz w:val="32"/>
          <w:szCs w:val="32"/>
          <w:highlight w:val="none"/>
        </w:rPr>
        <w:t>财政资金使用的合规性、经济性和效率性；预算支出的效果性。为进一步规范内部管理、提高财政资金使用效益，强化预算支出的责任和效率提供参考依据。</w:t>
      </w:r>
    </w:p>
    <w:p>
      <w:pPr>
        <w:spacing w:line="360" w:lineRule="auto"/>
        <w:ind w:firstLine="640" w:firstLineChars="200"/>
        <w:rPr>
          <w:rFonts w:ascii="楷体" w:hAnsi="楷体" w:eastAsia="仿宋_GB2312"/>
          <w:sz w:val="32"/>
          <w:szCs w:val="32"/>
          <w:highlight w:val="none"/>
        </w:rPr>
      </w:pPr>
      <w:bookmarkStart w:id="19" w:name="_Toc21636"/>
      <w:r>
        <w:rPr>
          <w:rFonts w:hint="eastAsia" w:ascii="仿宋_GB2312" w:hAnsi="仿宋_GB2312" w:eastAsia="仿宋_GB2312" w:cs="仿宋_GB2312"/>
          <w:sz w:val="32"/>
          <w:szCs w:val="32"/>
          <w:highlight w:val="none"/>
        </w:rPr>
        <w:t>2.</w:t>
      </w:r>
      <w:bookmarkEnd w:id="19"/>
      <w:r>
        <w:rPr>
          <w:rFonts w:hint="eastAsia" w:ascii="仿宋_GB2312" w:hAnsi="仿宋_GB2312" w:eastAsia="仿宋_GB2312" w:cs="仿宋_GB2312"/>
          <w:sz w:val="32"/>
          <w:szCs w:val="32"/>
          <w:highlight w:val="none"/>
        </w:rPr>
        <w:t>评价对象</w:t>
      </w:r>
    </w:p>
    <w:p>
      <w:pPr>
        <w:spacing w:line="360" w:lineRule="auto"/>
        <w:ind w:firstLine="640" w:firstLineChars="200"/>
        <w:rPr>
          <w:rFonts w:ascii="仿宋_GB2312" w:eastAsia="仿宋_GB2312" w:cs="仿宋_GB2312"/>
          <w:sz w:val="32"/>
          <w:szCs w:val="32"/>
          <w:highlight w:val="none"/>
        </w:rPr>
      </w:pPr>
      <w:bookmarkStart w:id="20" w:name="_Toc9726"/>
      <w:r>
        <w:rPr>
          <w:rFonts w:hint="eastAsia" w:ascii="仿宋_GB2312" w:eastAsia="仿宋_GB2312" w:cs="仿宋_GB2312"/>
          <w:sz w:val="32"/>
          <w:szCs w:val="32"/>
          <w:highlight w:val="none"/>
        </w:rPr>
        <w:t>密云区人民检察院2</w:t>
      </w:r>
      <w:r>
        <w:rPr>
          <w:rFonts w:ascii="仿宋_GB2312" w:eastAsia="仿宋_GB2312" w:cs="仿宋_GB2312"/>
          <w:sz w:val="32"/>
          <w:szCs w:val="32"/>
          <w:highlight w:val="none"/>
        </w:rPr>
        <w:t>02</w:t>
      </w:r>
      <w:r>
        <w:rPr>
          <w:rFonts w:hint="eastAsia" w:ascii="仿宋_GB2312" w:eastAsia="仿宋_GB2312" w:cs="仿宋_GB2312"/>
          <w:sz w:val="32"/>
          <w:szCs w:val="32"/>
          <w:highlight w:val="none"/>
        </w:rPr>
        <w:t>3年信息化运维费项目，涉及评价金额</w:t>
      </w:r>
      <w:r>
        <w:rPr>
          <w:rFonts w:ascii="仿宋_GB2312" w:eastAsia="仿宋_GB2312" w:cs="仿宋_GB2312"/>
          <w:sz w:val="32"/>
          <w:szCs w:val="32"/>
          <w:highlight w:val="none"/>
        </w:rPr>
        <w:t>5</w:t>
      </w:r>
      <w:r>
        <w:rPr>
          <w:rFonts w:hint="eastAsia" w:ascii="仿宋_GB2312" w:eastAsia="仿宋_GB2312" w:cs="仿宋_GB2312"/>
          <w:sz w:val="32"/>
          <w:szCs w:val="32"/>
          <w:highlight w:val="none"/>
        </w:rPr>
        <w:t>2.80万元。</w:t>
      </w:r>
    </w:p>
    <w:bookmarkEnd w:id="20"/>
    <w:p>
      <w:pPr>
        <w:spacing w:line="360" w:lineRule="auto"/>
        <w:ind w:firstLine="640" w:firstLineChars="200"/>
        <w:rPr>
          <w:rFonts w:ascii="楷体" w:hAnsi="楷体" w:eastAsia="楷体"/>
          <w:sz w:val="32"/>
          <w:szCs w:val="32"/>
          <w:highlight w:val="none"/>
        </w:rPr>
      </w:pPr>
      <w:bookmarkStart w:id="21" w:name="_Toc27284"/>
      <w:r>
        <w:rPr>
          <w:rFonts w:ascii="仿宋_GB2312" w:hAnsi="仿宋_GB2312" w:eastAsia="仿宋_GB2312" w:cs="仿宋_GB2312"/>
          <w:sz w:val="32"/>
          <w:szCs w:val="32"/>
          <w:highlight w:val="none"/>
        </w:rPr>
        <w:t>3.评价对象和范围</w:t>
      </w:r>
      <w:bookmarkEnd w:id="21"/>
      <w:r>
        <w:rPr>
          <w:rFonts w:ascii="楷体" w:hAnsi="楷体" w:eastAsia="楷体"/>
          <w:sz w:val="32"/>
          <w:szCs w:val="32"/>
          <w:highlight w:val="none"/>
        </w:rPr>
        <w:tab/>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从项目决策、项目过程、项目产出、项目效益四个方面进行综合评价。</w:t>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项目决策方面。重点关注项目立项依据是否充分、立项程序是否规范，绩效目标设置是否合理、绩效指标是否明确，预算编制是否科学、资金分配是否合理。</w:t>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项目过程方面。重点关注资金管理情况、预算执行情况、资金规范运行情况，政府采购执行情况，对承接主体的管理情况，项目管理制度建设情况。</w:t>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项目产出方面。重点关注项目实际完成情况、质量达标情况、产出时效情况以及成本控制与节约情况。</w:t>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项目效益方面。重点关注项目实施所产生的效益以及社会公众或服务对象对项目实施效果的满意程度等情况。</w:t>
      </w:r>
    </w:p>
    <w:p>
      <w:pPr>
        <w:pStyle w:val="3"/>
        <w:spacing w:before="0" w:after="0" w:line="360" w:lineRule="auto"/>
        <w:ind w:firstLine="640" w:firstLineChars="200"/>
        <w:rPr>
          <w:rFonts w:ascii="仿宋_GB2312" w:hAnsi="仿宋_GB2312" w:eastAsia="仿宋_GB2312" w:cs="仿宋_GB2312"/>
          <w:b w:val="0"/>
          <w:highlight w:val="none"/>
        </w:rPr>
      </w:pPr>
      <w:r>
        <w:rPr>
          <w:rFonts w:hint="eastAsia" w:ascii="仿宋_GB2312" w:hAnsi="仿宋_GB2312" w:eastAsia="仿宋_GB2312" w:cs="仿宋_GB2312"/>
          <w:b w:val="0"/>
          <w:highlight w:val="none"/>
        </w:rPr>
        <w:t>（二）绩效评价原则、评价指标体系、评价方法、评价标准</w:t>
      </w:r>
    </w:p>
    <w:p>
      <w:pPr>
        <w:spacing w:line="360" w:lineRule="auto"/>
        <w:ind w:firstLine="640" w:firstLineChars="200"/>
        <w:rPr>
          <w:rFonts w:ascii="仿宋_GB2312" w:eastAsia="仿宋_GB2312"/>
          <w:sz w:val="32"/>
          <w:szCs w:val="32"/>
          <w:highlight w:val="none"/>
        </w:rPr>
      </w:pPr>
      <w:r>
        <w:rPr>
          <w:rFonts w:ascii="仿宋_GB2312" w:eastAsia="仿宋_GB2312"/>
          <w:sz w:val="32"/>
          <w:szCs w:val="32"/>
          <w:highlight w:val="none"/>
        </w:rPr>
        <w:t>1.</w:t>
      </w:r>
      <w:r>
        <w:rPr>
          <w:rFonts w:hint="eastAsia" w:ascii="仿宋_GB2312" w:eastAsia="仿宋_GB2312"/>
          <w:sz w:val="32"/>
          <w:szCs w:val="32"/>
          <w:highlight w:val="none"/>
        </w:rPr>
        <w:t>绩效评价原则及方法</w:t>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本次评价工作遵循“客观、公正、科学、规范”的原则，重点围绕项目使用公共财政资金的经济性、效率性、效果性进行分析与评价。结合本项目特点，主要采用的方法是预期目标实现程度的比对法、因素分析法、成本分析法以及定性分析和定量评价相结合的方法。</w:t>
      </w:r>
    </w:p>
    <w:p>
      <w:pPr>
        <w:spacing w:line="360" w:lineRule="auto"/>
        <w:ind w:firstLine="640" w:firstLineChars="200"/>
        <w:rPr>
          <w:rFonts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指标体系与评分标准</w:t>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本次绩效评价指标体系的设置以资金使用结果为导向，依据绩效评价指标体系的三级指标，结合该项目的特点及资金使用的具体情况进行指标分解，设定了本次评价指标值和权重，重点对项目决策、项目过程、项目产出、项目效益进行综合评价。</w:t>
      </w:r>
    </w:p>
    <w:p>
      <w:pPr>
        <w:pStyle w:val="3"/>
        <w:spacing w:before="0" w:after="0" w:line="360" w:lineRule="auto"/>
        <w:ind w:firstLine="640" w:firstLineChars="200"/>
        <w:rPr>
          <w:rFonts w:ascii="仿宋_GB2312" w:hAnsi="仿宋_GB2312" w:eastAsia="仿宋_GB2312" w:cs="仿宋_GB2312"/>
          <w:b w:val="0"/>
        </w:rPr>
      </w:pPr>
      <w:r>
        <w:rPr>
          <w:rFonts w:hint="eastAsia" w:ascii="仿宋_GB2312" w:hAnsi="仿宋_GB2312" w:eastAsia="仿宋_GB2312" w:cs="仿宋_GB2312"/>
          <w:b w:val="0"/>
        </w:rPr>
        <w:t>（三）绩效评价工作过程</w:t>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本次绩效评价工作，严格按照下列程序组织。</w:t>
      </w:r>
    </w:p>
    <w:p>
      <w:pPr>
        <w:spacing w:line="360" w:lineRule="auto"/>
        <w:ind w:firstLine="640" w:firstLineChars="200"/>
        <w:rPr>
          <w:rFonts w:ascii="仿宋_GB2312" w:eastAsia="仿宋_GB2312"/>
          <w:sz w:val="32"/>
          <w:szCs w:val="32"/>
          <w:highlight w:val="none"/>
        </w:rPr>
      </w:pPr>
      <w:r>
        <w:rPr>
          <w:rFonts w:ascii="仿宋_GB2312" w:eastAsia="仿宋_GB2312"/>
          <w:sz w:val="32"/>
          <w:szCs w:val="32"/>
          <w:highlight w:val="none"/>
        </w:rPr>
        <w:t>1.</w:t>
      </w:r>
      <w:r>
        <w:rPr>
          <w:rFonts w:hint="eastAsia" w:ascii="仿宋_GB2312" w:eastAsia="仿宋_GB2312"/>
          <w:sz w:val="32"/>
          <w:szCs w:val="32"/>
          <w:highlight w:val="none"/>
        </w:rPr>
        <w:t>前期准备阶段</w:t>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（1）成立绩效评价工作组。为保证绩效评价的规范性及绩效评价工作质量，委托中介机构和专家共同组建绩效评价工作组，全程参与和指导开展绩效评价工作。</w:t>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绩效评价工作组负责指导项目实施部门开展财政支出预算绩效评价工作；负责整理分析项目资金绩效评价有关资料；负责协助专家组编写绩效评价指标体系；负责聘请专家，组织绩效评价专家进行数据调研及函评工作；负责整理专家意见，编写绩效评价报告；整理绩效评价资料归档。</w:t>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（2）编制绩效评价工作方案。绩效评价工作组在初步了解项目的基本情况后，有针对性地研究有关本项目涉及的相关政策及有关资金的使用要求，在此基础上，编制了项目实施方案。</w:t>
      </w:r>
    </w:p>
    <w:p>
      <w:pPr>
        <w:spacing w:line="360" w:lineRule="auto"/>
        <w:ind w:firstLine="640" w:firstLineChars="200"/>
        <w:rPr>
          <w:rFonts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评价实施阶段</w:t>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本阶段的主要工作是收集整理分析项目资料；遴选专家组成专家组；编制绩效评价工作手册；组织召开专家进行资料审核分析，采取函评方式获取专家意见</w:t>
      </w:r>
      <w:r>
        <w:rPr>
          <w:rFonts w:hint="eastAsia" w:ascii="仿宋_GB2312" w:eastAsia="仿宋_GB2312"/>
          <w:sz w:val="32"/>
          <w:szCs w:val="32"/>
          <w:highlight w:val="none"/>
          <w:lang w:eastAsia="zh-CN"/>
        </w:rPr>
        <w:t>。</w:t>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w:t>
      </w:r>
      <w:r>
        <w:rPr>
          <w:rFonts w:ascii="仿宋_GB2312" w:eastAsia="仿宋_GB2312"/>
          <w:sz w:val="32"/>
          <w:szCs w:val="32"/>
          <w:highlight w:val="none"/>
        </w:rPr>
        <w:t>1</w:t>
      </w:r>
      <w:r>
        <w:rPr>
          <w:rFonts w:hint="eastAsia" w:ascii="仿宋_GB2312" w:eastAsia="仿宋_GB2312"/>
          <w:sz w:val="32"/>
          <w:szCs w:val="32"/>
          <w:highlight w:val="none"/>
        </w:rPr>
        <w:t>）资料收集整理与分析。绩效评价工作组对项目资料的真实性、完整性和有效性进行确认，并围绕项目决策、项目过程、项目产出、项目效益四个方面对项目情况进行分析，形成工作底稿。</w:t>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（2）编制指标体系。在绩效管理专家的指导下，结合项目自身特点，细化本项目绩效评价指标体系。其中三级指标没有修改，主要是增加和分解了四级指标。</w:t>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（3）编制《专家预备会资料手册》。该手册是专家对本项目进行评价的基础性资料，绩效评价工作组按照资料清单收集项目资料后，将资料按照项目前期资料、项目过程资料顺序整理汇编成册。</w:t>
      </w:r>
    </w:p>
    <w:p>
      <w:pPr>
        <w:spacing w:line="360" w:lineRule="auto"/>
        <w:ind w:firstLine="640" w:firstLineChars="200"/>
        <w:rPr>
          <w:rFonts w:ascii="仿宋_GB2312" w:hAnsi="仿宋_GB2312" w:eastAsia="仿宋_GB2312" w:cs="仿宋_GB2312"/>
          <w:sz w:val="32"/>
          <w:szCs w:val="32"/>
          <w:highlight w:val="none"/>
        </w:rPr>
      </w:pPr>
      <w:r>
        <w:rPr>
          <w:rFonts w:hint="eastAsia" w:ascii="仿宋_GB2312" w:eastAsia="仿宋_GB2312"/>
          <w:sz w:val="32"/>
          <w:szCs w:val="32"/>
          <w:highlight w:val="none"/>
        </w:rPr>
        <w:t>（4）组织专家召开线上评价会。评价工作组组织召开绩效评价专家会，由绩效评价工作组向专家介绍了《财政支出绩效评价专家工作规则》，各位专家介绍了各自梳理出的问题</w:t>
      </w:r>
      <w:r>
        <w:rPr>
          <w:rFonts w:hint="eastAsia" w:ascii="仿宋_GB2312" w:hAnsi="仿宋_GB2312" w:eastAsia="仿宋_GB2312" w:cs="仿宋_GB2312"/>
          <w:sz w:val="32"/>
          <w:szCs w:val="32"/>
          <w:highlight w:val="none"/>
        </w:rPr>
        <w:t>，在此基础上，分别出具了专家意见与评价打分表</w:t>
      </w:r>
    </w:p>
    <w:p>
      <w:pPr>
        <w:spacing w:line="360" w:lineRule="auto"/>
        <w:ind w:firstLine="640" w:firstLineChars="200"/>
        <w:rPr>
          <w:rFonts w:ascii="仿宋_GB2312" w:eastAsia="仿宋_GB2312"/>
          <w:sz w:val="32"/>
          <w:szCs w:val="32"/>
          <w:highlight w:val="none"/>
        </w:rPr>
      </w:pPr>
      <w:r>
        <w:rPr>
          <w:rFonts w:ascii="仿宋_GB2312" w:eastAsia="仿宋_GB2312"/>
          <w:sz w:val="32"/>
          <w:szCs w:val="32"/>
          <w:highlight w:val="none"/>
        </w:rPr>
        <w:t>3.</w:t>
      </w:r>
      <w:r>
        <w:rPr>
          <w:rFonts w:hint="eastAsia" w:ascii="仿宋_GB2312" w:eastAsia="仿宋_GB2312"/>
          <w:sz w:val="32"/>
          <w:szCs w:val="32"/>
          <w:highlight w:val="none"/>
        </w:rPr>
        <w:t>项目总结阶段</w:t>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（1）组织编写绩效评价报告。经过专家的充分沟通，确认了项目实施中存在的问题，形成了专家组意见。根据专家组意见编制本绩效评价报告。</w:t>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（2）对绩效评价报告有关事项进行沟通。</w:t>
      </w:r>
    </w:p>
    <w:p>
      <w:pPr>
        <w:spacing w:line="360" w:lineRule="auto"/>
        <w:ind w:firstLine="640" w:firstLineChars="200"/>
        <w:rPr>
          <w:rFonts w:ascii="仿宋_GB2312" w:eastAsia="仿宋_GB2312"/>
          <w:sz w:val="32"/>
          <w:szCs w:val="32"/>
          <w:highlight w:val="none"/>
        </w:rPr>
      </w:pPr>
      <w:r>
        <w:rPr>
          <w:rFonts w:hint="eastAsia" w:ascii="仿宋_GB2312" w:eastAsia="仿宋_GB2312"/>
          <w:sz w:val="32"/>
          <w:szCs w:val="32"/>
          <w:highlight w:val="none"/>
        </w:rPr>
        <w:t>（3）整理绩效评价工作底稿，存档备查。</w:t>
      </w:r>
    </w:p>
    <w:p>
      <w:pPr>
        <w:pStyle w:val="2"/>
        <w:spacing w:line="360" w:lineRule="auto"/>
        <w:ind w:left="0" w:leftChars="0" w:firstLine="640" w:firstLineChars="200"/>
        <w:rPr>
          <w:rFonts w:ascii="黑体" w:hAnsi="黑体" w:eastAsia="黑体"/>
          <w:b w:val="0"/>
          <w:szCs w:val="32"/>
          <w:highlight w:val="none"/>
        </w:rPr>
      </w:pPr>
      <w:bookmarkStart w:id="22" w:name="_Toc375717375"/>
      <w:bookmarkStart w:id="23" w:name="_Toc424911762"/>
      <w:bookmarkStart w:id="24" w:name="_Toc29862"/>
      <w:r>
        <w:rPr>
          <w:rFonts w:hint="eastAsia" w:ascii="黑体" w:hAnsi="黑体" w:eastAsia="黑体"/>
          <w:b w:val="0"/>
          <w:szCs w:val="32"/>
          <w:highlight w:val="none"/>
        </w:rPr>
        <w:t>三、</w:t>
      </w:r>
      <w:bookmarkEnd w:id="22"/>
      <w:bookmarkEnd w:id="23"/>
      <w:r>
        <w:rPr>
          <w:rFonts w:hint="eastAsia" w:ascii="黑体" w:hAnsi="黑体" w:eastAsia="黑体"/>
          <w:b w:val="0"/>
          <w:szCs w:val="32"/>
          <w:highlight w:val="none"/>
        </w:rPr>
        <w:t>综合评价情况及评价结论</w:t>
      </w:r>
      <w:bookmarkEnd w:id="24"/>
    </w:p>
    <w:p>
      <w:pPr>
        <w:spacing w:line="360" w:lineRule="auto"/>
        <w:ind w:firstLine="640"/>
        <w:rPr>
          <w:rFonts w:ascii="仿宋_GB2312" w:eastAsia="仿宋_GB2312"/>
          <w:sz w:val="32"/>
          <w:szCs w:val="32"/>
        </w:rPr>
      </w:pPr>
      <w:r>
        <w:rPr>
          <w:rFonts w:hint="eastAsia" w:ascii="仿宋_GB2312" w:eastAsia="仿宋_GB2312"/>
          <w:sz w:val="32"/>
          <w:szCs w:val="32"/>
        </w:rPr>
        <w:t>经综合评议，2</w:t>
      </w:r>
      <w:r>
        <w:rPr>
          <w:rFonts w:ascii="仿宋_GB2312" w:eastAsia="仿宋_GB2312"/>
          <w:sz w:val="32"/>
          <w:szCs w:val="32"/>
        </w:rPr>
        <w:t>02</w:t>
      </w:r>
      <w:r>
        <w:rPr>
          <w:rFonts w:hint="eastAsia" w:ascii="仿宋_GB2312" w:eastAsia="仿宋_GB2312"/>
          <w:sz w:val="32"/>
          <w:szCs w:val="32"/>
        </w:rPr>
        <w:t>3年密云区人民检察院信息化运维费项目</w:t>
      </w:r>
      <w:r>
        <w:rPr>
          <w:rFonts w:ascii="仿宋_GB2312" w:eastAsia="仿宋_GB2312"/>
          <w:sz w:val="32"/>
          <w:szCs w:val="32"/>
        </w:rPr>
        <w:t>综合评</w:t>
      </w:r>
      <w:r>
        <w:rPr>
          <w:rFonts w:hint="eastAsia" w:ascii="仿宋_GB2312" w:eastAsia="仿宋_GB2312"/>
          <w:sz w:val="32"/>
          <w:szCs w:val="32"/>
        </w:rPr>
        <w:t>价得分</w:t>
      </w:r>
      <w:r>
        <w:rPr>
          <w:rFonts w:ascii="仿宋_GB2312" w:eastAsia="仿宋_GB2312"/>
          <w:sz w:val="32"/>
          <w:szCs w:val="32"/>
        </w:rPr>
        <w:t>9</w:t>
      </w:r>
      <w:r>
        <w:rPr>
          <w:rFonts w:hint="eastAsia" w:ascii="仿宋_GB2312" w:eastAsia="仿宋_GB2312"/>
          <w:sz w:val="32"/>
          <w:szCs w:val="32"/>
        </w:rPr>
        <w:t>3.1</w:t>
      </w:r>
      <w:r>
        <w:rPr>
          <w:rFonts w:ascii="仿宋_GB2312" w:eastAsia="仿宋_GB2312"/>
          <w:sz w:val="32"/>
          <w:szCs w:val="32"/>
        </w:rPr>
        <w:t>0</w:t>
      </w:r>
      <w:r>
        <w:rPr>
          <w:rFonts w:hint="eastAsia" w:ascii="仿宋_GB2312" w:eastAsia="仿宋_GB2312"/>
          <w:sz w:val="32"/>
          <w:szCs w:val="32"/>
        </w:rPr>
        <w:t>分，</w:t>
      </w:r>
      <w:bookmarkStart w:id="25" w:name="_Toc14524"/>
      <w:bookmarkStart w:id="26" w:name="_Toc28921"/>
      <w:r>
        <w:rPr>
          <w:rFonts w:hint="eastAsia" w:ascii="仿宋_GB2312" w:eastAsia="仿宋_GB2312"/>
          <w:sz w:val="32"/>
          <w:szCs w:val="32"/>
        </w:rPr>
        <w:t>绩效评定级别为“优秀”。</w:t>
      </w:r>
    </w:p>
    <w:p>
      <w:pPr>
        <w:spacing w:line="360" w:lineRule="auto"/>
        <w:ind w:firstLine="640"/>
        <w:rPr>
          <w:rFonts w:ascii="黑体" w:hAnsi="黑体" w:eastAsia="黑体"/>
          <w:szCs w:val="32"/>
        </w:rPr>
      </w:pPr>
      <w:r>
        <w:rPr>
          <w:rFonts w:hint="eastAsia" w:ascii="仿宋_GB2312" w:hAnsi="仿宋_GB2312" w:eastAsia="仿宋_GB2312" w:cs="仿宋_GB2312"/>
          <w:sz w:val="32"/>
          <w:szCs w:val="32"/>
        </w:rPr>
        <w:t>评价结论：该项目组织实施及完成情况良好，项目涉及的各项绩效成果展现较为完整与清晰。结合本次绩效评价指标体系评分结果，该项目在预期绩效目标申报表填报、预算编制与执行、过程管理及效益呈现等环节尚存在一定的不足，项目过程管理的精细化水平仍有进一步提升的空间。</w:t>
      </w:r>
      <w:bookmarkEnd w:id="25"/>
      <w:bookmarkEnd w:id="26"/>
    </w:p>
    <w:p>
      <w:pPr>
        <w:pStyle w:val="2"/>
        <w:spacing w:line="360" w:lineRule="auto"/>
        <w:ind w:left="0" w:leftChars="0" w:firstLine="640" w:firstLineChars="200"/>
        <w:rPr>
          <w:rFonts w:ascii="黑体" w:hAnsi="黑体" w:eastAsia="黑体"/>
          <w:b w:val="0"/>
          <w:bCs w:val="0"/>
          <w:kern w:val="2"/>
          <w:szCs w:val="32"/>
        </w:rPr>
      </w:pPr>
      <w:bookmarkStart w:id="27" w:name="_Toc28204"/>
      <w:r>
        <w:rPr>
          <w:rFonts w:hint="eastAsia" w:ascii="黑体" w:hAnsi="黑体" w:eastAsia="黑体"/>
          <w:b w:val="0"/>
          <w:bCs w:val="0"/>
          <w:kern w:val="2"/>
          <w:szCs w:val="32"/>
        </w:rPr>
        <w:t>四、绩效评价指标分析</w:t>
      </w:r>
      <w:bookmarkEnd w:id="27"/>
    </w:p>
    <w:p>
      <w:pPr>
        <w:pStyle w:val="3"/>
        <w:keepNext w:val="0"/>
        <w:keepLines w:val="0"/>
        <w:spacing w:before="0" w:after="0" w:line="360" w:lineRule="auto"/>
        <w:ind w:firstLine="640" w:firstLineChars="200"/>
        <w:rPr>
          <w:rFonts w:ascii="仿宋_GB2312" w:hAnsi="仿宋_GB2312" w:eastAsia="仿宋_GB2312" w:cs="仿宋_GB2312"/>
          <w:b w:val="0"/>
        </w:rPr>
      </w:pPr>
      <w:bookmarkStart w:id="28" w:name="_Toc375717376"/>
      <w:bookmarkStart w:id="29" w:name="_Toc424911763"/>
      <w:bookmarkStart w:id="30" w:name="_Toc21197"/>
      <w:r>
        <w:rPr>
          <w:rFonts w:hint="eastAsia" w:ascii="仿宋_GB2312" w:hAnsi="仿宋_GB2312" w:eastAsia="仿宋_GB2312" w:cs="仿宋_GB2312"/>
          <w:b w:val="0"/>
        </w:rPr>
        <w:t>（一）项目</w:t>
      </w:r>
      <w:bookmarkEnd w:id="28"/>
      <w:bookmarkEnd w:id="29"/>
      <w:r>
        <w:rPr>
          <w:rFonts w:hint="eastAsia" w:ascii="仿宋_GB2312" w:hAnsi="仿宋_GB2312" w:eastAsia="仿宋_GB2312" w:cs="仿宋_GB2312"/>
          <w:b w:val="0"/>
        </w:rPr>
        <w:t>决策情况</w:t>
      </w:r>
      <w:bookmarkEnd w:id="30"/>
    </w:p>
    <w:p>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1</w:t>
      </w:r>
      <w:r>
        <w:rPr>
          <w:rFonts w:ascii="仿宋_GB2312" w:eastAsia="仿宋_GB2312" w:cs="仿宋_GB2312"/>
          <w:sz w:val="32"/>
          <w:szCs w:val="32"/>
        </w:rPr>
        <w:t>.项目立项情况分析</w:t>
      </w:r>
    </w:p>
    <w:p>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区检察院在立项前期制定了全年信息化运维项目的工作计划和实施方案，项目实施内容与区检察院信息化正常运转和保障检察各项工作顺利推进的职责相关，项目立项依据充分。</w:t>
      </w:r>
    </w:p>
    <w:p>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区检察院结合项目实施内容制定了《2</w:t>
      </w:r>
      <w:r>
        <w:rPr>
          <w:rFonts w:ascii="仿宋_GB2312" w:eastAsia="仿宋_GB2312" w:cs="仿宋_GB2312"/>
          <w:sz w:val="32"/>
          <w:szCs w:val="32"/>
        </w:rPr>
        <w:t>02</w:t>
      </w:r>
      <w:r>
        <w:rPr>
          <w:rFonts w:hint="eastAsia" w:ascii="仿宋_GB2312" w:eastAsia="仿宋_GB2312" w:cs="仿宋_GB2312"/>
          <w:sz w:val="32"/>
          <w:szCs w:val="32"/>
        </w:rPr>
        <w:t>3年度信息化运维项目实施方案》，项目立项申请及设立过程符合区检察院“三重一大”议事规则及程序，属于公共财政保障的范围，项目实施的必要性充分。作为延续性项目，区检察院收集总结了以往年度的工作成果，梳理了现阶段检察政务内网、检察工作网、外网的网络环境和机房现状，为2</w:t>
      </w:r>
      <w:r>
        <w:rPr>
          <w:rFonts w:ascii="仿宋_GB2312" w:eastAsia="仿宋_GB2312" w:cs="仿宋_GB2312"/>
          <w:sz w:val="32"/>
          <w:szCs w:val="32"/>
        </w:rPr>
        <w:t>02</w:t>
      </w:r>
      <w:r>
        <w:rPr>
          <w:rFonts w:hint="eastAsia" w:ascii="仿宋_GB2312" w:eastAsia="仿宋_GB2312" w:cs="仿宋_GB2312"/>
          <w:sz w:val="32"/>
          <w:szCs w:val="32"/>
        </w:rPr>
        <w:t>3年度项目决策提供了有效的前期数据，项目决策具备较强的科学性与准确性。</w:t>
      </w:r>
    </w:p>
    <w:p>
      <w:pPr>
        <w:spacing w:line="360" w:lineRule="auto"/>
        <w:ind w:firstLine="640" w:firstLineChars="200"/>
        <w:rPr>
          <w:rFonts w:ascii="仿宋_GB2312" w:eastAsia="仿宋_GB2312" w:cs="仿宋_GB2312"/>
          <w:sz w:val="32"/>
          <w:szCs w:val="32"/>
          <w:highlight w:val="none"/>
        </w:rPr>
      </w:pPr>
      <w:r>
        <w:rPr>
          <w:rFonts w:hint="eastAsia" w:ascii="仿宋_GB2312" w:eastAsia="仿宋_GB2312" w:cs="仿宋_GB2312"/>
          <w:sz w:val="32"/>
          <w:szCs w:val="32"/>
          <w:highlight w:val="none"/>
        </w:rPr>
        <w:t>2.项目绩效目标分析</w:t>
      </w:r>
    </w:p>
    <w:p>
      <w:pPr>
        <w:spacing w:line="360" w:lineRule="auto"/>
        <w:ind w:firstLine="640" w:firstLineChars="200"/>
        <w:rPr>
          <w:rFonts w:ascii="仿宋_GB2312" w:eastAsia="仿宋_GB2312" w:cs="仿宋_GB2312"/>
          <w:sz w:val="32"/>
          <w:szCs w:val="32"/>
          <w:highlight w:val="none"/>
        </w:rPr>
      </w:pPr>
      <w:r>
        <w:rPr>
          <w:rFonts w:hint="eastAsia" w:ascii="仿宋_GB2312" w:eastAsia="仿宋_GB2312" w:cs="仿宋_GB2312"/>
          <w:sz w:val="32"/>
          <w:szCs w:val="32"/>
          <w:highlight w:val="none"/>
        </w:rPr>
        <w:t>区检察院根据市财政局的统一要求编制了项目绩效目标申报表，项目总体目标中阐述了项目的立项背景和现实需求，年度实施内容符合区检察院的职能定位与工作实际，具有明确的需求相关性。但项目具体的组织方式以及对实施内容的分解细化内容在总体目标中的描述还较为笼统，总体目标的细化程度仍有进一步完善的空间。</w:t>
      </w:r>
    </w:p>
    <w:p>
      <w:pPr>
        <w:spacing w:line="360" w:lineRule="auto"/>
        <w:ind w:firstLine="640" w:firstLineChars="200"/>
        <w:rPr>
          <w:rFonts w:ascii="仿宋_GB2312" w:eastAsia="仿宋_GB2312" w:cs="仿宋_GB2312"/>
          <w:sz w:val="32"/>
          <w:szCs w:val="32"/>
          <w:highlight w:val="none"/>
        </w:rPr>
      </w:pPr>
      <w:r>
        <w:rPr>
          <w:rFonts w:hint="eastAsia" w:ascii="仿宋_GB2312" w:eastAsia="仿宋_GB2312" w:cs="仿宋_GB2312"/>
          <w:sz w:val="32"/>
          <w:szCs w:val="32"/>
          <w:highlight w:val="none"/>
        </w:rPr>
        <w:t>项目绩效指标的设定内容基本清晰，例如数量指标设定了全年维护系统的具体次数；质量指标设定了故障排除率；时效指标明确了项目属于全年工作范畴等，均体现了较为明确的定量数值和定性描述。但指标设定内容的完整性有所不足，如数量指标中除体现全年维护次数外还应包含日常维护和定期工作的数量产出。同时，效益指标的内容在完整性与细化程度方面也还有待进一步加强，如社会效益指标仅设定为“网路安全”，指标内容过于笼统，未能体现出项目实施对检察业务和日常办公的支撑作用；</w:t>
      </w:r>
      <w:r>
        <w:rPr>
          <w:rFonts w:hint="eastAsia" w:ascii="仿宋_GB2312" w:eastAsia="仿宋_GB2312" w:cs="仿宋_GB2312"/>
          <w:sz w:val="32"/>
          <w:szCs w:val="32"/>
          <w:highlight w:val="none"/>
          <w:lang w:eastAsia="zh-CN"/>
        </w:rPr>
        <w:t>未</w:t>
      </w:r>
      <w:r>
        <w:rPr>
          <w:rFonts w:hint="eastAsia" w:ascii="仿宋_GB2312" w:eastAsia="仿宋_GB2312" w:cs="仿宋_GB2312"/>
          <w:sz w:val="32"/>
          <w:szCs w:val="32"/>
          <w:highlight w:val="none"/>
        </w:rPr>
        <w:t>设定可持续影响指标内容，满意度指标中的服务对象群体也不够明确，部分绩效指标的填报内容还需进一步完善。</w:t>
      </w:r>
    </w:p>
    <w:p>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3</w:t>
      </w:r>
      <w:r>
        <w:rPr>
          <w:rFonts w:ascii="仿宋_GB2312" w:eastAsia="仿宋_GB2312" w:cs="仿宋_GB2312"/>
          <w:sz w:val="32"/>
          <w:szCs w:val="32"/>
        </w:rPr>
        <w:t>.项目资金投入情况分析</w:t>
      </w:r>
    </w:p>
    <w:p>
      <w:pPr>
        <w:pStyle w:val="9"/>
        <w:spacing w:line="328" w:lineRule="auto"/>
        <w:ind w:left="166" w:right="446" w:firstLine="640"/>
        <w:rPr>
          <w:rFonts w:ascii="仿宋_GB2312" w:eastAsia="仿宋_GB2312" w:cs="仿宋_GB2312"/>
        </w:rPr>
      </w:pPr>
      <w:r>
        <w:rPr>
          <w:rFonts w:ascii="仿宋_GB2312" w:eastAsia="仿宋_GB2312" w:cs="仿宋_GB2312"/>
        </w:rPr>
        <w:t>该项目申报预算</w:t>
      </w:r>
      <w:r>
        <w:rPr>
          <w:rFonts w:hint="eastAsia" w:ascii="仿宋_GB2312" w:eastAsia="仿宋_GB2312" w:cs="仿宋_GB2312"/>
        </w:rPr>
        <w:t>资金</w:t>
      </w:r>
      <w:r>
        <w:rPr>
          <w:rFonts w:ascii="仿宋_GB2312" w:eastAsia="仿宋_GB2312" w:cs="仿宋_GB2312"/>
          <w:lang w:val="en-US"/>
        </w:rPr>
        <w:t>5</w:t>
      </w:r>
      <w:r>
        <w:rPr>
          <w:rFonts w:hint="eastAsia" w:ascii="仿宋_GB2312" w:eastAsia="仿宋_GB2312" w:cs="仿宋_GB2312"/>
          <w:lang w:val="en-US" w:eastAsia="zh-CN"/>
        </w:rPr>
        <w:t>3</w:t>
      </w:r>
      <w:r>
        <w:rPr>
          <w:rFonts w:ascii="仿宋_GB2312" w:eastAsia="仿宋_GB2312" w:cs="仿宋_GB2312"/>
        </w:rPr>
        <w:t>.</w:t>
      </w:r>
      <w:r>
        <w:rPr>
          <w:rFonts w:hint="eastAsia" w:ascii="仿宋_GB2312" w:eastAsia="仿宋_GB2312" w:cs="仿宋_GB2312"/>
          <w:lang w:val="en-US" w:eastAsia="zh-CN"/>
        </w:rPr>
        <w:t>0</w:t>
      </w:r>
      <w:r>
        <w:rPr>
          <w:rFonts w:ascii="仿宋_GB2312" w:eastAsia="仿宋_GB2312" w:cs="仿宋_GB2312"/>
        </w:rPr>
        <w:t>0万元</w:t>
      </w:r>
      <w:r>
        <w:rPr>
          <w:rFonts w:hint="eastAsia" w:ascii="仿宋_GB2312" w:eastAsia="仿宋_GB2312" w:cs="仿宋_GB2312"/>
        </w:rPr>
        <w:t>，</w:t>
      </w:r>
      <w:r>
        <w:rPr>
          <w:rFonts w:hint="eastAsia" w:ascii="仿宋_GB2312" w:eastAsia="仿宋_GB2312"/>
        </w:rPr>
        <w:t>项目</w:t>
      </w:r>
      <w:r>
        <w:rPr>
          <w:rFonts w:hint="eastAsia" w:ascii="仿宋_GB2312" w:eastAsia="仿宋_GB2312" w:cs="仿宋_GB2312"/>
        </w:rPr>
        <w:t>预算编制主要依据各项工作需投入的人力成本进行测算，并充分参考了上年度预算执行情况</w:t>
      </w:r>
      <w:r>
        <w:rPr>
          <w:rFonts w:hint="eastAsia" w:ascii="仿宋_GB2312" w:eastAsia="仿宋_GB2312" w:cs="仿宋_GB2312"/>
          <w:lang w:val="en-US"/>
        </w:rPr>
        <w:t>。具体执行过程中，由</w:t>
      </w:r>
      <w:r>
        <w:rPr>
          <w:rFonts w:hint="eastAsia" w:ascii="仿宋_GB2312" w:eastAsia="仿宋_GB2312" w:cs="仿宋_GB2312"/>
        </w:rPr>
        <w:t>区检察院</w:t>
      </w:r>
      <w:r>
        <w:rPr>
          <w:rFonts w:hint="eastAsia" w:ascii="仿宋_GB2312" w:eastAsia="仿宋_GB2312"/>
        </w:rPr>
        <w:t>通过政府购买服务的方式，委托专业机构提供相关服务，并依据采购金额与合同约定的拨付时间支付项目资金。截至202</w:t>
      </w:r>
      <w:r>
        <w:rPr>
          <w:rFonts w:hint="eastAsia" w:ascii="仿宋_GB2312" w:eastAsia="仿宋_GB2312"/>
          <w:lang w:val="en-US"/>
        </w:rPr>
        <w:t>3</w:t>
      </w:r>
      <w:r>
        <w:rPr>
          <w:rFonts w:hint="eastAsia" w:ascii="仿宋_GB2312" w:eastAsia="仿宋_GB2312"/>
        </w:rPr>
        <w:t>年12月31日，资金支出金额</w:t>
      </w:r>
      <w:r>
        <w:rPr>
          <w:rFonts w:ascii="仿宋_GB2312" w:eastAsia="仿宋_GB2312"/>
        </w:rPr>
        <w:t>52</w:t>
      </w:r>
      <w:r>
        <w:rPr>
          <w:rFonts w:hint="eastAsia" w:ascii="仿宋_GB2312" w:eastAsia="仿宋_GB2312"/>
        </w:rPr>
        <w:t>.</w:t>
      </w:r>
      <w:r>
        <w:rPr>
          <w:rFonts w:ascii="仿宋_GB2312" w:eastAsia="仿宋_GB2312"/>
        </w:rPr>
        <w:t>80</w:t>
      </w:r>
      <w:r>
        <w:rPr>
          <w:rFonts w:hint="eastAsia" w:ascii="仿宋_GB2312" w:eastAsia="仿宋_GB2312"/>
        </w:rPr>
        <w:t>万元，预算执行率</w:t>
      </w:r>
      <w:r>
        <w:rPr>
          <w:rFonts w:hint="eastAsia" w:ascii="仿宋_GB2312" w:eastAsia="仿宋_GB2312"/>
          <w:lang w:val="en-US"/>
        </w:rPr>
        <w:t>100</w:t>
      </w:r>
      <w:r>
        <w:rPr>
          <w:rFonts w:ascii="仿宋_GB2312" w:eastAsia="仿宋_GB2312"/>
        </w:rPr>
        <w:t>.</w:t>
      </w:r>
      <w:r>
        <w:rPr>
          <w:rFonts w:hint="eastAsia" w:ascii="仿宋_GB2312" w:eastAsia="仿宋_GB2312"/>
          <w:lang w:val="en-US"/>
        </w:rPr>
        <w:t>00</w:t>
      </w:r>
      <w:r>
        <w:rPr>
          <w:rFonts w:hint="eastAsia" w:ascii="仿宋_GB2312" w:eastAsia="仿宋_GB2312"/>
        </w:rPr>
        <w:t>%。资金整体执行情况良好。</w:t>
      </w:r>
    </w:p>
    <w:p>
      <w:pPr>
        <w:pStyle w:val="3"/>
        <w:keepNext w:val="0"/>
        <w:keepLines w:val="0"/>
        <w:spacing w:before="0" w:after="0" w:line="360" w:lineRule="auto"/>
        <w:ind w:firstLine="640" w:firstLineChars="200"/>
        <w:rPr>
          <w:rFonts w:ascii="仿宋_GB2312" w:hAnsi="Times New Roman" w:eastAsia="仿宋_GB2312" w:cs="仿宋_GB2312"/>
          <w:b w:val="0"/>
          <w:bCs w:val="0"/>
          <w:highlight w:val="none"/>
        </w:rPr>
      </w:pPr>
      <w:bookmarkStart w:id="31" w:name="_Toc375717377"/>
      <w:bookmarkStart w:id="32" w:name="_Toc424911764"/>
      <w:bookmarkStart w:id="33" w:name="_Toc4350"/>
      <w:r>
        <w:rPr>
          <w:rFonts w:hint="eastAsia" w:ascii="仿宋_GB2312" w:hAnsi="仿宋_GB2312" w:eastAsia="仿宋_GB2312" w:cs="仿宋_GB2312"/>
          <w:b w:val="0"/>
          <w:highlight w:val="none"/>
        </w:rPr>
        <w:t>（二）项目过程情况</w:t>
      </w:r>
      <w:bookmarkEnd w:id="31"/>
      <w:bookmarkEnd w:id="32"/>
      <w:bookmarkEnd w:id="33"/>
    </w:p>
    <w:p>
      <w:pPr>
        <w:spacing w:line="360" w:lineRule="auto"/>
        <w:ind w:firstLine="640" w:firstLineChars="200"/>
        <w:rPr>
          <w:rFonts w:ascii="仿宋_GB2312" w:eastAsia="仿宋_GB2312" w:cs="仿宋_GB2312"/>
          <w:sz w:val="32"/>
          <w:szCs w:val="32"/>
          <w:highlight w:val="none"/>
        </w:rPr>
      </w:pPr>
      <w:r>
        <w:rPr>
          <w:rFonts w:ascii="仿宋_GB2312" w:eastAsia="仿宋_GB2312" w:cs="仿宋_GB2312"/>
          <w:sz w:val="32"/>
          <w:szCs w:val="32"/>
          <w:highlight w:val="none"/>
        </w:rPr>
        <w:t>1.</w:t>
      </w:r>
      <w:r>
        <w:rPr>
          <w:rFonts w:hint="eastAsia" w:ascii="仿宋_GB2312" w:eastAsia="仿宋_GB2312" w:cs="仿宋_GB2312"/>
          <w:sz w:val="32"/>
          <w:szCs w:val="32"/>
          <w:highlight w:val="none"/>
        </w:rPr>
        <w:t>资金使用及管理情况</w:t>
      </w:r>
    </w:p>
    <w:p>
      <w:pPr>
        <w:spacing w:line="360" w:lineRule="auto"/>
        <w:ind w:firstLine="640" w:firstLineChars="200"/>
        <w:rPr>
          <w:rFonts w:ascii="仿宋_GB2312" w:eastAsia="仿宋_GB2312" w:cs="仿宋_GB2312"/>
          <w:sz w:val="32"/>
          <w:szCs w:val="32"/>
          <w:highlight w:val="none"/>
        </w:rPr>
      </w:pPr>
      <w:r>
        <w:rPr>
          <w:rFonts w:hint="eastAsia" w:ascii="仿宋_GB2312" w:eastAsia="仿宋_GB2312" w:cs="仿宋_GB2312"/>
          <w:sz w:val="32"/>
          <w:szCs w:val="32"/>
          <w:highlight w:val="none"/>
        </w:rPr>
        <w:t>为规范和加强财政资金的管理，提高财政资金的使用效益。区检察院制定了</w:t>
      </w:r>
      <w:bookmarkStart w:id="34" w:name="_Toc481050479"/>
      <w:r>
        <w:rPr>
          <w:rFonts w:hint="eastAsia" w:ascii="仿宋_GB2312" w:eastAsia="仿宋_GB2312" w:cs="仿宋_GB2312"/>
          <w:sz w:val="32"/>
          <w:szCs w:val="32"/>
          <w:highlight w:val="none"/>
        </w:rPr>
        <w:t>《北京市密云区人民检察院内部控制手册》、《北京市密云区人民检察院预算管理办法》及《北京市密云区人民检察院经费支出管理办法</w:t>
      </w:r>
      <w:bookmarkEnd w:id="34"/>
      <w:r>
        <w:rPr>
          <w:rFonts w:hint="eastAsia" w:ascii="仿宋_GB2312" w:eastAsia="仿宋_GB2312" w:cs="仿宋_GB2312"/>
          <w:sz w:val="32"/>
          <w:szCs w:val="32"/>
          <w:highlight w:val="none"/>
        </w:rPr>
        <w:t>》等相关财务管理文件，并严格按文件要求执行，对项目经费从编制预算开始到预算支出实行全过程管理，项目资金实行单独核算，专款专用，逐笔审核签报。</w:t>
      </w:r>
    </w:p>
    <w:p>
      <w:pPr>
        <w:spacing w:line="360" w:lineRule="auto"/>
        <w:ind w:firstLine="640" w:firstLineChars="200"/>
        <w:rPr>
          <w:rFonts w:ascii="仿宋_GB2312" w:eastAsia="仿宋_GB2312" w:cs="仿宋_GB2312"/>
          <w:sz w:val="32"/>
          <w:szCs w:val="32"/>
          <w:highlight w:val="none"/>
        </w:rPr>
      </w:pPr>
      <w:r>
        <w:rPr>
          <w:rFonts w:hint="eastAsia" w:ascii="仿宋_GB2312" w:eastAsia="仿宋_GB2312" w:cs="仿宋_GB2312"/>
          <w:sz w:val="32"/>
          <w:szCs w:val="32"/>
          <w:highlight w:val="none"/>
        </w:rPr>
        <w:t>密云区检察院财务管理制度和内部控制机制健全，在实际管理过程中能够做到严格执行，保证项目资金的高效、规范管理和使用。项目经费支出按照制度进行严格的审核与审批，做到了专户管理、专款专用、独立账目核算。</w:t>
      </w:r>
    </w:p>
    <w:p>
      <w:pPr>
        <w:spacing w:line="360" w:lineRule="auto"/>
        <w:ind w:firstLine="640" w:firstLineChars="200"/>
        <w:rPr>
          <w:rFonts w:ascii="仿宋_GB2312" w:eastAsia="仿宋_GB2312" w:cs="仿宋_GB2312"/>
          <w:sz w:val="32"/>
          <w:szCs w:val="32"/>
          <w:highlight w:val="none"/>
        </w:rPr>
      </w:pPr>
      <w:r>
        <w:rPr>
          <w:rFonts w:hint="eastAsia" w:ascii="仿宋_GB2312" w:eastAsia="仿宋_GB2312" w:cs="仿宋_GB2312"/>
          <w:sz w:val="32"/>
          <w:szCs w:val="32"/>
          <w:highlight w:val="none"/>
        </w:rPr>
        <w:t>2.项目组织实施情况</w:t>
      </w:r>
    </w:p>
    <w:p>
      <w:pPr>
        <w:spacing w:line="360" w:lineRule="auto"/>
        <w:ind w:firstLine="640" w:firstLineChars="200"/>
        <w:rPr>
          <w:rFonts w:ascii="仿宋_GB2312" w:eastAsia="仿宋_GB2312" w:cs="仿宋_GB2312"/>
          <w:bCs/>
          <w:sz w:val="32"/>
          <w:szCs w:val="32"/>
          <w:highlight w:val="none"/>
        </w:rPr>
      </w:pPr>
      <w:r>
        <w:rPr>
          <w:rFonts w:hint="eastAsia" w:ascii="仿宋_GB2312" w:eastAsia="仿宋_GB2312" w:cs="仿宋_GB2312"/>
          <w:sz w:val="32"/>
          <w:szCs w:val="32"/>
          <w:highlight w:val="none"/>
        </w:rPr>
        <w:t>该项目由区检察院组织具体实施，区检察院内部控制管理制度较为健全，能够有效确保资金使用、过程监管、跟踪问效等各方面的绩效管理要求。在项目实施的过程中，依据双方合同约定的服务条款对第三方的日常工作进行监督检查，有</w:t>
      </w:r>
      <w:r>
        <w:rPr>
          <w:rFonts w:hint="eastAsia" w:ascii="仿宋_GB2312" w:eastAsia="仿宋_GB2312" w:cs="仿宋_GB2312"/>
          <w:bCs/>
          <w:sz w:val="32"/>
          <w:szCs w:val="32"/>
          <w:highlight w:val="none"/>
        </w:rPr>
        <w:t>较为明确的工作管理目标及管理模式。</w:t>
      </w:r>
    </w:p>
    <w:p>
      <w:pPr>
        <w:spacing w:line="360" w:lineRule="auto"/>
        <w:ind w:firstLine="640" w:firstLineChars="200"/>
        <w:rPr>
          <w:rFonts w:ascii="仿宋_GB2312" w:eastAsia="仿宋_GB2312" w:cs="仿宋_GB2312"/>
          <w:bCs/>
          <w:sz w:val="32"/>
          <w:szCs w:val="32"/>
          <w:highlight w:val="none"/>
        </w:rPr>
      </w:pPr>
      <w:r>
        <w:rPr>
          <w:rFonts w:hint="eastAsia" w:ascii="仿宋_GB2312" w:eastAsia="仿宋_GB2312" w:cs="仿宋_GB2312"/>
          <w:sz w:val="32"/>
          <w:szCs w:val="32"/>
          <w:highlight w:val="none"/>
        </w:rPr>
        <w:t>密云区检察院组织机制健全，在项目组织实施环节过程中由区检察院第七检察部负责实施，项目的责任分工明确，措施比较到位。项目采购程序清晰完整，组织实施情况良好。但</w:t>
      </w:r>
      <w:r>
        <w:rPr>
          <w:rFonts w:hint="eastAsia" w:ascii="仿宋_GB2312" w:eastAsia="仿宋_GB2312" w:cs="仿宋_GB2312"/>
          <w:bCs/>
          <w:sz w:val="32"/>
          <w:szCs w:val="32"/>
          <w:highlight w:val="none"/>
        </w:rPr>
        <w:t>在项目实施方案中尚缺少有关对第三方工作服务过程、质量记录、监督检查等环节的计划安排，对项目完成质量的过程管控指导性不足，在项目精细化管理方面仍需进一步提升。</w:t>
      </w:r>
    </w:p>
    <w:p>
      <w:pPr>
        <w:pStyle w:val="3"/>
        <w:keepNext w:val="0"/>
        <w:keepLines w:val="0"/>
        <w:spacing w:before="0" w:after="0" w:line="360" w:lineRule="auto"/>
        <w:ind w:firstLine="640" w:firstLineChars="200"/>
        <w:rPr>
          <w:rFonts w:ascii="仿宋_GB2312" w:hAnsi="仿宋_GB2312" w:eastAsia="仿宋_GB2312" w:cs="仿宋_GB2312"/>
          <w:b w:val="0"/>
        </w:rPr>
      </w:pPr>
      <w:bookmarkStart w:id="35" w:name="_Toc424911765"/>
      <w:bookmarkStart w:id="36" w:name="_Toc13087"/>
      <w:bookmarkStart w:id="37" w:name="_Toc375717378"/>
      <w:r>
        <w:rPr>
          <w:rFonts w:hint="eastAsia" w:ascii="仿宋_GB2312" w:hAnsi="仿宋_GB2312" w:eastAsia="仿宋_GB2312" w:cs="仿宋_GB2312"/>
          <w:b w:val="0"/>
        </w:rPr>
        <w:t>（三）项目产出情况</w:t>
      </w:r>
      <w:bookmarkEnd w:id="35"/>
      <w:bookmarkEnd w:id="36"/>
      <w:bookmarkEnd w:id="37"/>
    </w:p>
    <w:p>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2</w:t>
      </w:r>
      <w:r>
        <w:rPr>
          <w:rFonts w:ascii="仿宋_GB2312" w:eastAsia="仿宋_GB2312" w:cs="仿宋_GB2312"/>
          <w:sz w:val="32"/>
          <w:szCs w:val="32"/>
        </w:rPr>
        <w:t>02</w:t>
      </w:r>
      <w:r>
        <w:rPr>
          <w:rFonts w:hint="eastAsia" w:ascii="仿宋_GB2312" w:eastAsia="仿宋_GB2312" w:cs="仿宋_GB2312"/>
          <w:sz w:val="32"/>
          <w:szCs w:val="32"/>
        </w:rPr>
        <w:t>3</w:t>
      </w:r>
      <w:r>
        <w:rPr>
          <w:rFonts w:ascii="仿宋_GB2312" w:eastAsia="仿宋_GB2312" w:cs="仿宋_GB2312"/>
          <w:sz w:val="32"/>
          <w:szCs w:val="32"/>
        </w:rPr>
        <w:t>年度</w:t>
      </w:r>
      <w:r>
        <w:rPr>
          <w:rFonts w:hint="eastAsia" w:ascii="仿宋_GB2312" w:eastAsia="仿宋_GB2312" w:cs="仿宋_GB2312"/>
          <w:sz w:val="32"/>
          <w:szCs w:val="32"/>
        </w:rPr>
        <w:t>信息化运维费项目截至2</w:t>
      </w:r>
      <w:r>
        <w:rPr>
          <w:rFonts w:ascii="仿宋_GB2312" w:eastAsia="仿宋_GB2312" w:cs="仿宋_GB2312"/>
          <w:sz w:val="32"/>
          <w:szCs w:val="32"/>
        </w:rPr>
        <w:t>02</w:t>
      </w:r>
      <w:r>
        <w:rPr>
          <w:rFonts w:hint="eastAsia" w:ascii="仿宋_GB2312" w:eastAsia="仿宋_GB2312" w:cs="仿宋_GB2312"/>
          <w:sz w:val="32"/>
          <w:szCs w:val="32"/>
        </w:rPr>
        <w:t>3年1</w:t>
      </w:r>
      <w:r>
        <w:rPr>
          <w:rFonts w:ascii="仿宋_GB2312" w:eastAsia="仿宋_GB2312" w:cs="仿宋_GB2312"/>
          <w:sz w:val="32"/>
          <w:szCs w:val="32"/>
        </w:rPr>
        <w:t>2</w:t>
      </w:r>
      <w:r>
        <w:rPr>
          <w:rFonts w:hint="eastAsia" w:ascii="仿宋_GB2312" w:eastAsia="仿宋_GB2312" w:cs="仿宋_GB2312"/>
          <w:sz w:val="32"/>
          <w:szCs w:val="32"/>
        </w:rPr>
        <w:t>月3</w:t>
      </w:r>
      <w:r>
        <w:rPr>
          <w:rFonts w:ascii="仿宋_GB2312" w:eastAsia="仿宋_GB2312" w:cs="仿宋_GB2312"/>
          <w:sz w:val="32"/>
          <w:szCs w:val="32"/>
        </w:rPr>
        <w:t>1</w:t>
      </w:r>
      <w:r>
        <w:rPr>
          <w:rFonts w:hint="eastAsia" w:ascii="仿宋_GB2312" w:eastAsia="仿宋_GB2312" w:cs="仿宋_GB2312"/>
          <w:sz w:val="32"/>
          <w:szCs w:val="32"/>
        </w:rPr>
        <w:t>日，共处理各类维护事件</w:t>
      </w:r>
      <w:r>
        <w:rPr>
          <w:rFonts w:hint="eastAsia" w:ascii="仿宋_GB2312" w:eastAsia="仿宋_GB2312" w:cs="仿宋_GB2312"/>
          <w:sz w:val="32"/>
          <w:szCs w:val="32"/>
          <w:lang w:val="en-US" w:eastAsia="zh-CN"/>
        </w:rPr>
        <w:t>2232</w:t>
      </w:r>
      <w:r>
        <w:rPr>
          <w:rFonts w:hint="eastAsia" w:ascii="仿宋_GB2312" w:eastAsia="仿宋_GB2312" w:cs="仿宋_GB2312"/>
          <w:sz w:val="32"/>
          <w:szCs w:val="32"/>
        </w:rPr>
        <w:t>件，其中应用类事件</w:t>
      </w:r>
      <w:r>
        <w:rPr>
          <w:rFonts w:hint="eastAsia" w:ascii="仿宋_GB2312" w:eastAsia="仿宋_GB2312" w:cs="仿宋_GB2312"/>
          <w:sz w:val="32"/>
          <w:szCs w:val="32"/>
          <w:lang w:val="en-US" w:eastAsia="zh-CN"/>
        </w:rPr>
        <w:t>379</w:t>
      </w:r>
      <w:r>
        <w:rPr>
          <w:rFonts w:hint="eastAsia" w:ascii="仿宋_GB2312" w:eastAsia="仿宋_GB2312" w:cs="仿宋_GB2312"/>
          <w:sz w:val="32"/>
          <w:szCs w:val="32"/>
        </w:rPr>
        <w:t>件；系统类运维</w:t>
      </w:r>
      <w:r>
        <w:rPr>
          <w:rFonts w:hint="eastAsia" w:ascii="仿宋_GB2312" w:eastAsia="仿宋_GB2312" w:cs="仿宋_GB2312"/>
          <w:sz w:val="32"/>
          <w:szCs w:val="32"/>
          <w:lang w:val="en-US" w:eastAsia="zh-CN"/>
        </w:rPr>
        <w:t>1853</w:t>
      </w:r>
      <w:r>
        <w:rPr>
          <w:rFonts w:hint="eastAsia" w:ascii="仿宋_GB2312" w:eastAsia="仿宋_GB2312" w:cs="仿宋_GB2312"/>
          <w:sz w:val="32"/>
          <w:szCs w:val="32"/>
        </w:rPr>
        <w:t>件，具体产出情况包括：</w:t>
      </w:r>
    </w:p>
    <w:p>
      <w:pPr>
        <w:pStyle w:val="9"/>
        <w:spacing w:line="360" w:lineRule="auto"/>
        <w:ind w:firstLine="640" w:firstLineChars="200"/>
        <w:rPr>
          <w:rFonts w:ascii="仿宋_GB2312" w:hAnsi="宋体" w:eastAsia="仿宋_GB2312" w:cs="仿宋_GB2312"/>
          <w:lang w:val="en-US"/>
        </w:rPr>
      </w:pPr>
      <w:r>
        <w:rPr>
          <w:rFonts w:hint="eastAsia" w:ascii="仿宋_GB2312" w:hAnsi="宋体" w:eastAsia="仿宋_GB2312" w:cs="仿宋_GB2312"/>
          <w:lang w:val="en-US"/>
        </w:rPr>
        <w:t>1.统一业务应用系统。共处理应用事件</w:t>
      </w:r>
      <w:r>
        <w:rPr>
          <w:rFonts w:hint="eastAsia" w:ascii="仿宋_GB2312" w:hAnsi="宋体" w:eastAsia="仿宋_GB2312" w:cs="仿宋_GB2312"/>
          <w:lang w:val="en-US" w:eastAsia="zh-CN"/>
        </w:rPr>
        <w:t>379</w:t>
      </w:r>
      <w:r>
        <w:rPr>
          <w:rFonts w:hint="eastAsia" w:ascii="仿宋_GB2312" w:hAnsi="宋体" w:eastAsia="仿宋_GB2312" w:cs="仿宋_GB2312"/>
          <w:lang w:val="en-US"/>
        </w:rPr>
        <w:t>件。包括电子印章1件，文书报错3件，案件报错5件，权限变更57件，案件修改72件，业务咨询77件，系统配置122件，Cocall 18件， 首检网17件，应用其它6件，邮件系统1件</w:t>
      </w:r>
      <w:r>
        <w:rPr>
          <w:rFonts w:hint="eastAsia" w:ascii="仿宋_GB2312" w:hAnsi="宋体" w:eastAsia="仿宋_GB2312" w:cs="仿宋_GB2312"/>
          <w:lang w:val="en-US" w:eastAsia="zh-CN"/>
        </w:rPr>
        <w:t>。</w:t>
      </w:r>
      <w:r>
        <w:rPr>
          <w:rFonts w:hint="eastAsia" w:ascii="仿宋_GB2312" w:hAnsi="宋体" w:eastAsia="仿宋_GB2312" w:cs="仿宋_GB2312"/>
          <w:lang w:val="en-US"/>
        </w:rPr>
        <w:t>市</w:t>
      </w:r>
      <w:r>
        <w:rPr>
          <w:rFonts w:hint="eastAsia" w:ascii="仿宋_GB2312" w:hAnsi="宋体" w:eastAsia="仿宋_GB2312" w:cs="仿宋_GB2312"/>
          <w:lang w:val="en-US" w:eastAsia="zh-CN"/>
        </w:rPr>
        <w:t>检察</w:t>
      </w:r>
      <w:r>
        <w:rPr>
          <w:rFonts w:hint="eastAsia" w:ascii="仿宋_GB2312" w:hAnsi="宋体" w:eastAsia="仿宋_GB2312" w:cs="仿宋_GB2312"/>
          <w:lang w:val="en-US"/>
        </w:rPr>
        <w:t>院技术部全年对统一业务应用系统共升级维护6次，涉及版本变更4次。2023年对统一2.0进行测速2次，检察工作网和检察政务内网各1次。工作网统一2.0相关配置导入内网统一2.0相关工作进行3次。</w:t>
      </w:r>
    </w:p>
    <w:p>
      <w:pPr>
        <w:pStyle w:val="9"/>
        <w:spacing w:line="360" w:lineRule="auto"/>
        <w:ind w:firstLine="640" w:firstLineChars="200"/>
        <w:rPr>
          <w:rFonts w:hint="eastAsia" w:ascii="仿宋_GB2312" w:hAnsi="宋体" w:eastAsia="仿宋_GB2312" w:cs="仿宋_GB2312"/>
          <w:lang w:val="en-US"/>
        </w:rPr>
      </w:pPr>
      <w:r>
        <w:rPr>
          <w:rFonts w:ascii="仿宋_GB2312" w:hAnsi="宋体" w:eastAsia="仿宋_GB2312" w:cs="仿宋_GB2312"/>
          <w:lang w:val="en-US"/>
        </w:rPr>
        <w:t>2.</w:t>
      </w:r>
      <w:r>
        <w:rPr>
          <w:rFonts w:hint="eastAsia" w:ascii="仿宋_GB2312" w:hAnsi="宋体" w:eastAsia="仿宋_GB2312" w:cs="仿宋_GB2312"/>
          <w:lang w:val="en-US"/>
        </w:rPr>
        <w:t>网站应用系统。处理首检网事件</w:t>
      </w:r>
      <w:r>
        <w:rPr>
          <w:rFonts w:hint="eastAsia" w:ascii="仿宋_GB2312" w:hAnsi="宋体" w:eastAsia="仿宋_GB2312" w:cs="仿宋_GB2312"/>
          <w:lang w:val="en-US" w:eastAsia="zh-CN"/>
        </w:rPr>
        <w:t>17</w:t>
      </w:r>
      <w:r>
        <w:rPr>
          <w:rFonts w:hint="eastAsia" w:ascii="仿宋_GB2312" w:hAnsi="宋体" w:eastAsia="仿宋_GB2312" w:cs="仿宋_GB2312"/>
          <w:lang w:val="en-US"/>
        </w:rPr>
        <w:t>件，包括使用咨询、权限与人员调整、信息修改与文章发布及其他配合工作。密云院网站使用问题较少。每周五对中间件及数据库自动备份文件进行手动异地备份检查操作。</w:t>
      </w:r>
    </w:p>
    <w:p>
      <w:pPr>
        <w:pStyle w:val="9"/>
        <w:spacing w:line="360" w:lineRule="auto"/>
        <w:ind w:firstLine="640" w:firstLineChars="200"/>
        <w:rPr>
          <w:rFonts w:ascii="仿宋_GB2312" w:hAnsi="宋体" w:eastAsia="仿宋_GB2312" w:cs="仿宋_GB2312"/>
          <w:lang w:val="en-US"/>
        </w:rPr>
      </w:pPr>
      <w:r>
        <w:rPr>
          <w:rFonts w:ascii="仿宋_GB2312" w:hAnsi="宋体" w:eastAsia="仿宋_GB2312" w:cs="仿宋_GB2312"/>
          <w:lang w:val="en-US"/>
        </w:rPr>
        <w:t>3</w:t>
      </w:r>
      <w:r>
        <w:rPr>
          <w:rFonts w:hint="eastAsia" w:ascii="仿宋_GB2312" w:hAnsi="宋体" w:eastAsia="仿宋_GB2312" w:cs="仿宋_GB2312"/>
          <w:lang w:val="en-US"/>
        </w:rPr>
        <w:t>.机房环境。对主楼6层屏蔽机房与维修通道、5层配线机房、东配楼大要案指挥中心机房、西配楼机房等设备设施进行巡检与维护。</w:t>
      </w:r>
    </w:p>
    <w:p>
      <w:pPr>
        <w:pStyle w:val="9"/>
        <w:spacing w:line="360" w:lineRule="auto"/>
        <w:ind w:firstLine="640" w:firstLineChars="200"/>
        <w:rPr>
          <w:rFonts w:ascii="仿宋_GB2312" w:hAnsi="宋体" w:eastAsia="仿宋_GB2312" w:cs="仿宋_GB2312"/>
          <w:lang w:val="en-US"/>
        </w:rPr>
      </w:pPr>
      <w:r>
        <w:rPr>
          <w:rFonts w:hint="eastAsia" w:ascii="仿宋_GB2312" w:hAnsi="宋体" w:eastAsia="仿宋_GB2312" w:cs="仿宋_GB2312"/>
          <w:lang w:val="en-US"/>
        </w:rPr>
        <w:t>4</w:t>
      </w:r>
      <w:r>
        <w:rPr>
          <w:rFonts w:ascii="仿宋_GB2312" w:hAnsi="宋体" w:eastAsia="仿宋_GB2312" w:cs="仿宋_GB2312"/>
          <w:lang w:val="en-US"/>
        </w:rPr>
        <w:t>.</w:t>
      </w:r>
      <w:r>
        <w:rPr>
          <w:rFonts w:hint="eastAsia" w:ascii="仿宋_GB2312" w:hAnsi="宋体" w:eastAsia="仿宋_GB2312" w:cs="仿宋_GB2312"/>
          <w:lang w:val="en-US"/>
        </w:rPr>
        <w:t>网络系统。对检察政务内网、检察工作网、政务外网、互联网进行管理与维护，终端设备的连接与维护，区检察</w:t>
      </w:r>
      <w:r>
        <w:rPr>
          <w:rFonts w:hint="eastAsia" w:ascii="仿宋_GB2312" w:hAnsi="宋体" w:eastAsia="仿宋_GB2312" w:cs="仿宋_GB2312"/>
          <w:lang w:val="en-US" w:eastAsia="zh-CN"/>
        </w:rPr>
        <w:t>院</w:t>
      </w:r>
      <w:r>
        <w:rPr>
          <w:rFonts w:hint="eastAsia" w:ascii="仿宋_GB2312" w:hAnsi="宋体" w:eastAsia="仿宋_GB2312" w:cs="仿宋_GB2312"/>
          <w:lang w:val="en-US"/>
        </w:rPr>
        <w:t>到市检察院的检察政务内网，检察工作网管理与故障处理。</w:t>
      </w:r>
    </w:p>
    <w:p>
      <w:pPr>
        <w:pStyle w:val="9"/>
        <w:spacing w:line="360" w:lineRule="auto"/>
        <w:ind w:firstLine="640" w:firstLineChars="200"/>
        <w:rPr>
          <w:rFonts w:ascii="仿宋_GB2312" w:hAnsi="宋体" w:eastAsia="仿宋_GB2312" w:cs="仿宋_GB2312"/>
          <w:lang w:val="en-US"/>
        </w:rPr>
      </w:pPr>
      <w:r>
        <w:rPr>
          <w:rFonts w:hint="eastAsia" w:ascii="仿宋_GB2312" w:hAnsi="宋体" w:eastAsia="仿宋_GB2312" w:cs="仿宋_GB2312"/>
          <w:lang w:val="en-US"/>
        </w:rPr>
        <w:t>5</w:t>
      </w:r>
      <w:r>
        <w:rPr>
          <w:rFonts w:ascii="仿宋_GB2312" w:hAnsi="宋体" w:eastAsia="仿宋_GB2312" w:cs="仿宋_GB2312"/>
          <w:lang w:val="en-US"/>
        </w:rPr>
        <w:t>.</w:t>
      </w:r>
      <w:r>
        <w:rPr>
          <w:rFonts w:hint="eastAsia" w:ascii="仿宋_GB2312" w:hAnsi="宋体" w:eastAsia="仿宋_GB2312" w:cs="仿宋_GB2312"/>
          <w:lang w:val="en-US"/>
        </w:rPr>
        <w:t>服务器系统。对政务内网</w:t>
      </w:r>
      <w:r>
        <w:rPr>
          <w:rFonts w:hint="eastAsia" w:ascii="仿宋_GB2312" w:hAnsi="宋体" w:eastAsia="仿宋_GB2312" w:cs="仿宋_GB2312"/>
          <w:lang w:val="en-US" w:eastAsia="zh-CN"/>
        </w:rPr>
        <w:t>8</w:t>
      </w:r>
      <w:r>
        <w:rPr>
          <w:rFonts w:hint="eastAsia" w:ascii="仿宋_GB2312" w:hAnsi="宋体" w:eastAsia="仿宋_GB2312" w:cs="仿宋_GB2312"/>
          <w:lang w:val="en-US"/>
        </w:rPr>
        <w:t>台服务器进行日常维护，包括每日系统状态监控和预警、系统日志检查；每月系统性能分析；每季度整理和分析日志等。</w:t>
      </w:r>
    </w:p>
    <w:p>
      <w:pPr>
        <w:pStyle w:val="9"/>
        <w:spacing w:line="360" w:lineRule="auto"/>
        <w:ind w:firstLine="640" w:firstLineChars="200"/>
        <w:rPr>
          <w:rFonts w:ascii="仿宋_GB2312" w:hAnsi="宋体" w:eastAsia="仿宋_GB2312" w:cs="仿宋_GB2312"/>
          <w:lang w:val="en-US"/>
        </w:rPr>
      </w:pPr>
      <w:r>
        <w:rPr>
          <w:rFonts w:hint="eastAsia" w:ascii="仿宋_GB2312" w:hAnsi="宋体" w:eastAsia="仿宋_GB2312" w:cs="仿宋_GB2312"/>
          <w:lang w:val="en-US"/>
        </w:rPr>
        <w:t>6</w:t>
      </w:r>
      <w:r>
        <w:rPr>
          <w:rFonts w:ascii="仿宋_GB2312" w:hAnsi="宋体" w:eastAsia="仿宋_GB2312" w:cs="仿宋_GB2312"/>
          <w:lang w:val="en-US"/>
        </w:rPr>
        <w:t>.</w:t>
      </w:r>
      <w:r>
        <w:rPr>
          <w:rFonts w:hint="eastAsia" w:ascii="仿宋_GB2312" w:hAnsi="宋体" w:eastAsia="仿宋_GB2312" w:cs="仿宋_GB2312"/>
          <w:lang w:val="en-US"/>
        </w:rPr>
        <w:t>终端维护。处理全院各类网络中计算机，打印机等问题。包括各种软、硬件故障。全年处理各类事件</w:t>
      </w:r>
      <w:r>
        <w:rPr>
          <w:rFonts w:hint="eastAsia" w:ascii="仿宋_GB2312" w:hAnsi="宋体" w:eastAsia="仿宋_GB2312" w:cs="仿宋_GB2312"/>
          <w:lang w:val="en-US" w:eastAsia="zh-CN"/>
        </w:rPr>
        <w:t>772</w:t>
      </w:r>
      <w:r>
        <w:rPr>
          <w:rFonts w:hint="eastAsia" w:ascii="仿宋_GB2312" w:hAnsi="宋体" w:eastAsia="仿宋_GB2312" w:cs="仿宋_GB2312"/>
          <w:lang w:val="en-US"/>
        </w:rPr>
        <w:t>次，主要为内网821终端使用问题，工作网终端与新打印机兼容性问题等。</w:t>
      </w:r>
    </w:p>
    <w:p>
      <w:pPr>
        <w:pStyle w:val="9"/>
        <w:spacing w:line="360" w:lineRule="auto"/>
        <w:ind w:firstLine="640" w:firstLineChars="200"/>
        <w:rPr>
          <w:rFonts w:ascii="仿宋_GB2312" w:hAnsi="宋体" w:eastAsia="仿宋_GB2312" w:cs="仿宋_GB2312"/>
          <w:lang w:val="en-US"/>
        </w:rPr>
      </w:pPr>
      <w:r>
        <w:rPr>
          <w:rFonts w:hint="eastAsia" w:ascii="仿宋_GB2312" w:hAnsi="宋体" w:eastAsia="仿宋_GB2312" w:cs="仿宋_GB2312"/>
          <w:lang w:val="en-US"/>
        </w:rPr>
        <w:t>7</w:t>
      </w:r>
      <w:r>
        <w:rPr>
          <w:rFonts w:ascii="仿宋_GB2312" w:hAnsi="宋体" w:eastAsia="仿宋_GB2312" w:cs="仿宋_GB2312"/>
          <w:lang w:val="en-US"/>
        </w:rPr>
        <w:t>.</w:t>
      </w:r>
      <w:r>
        <w:rPr>
          <w:rFonts w:hint="eastAsia" w:ascii="仿宋_GB2312" w:hAnsi="宋体" w:eastAsia="仿宋_GB2312" w:cs="仿宋_GB2312"/>
          <w:lang w:val="en-US"/>
        </w:rPr>
        <w:t>音视频会议系统。对包括七层东会议室、七层西会议室、西配楼会议室、党组会议室、512会议室、6层案件研讨会议室的视频会议系统进行维护，完成会议保障</w:t>
      </w:r>
      <w:r>
        <w:rPr>
          <w:rFonts w:hint="eastAsia" w:ascii="仿宋_GB2312" w:hAnsi="宋体" w:eastAsia="仿宋_GB2312" w:cs="仿宋_GB2312"/>
          <w:lang w:val="en-US" w:eastAsia="zh-CN"/>
        </w:rPr>
        <w:t>238</w:t>
      </w:r>
      <w:r>
        <w:rPr>
          <w:rFonts w:hint="eastAsia" w:ascii="仿宋_GB2312" w:hAnsi="宋体" w:eastAsia="仿宋_GB2312" w:cs="仿宋_GB2312"/>
          <w:lang w:val="en-US"/>
        </w:rPr>
        <w:t>次</w:t>
      </w:r>
      <w:r>
        <w:rPr>
          <w:rFonts w:hint="eastAsia" w:ascii="仿宋_GB2312" w:hAnsi="宋体" w:eastAsia="仿宋_GB2312" w:cs="仿宋_GB2312"/>
          <w:lang w:val="en-US" w:eastAsia="zh-CN"/>
        </w:rPr>
        <w:t>，区委和市院高检院视频会议联调244次，音视频其它问题19次</w:t>
      </w:r>
      <w:r>
        <w:rPr>
          <w:rFonts w:hint="eastAsia" w:ascii="仿宋_GB2312" w:hAnsi="宋体" w:eastAsia="仿宋_GB2312" w:cs="仿宋_GB2312"/>
          <w:lang w:val="en-US"/>
        </w:rPr>
        <w:t>。</w:t>
      </w:r>
    </w:p>
    <w:p>
      <w:pPr>
        <w:pStyle w:val="9"/>
        <w:spacing w:line="360" w:lineRule="auto"/>
        <w:ind w:firstLine="640" w:firstLineChars="200"/>
        <w:rPr>
          <w:rFonts w:ascii="仿宋_GB2312" w:hAnsi="宋体" w:eastAsia="仿宋_GB2312" w:cs="仿宋_GB2312"/>
          <w:lang w:val="en-US"/>
        </w:rPr>
      </w:pPr>
      <w:r>
        <w:rPr>
          <w:rFonts w:hint="eastAsia" w:ascii="仿宋_GB2312" w:hAnsi="宋体" w:eastAsia="仿宋_GB2312" w:cs="仿宋_GB2312"/>
          <w:lang w:val="en-US" w:eastAsia="zh-CN"/>
        </w:rPr>
        <w:t>8</w:t>
      </w:r>
      <w:r>
        <w:rPr>
          <w:rFonts w:ascii="仿宋_GB2312" w:hAnsi="宋体" w:eastAsia="仿宋_GB2312" w:cs="仿宋_GB2312"/>
          <w:lang w:val="en-US"/>
        </w:rPr>
        <w:t>.</w:t>
      </w:r>
      <w:r>
        <w:rPr>
          <w:rFonts w:hint="eastAsia" w:ascii="仿宋_GB2312" w:hAnsi="宋体" w:eastAsia="仿宋_GB2312" w:cs="仿宋_GB2312"/>
          <w:lang w:val="en-US"/>
        </w:rPr>
        <w:t>形成</w:t>
      </w:r>
      <w:r>
        <w:rPr>
          <w:rFonts w:hint="eastAsia" w:ascii="仿宋_GB2312" w:hAnsi="宋体" w:eastAsia="仿宋_GB2312" w:cs="仿宋_GB2312"/>
          <w:lang w:val="en-US" w:eastAsia="zh-CN"/>
        </w:rPr>
        <w:t>《</w:t>
      </w:r>
      <w:r>
        <w:rPr>
          <w:rFonts w:hint="eastAsia" w:ascii="仿宋_GB2312" w:hAnsi="宋体" w:eastAsia="仿宋_GB2312" w:cs="仿宋_GB2312"/>
          <w:lang w:val="en-US"/>
        </w:rPr>
        <w:t>服务周报</w:t>
      </w:r>
      <w:r>
        <w:rPr>
          <w:rFonts w:hint="eastAsia" w:ascii="仿宋_GB2312" w:hAnsi="宋体" w:eastAsia="仿宋_GB2312" w:cs="仿宋_GB2312"/>
          <w:lang w:val="en-US" w:eastAsia="zh-CN"/>
        </w:rPr>
        <w:t>》</w:t>
      </w:r>
      <w:r>
        <w:rPr>
          <w:rFonts w:hint="eastAsia" w:ascii="仿宋_GB2312" w:hAnsi="宋体" w:eastAsia="仿宋_GB2312" w:cs="仿宋_GB2312"/>
          <w:lang w:val="en-US"/>
        </w:rPr>
        <w:t>52份，《运维月报》10份，《运维季报》2份，《半年报》1份，《年报》1份。日常巡检记录249份，全年工作量工单1份。</w:t>
      </w:r>
    </w:p>
    <w:p>
      <w:pPr>
        <w:pStyle w:val="3"/>
        <w:keepNext w:val="0"/>
        <w:keepLines w:val="0"/>
        <w:spacing w:before="0" w:after="0" w:line="360" w:lineRule="auto"/>
        <w:ind w:firstLine="640" w:firstLineChars="200"/>
        <w:rPr>
          <w:rFonts w:ascii="仿宋_GB2312" w:eastAsia="仿宋_GB2312" w:cs="仿宋_GB2312"/>
        </w:rPr>
      </w:pPr>
      <w:bookmarkStart w:id="38" w:name="_Toc5069"/>
      <w:r>
        <w:rPr>
          <w:rFonts w:hint="eastAsia" w:ascii="仿宋_GB2312" w:hAnsi="仿宋_GB2312" w:eastAsia="仿宋_GB2312" w:cs="仿宋_GB2312"/>
          <w:b w:val="0"/>
        </w:rPr>
        <w:t>（四）项目效益情况</w:t>
      </w:r>
      <w:bookmarkEnd w:id="38"/>
    </w:p>
    <w:p>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2</w:t>
      </w:r>
      <w:r>
        <w:rPr>
          <w:rFonts w:ascii="仿宋_GB2312" w:eastAsia="仿宋_GB2312" w:cs="仿宋_GB2312"/>
          <w:sz w:val="32"/>
          <w:szCs w:val="32"/>
        </w:rPr>
        <w:t>02</w:t>
      </w:r>
      <w:r>
        <w:rPr>
          <w:rFonts w:hint="eastAsia" w:ascii="仿宋_GB2312" w:eastAsia="仿宋_GB2312" w:cs="仿宋_GB2312"/>
          <w:sz w:val="32"/>
          <w:szCs w:val="32"/>
        </w:rPr>
        <w:t>3年度区检察院通过信息化运维费项目的实施，保障了区检察院信息化系统的稳定运行，满足了检察业务信息化多元化发展和信息技术的快速更新，进一步完善了区检察院信息化服务体系，为检察工作的顺利开展提供了有效信息化保障。</w:t>
      </w:r>
    </w:p>
    <w:p>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rPr>
        <w:t>区检察院在项目决策、组织实施环节采取了较为有效的管理控制措施，项目实际完成内容与项目设立初衷及预期目标保持了一致，项目绩效的整体达成情况良好。</w:t>
      </w:r>
    </w:p>
    <w:p>
      <w:pPr>
        <w:pStyle w:val="2"/>
        <w:spacing w:line="360" w:lineRule="auto"/>
        <w:ind w:left="0" w:leftChars="0" w:firstLine="640" w:firstLineChars="200"/>
        <w:rPr>
          <w:rFonts w:ascii="黑体" w:hAnsi="黑体" w:eastAsia="黑体"/>
          <w:b w:val="0"/>
          <w:bCs w:val="0"/>
          <w:kern w:val="2"/>
          <w:szCs w:val="32"/>
          <w:highlight w:val="none"/>
        </w:rPr>
      </w:pPr>
      <w:bookmarkStart w:id="39" w:name="_Toc424911766"/>
      <w:bookmarkStart w:id="40" w:name="_Toc375717379"/>
      <w:bookmarkStart w:id="41" w:name="_Toc17668"/>
      <w:r>
        <w:rPr>
          <w:rFonts w:hint="eastAsia" w:ascii="黑体" w:hAnsi="黑体" w:eastAsia="黑体"/>
          <w:b w:val="0"/>
          <w:bCs w:val="0"/>
          <w:kern w:val="2"/>
          <w:szCs w:val="32"/>
          <w:highlight w:val="none"/>
        </w:rPr>
        <w:t>五、</w:t>
      </w:r>
      <w:bookmarkEnd w:id="39"/>
      <w:bookmarkEnd w:id="40"/>
      <w:r>
        <w:rPr>
          <w:rFonts w:hint="eastAsia" w:ascii="黑体" w:hAnsi="黑体" w:eastAsia="黑体"/>
          <w:b w:val="0"/>
          <w:bCs w:val="0"/>
          <w:kern w:val="2"/>
          <w:szCs w:val="32"/>
          <w:highlight w:val="none"/>
        </w:rPr>
        <w:t>主要经验及做法、存在的问题及原因分析</w:t>
      </w:r>
      <w:bookmarkEnd w:id="41"/>
    </w:p>
    <w:p>
      <w:pPr>
        <w:pStyle w:val="3"/>
        <w:keepNext w:val="0"/>
        <w:keepLines w:val="0"/>
        <w:spacing w:before="0" w:after="0" w:line="360" w:lineRule="auto"/>
        <w:ind w:firstLine="640" w:firstLineChars="200"/>
        <w:rPr>
          <w:rFonts w:ascii="楷体" w:hAnsi="楷体" w:eastAsia="楷体"/>
          <w:b w:val="0"/>
          <w:highlight w:val="none"/>
        </w:rPr>
      </w:pPr>
      <w:bookmarkStart w:id="42" w:name="_Toc32328"/>
      <w:bookmarkStart w:id="43" w:name="_Toc375717380"/>
      <w:bookmarkStart w:id="44" w:name="_Toc424911767"/>
      <w:r>
        <w:rPr>
          <w:rFonts w:hint="eastAsia" w:ascii="仿宋_GB2312" w:hAnsi="仿宋_GB2312" w:eastAsia="仿宋_GB2312" w:cs="仿宋_GB2312"/>
          <w:b w:val="0"/>
          <w:highlight w:val="none"/>
        </w:rPr>
        <w:t>（一）主要经验及做法</w:t>
      </w:r>
      <w:bookmarkEnd w:id="42"/>
    </w:p>
    <w:p>
      <w:pPr>
        <w:spacing w:line="360" w:lineRule="auto"/>
        <w:ind w:firstLine="640" w:firstLineChars="200"/>
        <w:rPr>
          <w:rFonts w:ascii="仿宋_GB2312" w:eastAsia="仿宋_GB2312" w:cs="仿宋_GB2312"/>
          <w:sz w:val="32"/>
          <w:szCs w:val="32"/>
          <w:highlight w:val="none"/>
        </w:rPr>
      </w:pPr>
      <w:r>
        <w:rPr>
          <w:rFonts w:ascii="仿宋_GB2312" w:eastAsia="仿宋_GB2312" w:cs="仿宋_GB2312"/>
          <w:sz w:val="32"/>
          <w:szCs w:val="32"/>
          <w:highlight w:val="none"/>
        </w:rPr>
        <w:t>1.</w:t>
      </w:r>
      <w:r>
        <w:rPr>
          <w:rFonts w:hint="eastAsia" w:ascii="仿宋_GB2312" w:eastAsia="仿宋_GB2312" w:cs="仿宋_GB2312"/>
          <w:sz w:val="32"/>
          <w:szCs w:val="32"/>
          <w:highlight w:val="none"/>
        </w:rPr>
        <w:t>在项目人员管理方面，区检察院要求第三方服务单位注重员工的业务素质培训，通过参加岗位培训等形式来提高服务人员的操作技能，能够确保其对信息化服务工作的充分掌握，来更好的提供服务。</w:t>
      </w:r>
    </w:p>
    <w:p>
      <w:pPr>
        <w:spacing w:line="360" w:lineRule="auto"/>
        <w:ind w:firstLine="640" w:firstLineChars="200"/>
        <w:rPr>
          <w:rFonts w:ascii="仿宋_GB2312" w:eastAsia="仿宋_GB2312" w:cs="仿宋_GB2312"/>
          <w:sz w:val="32"/>
          <w:szCs w:val="32"/>
          <w:highlight w:val="none"/>
        </w:rPr>
      </w:pPr>
      <w:r>
        <w:rPr>
          <w:rFonts w:ascii="仿宋_GB2312" w:eastAsia="仿宋_GB2312" w:cs="仿宋_GB2312"/>
          <w:sz w:val="32"/>
          <w:szCs w:val="32"/>
          <w:highlight w:val="none"/>
        </w:rPr>
        <w:t>2.</w:t>
      </w:r>
      <w:r>
        <w:rPr>
          <w:rFonts w:hint="eastAsia" w:ascii="仿宋_GB2312" w:eastAsia="仿宋_GB2312" w:cs="仿宋_GB2312"/>
          <w:sz w:val="32"/>
          <w:szCs w:val="32"/>
          <w:highlight w:val="none"/>
        </w:rPr>
        <w:t>区检察院较为重视日常管理考核工作，并把信息化运维费项目纳入年度关键工作任务进行管理。通过日常的考核监督，能够较为充分的掌握第三方所提供的服务工作状态，较好的确保了各项工作的有效进行。</w:t>
      </w:r>
    </w:p>
    <w:p>
      <w:pPr>
        <w:spacing w:line="360" w:lineRule="auto"/>
        <w:ind w:firstLine="640" w:firstLineChars="200"/>
        <w:rPr>
          <w:rFonts w:ascii="仿宋_GB2312" w:eastAsia="仿宋_GB2312" w:cs="仿宋_GB2312"/>
          <w:sz w:val="32"/>
          <w:szCs w:val="32"/>
          <w:highlight w:val="none"/>
        </w:rPr>
      </w:pPr>
      <w:r>
        <w:rPr>
          <w:rFonts w:ascii="仿宋_GB2312" w:eastAsia="仿宋_GB2312" w:cs="仿宋_GB2312"/>
          <w:sz w:val="32"/>
          <w:szCs w:val="32"/>
          <w:highlight w:val="none"/>
        </w:rPr>
        <w:t>3.</w:t>
      </w:r>
      <w:r>
        <w:rPr>
          <w:rFonts w:hint="eastAsia" w:ascii="仿宋_GB2312" w:eastAsia="仿宋_GB2312" w:cs="仿宋_GB2312"/>
          <w:sz w:val="32"/>
          <w:szCs w:val="32"/>
          <w:highlight w:val="none"/>
        </w:rPr>
        <w:t>区检察院要求第三方服务单位认真做好项目的计划与总结工作，注重服务质量，制定必要的服务质量考核管理制度及措施，确保服务质量的提升。</w:t>
      </w:r>
    </w:p>
    <w:p>
      <w:pPr>
        <w:pStyle w:val="3"/>
        <w:keepNext w:val="0"/>
        <w:keepLines w:val="0"/>
        <w:spacing w:before="0" w:after="0" w:line="360" w:lineRule="auto"/>
        <w:ind w:firstLine="640" w:firstLineChars="200"/>
        <w:rPr>
          <w:rFonts w:ascii="仿宋_GB2312" w:hAnsi="仿宋_GB2312" w:eastAsia="仿宋_GB2312" w:cs="仿宋_GB2312"/>
          <w:b w:val="0"/>
        </w:rPr>
      </w:pPr>
      <w:bookmarkStart w:id="45" w:name="_Toc22445"/>
      <w:r>
        <w:rPr>
          <w:rFonts w:hint="eastAsia" w:ascii="仿宋_GB2312" w:hAnsi="仿宋_GB2312" w:eastAsia="仿宋_GB2312" w:cs="仿宋_GB2312"/>
          <w:b w:val="0"/>
        </w:rPr>
        <w:t>（二）存在的问题及原因分析</w:t>
      </w:r>
      <w:bookmarkEnd w:id="45"/>
    </w:p>
    <w:p>
      <w:pPr>
        <w:spacing w:line="360" w:lineRule="auto"/>
        <w:ind w:firstLine="640" w:firstLineChars="200"/>
        <w:rPr>
          <w:rFonts w:ascii="仿宋_GB2312" w:eastAsia="仿宋_GB2312" w:cs="仿宋_GB2312"/>
          <w:b/>
          <w:sz w:val="32"/>
          <w:szCs w:val="32"/>
        </w:rPr>
      </w:pPr>
      <w:r>
        <w:rPr>
          <w:rFonts w:hint="eastAsia" w:ascii="仿宋_GB2312" w:eastAsia="仿宋_GB2312" w:cs="仿宋_GB2312"/>
          <w:sz w:val="32"/>
          <w:szCs w:val="32"/>
        </w:rPr>
        <w:t>1</w:t>
      </w:r>
      <w:r>
        <w:rPr>
          <w:rFonts w:ascii="仿宋_GB2312" w:eastAsia="仿宋_GB2312" w:cs="仿宋_GB2312"/>
          <w:sz w:val="32"/>
          <w:szCs w:val="32"/>
        </w:rPr>
        <w:t>.</w:t>
      </w:r>
      <w:r>
        <w:rPr>
          <w:rFonts w:hint="eastAsia" w:ascii="仿宋_GB2312" w:eastAsia="仿宋_GB2312" w:cs="仿宋_GB2312"/>
          <w:sz w:val="32"/>
          <w:szCs w:val="32"/>
        </w:rPr>
        <w:t>项目绩效目标申报表在绩效目标的设定上存在一定的问题，部分绩效目标设置不够精细，效益量化不完整。</w:t>
      </w:r>
    </w:p>
    <w:p>
      <w:pPr>
        <w:spacing w:line="360" w:lineRule="auto"/>
        <w:ind w:firstLine="640" w:firstLineChars="200"/>
        <w:rPr>
          <w:rFonts w:ascii="仿宋_GB2312" w:eastAsia="仿宋_GB2312" w:cs="仿宋_GB2312"/>
          <w:bCs/>
          <w:sz w:val="32"/>
          <w:szCs w:val="32"/>
        </w:rPr>
      </w:pPr>
      <w:r>
        <w:rPr>
          <w:rFonts w:hint="eastAsia" w:ascii="仿宋_GB2312" w:eastAsia="仿宋_GB2312" w:cs="仿宋_GB2312"/>
          <w:sz w:val="32"/>
          <w:szCs w:val="32"/>
        </w:rPr>
        <w:t>2</w:t>
      </w:r>
      <w:r>
        <w:rPr>
          <w:rFonts w:ascii="仿宋_GB2312" w:eastAsia="仿宋_GB2312" w:cs="仿宋_GB2312"/>
          <w:sz w:val="32"/>
          <w:szCs w:val="32"/>
        </w:rPr>
        <w:t>.</w:t>
      </w:r>
      <w:r>
        <w:rPr>
          <w:rFonts w:hint="eastAsia" w:ascii="仿宋_GB2312" w:eastAsia="仿宋_GB2312" w:cs="仿宋_GB2312"/>
          <w:sz w:val="32"/>
          <w:szCs w:val="32"/>
        </w:rPr>
        <w:t>由于项目实施内容为机构运维的常规延续性项目，绩效成果主要体现在对稳定信息化运维提供的支持与保障，服务对象是区检察院的工作人员，但未能组织开展满意度调查工作。</w:t>
      </w:r>
    </w:p>
    <w:bookmarkEnd w:id="43"/>
    <w:bookmarkEnd w:id="44"/>
    <w:p>
      <w:pPr>
        <w:pStyle w:val="2"/>
        <w:spacing w:line="360" w:lineRule="auto"/>
        <w:ind w:left="0" w:leftChars="0" w:firstLine="640" w:firstLineChars="200"/>
        <w:rPr>
          <w:rFonts w:ascii="黑体" w:hAnsi="黑体" w:eastAsia="黑体"/>
          <w:b w:val="0"/>
          <w:bCs w:val="0"/>
          <w:kern w:val="2"/>
          <w:szCs w:val="32"/>
        </w:rPr>
      </w:pPr>
      <w:bookmarkStart w:id="46" w:name="_Toc375717381"/>
      <w:bookmarkStart w:id="47" w:name="_Toc424911768"/>
      <w:bookmarkStart w:id="48" w:name="_Toc14363"/>
      <w:r>
        <w:rPr>
          <w:rFonts w:hint="eastAsia" w:ascii="黑体" w:hAnsi="黑体" w:eastAsia="黑体"/>
          <w:b w:val="0"/>
          <w:bCs w:val="0"/>
          <w:kern w:val="2"/>
          <w:szCs w:val="32"/>
        </w:rPr>
        <w:t>六、有关建议</w:t>
      </w:r>
      <w:bookmarkEnd w:id="46"/>
      <w:bookmarkEnd w:id="47"/>
      <w:bookmarkEnd w:id="48"/>
    </w:p>
    <w:p>
      <w:pPr>
        <w:spacing w:line="360" w:lineRule="auto"/>
        <w:ind w:firstLine="640" w:firstLineChars="200"/>
        <w:rPr>
          <w:rFonts w:ascii="仿宋_GB2312" w:hAnsi="仿宋_GB2312" w:eastAsia="仿宋_GB2312" w:cs="仿宋_GB2312"/>
          <w:sz w:val="32"/>
          <w:szCs w:val="32"/>
        </w:rPr>
      </w:pPr>
      <w:bookmarkStart w:id="49" w:name="_Toc375717382"/>
      <w:bookmarkStart w:id="50" w:name="_Toc424911769"/>
      <w:bookmarkStart w:id="51" w:name="_Toc346017221"/>
      <w:r>
        <w:rPr>
          <w:rFonts w:hint="eastAsia" w:ascii="仿宋_GB2312" w:hAnsi="仿宋_GB2312" w:eastAsia="仿宋_GB2312" w:cs="仿宋_GB2312"/>
          <w:sz w:val="32"/>
          <w:szCs w:val="32"/>
        </w:rPr>
        <w:t>（一）</w:t>
      </w:r>
      <w:r>
        <w:rPr>
          <w:rFonts w:hint="eastAsia" w:ascii="仿宋_GB2312" w:eastAsia="仿宋_GB2312" w:cs="仿宋_GB2312"/>
          <w:sz w:val="32"/>
          <w:szCs w:val="32"/>
        </w:rPr>
        <w:t>提高项目的绩效管理水平，学习与掌握规范编制绩效目标申报表的技巧。根据工作内容梳理数量指标和质量指标；根据详细的预算控制成本指标；根据方案计划安排进度指标；根据实施目的和预期效果制定效益指标。各项指标应符合细化、量化、可衡量的基本条件。重视目标填报的时效性，提升绩效目标的指导作用，便于项目实施过程中的监督检查及对项目实施效果的衡量。</w:t>
      </w:r>
      <w:r>
        <w:rPr>
          <w:rFonts w:hint="eastAsia" w:ascii="仿宋_GB2312" w:hAnsi="仿宋_GB2312" w:eastAsia="仿宋_GB2312" w:cs="仿宋_GB2312"/>
          <w:sz w:val="32"/>
          <w:szCs w:val="32"/>
        </w:rPr>
        <w:t>进一步</w:t>
      </w:r>
      <w:r>
        <w:rPr>
          <w:rFonts w:hint="eastAsia" w:ascii="仿宋_GB2312" w:eastAsia="仿宋_GB2312" w:cs="仿宋_GB2312"/>
          <w:sz w:val="32"/>
          <w:szCs w:val="32"/>
        </w:rPr>
        <w:t>将项目预算管理提升至单位层面，坚持以项目预期目标为导向来决策项目内容。作为延续性项目，在决策过程中要对以前年度实施方式相对固化或资金支出占比较大的内容引起格外注意，加强对原有预算执行的成果进行分析，总结以前年度工作的有益经验与存在的不足。结合项目成本投入水平所对应的绩效目标，</w:t>
      </w:r>
      <w:r>
        <w:rPr>
          <w:rFonts w:hint="eastAsia" w:ascii="仿宋_GB2312" w:eastAsia="仿宋_GB2312" w:cs="仿宋_GB2312"/>
          <w:bCs/>
          <w:sz w:val="32"/>
          <w:szCs w:val="32"/>
        </w:rPr>
        <w:t>提出若干实现该目标的替代方案，运用成本效益分析的方法，计算出每种方案的成本投入和效益对比，选择最合理的成本取得最大效益的实施方案，</w:t>
      </w:r>
      <w:r>
        <w:rPr>
          <w:rFonts w:hint="eastAsia" w:ascii="仿宋_GB2312" w:eastAsia="仿宋_GB2312" w:cs="仿宋_GB2312"/>
          <w:sz w:val="32"/>
          <w:szCs w:val="32"/>
        </w:rPr>
        <w:t>进一步提高预算决策的科学性。</w:t>
      </w:r>
    </w:p>
    <w:p>
      <w:pPr>
        <w:spacing w:line="360" w:lineRule="auto"/>
        <w:ind w:firstLine="640" w:firstLineChars="200"/>
        <w:rPr>
          <w:rFonts w:eastAsia="仿宋_GB2312" w:cs="仿宋_GB2312"/>
          <w:sz w:val="32"/>
          <w:szCs w:val="32"/>
        </w:rPr>
      </w:pPr>
      <w:r>
        <w:rPr>
          <w:rFonts w:hint="eastAsia" w:ascii="仿宋_GB2312" w:eastAsia="仿宋_GB2312" w:cs="仿宋_GB2312"/>
          <w:sz w:val="32"/>
          <w:szCs w:val="32"/>
        </w:rPr>
        <w:t>（二）加强对项目实施过程的精细化管理，强化对项目实施过程的监督管理工作，重视项目实施过程性资料及成果资料的收集与整理，完善项目档案管理工作。全面、深入总结项目实施效果和不足，加强对项目材料的总结提炼，充分体现项目的执行效果，</w:t>
      </w:r>
      <w:r>
        <w:rPr>
          <w:rFonts w:hint="eastAsia" w:ascii="仿宋_GB2312" w:eastAsia="仿宋_GB2312" w:cs="仿宋_GB2312"/>
          <w:sz w:val="32"/>
          <w:szCs w:val="32"/>
          <w:lang w:eastAsia="zh-CN"/>
        </w:rPr>
        <w:t>促进</w:t>
      </w:r>
      <w:r>
        <w:rPr>
          <w:rFonts w:hint="eastAsia" w:ascii="仿宋_GB2312" w:eastAsia="仿宋_GB2312" w:cs="仿宋_GB2312"/>
          <w:sz w:val="32"/>
          <w:szCs w:val="32"/>
        </w:rPr>
        <w:t>财政资金发挥更大的作用。</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_GB2312" w:eastAsia="仿宋_GB2312"/>
          <w:sz w:val="32"/>
          <w:szCs w:val="32"/>
        </w:rPr>
        <w:t>进一步加强预算管理，细化项目的实施方案，明确资金使用标准和依据，不断完善，能全面反映项目产出、效果及效率的指标。下一步，我们将会提高预算编制的准确性，强化绩效目标管理。根据项目年度工作内容和总体目标，合理编制、细化预算，结合实际情况，科学合理设置绩效目标和绩效指标，确保指标设置能够全面体现工作任务的主要产出和效益。</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w:t>
      </w:r>
      <w:r>
        <w:rPr>
          <w:rFonts w:hint="eastAsia" w:ascii="仿宋_GB2312" w:eastAsia="仿宋_GB2312" w:cs="仿宋_GB2312"/>
          <w:bCs/>
          <w:sz w:val="32"/>
          <w:szCs w:val="32"/>
        </w:rPr>
        <w:t>作为延续性项目，应总结分析项目历年</w:t>
      </w:r>
      <w:r>
        <w:rPr>
          <w:rFonts w:ascii="仿宋_GB2312" w:eastAsia="仿宋_GB2312" w:cs="仿宋_GB2312"/>
          <w:bCs/>
          <w:sz w:val="32"/>
          <w:szCs w:val="32"/>
        </w:rPr>
        <w:t>实施的</w:t>
      </w:r>
      <w:r>
        <w:rPr>
          <w:rFonts w:hint="eastAsia" w:ascii="仿宋_GB2312" w:eastAsia="仿宋_GB2312" w:cs="仿宋_GB2312"/>
          <w:bCs/>
          <w:sz w:val="32"/>
          <w:szCs w:val="32"/>
        </w:rPr>
        <w:t>情况</w:t>
      </w:r>
      <w:r>
        <w:rPr>
          <w:rFonts w:ascii="仿宋_GB2312" w:eastAsia="仿宋_GB2312" w:cs="仿宋_GB2312"/>
          <w:bCs/>
          <w:sz w:val="32"/>
          <w:szCs w:val="32"/>
        </w:rPr>
        <w:t>，</w:t>
      </w:r>
      <w:r>
        <w:rPr>
          <w:rFonts w:hint="eastAsia" w:ascii="仿宋_GB2312" w:eastAsia="仿宋_GB2312" w:cs="仿宋_GB2312"/>
          <w:bCs/>
          <w:sz w:val="32"/>
          <w:szCs w:val="32"/>
        </w:rPr>
        <w:t>及时全面归集项目实际效果资料，完善项目实施后对于目标实现的支撑作用。认真做好满意度调查工作，克服项目在满意度调查方面存在的客观困难。认真做好满意度调查分析工作，收集、分析服务目标群体对于项目实施的意见与建议。通过满意度调查工作，起到持续改进和不断完善的目的，促进财政资金发挥更大的作用。</w:t>
      </w:r>
    </w:p>
    <w:p>
      <w:pPr>
        <w:pStyle w:val="2"/>
        <w:spacing w:line="360" w:lineRule="auto"/>
        <w:ind w:left="0" w:leftChars="0" w:firstLine="640" w:firstLineChars="200"/>
        <w:rPr>
          <w:rFonts w:ascii="黑体" w:hAnsi="黑体" w:eastAsia="黑体"/>
          <w:b w:val="0"/>
          <w:bCs w:val="0"/>
          <w:kern w:val="2"/>
          <w:szCs w:val="32"/>
        </w:rPr>
      </w:pPr>
      <w:bookmarkStart w:id="52" w:name="_Toc7278"/>
      <w:r>
        <w:rPr>
          <w:rFonts w:hint="eastAsia" w:ascii="黑体" w:hAnsi="黑体" w:eastAsia="黑体"/>
          <w:b w:val="0"/>
          <w:bCs w:val="0"/>
          <w:kern w:val="2"/>
          <w:szCs w:val="32"/>
        </w:rPr>
        <w:t>七、</w:t>
      </w:r>
      <w:bookmarkEnd w:id="49"/>
      <w:bookmarkEnd w:id="50"/>
      <w:bookmarkEnd w:id="51"/>
      <w:r>
        <w:rPr>
          <w:rFonts w:hint="eastAsia" w:ascii="黑体" w:hAnsi="黑体" w:eastAsia="黑体"/>
          <w:b w:val="0"/>
          <w:bCs w:val="0"/>
          <w:kern w:val="2"/>
          <w:szCs w:val="32"/>
        </w:rPr>
        <w:t>其他需要说明的问题</w:t>
      </w:r>
      <w:bookmarkEnd w:id="52"/>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无。 </w:t>
      </w:r>
      <w:r>
        <w:rPr>
          <w:rFonts w:ascii="仿宋_GB2312" w:eastAsia="仿宋_GB2312" w:cs="仿宋_GB2312"/>
          <w:sz w:val="32"/>
          <w:szCs w:val="32"/>
        </w:rPr>
        <w:t xml:space="preserve">       </w:t>
      </w:r>
    </w:p>
    <w:p>
      <w:pPr>
        <w:spacing w:line="600" w:lineRule="exact"/>
        <w:ind w:left="105" w:leftChars="50" w:firstLine="480" w:firstLineChars="150"/>
        <w:rPr>
          <w:rFonts w:ascii="仿宋_GB2312" w:eastAsia="仿宋_GB2312"/>
          <w:sz w:val="32"/>
          <w:szCs w:val="32"/>
        </w:rPr>
      </w:pPr>
    </w:p>
    <w:p>
      <w:pPr>
        <w:spacing w:line="600" w:lineRule="exact"/>
        <w:ind w:left="105" w:leftChars="50" w:firstLine="480" w:firstLineChars="150"/>
        <w:rPr>
          <w:rFonts w:ascii="仿宋_GB2312" w:eastAsia="仿宋_GB2312"/>
          <w:sz w:val="32"/>
          <w:szCs w:val="32"/>
        </w:rPr>
      </w:pPr>
    </w:p>
    <w:p>
      <w:pPr>
        <w:spacing w:line="600" w:lineRule="exact"/>
        <w:ind w:left="105" w:leftChars="50" w:firstLine="480" w:firstLineChars="150"/>
        <w:rPr>
          <w:rFonts w:ascii="仿宋_GB2312" w:eastAsia="仿宋_GB2312"/>
          <w:sz w:val="32"/>
          <w:szCs w:val="32"/>
        </w:rPr>
      </w:pPr>
      <w:r>
        <w:rPr>
          <w:rFonts w:hint="eastAsia" w:ascii="仿宋_GB2312" w:eastAsia="仿宋_GB2312"/>
          <w:sz w:val="32"/>
          <w:szCs w:val="32"/>
        </w:rPr>
        <w:t>附件：2023年密云检察院信息化运维费项目指标体系及打分情况表</w:t>
      </w:r>
    </w:p>
    <w:p>
      <w:pPr>
        <w:rPr>
          <w:rFonts w:ascii="Times New Roman" w:hAnsi="Times New Roman" w:eastAsia="仿宋_GB2312"/>
          <w:sz w:val="32"/>
          <w:szCs w:val="32"/>
        </w:rPr>
        <w:sectPr>
          <w:footerReference r:id="rId3" w:type="default"/>
          <w:pgSz w:w="11906" w:h="16838"/>
          <w:pgMar w:top="2098" w:right="1474" w:bottom="1985" w:left="1588" w:header="851" w:footer="992" w:gutter="0"/>
          <w:pgNumType w:start="1"/>
          <w:cols w:space="720" w:num="1"/>
          <w:docGrid w:linePitch="312" w:charSpace="0"/>
        </w:sectPr>
      </w:pPr>
      <w:r>
        <w:rPr>
          <w:rFonts w:ascii="仿宋_GB2312" w:eastAsia="仿宋_GB2312" w:cs="仿宋_GB2312"/>
          <w:sz w:val="32"/>
          <w:szCs w:val="32"/>
        </w:rPr>
        <w:br w:type="page"/>
      </w:r>
    </w:p>
    <w:p>
      <w:pPr>
        <w:spacing w:after="140"/>
        <w:jc w:val="center"/>
        <w:rPr>
          <w:rFonts w:ascii="宋体" w:hAnsi="宋体" w:cs="宋体"/>
          <w:color w:val="000000"/>
          <w:kern w:val="0"/>
          <w:sz w:val="22"/>
          <w:lang w:val="zh-TW" w:eastAsia="zh-TW" w:bidi="zh-TW"/>
        </w:rPr>
      </w:pPr>
      <w:r>
        <w:rPr>
          <w:rFonts w:hint="eastAsia" w:ascii="宋体" w:hAnsi="宋体" w:cs="宋体"/>
          <w:color w:val="000000"/>
          <w:kern w:val="0"/>
          <w:sz w:val="22"/>
          <w:lang w:val="zh-TW" w:eastAsia="zh-TW" w:bidi="zh-TW"/>
        </w:rPr>
        <w:t>202</w:t>
      </w:r>
      <w:r>
        <w:rPr>
          <w:rFonts w:hint="eastAsia" w:ascii="宋体" w:hAnsi="宋体" w:cs="宋体"/>
          <w:color w:val="000000"/>
          <w:kern w:val="0"/>
          <w:sz w:val="22"/>
          <w:lang w:bidi="zh-TW"/>
        </w:rPr>
        <w:t>3</w:t>
      </w:r>
      <w:r>
        <w:rPr>
          <w:rFonts w:hint="eastAsia" w:ascii="宋体" w:hAnsi="宋体" w:cs="宋体"/>
          <w:color w:val="000000"/>
          <w:kern w:val="0"/>
          <w:sz w:val="22"/>
          <w:lang w:val="zh-TW" w:eastAsia="zh-TW" w:bidi="zh-TW"/>
        </w:rPr>
        <w:t>年密云检察院信息化运维费项目</w:t>
      </w:r>
      <w:r>
        <w:rPr>
          <w:rFonts w:ascii="宋体" w:hAnsi="宋体" w:cs="宋体"/>
          <w:color w:val="000000"/>
          <w:kern w:val="0"/>
          <w:sz w:val="22"/>
          <w:lang w:val="zh-TW" w:eastAsia="zh-TW" w:bidi="zh-TW"/>
        </w:rPr>
        <w:t>指标体系及打分情况表</w:t>
      </w:r>
    </w:p>
    <w:tbl>
      <w:tblPr>
        <w:tblStyle w:val="26"/>
        <w:tblW w:w="13601" w:type="dxa"/>
        <w:jc w:val="center"/>
        <w:tblInd w:w="0" w:type="dxa"/>
        <w:tblLayout w:type="fixed"/>
        <w:tblCellMar>
          <w:top w:w="0" w:type="dxa"/>
          <w:left w:w="10" w:type="dxa"/>
          <w:bottom w:w="0" w:type="dxa"/>
          <w:right w:w="10" w:type="dxa"/>
        </w:tblCellMar>
      </w:tblPr>
      <w:tblGrid>
        <w:gridCol w:w="762"/>
        <w:gridCol w:w="809"/>
        <w:gridCol w:w="814"/>
        <w:gridCol w:w="874"/>
        <w:gridCol w:w="1094"/>
        <w:gridCol w:w="5386"/>
        <w:gridCol w:w="1127"/>
        <w:gridCol w:w="2735"/>
      </w:tblGrid>
      <w:tr>
        <w:tblPrEx>
          <w:tblLayout w:type="fixed"/>
          <w:tblCellMar>
            <w:top w:w="0" w:type="dxa"/>
            <w:left w:w="10" w:type="dxa"/>
            <w:bottom w:w="0" w:type="dxa"/>
            <w:right w:w="10" w:type="dxa"/>
          </w:tblCellMar>
        </w:tblPrEx>
        <w:trPr>
          <w:trHeight w:val="524" w:hRule="exact"/>
          <w:jc w:val="center"/>
        </w:trPr>
        <w:tc>
          <w:tcPr>
            <w:tcW w:w="762"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一级指标</w:t>
            </w:r>
          </w:p>
        </w:tc>
        <w:tc>
          <w:tcPr>
            <w:tcW w:w="809"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en-US" w:eastAsia="zh-CN" w:bidi="zh-TW"/>
              </w:rPr>
              <w:t>二</w:t>
            </w:r>
            <w:r>
              <w:rPr>
                <w:rFonts w:ascii="宋体" w:hAnsi="宋体" w:cs="宋体"/>
                <w:color w:val="000000"/>
                <w:kern w:val="0"/>
                <w:sz w:val="14"/>
                <w:szCs w:val="14"/>
                <w:lang w:val="zh-TW" w:eastAsia="zh-TW" w:bidi="zh-TW"/>
              </w:rPr>
              <w:t>级指标</w:t>
            </w:r>
          </w:p>
        </w:tc>
        <w:tc>
          <w:tcPr>
            <w:tcW w:w="814"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三级指标</w:t>
            </w:r>
          </w:p>
        </w:tc>
        <w:tc>
          <w:tcPr>
            <w:tcW w:w="874"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四级指标</w:t>
            </w:r>
          </w:p>
        </w:tc>
        <w:tc>
          <w:tcPr>
            <w:tcW w:w="1094"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评分</w:t>
            </w:r>
          </w:p>
        </w:tc>
        <w:tc>
          <w:tcPr>
            <w:tcW w:w="5386"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评价内容（标准）</w:t>
            </w:r>
          </w:p>
        </w:tc>
        <w:tc>
          <w:tcPr>
            <w:tcW w:w="1127"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zh-TW" w:bidi="zh-TW"/>
              </w:rPr>
              <w:t>评价得分</w:t>
            </w:r>
          </w:p>
        </w:tc>
        <w:tc>
          <w:tcPr>
            <w:tcW w:w="2735" w:type="dxa"/>
            <w:tcBorders>
              <w:top w:val="single" w:color="auto" w:sz="4" w:space="0"/>
              <w:left w:val="single" w:color="auto" w:sz="4" w:space="0"/>
              <w:right w:val="single" w:color="auto" w:sz="4" w:space="0"/>
            </w:tcBorders>
            <w:shd w:val="clear" w:color="auto" w:fill="FFFFFF"/>
            <w:vAlign w:val="center"/>
          </w:tcPr>
          <w:p>
            <w:pPr>
              <w:ind w:left="1060"/>
              <w:jc w:val="both"/>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扣分原因</w:t>
            </w:r>
          </w:p>
        </w:tc>
      </w:tr>
      <w:tr>
        <w:tblPrEx>
          <w:tblLayout w:type="fixed"/>
          <w:tblCellMar>
            <w:top w:w="0" w:type="dxa"/>
            <w:left w:w="10" w:type="dxa"/>
            <w:bottom w:w="0" w:type="dxa"/>
            <w:right w:w="10" w:type="dxa"/>
          </w:tblCellMar>
        </w:tblPrEx>
        <w:trPr>
          <w:trHeight w:val="1290" w:hRule="exact"/>
          <w:jc w:val="center"/>
        </w:trPr>
        <w:tc>
          <w:tcPr>
            <w:tcW w:w="762" w:type="dxa"/>
            <w:vMerge w:val="restart"/>
            <w:tcBorders>
              <w:top w:val="single" w:color="auto" w:sz="4" w:space="0"/>
              <w:left w:val="single" w:color="auto" w:sz="4" w:space="0"/>
            </w:tcBorders>
            <w:shd w:val="clear" w:color="auto" w:fill="FFFFFF"/>
            <w:vAlign w:val="center"/>
          </w:tcPr>
          <w:p>
            <w:pPr>
              <w:spacing w:line="187"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项目决策 （15 分）</w:t>
            </w:r>
          </w:p>
        </w:tc>
        <w:tc>
          <w:tcPr>
            <w:tcW w:w="809"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绩效</w:t>
            </w:r>
            <w:r>
              <w:rPr>
                <w:rFonts w:hint="eastAsia" w:ascii="宋体" w:hAnsi="宋体" w:cs="宋体"/>
                <w:color w:val="000000"/>
                <w:kern w:val="0"/>
                <w:sz w:val="14"/>
                <w:szCs w:val="14"/>
                <w:lang w:val="zh-TW" w:bidi="zh-TW"/>
              </w:rPr>
              <w:t>目</w:t>
            </w:r>
            <w:r>
              <w:rPr>
                <w:rFonts w:ascii="宋体" w:hAnsi="宋体" w:cs="宋体"/>
                <w:color w:val="000000"/>
                <w:kern w:val="0"/>
                <w:sz w:val="14"/>
                <w:szCs w:val="14"/>
                <w:lang w:val="zh-TW" w:eastAsia="zh-TW" w:bidi="zh-TW"/>
              </w:rPr>
              <w:t>标</w:t>
            </w:r>
          </w:p>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814" w:type="dxa"/>
            <w:tcBorders>
              <w:top w:val="single" w:color="auto" w:sz="4" w:space="0"/>
              <w:left w:val="single" w:color="auto" w:sz="4" w:space="0"/>
            </w:tcBorders>
            <w:shd w:val="clear" w:color="auto" w:fill="FFFFFF"/>
            <w:vAlign w:val="center"/>
          </w:tcPr>
          <w:p>
            <w:pPr>
              <w:spacing w:line="182" w:lineRule="exact"/>
              <w:jc w:val="center"/>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zh-TW" w:bidi="zh-TW"/>
              </w:rPr>
              <w:t>目</w:t>
            </w:r>
            <w:r>
              <w:rPr>
                <w:rFonts w:ascii="宋体" w:hAnsi="宋体" w:cs="宋体"/>
                <w:color w:val="000000"/>
                <w:kern w:val="0"/>
                <w:sz w:val="14"/>
                <w:szCs w:val="14"/>
                <w:lang w:val="zh-TW" w:eastAsia="zh-TW" w:bidi="zh-TW"/>
              </w:rPr>
              <w:t>标内容</w:t>
            </w:r>
          </w:p>
          <w:p>
            <w:pPr>
              <w:spacing w:line="182"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 xml:space="preserve"> （5分）</w:t>
            </w:r>
          </w:p>
        </w:tc>
        <w:tc>
          <w:tcPr>
            <w:tcW w:w="874" w:type="dxa"/>
            <w:tcBorders>
              <w:top w:val="single" w:color="auto" w:sz="4" w:space="0"/>
              <w:left w:val="single" w:color="auto" w:sz="4" w:space="0"/>
            </w:tcBorders>
            <w:shd w:val="clear" w:color="auto" w:fill="FFFFFF"/>
            <w:vAlign w:val="center"/>
          </w:tcPr>
          <w:p>
            <w:pPr>
              <w:spacing w:line="199" w:lineRule="exact"/>
              <w:jc w:val="center"/>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zh-TW" w:bidi="zh-TW"/>
              </w:rPr>
              <w:t>指</w:t>
            </w:r>
            <w:r>
              <w:rPr>
                <w:rFonts w:ascii="宋体" w:hAnsi="宋体" w:cs="宋体"/>
                <w:color w:val="000000"/>
                <w:kern w:val="0"/>
                <w:sz w:val="14"/>
                <w:szCs w:val="14"/>
                <w:lang w:val="zh-TW" w:eastAsia="zh-TW" w:bidi="zh-TW"/>
              </w:rPr>
              <w:t>标设定明确、细化、 量化；</w:t>
            </w:r>
          </w:p>
        </w:tc>
        <w:tc>
          <w:tcPr>
            <w:tcW w:w="1094"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5386" w:type="dxa"/>
            <w:tcBorders>
              <w:top w:val="single" w:color="auto" w:sz="4" w:space="0"/>
              <w:left w:val="single" w:color="auto" w:sz="4" w:space="0"/>
            </w:tcBorders>
            <w:shd w:val="clear" w:color="auto" w:fill="FFFFFF"/>
            <w:vAlign w:val="center"/>
          </w:tcPr>
          <w:p>
            <w:pPr>
              <w:spacing w:line="203" w:lineRule="exac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预定绩效</w:t>
            </w:r>
            <w:r>
              <w:rPr>
                <w:rFonts w:hint="eastAsia" w:ascii="宋体" w:hAnsi="宋体" w:cs="宋体"/>
                <w:color w:val="000000"/>
                <w:kern w:val="0"/>
                <w:sz w:val="14"/>
                <w:szCs w:val="14"/>
                <w:lang w:val="zh-TW" w:bidi="zh-TW"/>
              </w:rPr>
              <w:t>目</w:t>
            </w:r>
            <w:r>
              <w:rPr>
                <w:rFonts w:ascii="宋体" w:hAnsi="宋体" w:cs="宋体"/>
                <w:color w:val="000000"/>
                <w:kern w:val="0"/>
                <w:sz w:val="14"/>
                <w:szCs w:val="14"/>
                <w:lang w:val="zh-TW" w:eastAsia="zh-TW" w:bidi="zh-TW"/>
              </w:rPr>
              <w:t>标清晰明确，设置明确合理：</w:t>
            </w:r>
            <w:r>
              <w:rPr>
                <w:rFonts w:ascii="宋体" w:hAnsi="宋体" w:cs="宋体"/>
                <w:color w:val="000000"/>
                <w:kern w:val="0"/>
                <w:sz w:val="14"/>
                <w:szCs w:val="14"/>
                <w:lang w:bidi="en-US"/>
              </w:rPr>
              <w:t>3</w:t>
            </w:r>
            <w:r>
              <w:rPr>
                <w:rFonts w:hint="eastAsia" w:ascii="宋体" w:hAnsi="宋体" w:cs="宋体"/>
                <w:color w:val="000000"/>
                <w:kern w:val="0"/>
                <w:sz w:val="14"/>
                <w:szCs w:val="14"/>
                <w:lang w:eastAsia="zh-CN" w:bidi="en-US"/>
              </w:rPr>
              <w:t>—</w:t>
            </w:r>
            <w:r>
              <w:rPr>
                <w:rFonts w:ascii="宋体" w:hAnsi="宋体" w:cs="宋体"/>
                <w:color w:val="000000"/>
                <w:kern w:val="0"/>
                <w:sz w:val="14"/>
                <w:szCs w:val="14"/>
                <w:lang w:bidi="en-US"/>
              </w:rPr>
              <w:t>2.7</w:t>
            </w:r>
            <w:r>
              <w:rPr>
                <w:rFonts w:ascii="宋体" w:hAnsi="宋体" w:cs="宋体"/>
                <w:color w:val="000000"/>
                <w:kern w:val="0"/>
                <w:sz w:val="14"/>
                <w:szCs w:val="14"/>
                <w:lang w:val="zh-TW" w:eastAsia="zh-TW" w:bidi="zh-TW"/>
              </w:rPr>
              <w:t>分，比较明确、合理</w:t>
            </w:r>
            <w:r>
              <w:rPr>
                <w:rFonts w:ascii="宋体" w:hAnsi="宋体" w:cs="宋体"/>
                <w:color w:val="000000"/>
                <w:kern w:val="0"/>
                <w:sz w:val="14"/>
                <w:szCs w:val="14"/>
                <w:lang w:bidi="en-US"/>
              </w:rPr>
              <w:t>2.7-2.</w:t>
            </w:r>
            <w:r>
              <w:rPr>
                <w:rFonts w:ascii="宋体" w:hAnsi="宋体" w:cs="宋体"/>
                <w:color w:val="000000"/>
                <w:kern w:val="0"/>
                <w:sz w:val="14"/>
                <w:szCs w:val="14"/>
                <w:lang w:val="zh-TW" w:eastAsia="zh-TW" w:bidi="zh-TW"/>
              </w:rPr>
              <w:t>2分，基本明确：</w:t>
            </w:r>
            <w:r>
              <w:rPr>
                <w:rFonts w:ascii="宋体" w:hAnsi="宋体" w:cs="宋体"/>
                <w:color w:val="000000"/>
                <w:kern w:val="0"/>
                <w:sz w:val="14"/>
                <w:szCs w:val="14"/>
                <w:lang w:bidi="en-US"/>
              </w:rPr>
              <w:t>2.2-1.</w:t>
            </w:r>
            <w:r>
              <w:rPr>
                <w:rFonts w:ascii="宋体" w:hAnsi="宋体" w:cs="宋体"/>
                <w:color w:val="000000"/>
                <w:kern w:val="0"/>
                <w:sz w:val="14"/>
                <w:szCs w:val="14"/>
                <w:lang w:val="zh-TW" w:eastAsia="zh-TW" w:bidi="zh-TW"/>
              </w:rPr>
              <w:t>8分，不明确：</w:t>
            </w:r>
            <w:r>
              <w:rPr>
                <w:rFonts w:ascii="宋体" w:hAnsi="宋体" w:cs="宋体"/>
                <w:color w:val="000000"/>
                <w:kern w:val="0"/>
                <w:sz w:val="14"/>
                <w:szCs w:val="14"/>
                <w:lang w:bidi="en-US"/>
              </w:rPr>
              <w:t>1.8-0</w:t>
            </w:r>
            <w:r>
              <w:rPr>
                <w:rFonts w:ascii="宋体" w:hAnsi="宋体" w:cs="宋体"/>
                <w:color w:val="000000"/>
                <w:kern w:val="0"/>
                <w:sz w:val="14"/>
                <w:szCs w:val="14"/>
                <w:lang w:val="zh-TW" w:eastAsia="zh-TW" w:bidi="zh-TW"/>
              </w:rPr>
              <w:t>分：预定绩效目标</w:t>
            </w:r>
            <w:r>
              <w:rPr>
                <w:rFonts w:hint="eastAsia" w:ascii="宋体" w:hAnsi="宋体" w:cs="宋体"/>
                <w:color w:val="000000"/>
                <w:kern w:val="0"/>
                <w:sz w:val="14"/>
                <w:szCs w:val="14"/>
                <w:lang w:val="en-US" w:eastAsia="zh-CN" w:bidi="zh-TW"/>
              </w:rPr>
              <w:t>量</w:t>
            </w:r>
            <w:r>
              <w:rPr>
                <w:rFonts w:ascii="宋体" w:hAnsi="宋体" w:cs="宋体"/>
                <w:color w:val="000000"/>
                <w:kern w:val="0"/>
                <w:sz w:val="14"/>
                <w:szCs w:val="14"/>
                <w:lang w:val="zh-TW" w:eastAsia="zh-TW" w:bidi="zh-TW"/>
              </w:rPr>
              <w:t>化、细化，具有明确的可衡量性：</w:t>
            </w:r>
            <w:r>
              <w:rPr>
                <w:rFonts w:ascii="宋体" w:hAnsi="宋体" w:cs="宋体"/>
                <w:color w:val="000000"/>
                <w:kern w:val="0"/>
                <w:sz w:val="14"/>
                <w:szCs w:val="14"/>
                <w:lang w:bidi="en-US"/>
              </w:rPr>
              <w:t>2</w:t>
            </w:r>
            <w:r>
              <w:rPr>
                <w:rFonts w:hint="eastAsia" w:ascii="宋体" w:hAnsi="宋体" w:cs="宋体"/>
                <w:color w:val="000000"/>
                <w:kern w:val="0"/>
                <w:sz w:val="14"/>
                <w:szCs w:val="14"/>
                <w:lang w:eastAsia="zh-CN" w:bidi="en-US"/>
              </w:rPr>
              <w:t>—</w:t>
            </w:r>
            <w:r>
              <w:rPr>
                <w:rFonts w:ascii="宋体" w:hAnsi="宋体" w:cs="宋体"/>
                <w:color w:val="000000"/>
                <w:kern w:val="0"/>
                <w:sz w:val="14"/>
                <w:szCs w:val="14"/>
                <w:lang w:bidi="en-US"/>
              </w:rPr>
              <w:t>1.8</w:t>
            </w:r>
            <w:r>
              <w:rPr>
                <w:rFonts w:ascii="宋体" w:hAnsi="宋体" w:cs="宋体"/>
                <w:color w:val="000000"/>
                <w:kern w:val="0"/>
                <w:sz w:val="14"/>
                <w:szCs w:val="14"/>
                <w:lang w:val="zh-TW" w:eastAsia="zh-TW" w:bidi="zh-TW"/>
              </w:rPr>
              <w:t>分，目标较细化并具有较好的可</w:t>
            </w:r>
            <w:r>
              <w:rPr>
                <w:rFonts w:hint="eastAsia" w:ascii="宋体" w:hAnsi="宋体" w:cs="宋体"/>
                <w:color w:val="000000"/>
                <w:kern w:val="0"/>
                <w:sz w:val="14"/>
                <w:szCs w:val="14"/>
                <w:lang w:val="en-US" w:eastAsia="zh-CN" w:bidi="zh-TW"/>
              </w:rPr>
              <w:t>衡</w:t>
            </w:r>
            <w:r>
              <w:rPr>
                <w:rFonts w:ascii="宋体" w:hAnsi="宋体" w:cs="宋体"/>
                <w:color w:val="000000"/>
                <w:kern w:val="0"/>
                <w:sz w:val="14"/>
                <w:szCs w:val="14"/>
                <w:lang w:val="zh-TW" w:eastAsia="zh-TW" w:bidi="zh-TW"/>
              </w:rPr>
              <w:t>量性，</w:t>
            </w:r>
            <w:r>
              <w:rPr>
                <w:rFonts w:ascii="宋体" w:hAnsi="宋体" w:cs="宋体"/>
                <w:color w:val="000000"/>
                <w:kern w:val="0"/>
                <w:sz w:val="14"/>
                <w:szCs w:val="14"/>
                <w:lang w:bidi="en-US"/>
              </w:rPr>
              <w:t>1-8-1.</w:t>
            </w:r>
            <w:r>
              <w:rPr>
                <w:rFonts w:ascii="宋体" w:hAnsi="宋体" w:cs="宋体"/>
                <w:color w:val="000000"/>
                <w:kern w:val="0"/>
                <w:sz w:val="14"/>
                <w:szCs w:val="14"/>
                <w:lang w:val="zh-TW" w:eastAsia="zh-TW" w:bidi="zh-TW"/>
              </w:rPr>
              <w:t>5</w:t>
            </w:r>
            <w:r>
              <w:rPr>
                <w:rFonts w:hint="eastAsia" w:ascii="宋体" w:hAnsi="宋体" w:cs="宋体"/>
                <w:color w:val="000000"/>
                <w:kern w:val="0"/>
                <w:sz w:val="14"/>
                <w:szCs w:val="14"/>
                <w:lang w:val="zh-TW" w:eastAsia="zh-CN" w:bidi="zh-TW"/>
              </w:rPr>
              <w:t>，</w:t>
            </w:r>
            <w:r>
              <w:rPr>
                <w:rFonts w:ascii="宋体" w:hAnsi="宋体" w:cs="宋体"/>
                <w:color w:val="000000"/>
                <w:kern w:val="0"/>
                <w:sz w:val="14"/>
                <w:szCs w:val="14"/>
                <w:lang w:val="zh-TW" w:eastAsia="zh-TW" w:bidi="zh-TW"/>
              </w:rPr>
              <w:t>目标基本量化，能够衡量：</w:t>
            </w:r>
            <w:r>
              <w:rPr>
                <w:rFonts w:ascii="宋体" w:hAnsi="宋体" w:cs="宋体"/>
                <w:color w:val="000000"/>
                <w:kern w:val="0"/>
                <w:sz w:val="14"/>
                <w:szCs w:val="14"/>
                <w:lang w:bidi="en-US"/>
              </w:rPr>
              <w:t>1.5-1.</w:t>
            </w:r>
            <w:r>
              <w:rPr>
                <w:rFonts w:ascii="宋体" w:hAnsi="宋体" w:cs="宋体"/>
                <w:color w:val="000000"/>
                <w:kern w:val="0"/>
                <w:sz w:val="14"/>
                <w:szCs w:val="14"/>
                <w:lang w:val="zh-TW" w:eastAsia="zh-TW" w:bidi="zh-TW"/>
              </w:rPr>
              <w:t>2分；没有量化、无法衡量：1.2-0分。</w:t>
            </w:r>
          </w:p>
        </w:tc>
        <w:tc>
          <w:tcPr>
            <w:tcW w:w="1127" w:type="dxa"/>
            <w:tcBorders>
              <w:top w:val="single" w:color="auto" w:sz="4" w:space="0"/>
              <w:left w:val="single" w:color="auto" w:sz="4" w:space="0"/>
            </w:tcBorders>
            <w:shd w:val="clear" w:color="auto" w:fill="FFFFFF"/>
            <w:vAlign w:val="center"/>
          </w:tcPr>
          <w:p>
            <w:pPr>
              <w:ind w:firstLine="400"/>
              <w:jc w:val="left"/>
              <w:rPr>
                <w:rFonts w:ascii="宋体" w:hAnsi="宋体" w:eastAsia="PMingLiU" w:cs="宋体"/>
                <w:color w:val="000000"/>
                <w:kern w:val="0"/>
                <w:sz w:val="14"/>
                <w:szCs w:val="14"/>
                <w:lang w:val="zh-TW" w:eastAsia="zh-TW" w:bidi="zh-TW"/>
              </w:rPr>
            </w:pPr>
            <w:r>
              <w:rPr>
                <w:rFonts w:ascii="宋体" w:hAnsi="宋体" w:cs="宋体"/>
                <w:color w:val="000000"/>
                <w:kern w:val="0"/>
                <w:sz w:val="14"/>
                <w:szCs w:val="14"/>
                <w:lang w:eastAsia="en-US" w:bidi="en-US"/>
              </w:rPr>
              <w:t>4,5</w:t>
            </w:r>
          </w:p>
        </w:tc>
        <w:tc>
          <w:tcPr>
            <w:tcW w:w="2735" w:type="dxa"/>
            <w:tcBorders>
              <w:top w:val="single" w:color="auto" w:sz="4" w:space="0"/>
              <w:left w:val="single" w:color="auto" w:sz="4" w:space="0"/>
              <w:right w:val="single" w:color="auto" w:sz="4" w:space="0"/>
            </w:tcBorders>
            <w:shd w:val="clear" w:color="auto" w:fill="FFFFFF"/>
          </w:tcPr>
          <w:p>
            <w:pPr>
              <w:jc w:val="left"/>
              <w:rPr>
                <w:rFonts w:ascii="宋体" w:hAnsi="宋体" w:cs="宋体"/>
                <w:color w:val="000000"/>
                <w:kern w:val="0"/>
                <w:sz w:val="14"/>
                <w:szCs w:val="14"/>
                <w:lang w:val="zh-TW" w:bidi="zh-TW"/>
              </w:rPr>
            </w:pPr>
          </w:p>
          <w:p>
            <w:pPr>
              <w:jc w:val="left"/>
              <w:rPr>
                <w:rFonts w:ascii="宋体" w:hAnsi="宋体" w:cs="宋体"/>
                <w:color w:val="000000"/>
                <w:kern w:val="0"/>
                <w:sz w:val="14"/>
                <w:szCs w:val="14"/>
                <w:lang w:val="zh-TW" w:bidi="zh-TW"/>
              </w:rPr>
            </w:pPr>
          </w:p>
          <w:p>
            <w:pPr>
              <w:jc w:val="left"/>
              <w:rPr>
                <w:rFonts w:eastAsia="Times New Roman"/>
                <w:color w:val="000000"/>
                <w:kern w:val="0"/>
                <w:sz w:val="10"/>
                <w:szCs w:val="10"/>
                <w:lang w:eastAsia="en-US" w:bidi="en-US"/>
              </w:rPr>
            </w:pPr>
            <w:r>
              <w:rPr>
                <w:rFonts w:hint="eastAsia" w:ascii="宋体" w:hAnsi="宋体" w:cs="宋体"/>
                <w:color w:val="000000"/>
                <w:kern w:val="0"/>
                <w:sz w:val="14"/>
                <w:szCs w:val="14"/>
                <w:lang w:val="zh-TW" w:bidi="zh-TW"/>
              </w:rPr>
              <w:t>需进一步完善</w:t>
            </w:r>
          </w:p>
        </w:tc>
      </w:tr>
      <w:tr>
        <w:tblPrEx>
          <w:tblLayout w:type="fixed"/>
          <w:tblCellMar>
            <w:top w:w="0" w:type="dxa"/>
            <w:left w:w="10" w:type="dxa"/>
            <w:bottom w:w="0" w:type="dxa"/>
            <w:right w:w="10" w:type="dxa"/>
          </w:tblCellMar>
        </w:tblPrEx>
        <w:trPr>
          <w:trHeight w:val="832" w:hRule="exact"/>
          <w:jc w:val="center"/>
        </w:trPr>
        <w:tc>
          <w:tcPr>
            <w:tcW w:w="762"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09" w:type="dxa"/>
            <w:vMerge w:val="restart"/>
            <w:tcBorders>
              <w:top w:val="single" w:color="auto" w:sz="4" w:space="0"/>
              <w:left w:val="single" w:color="auto" w:sz="4" w:space="0"/>
            </w:tcBorders>
            <w:shd w:val="clear" w:color="auto" w:fill="FFFFFF"/>
            <w:vAlign w:val="center"/>
          </w:tcPr>
          <w:p>
            <w:pPr>
              <w:spacing w:line="187"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决策过程（10分）</w:t>
            </w:r>
          </w:p>
        </w:tc>
        <w:tc>
          <w:tcPr>
            <w:tcW w:w="814" w:type="dxa"/>
            <w:vMerge w:val="restart"/>
            <w:tcBorders>
              <w:top w:val="single" w:color="auto" w:sz="4" w:space="0"/>
              <w:left w:val="single" w:color="auto" w:sz="4" w:space="0"/>
            </w:tcBorders>
            <w:shd w:val="clear" w:color="auto" w:fill="FFFFFF"/>
            <w:vAlign w:val="center"/>
          </w:tcPr>
          <w:p>
            <w:pPr>
              <w:spacing w:line="187"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决策依据</w:t>
            </w:r>
          </w:p>
          <w:p>
            <w:pPr>
              <w:spacing w:line="187"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874" w:type="dxa"/>
            <w:tcBorders>
              <w:top w:val="single" w:color="auto" w:sz="4" w:space="0"/>
              <w:left w:val="single" w:color="auto" w:sz="4" w:space="0"/>
            </w:tcBorders>
            <w:shd w:val="clear" w:color="auto" w:fill="FFFFFF"/>
            <w:vAlign w:val="center"/>
          </w:tcPr>
          <w:p>
            <w:pPr>
              <w:spacing w:line="196"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1、项目符合</w:t>
            </w:r>
            <w:r>
              <w:rPr>
                <w:rFonts w:hint="eastAsia" w:ascii="宋体" w:hAnsi="宋体" w:cs="宋体"/>
                <w:color w:val="000000"/>
                <w:kern w:val="0"/>
                <w:sz w:val="14"/>
                <w:szCs w:val="14"/>
                <w:lang w:val="zh-TW" w:eastAsia="zh-CN" w:bidi="zh-TW"/>
              </w:rPr>
              <w:t>经济社会发展</w:t>
            </w:r>
            <w:r>
              <w:rPr>
                <w:rFonts w:ascii="宋体" w:hAnsi="宋体" w:cs="宋体"/>
                <w:color w:val="000000"/>
                <w:kern w:val="0"/>
                <w:sz w:val="14"/>
                <w:szCs w:val="14"/>
                <w:lang w:val="zh-TW" w:eastAsia="zh-TW" w:bidi="zh-TW"/>
              </w:rPr>
              <w:t>规划；</w:t>
            </w:r>
          </w:p>
        </w:tc>
        <w:tc>
          <w:tcPr>
            <w:tcW w:w="1094"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2分</w:t>
            </w:r>
          </w:p>
        </w:tc>
        <w:tc>
          <w:tcPr>
            <w:tcW w:w="5386" w:type="dxa"/>
            <w:tcBorders>
              <w:top w:val="single" w:color="auto" w:sz="4" w:space="0"/>
              <w:left w:val="single" w:color="auto" w:sz="4" w:space="0"/>
            </w:tcBorders>
            <w:shd w:val="clear" w:color="auto" w:fill="FFFFFF"/>
            <w:vAlign w:val="center"/>
          </w:tcPr>
          <w:p>
            <w:pPr>
              <w:spacing w:line="201" w:lineRule="exac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符合经济社会发展规划</w:t>
            </w:r>
            <w:r>
              <w:rPr>
                <w:rFonts w:ascii="宋体" w:hAnsi="宋体" w:cs="宋体"/>
                <w:color w:val="000000"/>
                <w:kern w:val="0"/>
                <w:sz w:val="14"/>
                <w:szCs w:val="14"/>
                <w:lang w:bidi="en-US"/>
              </w:rPr>
              <w:t>2-1.8</w:t>
            </w:r>
            <w:r>
              <w:rPr>
                <w:rFonts w:ascii="宋体" w:hAnsi="宋体" w:cs="宋体"/>
                <w:color w:val="000000"/>
                <w:kern w:val="0"/>
                <w:sz w:val="14"/>
                <w:szCs w:val="14"/>
                <w:lang w:val="zh-TW" w:eastAsia="zh-TW" w:bidi="zh-TW"/>
              </w:rPr>
              <w:t>分；较符合经济社会发展规划</w:t>
            </w:r>
            <w:r>
              <w:rPr>
                <w:rFonts w:ascii="宋体" w:hAnsi="宋体" w:cs="宋体"/>
                <w:color w:val="000000"/>
                <w:kern w:val="0"/>
                <w:sz w:val="14"/>
                <w:szCs w:val="14"/>
                <w:lang w:bidi="en-US"/>
              </w:rPr>
              <w:t>1</w:t>
            </w:r>
            <w:r>
              <w:rPr>
                <w:rFonts w:hint="eastAsia" w:ascii="宋体" w:hAnsi="宋体" w:cs="宋体"/>
                <w:color w:val="000000"/>
                <w:kern w:val="0"/>
                <w:sz w:val="14"/>
                <w:szCs w:val="14"/>
                <w:lang w:val="en-US" w:eastAsia="zh-CN" w:bidi="en-US"/>
              </w:rPr>
              <w:t>.</w:t>
            </w:r>
            <w:r>
              <w:rPr>
                <w:rFonts w:ascii="宋体" w:hAnsi="宋体" w:cs="宋体"/>
                <w:color w:val="000000"/>
                <w:kern w:val="0"/>
                <w:sz w:val="14"/>
                <w:szCs w:val="14"/>
                <w:lang w:bidi="en-US"/>
              </w:rPr>
              <w:t>8-1.</w:t>
            </w:r>
            <w:r>
              <w:rPr>
                <w:rFonts w:ascii="宋体" w:hAnsi="宋体" w:cs="宋体"/>
                <w:color w:val="000000"/>
                <w:kern w:val="0"/>
                <w:sz w:val="14"/>
                <w:szCs w:val="14"/>
                <w:lang w:val="zh-TW" w:eastAsia="zh-TW" w:bidi="zh-TW"/>
              </w:rPr>
              <w:t>5分，基本符合经济社会发展规划</w:t>
            </w:r>
            <w:r>
              <w:rPr>
                <w:rFonts w:ascii="宋体" w:hAnsi="宋体" w:cs="宋体"/>
                <w:color w:val="000000"/>
                <w:kern w:val="0"/>
                <w:sz w:val="14"/>
                <w:szCs w:val="14"/>
                <w:lang w:bidi="en-US"/>
              </w:rPr>
              <w:t>1.5-1.</w:t>
            </w:r>
            <w:r>
              <w:rPr>
                <w:rFonts w:ascii="宋体" w:hAnsi="宋体" w:cs="宋体"/>
                <w:color w:val="000000"/>
                <w:kern w:val="0"/>
                <w:sz w:val="14"/>
                <w:szCs w:val="14"/>
                <w:lang w:val="zh-TW" w:eastAsia="zh-TW" w:bidi="zh-TW"/>
              </w:rPr>
              <w:t>2分，不符合经济社会发展规划</w:t>
            </w:r>
            <w:r>
              <w:rPr>
                <w:rFonts w:ascii="宋体" w:hAnsi="宋体" w:cs="宋体"/>
                <w:color w:val="000000"/>
                <w:kern w:val="0"/>
                <w:sz w:val="14"/>
                <w:szCs w:val="14"/>
                <w:lang w:bidi="en-US"/>
              </w:rPr>
              <w:t>1.</w:t>
            </w:r>
            <w:r>
              <w:rPr>
                <w:rFonts w:ascii="宋体" w:hAnsi="宋体" w:cs="宋体"/>
                <w:color w:val="000000"/>
                <w:kern w:val="0"/>
                <w:sz w:val="14"/>
                <w:szCs w:val="14"/>
                <w:lang w:eastAsia="en-US" w:bidi="en-US"/>
              </w:rPr>
              <w:t>2-0</w:t>
            </w:r>
            <w:r>
              <w:rPr>
                <w:rFonts w:ascii="宋体" w:hAnsi="宋体" w:cs="宋体"/>
                <w:color w:val="000000"/>
                <w:kern w:val="0"/>
                <w:sz w:val="14"/>
                <w:szCs w:val="14"/>
                <w:lang w:val="zh-TW" w:eastAsia="zh-TW" w:bidi="zh-TW"/>
              </w:rPr>
              <w:t>分</w:t>
            </w:r>
          </w:p>
        </w:tc>
        <w:tc>
          <w:tcPr>
            <w:tcW w:w="1127" w:type="dxa"/>
            <w:tcBorders>
              <w:top w:val="single" w:color="auto" w:sz="4" w:space="0"/>
              <w:left w:val="single" w:color="auto" w:sz="4" w:space="0"/>
            </w:tcBorders>
            <w:shd w:val="clear" w:color="auto" w:fill="FFFFFF"/>
            <w:vAlign w:val="center"/>
          </w:tcPr>
          <w:p>
            <w:pPr>
              <w:ind w:firstLine="40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2.</w:t>
            </w:r>
            <w:r>
              <w:rPr>
                <w:rFonts w:ascii="宋体" w:hAnsi="宋体" w:cs="宋体"/>
                <w:color w:val="000000"/>
                <w:kern w:val="0"/>
                <w:sz w:val="14"/>
                <w:szCs w:val="14"/>
                <w:lang w:val="zh-TW" w:eastAsia="zh-TW" w:bidi="zh-TW"/>
              </w:rPr>
              <w:t>00</w:t>
            </w:r>
          </w:p>
        </w:tc>
        <w:tc>
          <w:tcPr>
            <w:tcW w:w="2735" w:type="dxa"/>
            <w:tcBorders>
              <w:top w:val="single" w:color="auto" w:sz="4" w:space="0"/>
              <w:left w:val="single" w:color="auto" w:sz="4" w:space="0"/>
              <w:right w:val="single" w:color="auto" w:sz="4" w:space="0"/>
            </w:tcBorders>
            <w:shd w:val="clear" w:color="auto" w:fill="FFFFFF"/>
          </w:tcPr>
          <w:p>
            <w:pPr>
              <w:jc w:val="left"/>
              <w:rPr>
                <w:rFonts w:eastAsia="Times New Roman"/>
                <w:color w:val="000000"/>
                <w:kern w:val="0"/>
                <w:sz w:val="10"/>
                <w:szCs w:val="10"/>
                <w:lang w:eastAsia="en-US" w:bidi="en-US"/>
              </w:rPr>
            </w:pPr>
          </w:p>
        </w:tc>
      </w:tr>
      <w:tr>
        <w:tblPrEx>
          <w:tblLayout w:type="fixed"/>
          <w:tblCellMar>
            <w:top w:w="0" w:type="dxa"/>
            <w:left w:w="10" w:type="dxa"/>
            <w:bottom w:w="0" w:type="dxa"/>
            <w:right w:w="10" w:type="dxa"/>
          </w:tblCellMar>
        </w:tblPrEx>
        <w:trPr>
          <w:trHeight w:val="809" w:hRule="exact"/>
          <w:jc w:val="center"/>
        </w:trPr>
        <w:tc>
          <w:tcPr>
            <w:tcW w:w="762"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09"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14"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74" w:type="dxa"/>
            <w:tcBorders>
              <w:top w:val="single" w:color="auto" w:sz="4" w:space="0"/>
              <w:left w:val="single" w:color="auto" w:sz="4" w:space="0"/>
            </w:tcBorders>
            <w:shd w:val="clear" w:color="auto" w:fill="FFFFFF"/>
            <w:vAlign w:val="center"/>
          </w:tcPr>
          <w:p>
            <w:pPr>
              <w:spacing w:line="199"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2、项目与部门职能及年度工作计划相符；</w:t>
            </w:r>
          </w:p>
        </w:tc>
        <w:tc>
          <w:tcPr>
            <w:tcW w:w="1094" w:type="dxa"/>
            <w:tcBorders>
              <w:top w:val="single" w:color="auto" w:sz="4" w:space="0"/>
              <w:left w:val="single" w:color="auto" w:sz="4" w:space="0"/>
            </w:tcBorders>
            <w:shd w:val="clear" w:color="auto" w:fill="FFFFFF"/>
            <w:vAlign w:val="center"/>
          </w:tcPr>
          <w:p>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1分</w:t>
            </w:r>
          </w:p>
        </w:tc>
        <w:tc>
          <w:tcPr>
            <w:tcW w:w="5386" w:type="dxa"/>
            <w:tcBorders>
              <w:top w:val="single" w:color="auto" w:sz="4" w:space="0"/>
              <w:left w:val="single" w:color="auto" w:sz="4" w:space="0"/>
            </w:tcBorders>
            <w:shd w:val="clear" w:color="auto" w:fill="FFFFFF"/>
            <w:vAlign w:val="center"/>
          </w:tcPr>
          <w:p>
            <w:pP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年度计划符合规划要求，符合：</w:t>
            </w:r>
            <w:r>
              <w:rPr>
                <w:rFonts w:ascii="宋体" w:hAnsi="宋体" w:cs="宋体"/>
                <w:color w:val="000000"/>
                <w:kern w:val="0"/>
                <w:sz w:val="14"/>
                <w:szCs w:val="14"/>
                <w:lang w:bidi="en-US"/>
              </w:rPr>
              <w:t>1-0.9</w:t>
            </w:r>
            <w:r>
              <w:rPr>
                <w:rFonts w:ascii="宋体" w:hAnsi="宋体" w:cs="宋体"/>
                <w:color w:val="000000"/>
                <w:kern w:val="0"/>
                <w:sz w:val="14"/>
                <w:szCs w:val="14"/>
                <w:lang w:val="zh-TW" w:eastAsia="zh-TW" w:bidi="zh-TW"/>
              </w:rPr>
              <w:t>分，较符合：</w:t>
            </w:r>
            <w:r>
              <w:rPr>
                <w:rFonts w:ascii="宋体" w:hAnsi="宋体" w:cs="宋体"/>
                <w:color w:val="000000"/>
                <w:kern w:val="0"/>
                <w:sz w:val="14"/>
                <w:szCs w:val="14"/>
                <w:lang w:bidi="en-US"/>
              </w:rPr>
              <w:t>0.</w:t>
            </w:r>
            <w:r>
              <w:rPr>
                <w:rFonts w:ascii="宋体" w:hAnsi="宋体" w:cs="宋体"/>
                <w:color w:val="000000"/>
                <w:kern w:val="0"/>
                <w:sz w:val="14"/>
                <w:szCs w:val="14"/>
                <w:lang w:eastAsia="en-US" w:bidi="en-US"/>
              </w:rPr>
              <w:t>9-0.</w:t>
            </w:r>
            <w:r>
              <w:rPr>
                <w:rFonts w:ascii="宋体" w:hAnsi="宋体" w:cs="宋体"/>
                <w:color w:val="000000"/>
                <w:kern w:val="0"/>
                <w:sz w:val="14"/>
                <w:szCs w:val="14"/>
                <w:lang w:val="zh-TW" w:eastAsia="zh-TW" w:bidi="zh-TW"/>
              </w:rPr>
              <w:t>8分，基本符合：</w:t>
            </w:r>
            <w:r>
              <w:rPr>
                <w:rFonts w:ascii="宋体" w:hAnsi="宋体" w:cs="宋体"/>
                <w:color w:val="000000"/>
                <w:kern w:val="0"/>
                <w:sz w:val="14"/>
                <w:szCs w:val="14"/>
                <w:lang w:eastAsia="en-US" w:bidi="en-US"/>
              </w:rPr>
              <w:t>0.8-0.</w:t>
            </w:r>
            <w:r>
              <w:rPr>
                <w:rFonts w:ascii="宋体" w:hAnsi="宋体" w:cs="宋体"/>
                <w:color w:val="000000"/>
                <w:kern w:val="0"/>
                <w:sz w:val="14"/>
                <w:szCs w:val="14"/>
                <w:lang w:val="zh-TW" w:eastAsia="zh-TW" w:bidi="zh-TW"/>
              </w:rPr>
              <w:t>6分</w:t>
            </w:r>
            <w:r>
              <w:rPr>
                <w:rFonts w:hint="eastAsia" w:ascii="宋体" w:hAnsi="宋体" w:cs="宋体"/>
                <w:color w:val="000000"/>
                <w:kern w:val="0"/>
                <w:sz w:val="14"/>
                <w:szCs w:val="14"/>
                <w:lang w:val="zh-TW" w:eastAsia="zh-CN" w:bidi="zh-TW"/>
              </w:rPr>
              <w:t>，</w:t>
            </w:r>
            <w:r>
              <w:rPr>
                <w:rFonts w:ascii="宋体" w:hAnsi="宋体" w:cs="宋体"/>
                <w:color w:val="000000"/>
                <w:kern w:val="0"/>
                <w:sz w:val="14"/>
                <w:szCs w:val="14"/>
                <w:lang w:val="zh-TW" w:eastAsia="zh-TW" w:bidi="zh-TW"/>
              </w:rPr>
              <w:t>不符合：</w:t>
            </w:r>
            <w:r>
              <w:rPr>
                <w:rFonts w:ascii="宋体" w:hAnsi="宋体" w:cs="宋体"/>
                <w:color w:val="000000"/>
                <w:kern w:val="0"/>
                <w:sz w:val="14"/>
                <w:szCs w:val="14"/>
                <w:lang w:eastAsia="en-US" w:bidi="en-US"/>
              </w:rPr>
              <w:t>0.6-0</w:t>
            </w:r>
            <w:r>
              <w:rPr>
                <w:rFonts w:ascii="宋体" w:hAnsi="宋体" w:cs="宋体"/>
                <w:color w:val="000000"/>
                <w:kern w:val="0"/>
                <w:sz w:val="14"/>
                <w:szCs w:val="14"/>
                <w:lang w:val="zh-TW" w:eastAsia="zh-TW" w:bidi="zh-TW"/>
              </w:rPr>
              <w:t>分</w:t>
            </w:r>
          </w:p>
        </w:tc>
        <w:tc>
          <w:tcPr>
            <w:tcW w:w="1127" w:type="dxa"/>
            <w:tcBorders>
              <w:top w:val="single" w:color="auto" w:sz="4" w:space="0"/>
              <w:left w:val="single" w:color="auto" w:sz="4" w:space="0"/>
            </w:tcBorders>
            <w:shd w:val="clear" w:color="auto" w:fill="FFFFFF"/>
            <w:vAlign w:val="center"/>
          </w:tcPr>
          <w:p>
            <w:pPr>
              <w:ind w:firstLine="40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1.00</w:t>
            </w:r>
          </w:p>
        </w:tc>
        <w:tc>
          <w:tcPr>
            <w:tcW w:w="2735" w:type="dxa"/>
            <w:tcBorders>
              <w:top w:val="single" w:color="auto" w:sz="4" w:space="0"/>
              <w:left w:val="single" w:color="auto" w:sz="4" w:space="0"/>
              <w:right w:val="single" w:color="auto" w:sz="4" w:space="0"/>
            </w:tcBorders>
            <w:shd w:val="clear" w:color="auto" w:fill="FFFFFF"/>
          </w:tcPr>
          <w:p>
            <w:pPr>
              <w:jc w:val="left"/>
              <w:rPr>
                <w:rFonts w:eastAsia="Times New Roman"/>
                <w:color w:val="000000"/>
                <w:kern w:val="0"/>
                <w:sz w:val="10"/>
                <w:szCs w:val="10"/>
                <w:lang w:eastAsia="en-US" w:bidi="en-US"/>
              </w:rPr>
            </w:pPr>
          </w:p>
        </w:tc>
      </w:tr>
      <w:tr>
        <w:tblPrEx>
          <w:tblLayout w:type="fixed"/>
          <w:tblCellMar>
            <w:top w:w="0" w:type="dxa"/>
            <w:left w:w="10" w:type="dxa"/>
            <w:bottom w:w="0" w:type="dxa"/>
            <w:right w:w="10" w:type="dxa"/>
          </w:tblCellMar>
        </w:tblPrEx>
        <w:trPr>
          <w:trHeight w:val="1281" w:hRule="exact"/>
          <w:jc w:val="center"/>
        </w:trPr>
        <w:tc>
          <w:tcPr>
            <w:tcW w:w="762"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09"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14"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74" w:type="dxa"/>
            <w:tcBorders>
              <w:top w:val="single" w:color="auto" w:sz="4" w:space="0"/>
              <w:left w:val="single" w:color="auto" w:sz="4" w:space="0"/>
            </w:tcBorders>
            <w:shd w:val="clear" w:color="auto" w:fill="FFFFFF"/>
            <w:vAlign w:val="center"/>
          </w:tcPr>
          <w:p>
            <w:pPr>
              <w:spacing w:line="200"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3、项目具备可实现和可操作性，有详细的可行性研究报告：</w:t>
            </w:r>
          </w:p>
        </w:tc>
        <w:tc>
          <w:tcPr>
            <w:tcW w:w="1094"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2分</w:t>
            </w:r>
          </w:p>
        </w:tc>
        <w:tc>
          <w:tcPr>
            <w:tcW w:w="5386" w:type="dxa"/>
            <w:tcBorders>
              <w:top w:val="single" w:color="auto" w:sz="4" w:space="0"/>
              <w:left w:val="single" w:color="auto" w:sz="4" w:space="0"/>
            </w:tcBorders>
            <w:shd w:val="clear" w:color="auto" w:fill="FFFFFF"/>
            <w:vAlign w:val="center"/>
          </w:tcPr>
          <w:p>
            <w:pPr>
              <w:spacing w:line="196" w:lineRule="exac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项目具备可实现和可操作性，有详细的</w:t>
            </w:r>
            <w:r>
              <w:rPr>
                <w:rFonts w:hint="eastAsia" w:ascii="宋体" w:hAnsi="宋体" w:cs="宋体"/>
                <w:color w:val="000000"/>
                <w:kern w:val="0"/>
                <w:sz w:val="14"/>
                <w:szCs w:val="14"/>
                <w:lang w:val="zh-TW" w:eastAsia="zh-CN" w:bidi="zh-TW"/>
              </w:rPr>
              <w:t>可行性研究报告</w:t>
            </w:r>
            <w:r>
              <w:rPr>
                <w:rFonts w:ascii="宋体" w:hAnsi="宋体" w:cs="宋体"/>
                <w:color w:val="000000"/>
                <w:kern w:val="0"/>
                <w:sz w:val="14"/>
                <w:szCs w:val="14"/>
                <w:lang w:bidi="en-US"/>
              </w:rPr>
              <w:t>2-1.</w:t>
            </w:r>
            <w:r>
              <w:rPr>
                <w:rFonts w:ascii="宋体" w:hAnsi="宋体" w:cs="宋体"/>
                <w:color w:val="000000"/>
                <w:kern w:val="0"/>
                <w:sz w:val="14"/>
                <w:szCs w:val="14"/>
                <w:lang w:val="zh-TW" w:eastAsia="zh-TW" w:bidi="zh-TW"/>
              </w:rPr>
              <w:t>8</w:t>
            </w:r>
            <w:r>
              <w:rPr>
                <w:rFonts w:hint="eastAsia" w:ascii="宋体" w:hAnsi="宋体" w:cs="宋体"/>
                <w:color w:val="000000"/>
                <w:kern w:val="0"/>
                <w:sz w:val="14"/>
                <w:szCs w:val="14"/>
                <w:lang w:val="zh-TW" w:eastAsia="zh-CN" w:bidi="zh-TW"/>
              </w:rPr>
              <w:t>，</w:t>
            </w:r>
            <w:r>
              <w:rPr>
                <w:rFonts w:ascii="宋体" w:hAnsi="宋体" w:cs="宋体"/>
                <w:color w:val="000000"/>
                <w:kern w:val="0"/>
                <w:sz w:val="14"/>
                <w:szCs w:val="14"/>
                <w:lang w:val="zh-TW" w:eastAsia="zh-TW" w:bidi="zh-TW"/>
              </w:rPr>
              <w:t>较具备可实现和可操作性，有详细的可行性研究报告</w:t>
            </w:r>
            <w:r>
              <w:rPr>
                <w:rFonts w:ascii="宋体" w:hAnsi="宋体" w:cs="宋体"/>
                <w:color w:val="000000"/>
                <w:kern w:val="0"/>
                <w:sz w:val="14"/>
                <w:szCs w:val="14"/>
                <w:lang w:bidi="en-US"/>
              </w:rPr>
              <w:t>1.8-1.</w:t>
            </w:r>
            <w:r>
              <w:rPr>
                <w:rFonts w:ascii="宋体" w:hAnsi="宋体" w:cs="宋体"/>
                <w:color w:val="000000"/>
                <w:kern w:val="0"/>
                <w:sz w:val="14"/>
                <w:szCs w:val="14"/>
                <w:lang w:val="zh-TW" w:eastAsia="zh-TW" w:bidi="zh-TW"/>
              </w:rPr>
              <w:t>5</w:t>
            </w:r>
            <w:r>
              <w:rPr>
                <w:rFonts w:hint="eastAsia" w:ascii="宋体" w:hAnsi="宋体" w:cs="宋体"/>
                <w:color w:val="000000"/>
                <w:kern w:val="0"/>
                <w:sz w:val="14"/>
                <w:szCs w:val="14"/>
                <w:lang w:val="zh-TW" w:eastAsia="zh-CN" w:bidi="zh-TW"/>
              </w:rPr>
              <w:t>分，</w:t>
            </w:r>
            <w:r>
              <w:rPr>
                <w:rFonts w:ascii="宋体" w:hAnsi="宋体" w:cs="宋体"/>
                <w:color w:val="000000"/>
                <w:kern w:val="0"/>
                <w:sz w:val="14"/>
                <w:szCs w:val="14"/>
                <w:lang w:val="zh-TW" w:eastAsia="zh-TW" w:bidi="zh-TW"/>
              </w:rPr>
              <w:t>基本具备可实现和可操作性，有较详细的可行性研究报告</w:t>
            </w:r>
            <w:r>
              <w:rPr>
                <w:rFonts w:ascii="宋体" w:hAnsi="宋体" w:cs="宋体"/>
                <w:color w:val="000000"/>
                <w:kern w:val="0"/>
                <w:sz w:val="14"/>
                <w:szCs w:val="14"/>
                <w:lang w:bidi="en-US"/>
              </w:rPr>
              <w:t>1.5-1.</w:t>
            </w:r>
            <w:r>
              <w:rPr>
                <w:rFonts w:ascii="宋体" w:hAnsi="宋体" w:cs="宋体"/>
                <w:color w:val="000000"/>
                <w:kern w:val="0"/>
                <w:sz w:val="14"/>
                <w:szCs w:val="14"/>
                <w:lang w:val="zh-TW" w:eastAsia="zh-TW" w:bidi="zh-TW"/>
              </w:rPr>
              <w:t>2</w:t>
            </w:r>
            <w:r>
              <w:rPr>
                <w:rFonts w:hint="eastAsia" w:ascii="宋体" w:hAnsi="宋体" w:cs="宋体"/>
                <w:color w:val="000000"/>
                <w:kern w:val="0"/>
                <w:sz w:val="14"/>
                <w:szCs w:val="14"/>
                <w:lang w:val="zh-TW" w:eastAsia="zh-CN" w:bidi="zh-TW"/>
              </w:rPr>
              <w:t>分，</w:t>
            </w:r>
            <w:r>
              <w:rPr>
                <w:rFonts w:ascii="宋体" w:hAnsi="宋体" w:cs="宋体"/>
                <w:color w:val="000000"/>
                <w:kern w:val="0"/>
                <w:sz w:val="14"/>
                <w:szCs w:val="14"/>
                <w:lang w:val="zh-TW" w:eastAsia="zh-TW" w:bidi="zh-TW"/>
              </w:rPr>
              <w:t>不具备可实现和可操作性，无详细的</w:t>
            </w:r>
            <w:r>
              <w:rPr>
                <w:rFonts w:hint="eastAsia" w:ascii="宋体" w:hAnsi="宋体" w:cs="宋体"/>
                <w:color w:val="000000"/>
                <w:kern w:val="0"/>
                <w:sz w:val="14"/>
                <w:szCs w:val="14"/>
                <w:lang w:val="en-US" w:eastAsia="zh-CN" w:bidi="zh-TW"/>
              </w:rPr>
              <w:t>可</w:t>
            </w:r>
            <w:r>
              <w:rPr>
                <w:rFonts w:ascii="宋体" w:hAnsi="宋体" w:cs="宋体"/>
                <w:color w:val="000000"/>
                <w:kern w:val="0"/>
                <w:sz w:val="14"/>
                <w:szCs w:val="14"/>
                <w:lang w:val="zh-TW" w:eastAsia="zh-TW" w:bidi="zh-TW"/>
              </w:rPr>
              <w:t>行性研究报告</w:t>
            </w:r>
            <w:r>
              <w:rPr>
                <w:rFonts w:ascii="宋体" w:hAnsi="宋体" w:cs="宋体"/>
                <w:color w:val="000000"/>
                <w:kern w:val="0"/>
                <w:sz w:val="14"/>
                <w:szCs w:val="14"/>
                <w:lang w:bidi="en-US"/>
              </w:rPr>
              <w:t>1.2-0</w:t>
            </w:r>
            <w:r>
              <w:rPr>
                <w:rFonts w:ascii="宋体" w:hAnsi="宋体" w:cs="宋体"/>
                <w:color w:val="000000"/>
                <w:kern w:val="0"/>
                <w:sz w:val="14"/>
                <w:szCs w:val="14"/>
                <w:lang w:val="zh-TW" w:eastAsia="zh-TW" w:bidi="zh-TW"/>
              </w:rPr>
              <w:t>分</w:t>
            </w:r>
          </w:p>
        </w:tc>
        <w:tc>
          <w:tcPr>
            <w:tcW w:w="1127" w:type="dxa"/>
            <w:tcBorders>
              <w:top w:val="single" w:color="auto" w:sz="4" w:space="0"/>
              <w:left w:val="single" w:color="auto" w:sz="4" w:space="0"/>
            </w:tcBorders>
            <w:shd w:val="clear" w:color="auto" w:fill="FFFFFF"/>
            <w:vAlign w:val="center"/>
          </w:tcPr>
          <w:p>
            <w:pPr>
              <w:ind w:firstLine="40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1.00</w:t>
            </w:r>
          </w:p>
        </w:tc>
        <w:tc>
          <w:tcPr>
            <w:tcW w:w="2735" w:type="dxa"/>
            <w:tcBorders>
              <w:top w:val="single" w:color="auto" w:sz="4" w:space="0"/>
              <w:left w:val="single" w:color="auto" w:sz="4" w:space="0"/>
              <w:right w:val="single" w:color="auto" w:sz="4" w:space="0"/>
            </w:tcBorders>
            <w:shd w:val="clear" w:color="auto" w:fill="FFFFFF"/>
            <w:vAlign w:val="center"/>
          </w:tcPr>
          <w:p>
            <w:pPr>
              <w:jc w:val="left"/>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zh-TW" w:bidi="zh-TW"/>
              </w:rPr>
              <w:t>未见可行性报告</w:t>
            </w:r>
          </w:p>
        </w:tc>
      </w:tr>
      <w:tr>
        <w:tblPrEx>
          <w:tblLayout w:type="fixed"/>
          <w:tblCellMar>
            <w:top w:w="0" w:type="dxa"/>
            <w:left w:w="10" w:type="dxa"/>
            <w:bottom w:w="0" w:type="dxa"/>
            <w:right w:w="10" w:type="dxa"/>
          </w:tblCellMar>
        </w:tblPrEx>
        <w:trPr>
          <w:trHeight w:val="1001" w:hRule="exact"/>
          <w:jc w:val="center"/>
        </w:trPr>
        <w:tc>
          <w:tcPr>
            <w:tcW w:w="762"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09"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14" w:type="dxa"/>
            <w:vMerge w:val="restart"/>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决策程序</w:t>
            </w:r>
          </w:p>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874" w:type="dxa"/>
            <w:tcBorders>
              <w:top w:val="single" w:color="auto" w:sz="4" w:space="0"/>
              <w:left w:val="single" w:color="auto" w:sz="4" w:space="0"/>
            </w:tcBorders>
            <w:shd w:val="clear" w:color="auto" w:fill="FFFFFF"/>
            <w:vAlign w:val="center"/>
          </w:tcPr>
          <w:p>
            <w:pPr>
              <w:spacing w:line="197"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1、项目单位项目申报、批复程序是否符合相关管理办法；</w:t>
            </w:r>
          </w:p>
        </w:tc>
        <w:tc>
          <w:tcPr>
            <w:tcW w:w="1094"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3分</w:t>
            </w:r>
          </w:p>
        </w:tc>
        <w:tc>
          <w:tcPr>
            <w:tcW w:w="5386" w:type="dxa"/>
            <w:tcBorders>
              <w:top w:val="single" w:color="auto" w:sz="4" w:space="0"/>
              <w:left w:val="single" w:color="auto" w:sz="4" w:space="0"/>
            </w:tcBorders>
            <w:shd w:val="clear" w:color="auto" w:fill="FFFFFF"/>
            <w:vAlign w:val="center"/>
          </w:tcPr>
          <w:p>
            <w:pPr>
              <w:spacing w:line="201" w:lineRule="exac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申报、批复程序符合相关管理办法</w:t>
            </w:r>
            <w:r>
              <w:rPr>
                <w:rFonts w:ascii="宋体" w:hAnsi="宋体" w:cs="宋体"/>
                <w:color w:val="000000"/>
                <w:kern w:val="0"/>
                <w:sz w:val="14"/>
                <w:szCs w:val="14"/>
                <w:lang w:bidi="en-US"/>
              </w:rPr>
              <w:t>3-2.7</w:t>
            </w:r>
            <w:r>
              <w:rPr>
                <w:rFonts w:ascii="宋体" w:hAnsi="宋体" w:cs="宋体"/>
                <w:color w:val="000000"/>
                <w:kern w:val="0"/>
                <w:sz w:val="14"/>
                <w:szCs w:val="14"/>
                <w:lang w:val="zh-TW" w:eastAsia="zh-TW" w:bidi="zh-TW"/>
              </w:rPr>
              <w:t>分</w:t>
            </w:r>
            <w:r>
              <w:rPr>
                <w:rFonts w:ascii="宋体" w:hAnsi="宋体" w:cs="宋体"/>
                <w:color w:val="000000"/>
                <w:kern w:val="0"/>
                <w:sz w:val="14"/>
                <w:szCs w:val="14"/>
                <w:lang w:bidi="en-US"/>
              </w:rPr>
              <w:t>；</w:t>
            </w:r>
            <w:r>
              <w:rPr>
                <w:rFonts w:ascii="宋体" w:hAnsi="宋体" w:cs="宋体"/>
                <w:color w:val="000000"/>
                <w:kern w:val="0"/>
                <w:sz w:val="14"/>
                <w:szCs w:val="14"/>
                <w:lang w:val="zh-TW" w:eastAsia="zh-TW" w:bidi="zh-TW"/>
              </w:rPr>
              <w:t>较符合相关管理办法</w:t>
            </w:r>
            <w:r>
              <w:rPr>
                <w:rFonts w:ascii="宋体" w:hAnsi="宋体" w:cs="宋体"/>
                <w:color w:val="000000"/>
                <w:kern w:val="0"/>
                <w:sz w:val="14"/>
                <w:szCs w:val="14"/>
                <w:lang w:bidi="en-US"/>
              </w:rPr>
              <w:t>2.7-2.</w:t>
            </w:r>
            <w:r>
              <w:rPr>
                <w:rFonts w:ascii="宋体" w:hAnsi="宋体" w:cs="宋体"/>
                <w:color w:val="000000"/>
                <w:kern w:val="0"/>
                <w:sz w:val="14"/>
                <w:szCs w:val="14"/>
                <w:lang w:val="zh-TW" w:eastAsia="zh-TW" w:bidi="zh-TW"/>
              </w:rPr>
              <w:t>2分；基本符合相关管理办法</w:t>
            </w:r>
            <w:r>
              <w:rPr>
                <w:rFonts w:ascii="宋体" w:hAnsi="宋体" w:cs="宋体"/>
                <w:color w:val="000000"/>
                <w:kern w:val="0"/>
                <w:sz w:val="14"/>
                <w:szCs w:val="14"/>
                <w:lang w:bidi="en-US"/>
              </w:rPr>
              <w:t>2.2-1.</w:t>
            </w:r>
            <w:r>
              <w:rPr>
                <w:rFonts w:ascii="宋体" w:hAnsi="宋体" w:cs="宋体"/>
                <w:color w:val="000000"/>
                <w:kern w:val="0"/>
                <w:sz w:val="14"/>
                <w:szCs w:val="14"/>
                <w:lang w:val="zh-TW" w:eastAsia="zh-TW" w:bidi="zh-TW"/>
              </w:rPr>
              <w:t>8分：不符合相关管理办法</w:t>
            </w:r>
            <w:r>
              <w:rPr>
                <w:rFonts w:ascii="宋体" w:hAnsi="宋体" w:cs="宋体"/>
                <w:color w:val="000000"/>
                <w:kern w:val="0"/>
                <w:sz w:val="14"/>
                <w:szCs w:val="14"/>
                <w:lang w:bidi="en-US"/>
              </w:rPr>
              <w:t>1.</w:t>
            </w:r>
            <w:r>
              <w:rPr>
                <w:rFonts w:ascii="宋体" w:hAnsi="宋体" w:cs="宋体"/>
                <w:color w:val="000000"/>
                <w:kern w:val="0"/>
                <w:sz w:val="14"/>
                <w:szCs w:val="14"/>
                <w:lang w:eastAsia="en-US" w:bidi="en-US"/>
              </w:rPr>
              <w:t>8-0</w:t>
            </w:r>
            <w:r>
              <w:rPr>
                <w:rFonts w:ascii="宋体" w:hAnsi="宋体" w:cs="宋体"/>
                <w:color w:val="000000"/>
                <w:kern w:val="0"/>
                <w:sz w:val="14"/>
                <w:szCs w:val="14"/>
                <w:lang w:val="zh-TW" w:eastAsia="zh-TW" w:bidi="zh-TW"/>
              </w:rPr>
              <w:t>分</w:t>
            </w:r>
          </w:p>
        </w:tc>
        <w:tc>
          <w:tcPr>
            <w:tcW w:w="1127"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3.</w:t>
            </w:r>
            <w:r>
              <w:rPr>
                <w:rFonts w:ascii="宋体" w:hAnsi="宋体" w:cs="宋体"/>
                <w:color w:val="000000"/>
                <w:kern w:val="0"/>
                <w:sz w:val="14"/>
                <w:szCs w:val="14"/>
                <w:lang w:val="zh-TW" w:eastAsia="zh-TW" w:bidi="zh-TW"/>
              </w:rPr>
              <w:t>00</w:t>
            </w:r>
          </w:p>
        </w:tc>
        <w:tc>
          <w:tcPr>
            <w:tcW w:w="2735" w:type="dxa"/>
            <w:tcBorders>
              <w:top w:val="single" w:color="auto" w:sz="4" w:space="0"/>
              <w:left w:val="single" w:color="auto" w:sz="4" w:space="0"/>
              <w:right w:val="single" w:color="auto" w:sz="4" w:space="0"/>
            </w:tcBorders>
            <w:shd w:val="clear" w:color="auto" w:fill="FFFFFF"/>
          </w:tcPr>
          <w:p>
            <w:pPr>
              <w:jc w:val="left"/>
              <w:rPr>
                <w:rFonts w:eastAsia="Times New Roman"/>
                <w:color w:val="000000"/>
                <w:kern w:val="0"/>
                <w:sz w:val="10"/>
                <w:szCs w:val="10"/>
                <w:lang w:eastAsia="en-US" w:bidi="en-US"/>
              </w:rPr>
            </w:pPr>
          </w:p>
        </w:tc>
      </w:tr>
      <w:tr>
        <w:tblPrEx>
          <w:tblLayout w:type="fixed"/>
          <w:tblCellMar>
            <w:top w:w="0" w:type="dxa"/>
            <w:left w:w="10" w:type="dxa"/>
            <w:bottom w:w="0" w:type="dxa"/>
            <w:right w:w="10" w:type="dxa"/>
          </w:tblCellMar>
        </w:tblPrEx>
        <w:trPr>
          <w:trHeight w:val="963" w:hRule="exact"/>
          <w:jc w:val="center"/>
        </w:trPr>
        <w:tc>
          <w:tcPr>
            <w:tcW w:w="762" w:type="dxa"/>
            <w:vMerge w:val="continue"/>
            <w:tcBorders>
              <w:left w:val="single" w:color="auto" w:sz="4" w:space="0"/>
              <w:bottom w:val="single" w:color="auto" w:sz="4" w:space="0"/>
            </w:tcBorders>
            <w:shd w:val="clear" w:color="auto" w:fill="FFFFFF"/>
            <w:vAlign w:val="center"/>
          </w:tcPr>
          <w:p>
            <w:pPr>
              <w:jc w:val="left"/>
              <w:rPr>
                <w:rFonts w:eastAsia="Times New Roman"/>
                <w:color w:val="000000"/>
                <w:kern w:val="0"/>
                <w:sz w:val="24"/>
                <w:lang w:eastAsia="en-US" w:bidi="en-US"/>
              </w:rPr>
            </w:pPr>
          </w:p>
        </w:tc>
        <w:tc>
          <w:tcPr>
            <w:tcW w:w="809" w:type="dxa"/>
            <w:vMerge w:val="continue"/>
            <w:tcBorders>
              <w:left w:val="single" w:color="auto" w:sz="4" w:space="0"/>
              <w:bottom w:val="single" w:color="auto" w:sz="4" w:space="0"/>
            </w:tcBorders>
            <w:shd w:val="clear" w:color="auto" w:fill="FFFFFF"/>
            <w:vAlign w:val="center"/>
          </w:tcPr>
          <w:p>
            <w:pPr>
              <w:jc w:val="left"/>
              <w:rPr>
                <w:rFonts w:eastAsia="Times New Roman"/>
                <w:color w:val="000000"/>
                <w:kern w:val="0"/>
                <w:sz w:val="24"/>
                <w:lang w:eastAsia="en-US" w:bidi="en-US"/>
              </w:rPr>
            </w:pPr>
          </w:p>
        </w:tc>
        <w:tc>
          <w:tcPr>
            <w:tcW w:w="814" w:type="dxa"/>
            <w:vMerge w:val="continue"/>
            <w:tcBorders>
              <w:left w:val="single" w:color="auto" w:sz="4" w:space="0"/>
              <w:bottom w:val="single" w:color="auto" w:sz="4" w:space="0"/>
            </w:tcBorders>
            <w:shd w:val="clear" w:color="auto" w:fill="FFFFFF"/>
            <w:vAlign w:val="center"/>
          </w:tcPr>
          <w:p>
            <w:pPr>
              <w:jc w:val="left"/>
              <w:rPr>
                <w:rFonts w:eastAsia="Times New Roman"/>
                <w:color w:val="000000"/>
                <w:kern w:val="0"/>
                <w:sz w:val="24"/>
                <w:lang w:eastAsia="en-US" w:bidi="en-US"/>
              </w:rPr>
            </w:pPr>
          </w:p>
        </w:tc>
        <w:tc>
          <w:tcPr>
            <w:tcW w:w="874" w:type="dxa"/>
            <w:tcBorders>
              <w:top w:val="single" w:color="auto" w:sz="4" w:space="0"/>
              <w:left w:val="single" w:color="auto" w:sz="4" w:space="0"/>
              <w:bottom w:val="single" w:color="auto" w:sz="4" w:space="0"/>
            </w:tcBorders>
            <w:shd w:val="clear" w:color="auto" w:fill="FFFFFF"/>
            <w:vAlign w:val="center"/>
          </w:tcPr>
          <w:p>
            <w:pPr>
              <w:spacing w:line="199"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2、项目单位项目申报、批复程序科学合理；</w:t>
            </w:r>
          </w:p>
        </w:tc>
        <w:tc>
          <w:tcPr>
            <w:tcW w:w="1094" w:type="dxa"/>
            <w:tcBorders>
              <w:top w:val="single" w:color="auto" w:sz="4" w:space="0"/>
              <w:left w:val="single" w:color="auto" w:sz="4" w:space="0"/>
              <w:bottom w:val="single" w:color="auto" w:sz="4" w:space="0"/>
            </w:tcBorders>
            <w:shd w:val="clear" w:color="auto" w:fill="FFFFFF"/>
            <w:vAlign w:val="center"/>
          </w:tcPr>
          <w:p>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2分</w:t>
            </w:r>
          </w:p>
        </w:tc>
        <w:tc>
          <w:tcPr>
            <w:tcW w:w="5386" w:type="dxa"/>
            <w:tcBorders>
              <w:top w:val="single" w:color="auto" w:sz="4" w:space="0"/>
              <w:left w:val="single" w:color="auto" w:sz="4" w:space="0"/>
              <w:bottom w:val="single" w:color="auto" w:sz="4" w:space="0"/>
            </w:tcBorders>
            <w:shd w:val="clear" w:color="auto" w:fill="FFFFFF"/>
            <w:vAlign w:val="center"/>
          </w:tcPr>
          <w:p>
            <w:pPr>
              <w:spacing w:line="208"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项目申报、批复程序科学合理</w:t>
            </w:r>
            <w:r>
              <w:rPr>
                <w:rFonts w:ascii="宋体" w:hAnsi="宋体" w:cs="宋体"/>
                <w:color w:val="000000"/>
                <w:kern w:val="0"/>
                <w:sz w:val="14"/>
                <w:szCs w:val="14"/>
                <w:lang w:bidi="en-US"/>
              </w:rPr>
              <w:t>2-1.8</w:t>
            </w:r>
            <w:r>
              <w:rPr>
                <w:rFonts w:ascii="宋体" w:hAnsi="宋体" w:cs="宋体"/>
                <w:color w:val="000000"/>
                <w:kern w:val="0"/>
                <w:sz w:val="14"/>
                <w:szCs w:val="14"/>
                <w:lang w:val="zh-TW" w:eastAsia="zh-TW" w:bidi="zh-TW"/>
              </w:rPr>
              <w:t>分</w:t>
            </w:r>
            <w:r>
              <w:rPr>
                <w:rFonts w:ascii="宋体" w:hAnsi="宋体" w:cs="宋体"/>
                <w:color w:val="000000"/>
                <w:kern w:val="0"/>
                <w:sz w:val="14"/>
                <w:szCs w:val="14"/>
                <w:lang w:bidi="en-US"/>
              </w:rPr>
              <w:t>；</w:t>
            </w:r>
            <w:r>
              <w:rPr>
                <w:rFonts w:hint="eastAsia" w:ascii="宋体" w:hAnsi="宋体" w:cs="宋体"/>
                <w:color w:val="000000"/>
                <w:kern w:val="0"/>
                <w:sz w:val="14"/>
                <w:szCs w:val="14"/>
                <w:lang w:eastAsia="zh-CN" w:bidi="en-US"/>
              </w:rPr>
              <w:t>申报</w:t>
            </w:r>
            <w:r>
              <w:rPr>
                <w:rFonts w:ascii="宋体" w:hAnsi="宋体" w:cs="宋体"/>
                <w:color w:val="000000"/>
                <w:kern w:val="0"/>
                <w:sz w:val="14"/>
                <w:szCs w:val="14"/>
                <w:lang w:val="zh-TW" w:eastAsia="zh-TW" w:bidi="zh-TW"/>
              </w:rPr>
              <w:t>、批复程序较科学合理</w:t>
            </w:r>
            <w:r>
              <w:rPr>
                <w:rFonts w:ascii="宋体" w:hAnsi="宋体" w:cs="宋体"/>
                <w:color w:val="000000"/>
                <w:kern w:val="0"/>
                <w:sz w:val="14"/>
                <w:szCs w:val="14"/>
                <w:lang w:bidi="en-US"/>
              </w:rPr>
              <w:t>1.8-1.</w:t>
            </w:r>
            <w:r>
              <w:rPr>
                <w:rFonts w:ascii="宋体" w:hAnsi="宋体" w:cs="宋体"/>
                <w:color w:val="000000"/>
                <w:kern w:val="0"/>
                <w:sz w:val="14"/>
                <w:szCs w:val="14"/>
                <w:lang w:val="zh-TW" w:eastAsia="zh-TW" w:bidi="zh-TW"/>
              </w:rPr>
              <w:t>5分：申报、批复程序基本科学合理</w:t>
            </w:r>
            <w:r>
              <w:rPr>
                <w:rFonts w:ascii="宋体" w:hAnsi="宋体" w:cs="宋体"/>
                <w:color w:val="000000"/>
                <w:kern w:val="0"/>
                <w:sz w:val="14"/>
                <w:szCs w:val="14"/>
                <w:lang w:bidi="en-US"/>
              </w:rPr>
              <w:t>1.5-1.</w:t>
            </w:r>
            <w:r>
              <w:rPr>
                <w:rFonts w:ascii="宋体" w:hAnsi="宋体" w:cs="宋体"/>
                <w:color w:val="000000"/>
                <w:kern w:val="0"/>
                <w:sz w:val="14"/>
                <w:szCs w:val="14"/>
                <w:lang w:val="zh-TW" w:eastAsia="zh-TW" w:bidi="zh-TW"/>
              </w:rPr>
              <w:t>2分；申报、批</w:t>
            </w:r>
            <w:r>
              <w:rPr>
                <w:rFonts w:hint="eastAsia" w:ascii="宋体" w:hAnsi="宋体" w:cs="宋体"/>
                <w:color w:val="000000"/>
                <w:kern w:val="0"/>
                <w:sz w:val="14"/>
                <w:szCs w:val="14"/>
                <w:lang w:val="zh-TW" w:bidi="zh-TW"/>
              </w:rPr>
              <w:t>复</w:t>
            </w:r>
            <w:r>
              <w:rPr>
                <w:rFonts w:ascii="宋体" w:hAnsi="宋体" w:cs="宋体"/>
                <w:color w:val="000000"/>
                <w:kern w:val="0"/>
                <w:sz w:val="14"/>
                <w:szCs w:val="14"/>
                <w:lang w:val="zh-TW" w:eastAsia="zh-TW" w:bidi="zh-TW"/>
              </w:rPr>
              <w:t>程序不科学合理</w:t>
            </w:r>
            <w:r>
              <w:rPr>
                <w:rFonts w:ascii="宋体" w:hAnsi="宋体" w:cs="宋体"/>
                <w:color w:val="000000"/>
                <w:kern w:val="0"/>
                <w:sz w:val="14"/>
                <w:szCs w:val="14"/>
                <w:lang w:bidi="en-US"/>
              </w:rPr>
              <w:t>1.2-0</w:t>
            </w:r>
            <w:r>
              <w:rPr>
                <w:rFonts w:ascii="宋体" w:hAnsi="宋体" w:cs="宋体"/>
                <w:color w:val="000000"/>
                <w:kern w:val="0"/>
                <w:sz w:val="14"/>
                <w:szCs w:val="14"/>
                <w:lang w:val="zh-TW" w:eastAsia="zh-TW" w:bidi="zh-TW"/>
              </w:rPr>
              <w:t>分</w:t>
            </w:r>
          </w:p>
        </w:tc>
        <w:tc>
          <w:tcPr>
            <w:tcW w:w="1127" w:type="dxa"/>
            <w:tcBorders>
              <w:top w:val="single" w:color="auto" w:sz="4" w:space="0"/>
              <w:left w:val="single" w:color="auto" w:sz="4" w:space="0"/>
              <w:bottom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2.00</w:t>
            </w:r>
          </w:p>
        </w:tc>
        <w:tc>
          <w:tcPr>
            <w:tcW w:w="2735" w:type="dxa"/>
            <w:tcBorders>
              <w:top w:val="single" w:color="auto" w:sz="4" w:space="0"/>
              <w:left w:val="single" w:color="auto" w:sz="4" w:space="0"/>
              <w:bottom w:val="single" w:color="auto" w:sz="4" w:space="0"/>
              <w:right w:val="single" w:color="auto" w:sz="4" w:space="0"/>
            </w:tcBorders>
            <w:shd w:val="clear" w:color="auto" w:fill="FFFFFF"/>
          </w:tcPr>
          <w:p>
            <w:pPr>
              <w:jc w:val="left"/>
              <w:rPr>
                <w:rFonts w:eastAsia="Times New Roman"/>
                <w:color w:val="000000"/>
                <w:kern w:val="0"/>
                <w:sz w:val="10"/>
                <w:szCs w:val="10"/>
                <w:lang w:eastAsia="en-US" w:bidi="en-US"/>
              </w:rPr>
            </w:pPr>
          </w:p>
        </w:tc>
      </w:tr>
    </w:tbl>
    <w:p>
      <w:pPr>
        <w:spacing w:line="1" w:lineRule="exact"/>
        <w:jc w:val="left"/>
        <w:rPr>
          <w:rFonts w:eastAsia="Times New Roman"/>
          <w:color w:val="000000"/>
          <w:kern w:val="0"/>
          <w:sz w:val="2"/>
          <w:szCs w:val="2"/>
          <w:lang w:eastAsia="en-US" w:bidi="en-US"/>
        </w:rPr>
      </w:pPr>
      <w:r>
        <w:rPr>
          <w:rFonts w:eastAsia="Times New Roman"/>
          <w:color w:val="000000"/>
          <w:kern w:val="0"/>
          <w:sz w:val="24"/>
          <w:lang w:eastAsia="en-US" w:bidi="en-US"/>
        </w:rPr>
        <w:br w:type="page"/>
      </w:r>
    </w:p>
    <w:p>
      <w:pPr>
        <w:jc w:val="center"/>
        <w:rPr>
          <w:rFonts w:ascii="宋体" w:hAnsi="宋体" w:cs="宋体"/>
          <w:color w:val="000000"/>
          <w:kern w:val="0"/>
          <w:sz w:val="22"/>
          <w:lang w:val="zh-TW" w:eastAsia="zh-TW" w:bidi="zh-TW"/>
        </w:rPr>
      </w:pPr>
      <w:r>
        <w:rPr>
          <w:rFonts w:hint="eastAsia" w:ascii="宋体" w:hAnsi="宋体" w:cs="宋体"/>
          <w:color w:val="000000"/>
          <w:kern w:val="0"/>
          <w:sz w:val="22"/>
          <w:lang w:val="zh-TW" w:eastAsia="zh-TW" w:bidi="zh-TW"/>
        </w:rPr>
        <w:t>202</w:t>
      </w:r>
      <w:r>
        <w:rPr>
          <w:rFonts w:hint="eastAsia" w:ascii="宋体" w:hAnsi="宋体" w:cs="宋体"/>
          <w:color w:val="000000"/>
          <w:kern w:val="0"/>
          <w:sz w:val="22"/>
          <w:lang w:bidi="zh-TW"/>
        </w:rPr>
        <w:t>3</w:t>
      </w:r>
      <w:r>
        <w:rPr>
          <w:rFonts w:hint="eastAsia" w:ascii="宋体" w:hAnsi="宋体" w:cs="宋体"/>
          <w:color w:val="000000"/>
          <w:kern w:val="0"/>
          <w:sz w:val="22"/>
          <w:lang w:val="zh-TW" w:eastAsia="zh-TW" w:bidi="zh-TW"/>
        </w:rPr>
        <w:t>年密云检察院信息化运维费项目</w:t>
      </w:r>
      <w:r>
        <w:rPr>
          <w:rFonts w:ascii="宋体" w:hAnsi="宋体" w:cs="宋体"/>
          <w:color w:val="000000"/>
          <w:kern w:val="0"/>
          <w:sz w:val="22"/>
          <w:lang w:val="zh-TW" w:eastAsia="zh-TW" w:bidi="zh-TW"/>
        </w:rPr>
        <w:t>保障指标体系及打分情况表</w:t>
      </w:r>
    </w:p>
    <w:tbl>
      <w:tblPr>
        <w:tblStyle w:val="26"/>
        <w:tblW w:w="14024" w:type="dxa"/>
        <w:jc w:val="center"/>
        <w:tblInd w:w="0" w:type="dxa"/>
        <w:tblLayout w:type="fixed"/>
        <w:tblCellMar>
          <w:top w:w="0" w:type="dxa"/>
          <w:left w:w="10" w:type="dxa"/>
          <w:bottom w:w="0" w:type="dxa"/>
          <w:right w:w="10" w:type="dxa"/>
        </w:tblCellMar>
      </w:tblPr>
      <w:tblGrid>
        <w:gridCol w:w="825"/>
        <w:gridCol w:w="830"/>
        <w:gridCol w:w="811"/>
        <w:gridCol w:w="1073"/>
        <w:gridCol w:w="1104"/>
        <w:gridCol w:w="5392"/>
        <w:gridCol w:w="1165"/>
        <w:gridCol w:w="2824"/>
      </w:tblGrid>
      <w:tr>
        <w:tblPrEx>
          <w:tblLayout w:type="fixed"/>
          <w:tblCellMar>
            <w:top w:w="0" w:type="dxa"/>
            <w:left w:w="10" w:type="dxa"/>
            <w:bottom w:w="0" w:type="dxa"/>
            <w:right w:w="10" w:type="dxa"/>
          </w:tblCellMar>
        </w:tblPrEx>
        <w:trPr>
          <w:trHeight w:val="452" w:hRule="exact"/>
          <w:jc w:val="center"/>
        </w:trPr>
        <w:tc>
          <w:tcPr>
            <w:tcW w:w="825"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一级指标</w:t>
            </w:r>
          </w:p>
        </w:tc>
        <w:tc>
          <w:tcPr>
            <w:tcW w:w="830"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en-US" w:eastAsia="zh-CN" w:bidi="zh-TW"/>
              </w:rPr>
              <w:t>二</w:t>
            </w:r>
            <w:r>
              <w:rPr>
                <w:rFonts w:ascii="宋体" w:hAnsi="宋体" w:cs="宋体"/>
                <w:color w:val="000000"/>
                <w:kern w:val="0"/>
                <w:sz w:val="14"/>
                <w:szCs w:val="14"/>
                <w:lang w:val="zh-TW" w:eastAsia="zh-TW" w:bidi="zh-TW"/>
              </w:rPr>
              <w:t>级指标</w:t>
            </w:r>
          </w:p>
        </w:tc>
        <w:tc>
          <w:tcPr>
            <w:tcW w:w="811"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三级指标</w:t>
            </w:r>
          </w:p>
        </w:tc>
        <w:tc>
          <w:tcPr>
            <w:tcW w:w="1073"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四级指标</w:t>
            </w:r>
          </w:p>
        </w:tc>
        <w:tc>
          <w:tcPr>
            <w:tcW w:w="1104"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评分</w:t>
            </w:r>
          </w:p>
        </w:tc>
        <w:tc>
          <w:tcPr>
            <w:tcW w:w="5392"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评价内容（标准）</w:t>
            </w:r>
          </w:p>
        </w:tc>
        <w:tc>
          <w:tcPr>
            <w:tcW w:w="1165"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zh-TW" w:bidi="zh-TW"/>
              </w:rPr>
              <w:t>评价得分</w:t>
            </w:r>
          </w:p>
        </w:tc>
        <w:tc>
          <w:tcPr>
            <w:tcW w:w="2824" w:type="dxa"/>
            <w:tcBorders>
              <w:top w:val="single" w:color="auto" w:sz="4" w:space="0"/>
              <w:left w:val="single" w:color="auto" w:sz="4" w:space="0"/>
              <w:right w:val="single" w:color="auto" w:sz="4" w:space="0"/>
            </w:tcBorders>
            <w:shd w:val="clear" w:color="auto" w:fill="FFFFFF"/>
            <w:vAlign w:val="center"/>
          </w:tcPr>
          <w:p>
            <w:pPr>
              <w:ind w:left="1060" w:leftChars="0"/>
              <w:jc w:val="both"/>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扣分原因</w:t>
            </w:r>
          </w:p>
        </w:tc>
      </w:tr>
      <w:tr>
        <w:tblPrEx>
          <w:tblLayout w:type="fixed"/>
          <w:tblCellMar>
            <w:top w:w="0" w:type="dxa"/>
            <w:left w:w="10" w:type="dxa"/>
            <w:bottom w:w="0" w:type="dxa"/>
            <w:right w:w="10" w:type="dxa"/>
          </w:tblCellMar>
        </w:tblPrEx>
        <w:trPr>
          <w:trHeight w:val="524" w:hRule="exact"/>
          <w:jc w:val="center"/>
        </w:trPr>
        <w:tc>
          <w:tcPr>
            <w:tcW w:w="825" w:type="dxa"/>
            <w:vMerge w:val="restart"/>
            <w:tcBorders>
              <w:top w:val="single" w:color="auto" w:sz="4" w:space="0"/>
              <w:left w:val="single" w:color="auto" w:sz="4" w:space="0"/>
            </w:tcBorders>
            <w:shd w:val="clear" w:color="auto" w:fill="FFFFFF"/>
            <w:vAlign w:val="center"/>
          </w:tcPr>
          <w:p>
            <w:pPr>
              <w:spacing w:line="186"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项目管理 （30 分）</w:t>
            </w:r>
          </w:p>
        </w:tc>
        <w:tc>
          <w:tcPr>
            <w:tcW w:w="830" w:type="dxa"/>
            <w:vMerge w:val="restart"/>
            <w:tcBorders>
              <w:top w:val="single" w:color="auto" w:sz="4" w:space="0"/>
              <w:left w:val="single" w:color="auto" w:sz="4" w:space="0"/>
            </w:tcBorders>
            <w:shd w:val="clear" w:color="auto" w:fill="FFFFFF"/>
            <w:vAlign w:val="center"/>
          </w:tcPr>
          <w:p>
            <w:pPr>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w:t>
            </w:r>
            <w:r>
              <w:rPr>
                <w:rFonts w:hint="eastAsia" w:ascii="宋体" w:hAnsi="宋体" w:cs="宋体"/>
                <w:color w:val="000000"/>
                <w:kern w:val="0"/>
                <w:sz w:val="14"/>
                <w:szCs w:val="14"/>
                <w:lang w:val="zh-TW" w:bidi="zh-TW"/>
              </w:rPr>
              <w:t>目</w:t>
            </w:r>
            <w:r>
              <w:rPr>
                <w:rFonts w:ascii="宋体" w:hAnsi="宋体" w:cs="宋体"/>
                <w:color w:val="000000"/>
                <w:kern w:val="0"/>
                <w:sz w:val="14"/>
                <w:szCs w:val="14"/>
                <w:lang w:val="zh-TW" w:eastAsia="zh-TW" w:bidi="zh-TW"/>
              </w:rPr>
              <w:t>资金</w:t>
            </w:r>
          </w:p>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（15 分）</w:t>
            </w:r>
          </w:p>
        </w:tc>
        <w:tc>
          <w:tcPr>
            <w:tcW w:w="811" w:type="dxa"/>
            <w:vMerge w:val="restart"/>
            <w:tcBorders>
              <w:top w:val="single" w:color="auto" w:sz="4" w:space="0"/>
              <w:left w:val="single" w:color="auto" w:sz="4" w:space="0"/>
            </w:tcBorders>
            <w:shd w:val="clear" w:color="auto" w:fill="FFFFFF"/>
            <w:vAlign w:val="center"/>
          </w:tcPr>
          <w:p>
            <w:pPr>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预算管理</w:t>
            </w:r>
          </w:p>
          <w:p>
            <w:pPr>
              <w:ind w:firstLine="16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1073" w:type="dxa"/>
            <w:tcBorders>
              <w:top w:val="single" w:color="auto" w:sz="4" w:space="0"/>
              <w:left w:val="single" w:color="auto" w:sz="4" w:space="0"/>
            </w:tcBorders>
            <w:shd w:val="clear" w:color="auto" w:fill="FFFFFF"/>
            <w:vAlign w:val="center"/>
          </w:tcPr>
          <w:p>
            <w:pPr>
              <w:spacing w:line="200"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w:t>
            </w:r>
            <w:r>
              <w:rPr>
                <w:rFonts w:hint="eastAsia" w:ascii="宋体" w:hAnsi="宋体" w:cs="宋体"/>
                <w:color w:val="000000"/>
                <w:kern w:val="0"/>
                <w:sz w:val="14"/>
                <w:szCs w:val="14"/>
                <w:lang w:val="zh-TW" w:eastAsia="zh-CN" w:bidi="zh-TW"/>
              </w:rPr>
              <w:t>项目预算</w:t>
            </w:r>
            <w:r>
              <w:rPr>
                <w:rFonts w:ascii="宋体" w:hAnsi="宋体" w:cs="宋体"/>
                <w:color w:val="000000"/>
                <w:kern w:val="0"/>
                <w:sz w:val="14"/>
                <w:szCs w:val="14"/>
                <w:lang w:val="zh-TW" w:eastAsia="zh-TW" w:bidi="zh-TW"/>
              </w:rPr>
              <w:t>编制细化、准确；</w:t>
            </w:r>
          </w:p>
        </w:tc>
        <w:tc>
          <w:tcPr>
            <w:tcW w:w="1104" w:type="dxa"/>
            <w:tcBorders>
              <w:top w:val="single" w:color="auto" w:sz="4" w:space="0"/>
              <w:left w:val="single" w:color="auto" w:sz="4" w:space="0"/>
            </w:tcBorders>
            <w:shd w:val="clear" w:color="auto" w:fill="FFFFFF"/>
            <w:vAlign w:val="center"/>
          </w:tcPr>
          <w:p>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2分</w:t>
            </w:r>
          </w:p>
        </w:tc>
        <w:tc>
          <w:tcPr>
            <w:tcW w:w="5392" w:type="dxa"/>
            <w:tcBorders>
              <w:top w:val="single" w:color="auto" w:sz="4" w:space="0"/>
              <w:left w:val="single" w:color="auto" w:sz="4" w:space="0"/>
            </w:tcBorders>
            <w:shd w:val="clear" w:color="auto" w:fill="FFFFFF"/>
            <w:vAlign w:val="center"/>
          </w:tcPr>
          <w:p>
            <w:pPr>
              <w:spacing w:line="200"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项目预算编制细化、</w:t>
            </w:r>
            <w:r>
              <w:rPr>
                <w:rFonts w:hint="eastAsia" w:ascii="宋体" w:hAnsi="宋体" w:cs="宋体"/>
                <w:color w:val="000000"/>
                <w:kern w:val="0"/>
                <w:sz w:val="14"/>
                <w:szCs w:val="14"/>
                <w:lang w:val="zh-TW" w:eastAsia="zh-CN" w:bidi="zh-TW"/>
              </w:rPr>
              <w:t>准确</w:t>
            </w:r>
            <w:r>
              <w:rPr>
                <w:rFonts w:ascii="宋体" w:hAnsi="宋体" w:cs="宋体"/>
                <w:color w:val="000000"/>
                <w:kern w:val="0"/>
                <w:sz w:val="14"/>
                <w:szCs w:val="14"/>
                <w:lang w:bidi="en-US"/>
              </w:rPr>
              <w:t>2</w:t>
            </w:r>
            <w:r>
              <w:rPr>
                <w:rFonts w:hint="eastAsia" w:ascii="宋体" w:hAnsi="宋体" w:cs="宋体"/>
                <w:color w:val="000000"/>
                <w:kern w:val="0"/>
                <w:sz w:val="14"/>
                <w:szCs w:val="14"/>
                <w:lang w:val="en-US" w:eastAsia="zh-CN" w:bidi="en-US"/>
              </w:rPr>
              <w:t>-1</w:t>
            </w:r>
            <w:r>
              <w:rPr>
                <w:rFonts w:ascii="宋体" w:hAnsi="宋体" w:cs="宋体"/>
                <w:color w:val="000000"/>
                <w:kern w:val="0"/>
                <w:sz w:val="14"/>
                <w:szCs w:val="14"/>
                <w:lang w:bidi="en-US"/>
              </w:rPr>
              <w:t>.</w:t>
            </w:r>
            <w:r>
              <w:rPr>
                <w:rFonts w:ascii="宋体" w:hAnsi="宋体" w:cs="宋体"/>
                <w:color w:val="000000"/>
                <w:kern w:val="0"/>
                <w:sz w:val="14"/>
                <w:szCs w:val="14"/>
                <w:lang w:val="zh-TW" w:eastAsia="zh-TW" w:bidi="zh-TW"/>
              </w:rPr>
              <w:t>8分；较细化、准确</w:t>
            </w:r>
            <w:r>
              <w:rPr>
                <w:rFonts w:ascii="宋体" w:hAnsi="宋体" w:cs="宋体"/>
                <w:color w:val="000000"/>
                <w:kern w:val="0"/>
                <w:sz w:val="14"/>
                <w:szCs w:val="14"/>
                <w:lang w:bidi="en-US"/>
              </w:rPr>
              <w:t>1.8-1.</w:t>
            </w:r>
            <w:r>
              <w:rPr>
                <w:rFonts w:ascii="宋体" w:hAnsi="宋体" w:cs="宋体"/>
                <w:color w:val="000000"/>
                <w:kern w:val="0"/>
                <w:sz w:val="14"/>
                <w:szCs w:val="14"/>
                <w:lang w:val="zh-TW" w:eastAsia="zh-TW" w:bidi="zh-TW"/>
              </w:rPr>
              <w:t>5分，基本细化、准确</w:t>
            </w:r>
            <w:r>
              <w:rPr>
                <w:rFonts w:ascii="宋体" w:hAnsi="宋体" w:cs="宋体"/>
                <w:color w:val="000000"/>
                <w:kern w:val="0"/>
                <w:sz w:val="14"/>
                <w:szCs w:val="14"/>
                <w:lang w:bidi="en-US"/>
              </w:rPr>
              <w:t>1.5-1.</w:t>
            </w:r>
            <w:r>
              <w:rPr>
                <w:rFonts w:ascii="宋体" w:hAnsi="宋体" w:cs="宋体"/>
                <w:color w:val="000000"/>
                <w:kern w:val="0"/>
                <w:sz w:val="14"/>
                <w:szCs w:val="14"/>
                <w:lang w:val="zh-TW" w:eastAsia="zh-TW" w:bidi="zh-TW"/>
              </w:rPr>
              <w:t>2分</w:t>
            </w:r>
            <w:r>
              <w:rPr>
                <w:rFonts w:hint="eastAsia" w:ascii="宋体" w:hAnsi="宋体" w:cs="宋体"/>
                <w:color w:val="000000"/>
                <w:kern w:val="0"/>
                <w:sz w:val="14"/>
                <w:szCs w:val="14"/>
                <w:lang w:val="zh-TW" w:eastAsia="zh-CN" w:bidi="zh-TW"/>
              </w:rPr>
              <w:t>，</w:t>
            </w:r>
            <w:r>
              <w:rPr>
                <w:rFonts w:ascii="宋体" w:hAnsi="宋体" w:cs="宋体"/>
                <w:color w:val="000000"/>
                <w:kern w:val="0"/>
                <w:sz w:val="14"/>
                <w:szCs w:val="14"/>
                <w:lang w:val="zh-TW" w:eastAsia="zh-TW" w:bidi="zh-TW"/>
              </w:rPr>
              <w:t>不细化</w:t>
            </w:r>
            <w:r>
              <w:rPr>
                <w:rFonts w:ascii="宋体" w:hAnsi="宋体" w:cs="宋体"/>
                <w:color w:val="000000"/>
                <w:kern w:val="0"/>
                <w:sz w:val="14"/>
                <w:szCs w:val="14"/>
                <w:lang w:bidi="en-US"/>
              </w:rPr>
              <w:t>1.2-0</w:t>
            </w:r>
            <w:r>
              <w:rPr>
                <w:rFonts w:ascii="宋体" w:hAnsi="宋体" w:cs="宋体"/>
                <w:color w:val="000000"/>
                <w:kern w:val="0"/>
                <w:sz w:val="14"/>
                <w:szCs w:val="14"/>
                <w:lang w:val="zh-TW" w:eastAsia="zh-TW" w:bidi="zh-TW"/>
              </w:rPr>
              <w:t>分</w:t>
            </w:r>
          </w:p>
        </w:tc>
        <w:tc>
          <w:tcPr>
            <w:tcW w:w="1165" w:type="dxa"/>
            <w:tcBorders>
              <w:top w:val="single" w:color="auto" w:sz="4" w:space="0"/>
              <w:left w:val="single" w:color="auto" w:sz="4" w:space="0"/>
            </w:tcBorders>
            <w:shd w:val="clear" w:color="auto" w:fill="FFFFFF"/>
            <w:vAlign w:val="center"/>
          </w:tcPr>
          <w:p>
            <w:pPr>
              <w:ind w:firstLine="420"/>
              <w:jc w:val="left"/>
              <w:rPr>
                <w:rFonts w:ascii="宋体" w:hAnsi="宋体" w:cs="宋体"/>
                <w:color w:val="000000"/>
                <w:kern w:val="0"/>
                <w:sz w:val="14"/>
                <w:szCs w:val="14"/>
                <w:lang w:eastAsia="en-US" w:bidi="en-US"/>
              </w:rPr>
            </w:pPr>
            <w:r>
              <w:rPr>
                <w:rFonts w:ascii="宋体" w:hAnsi="宋体" w:cs="宋体"/>
                <w:color w:val="000000"/>
                <w:kern w:val="0"/>
                <w:sz w:val="14"/>
                <w:szCs w:val="14"/>
                <w:lang w:eastAsia="en-US" w:bidi="en-US"/>
              </w:rPr>
              <w:t>1.50</w:t>
            </w:r>
          </w:p>
        </w:tc>
        <w:tc>
          <w:tcPr>
            <w:tcW w:w="2824" w:type="dxa"/>
            <w:tcBorders>
              <w:top w:val="single" w:color="auto" w:sz="4" w:space="0"/>
              <w:left w:val="single" w:color="auto" w:sz="4" w:space="0"/>
              <w:right w:val="single" w:color="auto" w:sz="4" w:space="0"/>
            </w:tcBorders>
            <w:shd w:val="clear" w:color="auto" w:fill="FFFFFF"/>
          </w:tcPr>
          <w:p>
            <w:pPr>
              <w:jc w:val="left"/>
              <w:rPr>
                <w:rFonts w:ascii="宋体" w:hAnsi="宋体" w:cs="宋体"/>
                <w:color w:val="000000"/>
                <w:kern w:val="0"/>
                <w:sz w:val="14"/>
                <w:szCs w:val="14"/>
                <w:lang w:val="zh-TW" w:bidi="zh-TW"/>
              </w:rPr>
            </w:pPr>
            <w:r>
              <w:rPr>
                <w:rFonts w:hint="eastAsia" w:ascii="宋体" w:hAnsi="宋体" w:cs="宋体"/>
                <w:color w:val="000000"/>
                <w:kern w:val="0"/>
                <w:sz w:val="14"/>
                <w:szCs w:val="14"/>
                <w:lang w:val="zh-TW" w:bidi="zh-TW"/>
              </w:rPr>
              <w:t>细化程度不足</w:t>
            </w:r>
          </w:p>
        </w:tc>
      </w:tr>
      <w:tr>
        <w:tblPrEx>
          <w:tblLayout w:type="fixed"/>
          <w:tblCellMar>
            <w:top w:w="0" w:type="dxa"/>
            <w:left w:w="10" w:type="dxa"/>
            <w:bottom w:w="0" w:type="dxa"/>
            <w:right w:w="10" w:type="dxa"/>
          </w:tblCellMar>
        </w:tblPrEx>
        <w:trPr>
          <w:trHeight w:val="638" w:hRule="exact"/>
          <w:jc w:val="center"/>
        </w:trPr>
        <w:tc>
          <w:tcPr>
            <w:tcW w:w="825"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30"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11"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1073" w:type="dxa"/>
            <w:tcBorders>
              <w:top w:val="single" w:color="auto" w:sz="4" w:space="0"/>
              <w:left w:val="single" w:color="auto" w:sz="4" w:space="0"/>
            </w:tcBorders>
            <w:shd w:val="clear" w:color="auto" w:fill="FFFFFF"/>
            <w:vAlign w:val="center"/>
          </w:tcPr>
          <w:p>
            <w:pPr>
              <w:spacing w:line="207"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2、项目预算执行与预算编制一致。</w:t>
            </w:r>
          </w:p>
        </w:tc>
        <w:tc>
          <w:tcPr>
            <w:tcW w:w="1104" w:type="dxa"/>
            <w:tcBorders>
              <w:top w:val="single" w:color="auto" w:sz="4" w:space="0"/>
              <w:left w:val="single" w:color="auto" w:sz="4" w:space="0"/>
            </w:tcBorders>
            <w:shd w:val="clear" w:color="auto" w:fill="FFFFFF"/>
            <w:vAlign w:val="center"/>
          </w:tcPr>
          <w:p>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3分</w:t>
            </w:r>
          </w:p>
        </w:tc>
        <w:tc>
          <w:tcPr>
            <w:tcW w:w="5392" w:type="dxa"/>
            <w:tcBorders>
              <w:top w:val="single" w:color="auto" w:sz="4" w:space="0"/>
              <w:left w:val="single" w:color="auto" w:sz="4" w:space="0"/>
            </w:tcBorders>
            <w:shd w:val="clear" w:color="auto" w:fill="FFFFFF"/>
            <w:vAlign w:val="center"/>
          </w:tcPr>
          <w:p>
            <w:pPr>
              <w:spacing w:line="200"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项目预算执行与预算编制一致</w:t>
            </w:r>
            <w:r>
              <w:rPr>
                <w:rFonts w:ascii="宋体" w:hAnsi="宋体" w:cs="宋体"/>
                <w:color w:val="000000"/>
                <w:kern w:val="0"/>
                <w:sz w:val="14"/>
                <w:szCs w:val="14"/>
                <w:lang w:bidi="en-US"/>
              </w:rPr>
              <w:t>3-2.7</w:t>
            </w:r>
            <w:r>
              <w:rPr>
                <w:rFonts w:ascii="宋体" w:hAnsi="宋体" w:cs="宋体"/>
                <w:color w:val="000000"/>
                <w:kern w:val="0"/>
                <w:sz w:val="14"/>
                <w:szCs w:val="14"/>
                <w:lang w:val="zh-TW" w:eastAsia="zh-TW" w:bidi="zh-TW"/>
              </w:rPr>
              <w:t>分</w:t>
            </w:r>
            <w:r>
              <w:rPr>
                <w:rFonts w:ascii="宋体" w:hAnsi="宋体" w:cs="宋体"/>
                <w:color w:val="000000"/>
                <w:kern w:val="0"/>
                <w:sz w:val="14"/>
                <w:szCs w:val="14"/>
                <w:lang w:bidi="en-US"/>
              </w:rPr>
              <w:t>；</w:t>
            </w:r>
            <w:r>
              <w:rPr>
                <w:rFonts w:ascii="宋体" w:hAnsi="宋体" w:cs="宋体"/>
                <w:color w:val="000000"/>
                <w:kern w:val="0"/>
                <w:sz w:val="14"/>
                <w:szCs w:val="14"/>
                <w:lang w:val="zh-TW" w:eastAsia="zh-TW" w:bidi="zh-TW"/>
              </w:rPr>
              <w:t>较一致</w:t>
            </w:r>
            <w:r>
              <w:rPr>
                <w:rFonts w:ascii="宋体" w:hAnsi="宋体" w:cs="宋体"/>
                <w:color w:val="000000"/>
                <w:kern w:val="0"/>
                <w:sz w:val="14"/>
                <w:szCs w:val="14"/>
                <w:lang w:bidi="en-US"/>
              </w:rPr>
              <w:t>2.</w:t>
            </w:r>
            <w:r>
              <w:rPr>
                <w:rFonts w:ascii="宋体" w:hAnsi="宋体" w:cs="宋体"/>
                <w:color w:val="000000"/>
                <w:kern w:val="0"/>
                <w:sz w:val="14"/>
                <w:szCs w:val="14"/>
                <w:lang w:eastAsia="en-US" w:bidi="en-US"/>
              </w:rPr>
              <w:t>7-2.</w:t>
            </w:r>
            <w:r>
              <w:rPr>
                <w:rFonts w:ascii="宋体" w:hAnsi="宋体" w:cs="宋体"/>
                <w:color w:val="000000"/>
                <w:kern w:val="0"/>
                <w:sz w:val="14"/>
                <w:szCs w:val="14"/>
                <w:lang w:val="zh-TW" w:eastAsia="zh-TW" w:bidi="zh-TW"/>
              </w:rPr>
              <w:t>2分；基本一致</w:t>
            </w:r>
            <w:r>
              <w:rPr>
                <w:rFonts w:hint="eastAsia" w:ascii="宋体" w:hAnsi="宋体" w:cs="宋体"/>
                <w:color w:val="000000"/>
                <w:kern w:val="0"/>
                <w:sz w:val="14"/>
                <w:szCs w:val="14"/>
                <w:lang w:val="en-US" w:eastAsia="zh-CN" w:bidi="zh-TW"/>
              </w:rPr>
              <w:t>2.2</w:t>
            </w:r>
            <w:r>
              <w:rPr>
                <w:rFonts w:ascii="宋体" w:hAnsi="宋体" w:cs="宋体"/>
                <w:color w:val="000000"/>
                <w:kern w:val="0"/>
                <w:sz w:val="14"/>
                <w:szCs w:val="14"/>
                <w:lang w:val="zh-TW" w:eastAsia="en-US" w:bidi="zh-TW"/>
              </w:rPr>
              <w:t>-1.8</w:t>
            </w:r>
            <w:r>
              <w:rPr>
                <w:rFonts w:ascii="宋体" w:hAnsi="宋体" w:cs="宋体"/>
                <w:color w:val="000000"/>
                <w:kern w:val="0"/>
                <w:sz w:val="14"/>
                <w:szCs w:val="14"/>
                <w:lang w:val="zh-TW" w:eastAsia="zh-TW" w:bidi="zh-TW"/>
              </w:rPr>
              <w:t>分</w:t>
            </w:r>
            <w:r>
              <w:rPr>
                <w:rFonts w:ascii="宋体" w:hAnsi="宋体" w:cs="宋体"/>
                <w:color w:val="000000"/>
                <w:kern w:val="0"/>
                <w:sz w:val="14"/>
                <w:szCs w:val="14"/>
                <w:lang w:val="zh-TW" w:eastAsia="en-US" w:bidi="zh-TW"/>
              </w:rPr>
              <w:t>；</w:t>
            </w:r>
            <w:r>
              <w:rPr>
                <w:rFonts w:ascii="宋体" w:hAnsi="宋体" w:cs="宋体"/>
                <w:color w:val="000000"/>
                <w:kern w:val="0"/>
                <w:sz w:val="14"/>
                <w:szCs w:val="14"/>
                <w:lang w:val="zh-TW" w:eastAsia="zh-TW" w:bidi="zh-TW"/>
              </w:rPr>
              <w:t>不一致</w:t>
            </w:r>
            <w:r>
              <w:rPr>
                <w:rFonts w:ascii="宋体" w:hAnsi="宋体" w:cs="宋体"/>
                <w:color w:val="000000"/>
                <w:kern w:val="0"/>
                <w:sz w:val="14"/>
                <w:szCs w:val="14"/>
                <w:lang w:eastAsia="en-US" w:bidi="en-US"/>
              </w:rPr>
              <w:t>1.8-0</w:t>
            </w:r>
            <w:r>
              <w:rPr>
                <w:rFonts w:ascii="宋体" w:hAnsi="宋体" w:cs="宋体"/>
                <w:color w:val="000000"/>
                <w:kern w:val="0"/>
                <w:sz w:val="14"/>
                <w:szCs w:val="14"/>
                <w:lang w:val="zh-TW" w:eastAsia="zh-TW" w:bidi="zh-TW"/>
              </w:rPr>
              <w:t>分</w:t>
            </w:r>
          </w:p>
        </w:tc>
        <w:tc>
          <w:tcPr>
            <w:tcW w:w="1165" w:type="dxa"/>
            <w:tcBorders>
              <w:top w:val="single" w:color="auto" w:sz="4" w:space="0"/>
              <w:left w:val="single" w:color="auto" w:sz="4" w:space="0"/>
            </w:tcBorders>
            <w:shd w:val="clear" w:color="auto" w:fill="FFFFFF"/>
            <w:vAlign w:val="center"/>
          </w:tcPr>
          <w:p>
            <w:pPr>
              <w:ind w:firstLine="42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3.</w:t>
            </w:r>
            <w:r>
              <w:rPr>
                <w:rFonts w:ascii="宋体" w:hAnsi="宋体" w:cs="宋体"/>
                <w:color w:val="000000"/>
                <w:kern w:val="0"/>
                <w:sz w:val="14"/>
                <w:szCs w:val="14"/>
                <w:lang w:val="zh-TW" w:eastAsia="zh-TW" w:bidi="zh-TW"/>
              </w:rPr>
              <w:t>00</w:t>
            </w:r>
          </w:p>
        </w:tc>
        <w:tc>
          <w:tcPr>
            <w:tcW w:w="2824" w:type="dxa"/>
            <w:tcBorders>
              <w:top w:val="single" w:color="auto" w:sz="4" w:space="0"/>
              <w:left w:val="single" w:color="auto" w:sz="4" w:space="0"/>
              <w:right w:val="single" w:color="auto" w:sz="4" w:space="0"/>
            </w:tcBorders>
            <w:shd w:val="clear" w:color="auto" w:fill="FFFFFF"/>
          </w:tcPr>
          <w:p>
            <w:pPr>
              <w:jc w:val="left"/>
              <w:rPr>
                <w:rFonts w:eastAsia="Times New Roman"/>
                <w:color w:val="000000"/>
                <w:kern w:val="0"/>
                <w:sz w:val="10"/>
                <w:szCs w:val="10"/>
                <w:lang w:eastAsia="en-US" w:bidi="en-US"/>
              </w:rPr>
            </w:pPr>
          </w:p>
        </w:tc>
      </w:tr>
      <w:tr>
        <w:tblPrEx>
          <w:tblLayout w:type="fixed"/>
          <w:tblCellMar>
            <w:top w:w="0" w:type="dxa"/>
            <w:left w:w="10" w:type="dxa"/>
            <w:bottom w:w="0" w:type="dxa"/>
            <w:right w:w="10" w:type="dxa"/>
          </w:tblCellMar>
        </w:tblPrEx>
        <w:trPr>
          <w:trHeight w:val="638" w:hRule="exact"/>
          <w:jc w:val="center"/>
        </w:trPr>
        <w:tc>
          <w:tcPr>
            <w:tcW w:w="825"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30"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11" w:type="dxa"/>
            <w:tcBorders>
              <w:top w:val="single" w:color="auto" w:sz="4" w:space="0"/>
              <w:left w:val="single" w:color="auto" w:sz="4" w:space="0"/>
            </w:tcBorders>
            <w:shd w:val="clear" w:color="auto" w:fill="FFFFFF"/>
            <w:vAlign w:val="center"/>
          </w:tcPr>
          <w:p>
            <w:pPr>
              <w:spacing w:line="186"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资金到位</w:t>
            </w:r>
          </w:p>
          <w:p>
            <w:pPr>
              <w:spacing w:line="186"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（4分）</w:t>
            </w:r>
          </w:p>
        </w:tc>
        <w:tc>
          <w:tcPr>
            <w:tcW w:w="1073" w:type="dxa"/>
            <w:tcBorders>
              <w:top w:val="single" w:color="auto" w:sz="4" w:space="0"/>
              <w:left w:val="single" w:color="auto" w:sz="4" w:space="0"/>
            </w:tcBorders>
            <w:shd w:val="clear" w:color="auto" w:fill="FFFFFF"/>
            <w:vAlign w:val="center"/>
          </w:tcPr>
          <w:p>
            <w:pPr>
              <w:spacing w:line="203"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项目资金及时、足额到</w:t>
            </w:r>
            <w:r>
              <w:rPr>
                <w:rFonts w:ascii="宋体" w:hAnsi="宋体" w:cs="宋体"/>
                <w:color w:val="000000"/>
                <w:kern w:val="0"/>
                <w:sz w:val="14"/>
                <w:szCs w:val="14"/>
                <w:lang w:val="zh-CN" w:bidi="zh-CN"/>
              </w:rPr>
              <w:t>位.</w:t>
            </w:r>
          </w:p>
        </w:tc>
        <w:tc>
          <w:tcPr>
            <w:tcW w:w="1104" w:type="dxa"/>
            <w:tcBorders>
              <w:top w:val="single" w:color="auto" w:sz="4" w:space="0"/>
              <w:left w:val="single" w:color="auto" w:sz="4" w:space="0"/>
            </w:tcBorders>
            <w:shd w:val="clear" w:color="auto" w:fill="FFFFFF"/>
            <w:vAlign w:val="center"/>
          </w:tcPr>
          <w:p>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4分</w:t>
            </w:r>
          </w:p>
        </w:tc>
        <w:tc>
          <w:tcPr>
            <w:tcW w:w="5392" w:type="dxa"/>
            <w:tcBorders>
              <w:top w:val="single" w:color="auto" w:sz="4" w:space="0"/>
              <w:left w:val="single" w:color="auto" w:sz="4" w:space="0"/>
            </w:tcBorders>
            <w:shd w:val="clear" w:color="auto" w:fill="FFFFFF"/>
            <w:vAlign w:val="center"/>
          </w:tcPr>
          <w:p>
            <w:pPr>
              <w:spacing w:line="200"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资金到位及时足额，资金使用规范</w:t>
            </w:r>
            <w:r>
              <w:rPr>
                <w:rFonts w:ascii="宋体" w:hAnsi="宋体" w:cs="宋体"/>
                <w:color w:val="000000"/>
                <w:kern w:val="0"/>
                <w:sz w:val="14"/>
                <w:szCs w:val="14"/>
                <w:lang w:bidi="en-US"/>
              </w:rPr>
              <w:t>4-3.</w:t>
            </w:r>
            <w:r>
              <w:rPr>
                <w:rFonts w:ascii="宋体" w:hAnsi="宋体" w:cs="宋体"/>
                <w:color w:val="000000"/>
                <w:kern w:val="0"/>
                <w:sz w:val="14"/>
                <w:szCs w:val="14"/>
                <w:lang w:val="zh-TW" w:eastAsia="zh-TW" w:bidi="zh-TW"/>
              </w:rPr>
              <w:t>6分，比较及时，规范</w:t>
            </w:r>
            <w:r>
              <w:rPr>
                <w:rFonts w:ascii="宋体" w:hAnsi="宋体" w:cs="宋体"/>
                <w:color w:val="000000"/>
                <w:kern w:val="0"/>
                <w:sz w:val="14"/>
                <w:szCs w:val="14"/>
                <w:lang w:bidi="en-US"/>
              </w:rPr>
              <w:t>3.6-2.</w:t>
            </w:r>
            <w:r>
              <w:rPr>
                <w:rFonts w:ascii="宋体" w:hAnsi="宋体" w:cs="宋体"/>
                <w:color w:val="000000"/>
                <w:kern w:val="0"/>
                <w:sz w:val="14"/>
                <w:szCs w:val="14"/>
                <w:lang w:val="zh-TW" w:eastAsia="zh-TW" w:bidi="zh-TW"/>
              </w:rPr>
              <w:t>7分；基本到位，基本规范</w:t>
            </w:r>
            <w:r>
              <w:rPr>
                <w:rFonts w:ascii="宋体" w:hAnsi="宋体" w:cs="宋体"/>
                <w:color w:val="000000"/>
                <w:kern w:val="0"/>
                <w:sz w:val="14"/>
                <w:szCs w:val="14"/>
                <w:lang w:bidi="en-US"/>
              </w:rPr>
              <w:t>2.7-2.</w:t>
            </w:r>
            <w:r>
              <w:rPr>
                <w:rFonts w:ascii="宋体" w:hAnsi="宋体" w:cs="宋体"/>
                <w:color w:val="000000"/>
                <w:kern w:val="0"/>
                <w:sz w:val="14"/>
                <w:szCs w:val="14"/>
                <w:lang w:val="zh-TW" w:eastAsia="zh-TW" w:bidi="zh-TW"/>
              </w:rPr>
              <w:t>4分，不及时且没全部到位</w:t>
            </w:r>
            <w:r>
              <w:rPr>
                <w:rFonts w:ascii="宋体" w:hAnsi="宋体" w:cs="宋体"/>
                <w:color w:val="000000"/>
                <w:kern w:val="0"/>
                <w:sz w:val="14"/>
                <w:szCs w:val="14"/>
                <w:lang w:bidi="en-US"/>
              </w:rPr>
              <w:t>2.</w:t>
            </w:r>
            <w:r>
              <w:rPr>
                <w:rFonts w:ascii="宋体" w:hAnsi="宋体" w:cs="宋体"/>
                <w:color w:val="000000"/>
                <w:kern w:val="0"/>
                <w:sz w:val="14"/>
                <w:szCs w:val="14"/>
                <w:lang w:eastAsia="en-US" w:bidi="en-US"/>
              </w:rPr>
              <w:t>4-0</w:t>
            </w:r>
            <w:r>
              <w:rPr>
                <w:rFonts w:ascii="宋体" w:hAnsi="宋体" w:cs="宋体"/>
                <w:color w:val="000000"/>
                <w:kern w:val="0"/>
                <w:sz w:val="14"/>
                <w:szCs w:val="14"/>
                <w:lang w:val="zh-TW" w:eastAsia="zh-TW" w:bidi="zh-TW"/>
              </w:rPr>
              <w:t>分</w:t>
            </w:r>
          </w:p>
        </w:tc>
        <w:tc>
          <w:tcPr>
            <w:tcW w:w="1165" w:type="dxa"/>
            <w:tcBorders>
              <w:top w:val="single" w:color="auto" w:sz="4" w:space="0"/>
              <w:left w:val="single" w:color="auto" w:sz="4" w:space="0"/>
            </w:tcBorders>
            <w:shd w:val="clear" w:color="auto" w:fill="FFFFFF"/>
            <w:vAlign w:val="center"/>
          </w:tcPr>
          <w:p>
            <w:pPr>
              <w:ind w:firstLine="42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4.</w:t>
            </w:r>
            <w:r>
              <w:rPr>
                <w:rFonts w:ascii="宋体" w:hAnsi="宋体" w:cs="宋体"/>
                <w:color w:val="000000"/>
                <w:kern w:val="0"/>
                <w:sz w:val="14"/>
                <w:szCs w:val="14"/>
                <w:lang w:val="zh-TW" w:eastAsia="zh-TW" w:bidi="zh-TW"/>
              </w:rPr>
              <w:t>00</w:t>
            </w:r>
          </w:p>
        </w:tc>
        <w:tc>
          <w:tcPr>
            <w:tcW w:w="2824" w:type="dxa"/>
            <w:tcBorders>
              <w:top w:val="single" w:color="auto" w:sz="4" w:space="0"/>
              <w:left w:val="single" w:color="auto" w:sz="4" w:space="0"/>
              <w:right w:val="single" w:color="auto" w:sz="4" w:space="0"/>
            </w:tcBorders>
            <w:shd w:val="clear" w:color="auto" w:fill="FFFFFF"/>
          </w:tcPr>
          <w:p>
            <w:pPr>
              <w:jc w:val="left"/>
              <w:rPr>
                <w:rFonts w:eastAsia="Times New Roman"/>
                <w:color w:val="000000"/>
                <w:kern w:val="0"/>
                <w:sz w:val="10"/>
                <w:szCs w:val="10"/>
                <w:lang w:eastAsia="en-US" w:bidi="en-US"/>
              </w:rPr>
            </w:pPr>
          </w:p>
        </w:tc>
      </w:tr>
      <w:tr>
        <w:tblPrEx>
          <w:tblLayout w:type="fixed"/>
          <w:tblCellMar>
            <w:top w:w="0" w:type="dxa"/>
            <w:left w:w="10" w:type="dxa"/>
            <w:bottom w:w="0" w:type="dxa"/>
            <w:right w:w="10" w:type="dxa"/>
          </w:tblCellMar>
        </w:tblPrEx>
        <w:trPr>
          <w:trHeight w:val="634" w:hRule="exact"/>
          <w:jc w:val="center"/>
        </w:trPr>
        <w:tc>
          <w:tcPr>
            <w:tcW w:w="825"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30"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11" w:type="dxa"/>
            <w:vMerge w:val="restart"/>
            <w:tcBorders>
              <w:top w:val="single" w:color="auto" w:sz="4" w:space="0"/>
              <w:left w:val="single" w:color="auto" w:sz="4" w:space="0"/>
            </w:tcBorders>
            <w:shd w:val="clear" w:color="auto" w:fill="FFFFFF"/>
            <w:vAlign w:val="center"/>
          </w:tcPr>
          <w:p>
            <w:pPr>
              <w:spacing w:line="182"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财务管理</w:t>
            </w:r>
          </w:p>
          <w:p>
            <w:pPr>
              <w:spacing w:line="182"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（6分）</w:t>
            </w:r>
          </w:p>
        </w:tc>
        <w:tc>
          <w:tcPr>
            <w:tcW w:w="1073" w:type="dxa"/>
            <w:tcBorders>
              <w:top w:val="single" w:color="auto" w:sz="4" w:space="0"/>
              <w:left w:val="single" w:color="auto" w:sz="4" w:space="0"/>
            </w:tcBorders>
            <w:shd w:val="clear" w:color="auto" w:fill="FFFFFF"/>
            <w:vAlign w:val="center"/>
          </w:tcPr>
          <w:p>
            <w:pPr>
              <w:spacing w:line="198"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1、财务制度健全、执行严格；</w:t>
            </w:r>
          </w:p>
        </w:tc>
        <w:tc>
          <w:tcPr>
            <w:tcW w:w="1104" w:type="dxa"/>
            <w:tcBorders>
              <w:top w:val="single" w:color="auto" w:sz="4" w:space="0"/>
              <w:left w:val="single" w:color="auto" w:sz="4" w:space="0"/>
            </w:tcBorders>
            <w:shd w:val="clear" w:color="auto" w:fill="FFFFFF"/>
            <w:vAlign w:val="center"/>
          </w:tcPr>
          <w:p>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3分</w:t>
            </w:r>
          </w:p>
        </w:tc>
        <w:tc>
          <w:tcPr>
            <w:tcW w:w="5392" w:type="dxa"/>
            <w:tcBorders>
              <w:top w:val="single" w:color="auto" w:sz="4" w:space="0"/>
              <w:left w:val="single" w:color="auto" w:sz="4" w:space="0"/>
            </w:tcBorders>
            <w:shd w:val="clear" w:color="auto" w:fill="FFFFFF"/>
            <w:vAlign w:val="center"/>
          </w:tcPr>
          <w:p>
            <w:pPr>
              <w:spacing w:line="196"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财务制度健全、执行</w:t>
            </w:r>
            <w:r>
              <w:rPr>
                <w:rFonts w:hint="eastAsia" w:ascii="宋体" w:hAnsi="宋体" w:cs="宋体"/>
                <w:color w:val="000000"/>
                <w:kern w:val="0"/>
                <w:sz w:val="14"/>
                <w:szCs w:val="14"/>
                <w:lang w:val="zh-TW" w:eastAsia="zh-CN" w:bidi="zh-TW"/>
              </w:rPr>
              <w:t>严格</w:t>
            </w:r>
            <w:r>
              <w:rPr>
                <w:rFonts w:ascii="宋体" w:hAnsi="宋体" w:cs="宋体"/>
                <w:color w:val="000000"/>
                <w:kern w:val="0"/>
                <w:sz w:val="14"/>
                <w:szCs w:val="14"/>
                <w:lang w:bidi="en-US"/>
              </w:rPr>
              <w:t>3-2.</w:t>
            </w:r>
            <w:r>
              <w:rPr>
                <w:rFonts w:ascii="宋体" w:hAnsi="宋体" w:cs="宋体"/>
                <w:color w:val="000000"/>
                <w:kern w:val="0"/>
                <w:sz w:val="14"/>
                <w:szCs w:val="14"/>
                <w:lang w:val="zh-TW" w:eastAsia="zh-TW" w:bidi="zh-TW"/>
              </w:rPr>
              <w:t>7分：财务制度较健全、执行较严格</w:t>
            </w:r>
            <w:r>
              <w:rPr>
                <w:rFonts w:ascii="宋体" w:hAnsi="宋体" w:cs="宋体"/>
                <w:color w:val="000000"/>
                <w:kern w:val="0"/>
                <w:sz w:val="14"/>
                <w:szCs w:val="14"/>
                <w:lang w:bidi="en-US"/>
              </w:rPr>
              <w:t>2.7-2.</w:t>
            </w:r>
            <w:r>
              <w:rPr>
                <w:rFonts w:ascii="宋体" w:hAnsi="宋体" w:cs="宋体"/>
                <w:color w:val="000000"/>
                <w:kern w:val="0"/>
                <w:sz w:val="14"/>
                <w:szCs w:val="14"/>
                <w:lang w:val="zh-TW" w:eastAsia="zh-TW" w:bidi="zh-TW"/>
              </w:rPr>
              <w:t>2分：</w:t>
            </w:r>
            <w:r>
              <w:rPr>
                <w:rFonts w:hint="eastAsia" w:ascii="宋体" w:hAnsi="宋体" w:cs="宋体"/>
                <w:color w:val="000000"/>
                <w:kern w:val="0"/>
                <w:sz w:val="14"/>
                <w:szCs w:val="14"/>
                <w:lang w:val="en-US" w:eastAsia="zh-CN" w:bidi="zh-TW"/>
              </w:rPr>
              <w:t>财</w:t>
            </w:r>
            <w:r>
              <w:rPr>
                <w:rFonts w:ascii="宋体" w:hAnsi="宋体" w:cs="宋体"/>
                <w:color w:val="000000"/>
                <w:kern w:val="0"/>
                <w:sz w:val="14"/>
                <w:szCs w:val="14"/>
                <w:lang w:val="zh-TW" w:eastAsia="zh-TW" w:bidi="zh-TW"/>
              </w:rPr>
              <w:t>务制度基本健全、执行基本严格</w:t>
            </w:r>
            <w:r>
              <w:rPr>
                <w:rFonts w:ascii="宋体" w:hAnsi="宋体" w:cs="宋体"/>
                <w:color w:val="000000"/>
                <w:kern w:val="0"/>
                <w:sz w:val="14"/>
                <w:szCs w:val="14"/>
                <w:lang w:bidi="en-US"/>
              </w:rPr>
              <w:t>2.2</w:t>
            </w:r>
            <w:r>
              <w:rPr>
                <w:rFonts w:hint="eastAsia" w:ascii="宋体" w:hAnsi="宋体" w:cs="宋体"/>
                <w:color w:val="000000"/>
                <w:kern w:val="0"/>
                <w:sz w:val="14"/>
                <w:szCs w:val="14"/>
                <w:lang w:val="en-US" w:eastAsia="zh-CN" w:bidi="en-US"/>
              </w:rPr>
              <w:t>-1</w:t>
            </w:r>
            <w:r>
              <w:rPr>
                <w:rFonts w:ascii="宋体" w:hAnsi="宋体" w:cs="宋体"/>
                <w:color w:val="000000"/>
                <w:kern w:val="0"/>
                <w:sz w:val="14"/>
                <w:szCs w:val="14"/>
                <w:lang w:bidi="en-US"/>
              </w:rPr>
              <w:t>.</w:t>
            </w:r>
            <w:r>
              <w:rPr>
                <w:rFonts w:ascii="宋体" w:hAnsi="宋体" w:cs="宋体"/>
                <w:color w:val="000000"/>
                <w:kern w:val="0"/>
                <w:sz w:val="14"/>
                <w:szCs w:val="14"/>
                <w:lang w:val="zh-TW" w:eastAsia="zh-TW" w:bidi="zh-TW"/>
              </w:rPr>
              <w:t>8：财务制度不健全、执行不严格</w:t>
            </w:r>
            <w:r>
              <w:rPr>
                <w:rFonts w:ascii="宋体" w:hAnsi="宋体" w:cs="宋体"/>
                <w:color w:val="000000"/>
                <w:kern w:val="0"/>
                <w:sz w:val="14"/>
                <w:szCs w:val="14"/>
                <w:lang w:bidi="en-US"/>
              </w:rPr>
              <w:t>1.8-0</w:t>
            </w:r>
            <w:r>
              <w:rPr>
                <w:rFonts w:ascii="宋体" w:hAnsi="宋体" w:cs="宋体"/>
                <w:color w:val="000000"/>
                <w:kern w:val="0"/>
                <w:sz w:val="14"/>
                <w:szCs w:val="14"/>
                <w:lang w:val="zh-TW" w:eastAsia="zh-TW" w:bidi="zh-TW"/>
              </w:rPr>
              <w:t>分</w:t>
            </w:r>
          </w:p>
        </w:tc>
        <w:tc>
          <w:tcPr>
            <w:tcW w:w="1165" w:type="dxa"/>
            <w:tcBorders>
              <w:top w:val="single" w:color="auto" w:sz="4" w:space="0"/>
              <w:left w:val="single" w:color="auto" w:sz="4" w:space="0"/>
            </w:tcBorders>
            <w:shd w:val="clear" w:color="auto" w:fill="FFFFFF"/>
            <w:vAlign w:val="center"/>
          </w:tcPr>
          <w:p>
            <w:pPr>
              <w:ind w:firstLine="42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3.</w:t>
            </w:r>
            <w:r>
              <w:rPr>
                <w:rFonts w:ascii="宋体" w:hAnsi="宋体" w:cs="宋体"/>
                <w:color w:val="000000"/>
                <w:kern w:val="0"/>
                <w:sz w:val="14"/>
                <w:szCs w:val="14"/>
                <w:lang w:val="zh-TW" w:eastAsia="zh-TW" w:bidi="zh-TW"/>
              </w:rPr>
              <w:t>00</w:t>
            </w:r>
          </w:p>
        </w:tc>
        <w:tc>
          <w:tcPr>
            <w:tcW w:w="2824" w:type="dxa"/>
            <w:tcBorders>
              <w:top w:val="single" w:color="auto" w:sz="4" w:space="0"/>
              <w:left w:val="single" w:color="auto" w:sz="4" w:space="0"/>
              <w:right w:val="single" w:color="auto" w:sz="4" w:space="0"/>
            </w:tcBorders>
            <w:shd w:val="clear" w:color="auto" w:fill="FFFFFF"/>
          </w:tcPr>
          <w:p>
            <w:pPr>
              <w:jc w:val="left"/>
              <w:rPr>
                <w:rFonts w:eastAsia="Times New Roman"/>
                <w:color w:val="000000"/>
                <w:kern w:val="0"/>
                <w:sz w:val="10"/>
                <w:szCs w:val="10"/>
                <w:lang w:eastAsia="en-US" w:bidi="en-US"/>
              </w:rPr>
            </w:pPr>
          </w:p>
        </w:tc>
      </w:tr>
      <w:tr>
        <w:tblPrEx>
          <w:tblLayout w:type="fixed"/>
          <w:tblCellMar>
            <w:top w:w="0" w:type="dxa"/>
            <w:left w:w="10" w:type="dxa"/>
            <w:bottom w:w="0" w:type="dxa"/>
            <w:right w:w="10" w:type="dxa"/>
          </w:tblCellMar>
        </w:tblPrEx>
        <w:trPr>
          <w:trHeight w:val="457" w:hRule="exact"/>
          <w:jc w:val="center"/>
        </w:trPr>
        <w:tc>
          <w:tcPr>
            <w:tcW w:w="825"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30"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11"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1073" w:type="dxa"/>
            <w:tcBorders>
              <w:top w:val="single" w:color="auto" w:sz="4" w:space="0"/>
              <w:left w:val="single" w:color="auto" w:sz="4" w:space="0"/>
            </w:tcBorders>
            <w:shd w:val="clear" w:color="auto" w:fill="FFFFFF"/>
            <w:vAlign w:val="center"/>
          </w:tcPr>
          <w:p>
            <w:pPr>
              <w:spacing w:line="210"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2、会计核算规范。</w:t>
            </w:r>
          </w:p>
        </w:tc>
        <w:tc>
          <w:tcPr>
            <w:tcW w:w="1104" w:type="dxa"/>
            <w:tcBorders>
              <w:top w:val="single" w:color="auto" w:sz="4" w:space="0"/>
              <w:left w:val="single" w:color="auto" w:sz="4" w:space="0"/>
            </w:tcBorders>
            <w:shd w:val="clear" w:color="auto" w:fill="FFFFFF"/>
            <w:vAlign w:val="center"/>
          </w:tcPr>
          <w:p>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3分</w:t>
            </w:r>
          </w:p>
        </w:tc>
        <w:tc>
          <w:tcPr>
            <w:tcW w:w="5392" w:type="dxa"/>
            <w:tcBorders>
              <w:top w:val="single" w:color="auto" w:sz="4" w:space="0"/>
              <w:left w:val="single" w:color="auto" w:sz="4" w:space="0"/>
            </w:tcBorders>
            <w:shd w:val="clear" w:color="auto" w:fill="FFFFFF"/>
          </w:tcPr>
          <w:p>
            <w:pPr>
              <w:spacing w:line="210"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会计核算规范</w:t>
            </w:r>
            <w:r>
              <w:rPr>
                <w:rFonts w:ascii="宋体" w:hAnsi="宋体" w:cs="宋体"/>
                <w:color w:val="000000"/>
                <w:kern w:val="0"/>
                <w:sz w:val="14"/>
                <w:szCs w:val="14"/>
                <w:lang w:bidi="en-US"/>
              </w:rPr>
              <w:t>3-2.</w:t>
            </w:r>
            <w:r>
              <w:rPr>
                <w:rFonts w:ascii="宋体" w:hAnsi="宋体" w:cs="宋体"/>
                <w:color w:val="000000"/>
                <w:kern w:val="0"/>
                <w:sz w:val="14"/>
                <w:szCs w:val="14"/>
                <w:lang w:val="zh-TW" w:eastAsia="zh-TW" w:bidi="zh-TW"/>
              </w:rPr>
              <w:t>7分：会计核算较规范</w:t>
            </w:r>
            <w:r>
              <w:rPr>
                <w:rFonts w:ascii="宋体" w:hAnsi="宋体" w:cs="宋体"/>
                <w:color w:val="000000"/>
                <w:kern w:val="0"/>
                <w:sz w:val="14"/>
                <w:szCs w:val="14"/>
                <w:lang w:bidi="en-US"/>
              </w:rPr>
              <w:t>2.7-2.</w:t>
            </w:r>
            <w:r>
              <w:rPr>
                <w:rFonts w:ascii="宋体" w:hAnsi="宋体" w:cs="宋体"/>
                <w:color w:val="000000"/>
                <w:kern w:val="0"/>
                <w:sz w:val="14"/>
                <w:szCs w:val="14"/>
                <w:lang w:val="zh-TW" w:eastAsia="zh-TW" w:bidi="zh-TW"/>
              </w:rPr>
              <w:t>2分；会计核算基本规范</w:t>
            </w:r>
            <w:r>
              <w:rPr>
                <w:rFonts w:ascii="宋体" w:hAnsi="宋体" w:cs="宋体"/>
                <w:color w:val="000000"/>
                <w:kern w:val="0"/>
                <w:sz w:val="14"/>
                <w:szCs w:val="14"/>
                <w:lang w:bidi="en-US"/>
              </w:rPr>
              <w:t>2.2-1.</w:t>
            </w:r>
            <w:r>
              <w:rPr>
                <w:rFonts w:ascii="宋体" w:hAnsi="宋体" w:cs="宋体"/>
                <w:color w:val="000000"/>
                <w:kern w:val="0"/>
                <w:sz w:val="14"/>
                <w:szCs w:val="14"/>
                <w:lang w:val="zh-TW" w:eastAsia="zh-TW" w:bidi="zh-TW"/>
              </w:rPr>
              <w:t>8分；会计核算不规范</w:t>
            </w:r>
            <w:r>
              <w:rPr>
                <w:rFonts w:ascii="宋体" w:hAnsi="宋体" w:cs="宋体"/>
                <w:color w:val="000000"/>
                <w:kern w:val="0"/>
                <w:sz w:val="14"/>
                <w:szCs w:val="14"/>
                <w:lang w:bidi="en-US"/>
              </w:rPr>
              <w:t>1.8-0</w:t>
            </w:r>
            <w:r>
              <w:rPr>
                <w:rFonts w:ascii="宋体" w:hAnsi="宋体" w:cs="宋体"/>
                <w:color w:val="000000"/>
                <w:kern w:val="0"/>
                <w:sz w:val="14"/>
                <w:szCs w:val="14"/>
                <w:lang w:val="zh-TW" w:eastAsia="zh-TW" w:bidi="zh-TW"/>
              </w:rPr>
              <w:t>分</w:t>
            </w:r>
          </w:p>
        </w:tc>
        <w:tc>
          <w:tcPr>
            <w:tcW w:w="1165" w:type="dxa"/>
            <w:tcBorders>
              <w:top w:val="single" w:color="auto" w:sz="4" w:space="0"/>
              <w:left w:val="single" w:color="auto" w:sz="4" w:space="0"/>
            </w:tcBorders>
            <w:shd w:val="clear" w:color="auto" w:fill="FFFFFF"/>
            <w:vAlign w:val="center"/>
          </w:tcPr>
          <w:p>
            <w:pPr>
              <w:ind w:firstLine="420"/>
              <w:jc w:val="left"/>
              <w:rPr>
                <w:rFonts w:ascii="宋体" w:hAnsi="宋体" w:eastAsia="PMingLiU" w:cs="宋体"/>
                <w:color w:val="000000"/>
                <w:kern w:val="0"/>
                <w:sz w:val="14"/>
                <w:szCs w:val="14"/>
                <w:lang w:val="zh-TW" w:bidi="zh-TW"/>
              </w:rPr>
            </w:pPr>
            <w:r>
              <w:rPr>
                <w:rFonts w:ascii="宋体" w:hAnsi="宋体" w:cs="宋体"/>
                <w:color w:val="000000"/>
                <w:kern w:val="0"/>
                <w:sz w:val="14"/>
                <w:szCs w:val="14"/>
                <w:lang w:eastAsia="en-US" w:bidi="en-US"/>
              </w:rPr>
              <w:t>3</w:t>
            </w:r>
            <w:r>
              <w:rPr>
                <w:rFonts w:ascii="宋体" w:hAnsi="宋体" w:cs="宋体"/>
                <w:color w:val="000000"/>
                <w:kern w:val="0"/>
                <w:sz w:val="14"/>
                <w:szCs w:val="14"/>
                <w:lang w:bidi="en-US"/>
              </w:rPr>
              <w:t>.00</w:t>
            </w:r>
          </w:p>
        </w:tc>
        <w:tc>
          <w:tcPr>
            <w:tcW w:w="2824" w:type="dxa"/>
            <w:tcBorders>
              <w:top w:val="single" w:color="auto" w:sz="4" w:space="0"/>
              <w:left w:val="single" w:color="auto" w:sz="4" w:space="0"/>
              <w:right w:val="single" w:color="auto" w:sz="4" w:space="0"/>
            </w:tcBorders>
            <w:shd w:val="clear" w:color="auto" w:fill="FFFFFF"/>
          </w:tcPr>
          <w:p>
            <w:pPr>
              <w:jc w:val="left"/>
              <w:rPr>
                <w:rFonts w:eastAsia="Times New Roman"/>
                <w:color w:val="000000"/>
                <w:kern w:val="0"/>
                <w:sz w:val="10"/>
                <w:szCs w:val="10"/>
                <w:lang w:eastAsia="en-US" w:bidi="en-US"/>
              </w:rPr>
            </w:pPr>
          </w:p>
        </w:tc>
      </w:tr>
      <w:tr>
        <w:tblPrEx>
          <w:tblLayout w:type="fixed"/>
          <w:tblCellMar>
            <w:top w:w="0" w:type="dxa"/>
            <w:left w:w="10" w:type="dxa"/>
            <w:bottom w:w="0" w:type="dxa"/>
            <w:right w:w="10" w:type="dxa"/>
          </w:tblCellMar>
        </w:tblPrEx>
        <w:trPr>
          <w:trHeight w:val="607" w:hRule="exact"/>
          <w:jc w:val="center"/>
        </w:trPr>
        <w:tc>
          <w:tcPr>
            <w:tcW w:w="825"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30" w:type="dxa"/>
            <w:vMerge w:val="restart"/>
            <w:tcBorders>
              <w:top w:val="single" w:color="auto" w:sz="4" w:space="0"/>
              <w:left w:val="single" w:color="auto" w:sz="4" w:space="0"/>
            </w:tcBorders>
            <w:shd w:val="clear" w:color="auto" w:fill="FFFFFF"/>
            <w:vAlign w:val="center"/>
          </w:tcPr>
          <w:p>
            <w:pPr>
              <w:spacing w:line="186"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项目实施（15分）</w:t>
            </w:r>
          </w:p>
        </w:tc>
        <w:tc>
          <w:tcPr>
            <w:tcW w:w="811" w:type="dxa"/>
            <w:tcBorders>
              <w:top w:val="single" w:color="auto" w:sz="4" w:space="0"/>
              <w:left w:val="single" w:color="auto" w:sz="4" w:space="0"/>
            </w:tcBorders>
            <w:shd w:val="clear" w:color="auto" w:fill="FFFFFF"/>
            <w:vAlign w:val="center"/>
          </w:tcPr>
          <w:p>
            <w:pPr>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组织机构</w:t>
            </w:r>
          </w:p>
          <w:p>
            <w:pPr>
              <w:ind w:firstLine="16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（4分）</w:t>
            </w:r>
          </w:p>
        </w:tc>
        <w:tc>
          <w:tcPr>
            <w:tcW w:w="1073" w:type="dxa"/>
            <w:tcBorders>
              <w:top w:val="single" w:color="auto" w:sz="4" w:space="0"/>
              <w:left w:val="single" w:color="auto" w:sz="4" w:space="0"/>
            </w:tcBorders>
            <w:shd w:val="clear" w:color="auto" w:fill="FFFFFF"/>
            <w:vAlign w:val="center"/>
          </w:tcPr>
          <w:p>
            <w:pPr>
              <w:spacing w:line="200"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执行机构健全、人员分工明确。</w:t>
            </w:r>
          </w:p>
        </w:tc>
        <w:tc>
          <w:tcPr>
            <w:tcW w:w="1104" w:type="dxa"/>
            <w:tcBorders>
              <w:top w:val="single" w:color="auto" w:sz="4" w:space="0"/>
              <w:left w:val="single" w:color="auto" w:sz="4" w:space="0"/>
            </w:tcBorders>
            <w:shd w:val="clear" w:color="auto" w:fill="FFFFFF"/>
            <w:vAlign w:val="center"/>
          </w:tcPr>
          <w:p>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4分</w:t>
            </w:r>
          </w:p>
        </w:tc>
        <w:tc>
          <w:tcPr>
            <w:tcW w:w="5392" w:type="dxa"/>
            <w:tcBorders>
              <w:top w:val="single" w:color="auto" w:sz="4" w:space="0"/>
              <w:left w:val="single" w:color="auto" w:sz="4" w:space="0"/>
            </w:tcBorders>
            <w:shd w:val="clear" w:color="auto" w:fill="FFFFFF"/>
            <w:vAlign w:val="center"/>
          </w:tcPr>
          <w:p>
            <w:pPr>
              <w:spacing w:line="196"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项目管理、执行机构健全、人员分工明确4-3.6分，较健全、分工较明确3.6-2.7分；基本健全、分工基本明确2.7-2.4分，不健全、分工不明确2.4-0分</w:t>
            </w:r>
          </w:p>
        </w:tc>
        <w:tc>
          <w:tcPr>
            <w:tcW w:w="1165" w:type="dxa"/>
            <w:tcBorders>
              <w:top w:val="single" w:color="auto" w:sz="4" w:space="0"/>
              <w:left w:val="single" w:color="auto" w:sz="4" w:space="0"/>
            </w:tcBorders>
            <w:shd w:val="clear" w:color="auto" w:fill="FFFFFF"/>
            <w:vAlign w:val="center"/>
          </w:tcPr>
          <w:p>
            <w:pPr>
              <w:ind w:firstLine="42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4.</w:t>
            </w:r>
            <w:r>
              <w:rPr>
                <w:rFonts w:ascii="宋体" w:hAnsi="宋体" w:cs="宋体"/>
                <w:color w:val="000000"/>
                <w:kern w:val="0"/>
                <w:sz w:val="14"/>
                <w:szCs w:val="14"/>
                <w:lang w:val="zh-TW" w:eastAsia="zh-TW" w:bidi="zh-TW"/>
              </w:rPr>
              <w:t>00</w:t>
            </w:r>
          </w:p>
        </w:tc>
        <w:tc>
          <w:tcPr>
            <w:tcW w:w="2824" w:type="dxa"/>
            <w:tcBorders>
              <w:top w:val="single" w:color="auto" w:sz="4" w:space="0"/>
              <w:left w:val="single" w:color="auto" w:sz="4" w:space="0"/>
              <w:right w:val="single" w:color="auto" w:sz="4" w:space="0"/>
            </w:tcBorders>
            <w:shd w:val="clear" w:color="auto" w:fill="FFFFFF"/>
          </w:tcPr>
          <w:p>
            <w:pPr>
              <w:jc w:val="left"/>
              <w:rPr>
                <w:rFonts w:eastAsia="Times New Roman"/>
                <w:color w:val="000000"/>
                <w:kern w:val="0"/>
                <w:sz w:val="10"/>
                <w:szCs w:val="10"/>
                <w:lang w:eastAsia="en-US" w:bidi="en-US"/>
              </w:rPr>
            </w:pPr>
          </w:p>
        </w:tc>
      </w:tr>
      <w:tr>
        <w:tblPrEx>
          <w:tblLayout w:type="fixed"/>
          <w:tblCellMar>
            <w:top w:w="0" w:type="dxa"/>
            <w:left w:w="10" w:type="dxa"/>
            <w:bottom w:w="0" w:type="dxa"/>
            <w:right w:w="10" w:type="dxa"/>
          </w:tblCellMar>
        </w:tblPrEx>
        <w:trPr>
          <w:trHeight w:val="438" w:hRule="exact"/>
          <w:jc w:val="center"/>
        </w:trPr>
        <w:tc>
          <w:tcPr>
            <w:tcW w:w="825"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30"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11" w:type="dxa"/>
            <w:vMerge w:val="restart"/>
            <w:tcBorders>
              <w:top w:val="single" w:color="auto" w:sz="4" w:space="0"/>
              <w:left w:val="single" w:color="auto" w:sz="4" w:space="0"/>
            </w:tcBorders>
            <w:shd w:val="clear" w:color="auto" w:fill="FFFFFF"/>
            <w:vAlign w:val="center"/>
          </w:tcPr>
          <w:p>
            <w:pPr>
              <w:spacing w:line="182"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制度建设</w:t>
            </w:r>
          </w:p>
          <w:p>
            <w:pPr>
              <w:spacing w:line="182"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1073" w:type="dxa"/>
            <w:tcBorders>
              <w:top w:val="single" w:color="auto" w:sz="4" w:space="0"/>
              <w:left w:val="single" w:color="auto" w:sz="4" w:space="0"/>
            </w:tcBorders>
            <w:shd w:val="clear" w:color="auto" w:fill="FFFFFF"/>
            <w:vAlign w:val="center"/>
          </w:tcPr>
          <w:p>
            <w:pPr>
              <w:spacing w:line="205"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项目管理制度健全；</w:t>
            </w:r>
          </w:p>
        </w:tc>
        <w:tc>
          <w:tcPr>
            <w:tcW w:w="1104" w:type="dxa"/>
            <w:tcBorders>
              <w:top w:val="single" w:color="auto" w:sz="4" w:space="0"/>
              <w:left w:val="single" w:color="auto" w:sz="4" w:space="0"/>
            </w:tcBorders>
            <w:shd w:val="clear" w:color="auto" w:fill="FFFFFF"/>
            <w:vAlign w:val="center"/>
          </w:tcPr>
          <w:p>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3分</w:t>
            </w:r>
          </w:p>
        </w:tc>
        <w:tc>
          <w:tcPr>
            <w:tcW w:w="5392" w:type="dxa"/>
            <w:tcBorders>
              <w:top w:val="single" w:color="auto" w:sz="4" w:space="0"/>
              <w:left w:val="single" w:color="auto" w:sz="4" w:space="0"/>
            </w:tcBorders>
            <w:shd w:val="clear" w:color="auto" w:fill="FFFFFF"/>
          </w:tcPr>
          <w:p>
            <w:pPr>
              <w:spacing w:line="210" w:lineRule="exact"/>
              <w:jc w:val="left"/>
              <w:rPr>
                <w:rFonts w:hint="default" w:ascii="宋体" w:hAnsi="宋体" w:eastAsia="宋体" w:cs="宋体"/>
                <w:color w:val="000000"/>
                <w:kern w:val="0"/>
                <w:sz w:val="14"/>
                <w:szCs w:val="14"/>
                <w:lang w:val="en-US" w:eastAsia="zh-CN" w:bidi="zh-TW"/>
              </w:rPr>
            </w:pPr>
            <w:r>
              <w:rPr>
                <w:rFonts w:ascii="宋体" w:hAnsi="宋体" w:cs="宋体"/>
                <w:color w:val="000000"/>
                <w:kern w:val="0"/>
                <w:sz w:val="14"/>
                <w:szCs w:val="14"/>
                <w:lang w:val="zh-TW" w:eastAsia="zh-TW" w:bidi="zh-TW"/>
              </w:rPr>
              <w:t>项目管理制度健全</w:t>
            </w:r>
            <w:r>
              <w:rPr>
                <w:rFonts w:ascii="宋体" w:hAnsi="宋体" w:cs="宋体"/>
                <w:color w:val="000000"/>
                <w:kern w:val="0"/>
                <w:sz w:val="14"/>
                <w:szCs w:val="14"/>
                <w:lang w:bidi="en-US"/>
              </w:rPr>
              <w:t>3-2.</w:t>
            </w:r>
            <w:r>
              <w:rPr>
                <w:rFonts w:ascii="宋体" w:hAnsi="宋体" w:cs="宋体"/>
                <w:color w:val="000000"/>
                <w:kern w:val="0"/>
                <w:sz w:val="14"/>
                <w:szCs w:val="14"/>
                <w:lang w:val="zh-TW" w:eastAsia="zh-TW" w:bidi="zh-TW"/>
              </w:rPr>
              <w:t>7分：</w:t>
            </w:r>
            <w:r>
              <w:rPr>
                <w:rFonts w:hint="eastAsia" w:ascii="宋体" w:hAnsi="宋体" w:cs="宋体"/>
                <w:color w:val="000000"/>
                <w:kern w:val="0"/>
                <w:sz w:val="14"/>
                <w:szCs w:val="14"/>
                <w:lang w:val="zh-TW" w:eastAsia="zh-CN" w:bidi="zh-TW"/>
              </w:rPr>
              <w:t>项目</w:t>
            </w:r>
            <w:r>
              <w:rPr>
                <w:rFonts w:ascii="宋体" w:hAnsi="宋体" w:cs="宋体"/>
                <w:color w:val="000000"/>
                <w:kern w:val="0"/>
                <w:sz w:val="14"/>
                <w:szCs w:val="14"/>
                <w:lang w:val="zh-CN" w:bidi="zh-CN"/>
              </w:rPr>
              <w:t>管</w:t>
            </w:r>
            <w:r>
              <w:rPr>
                <w:rFonts w:ascii="宋体" w:hAnsi="宋体" w:cs="宋体"/>
                <w:color w:val="000000"/>
                <w:kern w:val="0"/>
                <w:sz w:val="14"/>
                <w:szCs w:val="14"/>
                <w:lang w:val="zh-TW" w:eastAsia="zh-TW" w:bidi="zh-TW"/>
              </w:rPr>
              <w:t>理制度较健全</w:t>
            </w:r>
            <w:r>
              <w:rPr>
                <w:rFonts w:ascii="宋体" w:hAnsi="宋体" w:cs="宋体"/>
                <w:color w:val="000000"/>
                <w:kern w:val="0"/>
                <w:sz w:val="14"/>
                <w:szCs w:val="14"/>
                <w:lang w:bidi="en-US"/>
              </w:rPr>
              <w:t>2.7-2.</w:t>
            </w:r>
            <w:r>
              <w:rPr>
                <w:rFonts w:ascii="宋体" w:hAnsi="宋体" w:cs="宋体"/>
                <w:color w:val="000000"/>
                <w:kern w:val="0"/>
                <w:sz w:val="14"/>
                <w:szCs w:val="14"/>
                <w:lang w:val="zh-TW" w:eastAsia="zh-TW" w:bidi="zh-TW"/>
              </w:rPr>
              <w:t>2分；项目管理制度基本健全</w:t>
            </w:r>
            <w:r>
              <w:rPr>
                <w:rFonts w:hint="eastAsia" w:ascii="宋体" w:hAnsi="宋体" w:cs="宋体"/>
                <w:color w:val="000000"/>
                <w:kern w:val="0"/>
                <w:sz w:val="14"/>
                <w:szCs w:val="14"/>
                <w:lang w:val="en-US" w:eastAsia="zh-CN" w:bidi="zh-TW"/>
              </w:rPr>
              <w:t>2.7-2.4分，项目管理制度不健全2.4-0</w:t>
            </w:r>
            <w:r>
              <w:rPr>
                <w:rFonts w:ascii="宋体" w:hAnsi="宋体" w:cs="宋体"/>
                <w:color w:val="000000"/>
                <w:kern w:val="0"/>
                <w:sz w:val="14"/>
                <w:szCs w:val="14"/>
                <w:lang w:val="zh-TW" w:eastAsia="zh-TW" w:bidi="zh-TW"/>
              </w:rPr>
              <w:t>分</w:t>
            </w:r>
          </w:p>
        </w:tc>
        <w:tc>
          <w:tcPr>
            <w:tcW w:w="1165" w:type="dxa"/>
            <w:tcBorders>
              <w:top w:val="single" w:color="auto" w:sz="4" w:space="0"/>
              <w:left w:val="single" w:color="auto" w:sz="4" w:space="0"/>
            </w:tcBorders>
            <w:shd w:val="clear" w:color="auto" w:fill="FFFFFF"/>
            <w:vAlign w:val="center"/>
          </w:tcPr>
          <w:p>
            <w:pPr>
              <w:ind w:firstLine="420"/>
              <w:jc w:val="left"/>
              <w:rPr>
                <w:rFonts w:ascii="宋体" w:hAnsi="宋体" w:eastAsia="PMingLiU" w:cs="宋体"/>
                <w:color w:val="000000"/>
                <w:kern w:val="0"/>
                <w:sz w:val="14"/>
                <w:szCs w:val="14"/>
                <w:lang w:val="zh-TW" w:eastAsia="zh-TW" w:bidi="zh-TW"/>
              </w:rPr>
            </w:pPr>
            <w:r>
              <w:rPr>
                <w:rFonts w:ascii="宋体" w:hAnsi="宋体" w:cs="宋体"/>
                <w:color w:val="000000"/>
                <w:kern w:val="0"/>
                <w:sz w:val="14"/>
                <w:szCs w:val="14"/>
                <w:lang w:eastAsia="en-US" w:bidi="en-US"/>
              </w:rPr>
              <w:t>2.</w:t>
            </w:r>
            <w:r>
              <w:rPr>
                <w:rFonts w:ascii="宋体" w:hAnsi="宋体" w:eastAsia="PMingLiU" w:cs="宋体"/>
                <w:color w:val="000000"/>
                <w:kern w:val="0"/>
                <w:sz w:val="14"/>
                <w:szCs w:val="14"/>
                <w:lang w:val="zh-TW" w:eastAsia="zh-TW" w:bidi="zh-TW"/>
              </w:rPr>
              <w:t>50</w:t>
            </w:r>
          </w:p>
        </w:tc>
        <w:tc>
          <w:tcPr>
            <w:tcW w:w="2824" w:type="dxa"/>
            <w:tcBorders>
              <w:top w:val="single" w:color="auto" w:sz="4" w:space="0"/>
              <w:left w:val="single" w:color="auto" w:sz="4" w:space="0"/>
              <w:right w:val="single" w:color="auto" w:sz="4" w:space="0"/>
            </w:tcBorders>
            <w:shd w:val="clear" w:color="auto" w:fill="FFFFFF"/>
            <w:vAlign w:val="center"/>
          </w:tcPr>
          <w:p>
            <w:pPr>
              <w:jc w:val="left"/>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zh-TW" w:bidi="zh-TW"/>
              </w:rPr>
              <w:t>项目层面的</w:t>
            </w:r>
            <w:r>
              <w:rPr>
                <w:rFonts w:ascii="宋体" w:hAnsi="宋体" w:cs="宋体"/>
                <w:color w:val="000000"/>
                <w:kern w:val="0"/>
                <w:sz w:val="14"/>
                <w:szCs w:val="14"/>
                <w:lang w:val="zh-TW" w:eastAsia="zh-TW" w:bidi="zh-TW"/>
              </w:rPr>
              <w:t>管理制度可进一步完善</w:t>
            </w:r>
          </w:p>
        </w:tc>
      </w:tr>
      <w:tr>
        <w:tblPrEx>
          <w:tblLayout w:type="fixed"/>
          <w:tblCellMar>
            <w:top w:w="0" w:type="dxa"/>
            <w:left w:w="10" w:type="dxa"/>
            <w:bottom w:w="0" w:type="dxa"/>
            <w:right w:w="10" w:type="dxa"/>
          </w:tblCellMar>
        </w:tblPrEx>
        <w:trPr>
          <w:trHeight w:val="553" w:hRule="exact"/>
          <w:jc w:val="center"/>
        </w:trPr>
        <w:tc>
          <w:tcPr>
            <w:tcW w:w="825" w:type="dxa"/>
            <w:vMerge w:val="continue"/>
            <w:tcBorders>
              <w:left w:val="single" w:color="auto" w:sz="4" w:space="0"/>
            </w:tcBorders>
            <w:shd w:val="clear" w:color="auto" w:fill="FFFFFF"/>
            <w:vAlign w:val="center"/>
          </w:tcPr>
          <w:p>
            <w:pPr>
              <w:jc w:val="left"/>
              <w:rPr>
                <w:rFonts w:eastAsia="Times New Roman"/>
                <w:color w:val="000000"/>
                <w:kern w:val="0"/>
                <w:sz w:val="24"/>
                <w:lang w:bidi="en-US"/>
              </w:rPr>
            </w:pPr>
          </w:p>
        </w:tc>
        <w:tc>
          <w:tcPr>
            <w:tcW w:w="830" w:type="dxa"/>
            <w:vMerge w:val="continue"/>
            <w:tcBorders>
              <w:left w:val="single" w:color="auto" w:sz="4" w:space="0"/>
            </w:tcBorders>
            <w:shd w:val="clear" w:color="auto" w:fill="FFFFFF"/>
            <w:vAlign w:val="center"/>
          </w:tcPr>
          <w:p>
            <w:pPr>
              <w:jc w:val="left"/>
              <w:rPr>
                <w:rFonts w:eastAsia="Times New Roman"/>
                <w:color w:val="000000"/>
                <w:kern w:val="0"/>
                <w:sz w:val="24"/>
                <w:lang w:bidi="en-US"/>
              </w:rPr>
            </w:pPr>
          </w:p>
        </w:tc>
        <w:tc>
          <w:tcPr>
            <w:tcW w:w="811" w:type="dxa"/>
            <w:vMerge w:val="continue"/>
            <w:tcBorders>
              <w:left w:val="single" w:color="auto" w:sz="4" w:space="0"/>
            </w:tcBorders>
            <w:shd w:val="clear" w:color="auto" w:fill="FFFFFF"/>
            <w:vAlign w:val="center"/>
          </w:tcPr>
          <w:p>
            <w:pPr>
              <w:jc w:val="left"/>
              <w:rPr>
                <w:rFonts w:eastAsia="Times New Roman"/>
                <w:color w:val="000000"/>
                <w:kern w:val="0"/>
                <w:sz w:val="24"/>
                <w:lang w:bidi="en-US"/>
              </w:rPr>
            </w:pPr>
          </w:p>
        </w:tc>
        <w:tc>
          <w:tcPr>
            <w:tcW w:w="1073" w:type="dxa"/>
            <w:tcBorders>
              <w:top w:val="single" w:color="auto" w:sz="4" w:space="0"/>
              <w:left w:val="single" w:color="auto" w:sz="4" w:space="0"/>
            </w:tcBorders>
            <w:shd w:val="clear" w:color="auto" w:fill="FFFFFF"/>
            <w:vAlign w:val="center"/>
          </w:tcPr>
          <w:p>
            <w:pPr>
              <w:spacing w:line="199" w:lineRule="exact"/>
              <w:ind w:right="-187" w:rightChars="-89"/>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制定了科学的实施方案或实施计划。</w:t>
            </w:r>
          </w:p>
        </w:tc>
        <w:tc>
          <w:tcPr>
            <w:tcW w:w="1104" w:type="dxa"/>
            <w:tcBorders>
              <w:top w:val="single" w:color="auto" w:sz="4" w:space="0"/>
              <w:left w:val="single" w:color="auto" w:sz="4" w:space="0"/>
            </w:tcBorders>
            <w:shd w:val="clear" w:color="auto" w:fill="FFFFFF"/>
            <w:vAlign w:val="center"/>
          </w:tcPr>
          <w:p>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2分</w:t>
            </w:r>
          </w:p>
        </w:tc>
        <w:tc>
          <w:tcPr>
            <w:tcW w:w="5392" w:type="dxa"/>
            <w:tcBorders>
              <w:top w:val="single" w:color="auto" w:sz="4" w:space="0"/>
              <w:left w:val="single" w:color="auto" w:sz="4" w:space="0"/>
            </w:tcBorders>
            <w:shd w:val="clear" w:color="auto" w:fill="FFFFFF"/>
            <w:vAlign w:val="center"/>
          </w:tcPr>
          <w:p>
            <w:pPr>
              <w:spacing w:line="205"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实施方案科学合理</w:t>
            </w:r>
            <w:r>
              <w:rPr>
                <w:rFonts w:ascii="宋体" w:hAnsi="宋体" w:cs="宋体"/>
                <w:color w:val="000000"/>
                <w:kern w:val="0"/>
                <w:sz w:val="14"/>
                <w:szCs w:val="14"/>
                <w:lang w:bidi="en-US"/>
              </w:rPr>
              <w:t>2-1.8</w:t>
            </w:r>
            <w:r>
              <w:rPr>
                <w:rFonts w:ascii="宋体" w:hAnsi="宋体" w:cs="宋体"/>
                <w:color w:val="000000"/>
                <w:kern w:val="0"/>
                <w:sz w:val="14"/>
                <w:szCs w:val="14"/>
                <w:lang w:val="zh-TW" w:eastAsia="zh-TW" w:bidi="zh-TW"/>
              </w:rPr>
              <w:t>分：实施方案较科学合理</w:t>
            </w:r>
            <w:r>
              <w:rPr>
                <w:rFonts w:ascii="宋体" w:hAnsi="宋体" w:cs="宋体"/>
                <w:color w:val="000000"/>
                <w:kern w:val="0"/>
                <w:sz w:val="14"/>
                <w:szCs w:val="14"/>
                <w:lang w:bidi="en-US"/>
              </w:rPr>
              <w:t>1.8-1.</w:t>
            </w:r>
            <w:r>
              <w:rPr>
                <w:rFonts w:ascii="宋体" w:hAnsi="宋体" w:cs="宋体"/>
                <w:color w:val="000000"/>
                <w:kern w:val="0"/>
                <w:sz w:val="14"/>
                <w:szCs w:val="14"/>
                <w:lang w:val="zh-TW" w:eastAsia="zh-TW" w:bidi="zh-TW"/>
              </w:rPr>
              <w:t>5分，实施方案基本科学合理</w:t>
            </w:r>
            <w:r>
              <w:rPr>
                <w:rFonts w:ascii="宋体" w:hAnsi="宋体" w:cs="宋体"/>
                <w:color w:val="000000"/>
                <w:kern w:val="0"/>
                <w:sz w:val="14"/>
                <w:szCs w:val="14"/>
                <w:lang w:bidi="en-US"/>
              </w:rPr>
              <w:t>1.5-1.</w:t>
            </w:r>
            <w:r>
              <w:rPr>
                <w:rFonts w:ascii="宋体" w:hAnsi="宋体" w:cs="宋体"/>
                <w:color w:val="000000"/>
                <w:kern w:val="0"/>
                <w:sz w:val="14"/>
                <w:szCs w:val="14"/>
                <w:lang w:val="zh-TW" w:eastAsia="zh-TW" w:bidi="zh-TW"/>
              </w:rPr>
              <w:t>2分，实施方案不科学不合理</w:t>
            </w:r>
            <w:r>
              <w:rPr>
                <w:rFonts w:ascii="宋体" w:hAnsi="宋体" w:cs="宋体"/>
                <w:color w:val="000000"/>
                <w:kern w:val="0"/>
                <w:sz w:val="14"/>
                <w:szCs w:val="14"/>
                <w:lang w:bidi="en-US"/>
              </w:rPr>
              <w:t>1.</w:t>
            </w:r>
            <w:r>
              <w:rPr>
                <w:rFonts w:ascii="宋体" w:hAnsi="宋体" w:cs="宋体"/>
                <w:color w:val="000000"/>
                <w:kern w:val="0"/>
                <w:sz w:val="14"/>
                <w:szCs w:val="14"/>
                <w:lang w:eastAsia="en-US" w:bidi="en-US"/>
              </w:rPr>
              <w:t>2-0</w:t>
            </w:r>
            <w:r>
              <w:rPr>
                <w:rFonts w:ascii="宋体" w:hAnsi="宋体" w:cs="宋体"/>
                <w:color w:val="000000"/>
                <w:kern w:val="0"/>
                <w:sz w:val="14"/>
                <w:szCs w:val="14"/>
                <w:lang w:val="zh-TW" w:eastAsia="zh-TW" w:bidi="zh-TW"/>
              </w:rPr>
              <w:t>分</w:t>
            </w:r>
          </w:p>
        </w:tc>
        <w:tc>
          <w:tcPr>
            <w:tcW w:w="1165" w:type="dxa"/>
            <w:tcBorders>
              <w:top w:val="single" w:color="auto" w:sz="4" w:space="0"/>
              <w:left w:val="single" w:color="auto" w:sz="4" w:space="0"/>
            </w:tcBorders>
            <w:shd w:val="clear" w:color="auto" w:fill="FFFFFF"/>
            <w:vAlign w:val="center"/>
          </w:tcPr>
          <w:p>
            <w:pPr>
              <w:ind w:firstLine="42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2.00</w:t>
            </w:r>
          </w:p>
        </w:tc>
        <w:tc>
          <w:tcPr>
            <w:tcW w:w="2824" w:type="dxa"/>
            <w:tcBorders>
              <w:top w:val="single" w:color="auto" w:sz="4" w:space="0"/>
              <w:left w:val="single" w:color="auto" w:sz="4" w:space="0"/>
              <w:right w:val="single" w:color="auto" w:sz="4" w:space="0"/>
            </w:tcBorders>
            <w:shd w:val="clear" w:color="auto" w:fill="FFFFFF"/>
            <w:vAlign w:val="center"/>
          </w:tcPr>
          <w:p>
            <w:pPr>
              <w:jc w:val="left"/>
              <w:rPr>
                <w:rFonts w:ascii="宋体" w:hAnsi="宋体" w:cs="宋体"/>
                <w:color w:val="000000"/>
                <w:kern w:val="0"/>
                <w:sz w:val="14"/>
                <w:szCs w:val="14"/>
                <w:lang w:val="zh-TW" w:eastAsia="zh-TW" w:bidi="zh-TW"/>
              </w:rPr>
            </w:pPr>
          </w:p>
        </w:tc>
      </w:tr>
      <w:tr>
        <w:tblPrEx>
          <w:tblLayout w:type="fixed"/>
          <w:tblCellMar>
            <w:top w:w="0" w:type="dxa"/>
            <w:left w:w="10" w:type="dxa"/>
            <w:bottom w:w="0" w:type="dxa"/>
            <w:right w:w="10" w:type="dxa"/>
          </w:tblCellMar>
        </w:tblPrEx>
        <w:trPr>
          <w:trHeight w:val="573" w:hRule="exact"/>
          <w:jc w:val="center"/>
        </w:trPr>
        <w:tc>
          <w:tcPr>
            <w:tcW w:w="825" w:type="dxa"/>
            <w:vMerge w:val="continue"/>
            <w:tcBorders>
              <w:left w:val="single" w:color="auto" w:sz="4" w:space="0"/>
            </w:tcBorders>
            <w:shd w:val="clear" w:color="auto" w:fill="FFFFFF"/>
            <w:vAlign w:val="center"/>
          </w:tcPr>
          <w:p>
            <w:pPr>
              <w:jc w:val="left"/>
              <w:rPr>
                <w:rFonts w:eastAsia="Times New Roman"/>
                <w:color w:val="000000"/>
                <w:kern w:val="0"/>
                <w:sz w:val="24"/>
                <w:lang w:bidi="en-US"/>
              </w:rPr>
            </w:pPr>
          </w:p>
        </w:tc>
        <w:tc>
          <w:tcPr>
            <w:tcW w:w="830" w:type="dxa"/>
            <w:vMerge w:val="continue"/>
            <w:tcBorders>
              <w:left w:val="single" w:color="auto" w:sz="4" w:space="0"/>
            </w:tcBorders>
            <w:shd w:val="clear" w:color="auto" w:fill="FFFFFF"/>
            <w:vAlign w:val="center"/>
          </w:tcPr>
          <w:p>
            <w:pPr>
              <w:jc w:val="left"/>
              <w:rPr>
                <w:rFonts w:eastAsia="Times New Roman"/>
                <w:color w:val="000000"/>
                <w:kern w:val="0"/>
                <w:sz w:val="24"/>
                <w:lang w:bidi="en-US"/>
              </w:rPr>
            </w:pPr>
          </w:p>
        </w:tc>
        <w:tc>
          <w:tcPr>
            <w:tcW w:w="811" w:type="dxa"/>
            <w:vMerge w:val="restart"/>
            <w:tcBorders>
              <w:top w:val="single" w:color="auto" w:sz="4" w:space="0"/>
              <w:left w:val="single" w:color="auto" w:sz="4" w:space="0"/>
            </w:tcBorders>
            <w:shd w:val="clear" w:color="auto" w:fill="FFFFFF"/>
            <w:vAlign w:val="center"/>
          </w:tcPr>
          <w:p>
            <w:pPr>
              <w:spacing w:line="191"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过程控制</w:t>
            </w:r>
          </w:p>
          <w:p>
            <w:pPr>
              <w:spacing w:line="191"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（6分）</w:t>
            </w:r>
          </w:p>
        </w:tc>
        <w:tc>
          <w:tcPr>
            <w:tcW w:w="1073" w:type="dxa"/>
            <w:tcBorders>
              <w:top w:val="single" w:color="auto" w:sz="4" w:space="0"/>
              <w:left w:val="single" w:color="auto" w:sz="4" w:space="0"/>
            </w:tcBorders>
            <w:shd w:val="clear" w:color="auto" w:fill="FFFFFF"/>
            <w:vAlign w:val="center"/>
          </w:tcPr>
          <w:p>
            <w:pPr>
              <w:spacing w:line="200" w:lineRule="exact"/>
              <w:jc w:val="center"/>
              <w:rPr>
                <w:rFonts w:ascii="宋体" w:hAnsi="宋体" w:eastAsia="PMingLiU" w:cs="宋体"/>
                <w:color w:val="000000"/>
                <w:kern w:val="0"/>
                <w:sz w:val="14"/>
                <w:szCs w:val="14"/>
                <w:lang w:val="zh-TW" w:eastAsia="zh-TW" w:bidi="zh-TW"/>
              </w:rPr>
            </w:pPr>
            <w:r>
              <w:rPr>
                <w:rFonts w:ascii="宋体" w:hAnsi="宋体" w:cs="宋体"/>
                <w:color w:val="000000"/>
                <w:kern w:val="0"/>
                <w:sz w:val="14"/>
                <w:szCs w:val="14"/>
                <w:lang w:val="zh-TW" w:eastAsia="zh-TW" w:bidi="zh-TW"/>
              </w:rPr>
              <w:t>严格执行与</w:t>
            </w:r>
            <w:r>
              <w:rPr>
                <w:rFonts w:hint="eastAsia" w:ascii="宋体" w:hAnsi="宋体" w:cs="宋体"/>
                <w:color w:val="000000"/>
                <w:kern w:val="0"/>
                <w:sz w:val="14"/>
                <w:szCs w:val="14"/>
                <w:lang w:val="zh-TW" w:eastAsia="zh-CN" w:bidi="zh-TW"/>
              </w:rPr>
              <w:t>项目</w:t>
            </w:r>
            <w:r>
              <w:rPr>
                <w:rFonts w:ascii="宋体" w:hAnsi="宋体" w:cs="宋体"/>
                <w:color w:val="000000"/>
                <w:kern w:val="0"/>
                <w:sz w:val="14"/>
                <w:szCs w:val="14"/>
                <w:lang w:val="zh-TW" w:eastAsia="zh-TW" w:bidi="zh-TW"/>
              </w:rPr>
              <w:t>相关的各种法</w:t>
            </w:r>
            <w:r>
              <w:rPr>
                <w:rFonts w:hint="eastAsia" w:ascii="宋体" w:hAnsi="宋体" w:cs="宋体"/>
                <w:color w:val="000000"/>
                <w:kern w:val="0"/>
                <w:sz w:val="14"/>
                <w:szCs w:val="14"/>
                <w:lang w:val="zh-TW" w:eastAsia="zh-CN" w:bidi="zh-TW"/>
              </w:rPr>
              <w:t>律</w:t>
            </w:r>
            <w:r>
              <w:rPr>
                <w:rFonts w:ascii="宋体" w:hAnsi="宋体" w:cs="宋体"/>
                <w:color w:val="000000"/>
                <w:kern w:val="0"/>
                <w:sz w:val="14"/>
                <w:szCs w:val="14"/>
                <w:lang w:val="zh-TW" w:eastAsia="zh-TW" w:bidi="zh-TW"/>
              </w:rPr>
              <w:t>、法规、</w:t>
            </w:r>
          </w:p>
        </w:tc>
        <w:tc>
          <w:tcPr>
            <w:tcW w:w="1104" w:type="dxa"/>
            <w:tcBorders>
              <w:top w:val="single" w:color="auto" w:sz="4" w:space="0"/>
              <w:left w:val="single" w:color="auto" w:sz="4" w:space="0"/>
            </w:tcBorders>
            <w:shd w:val="clear" w:color="auto" w:fill="FFFFFF"/>
            <w:vAlign w:val="center"/>
          </w:tcPr>
          <w:p>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1分</w:t>
            </w:r>
          </w:p>
        </w:tc>
        <w:tc>
          <w:tcPr>
            <w:tcW w:w="5392" w:type="dxa"/>
            <w:tcBorders>
              <w:top w:val="single" w:color="auto" w:sz="4" w:space="0"/>
              <w:left w:val="single" w:color="auto" w:sz="4" w:space="0"/>
            </w:tcBorders>
            <w:shd w:val="clear" w:color="auto" w:fill="FFFFFF"/>
            <w:vAlign w:val="center"/>
          </w:tcPr>
          <w:p>
            <w:pPr>
              <w:spacing w:line="191"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严格执行与项目相关的各种法律、法规、制度</w:t>
            </w:r>
            <w:r>
              <w:rPr>
                <w:rFonts w:ascii="宋体" w:hAnsi="宋体" w:cs="宋体"/>
                <w:color w:val="000000"/>
                <w:kern w:val="0"/>
                <w:sz w:val="14"/>
                <w:szCs w:val="14"/>
                <w:lang w:bidi="en-US"/>
              </w:rPr>
              <w:t>1-0.9</w:t>
            </w:r>
            <w:r>
              <w:rPr>
                <w:rFonts w:ascii="宋体" w:hAnsi="宋体" w:cs="宋体"/>
                <w:color w:val="000000"/>
                <w:kern w:val="0"/>
                <w:sz w:val="14"/>
                <w:szCs w:val="14"/>
                <w:lang w:val="zh-TW" w:eastAsia="zh-TW" w:bidi="zh-TW"/>
              </w:rPr>
              <w:t>分，较严格执行</w:t>
            </w:r>
            <w:r>
              <w:rPr>
                <w:rFonts w:ascii="宋体" w:hAnsi="宋体" w:cs="宋体"/>
                <w:color w:val="000000"/>
                <w:kern w:val="0"/>
                <w:sz w:val="14"/>
                <w:szCs w:val="14"/>
                <w:lang w:bidi="en-US"/>
              </w:rPr>
              <w:t>0.9-0.8</w:t>
            </w:r>
            <w:r>
              <w:rPr>
                <w:rFonts w:ascii="宋体" w:hAnsi="宋体" w:cs="宋体"/>
                <w:color w:val="000000"/>
                <w:kern w:val="0"/>
                <w:sz w:val="14"/>
                <w:szCs w:val="14"/>
                <w:lang w:val="zh-TW" w:eastAsia="zh-TW" w:bidi="zh-TW"/>
              </w:rPr>
              <w:t>分，基本执行</w:t>
            </w:r>
            <w:r>
              <w:rPr>
                <w:rFonts w:ascii="宋体" w:hAnsi="宋体" w:cs="宋体"/>
                <w:color w:val="000000"/>
                <w:kern w:val="0"/>
                <w:sz w:val="14"/>
                <w:szCs w:val="14"/>
                <w:lang w:bidi="en-US"/>
              </w:rPr>
              <w:t>0.8-0.6</w:t>
            </w:r>
            <w:r>
              <w:rPr>
                <w:rFonts w:ascii="宋体" w:hAnsi="宋体" w:cs="宋体"/>
                <w:color w:val="000000"/>
                <w:kern w:val="0"/>
                <w:sz w:val="14"/>
                <w:szCs w:val="14"/>
                <w:lang w:val="zh-TW" w:eastAsia="zh-TW" w:bidi="zh-TW"/>
              </w:rPr>
              <w:t>分，未执行0.6-0分</w:t>
            </w:r>
          </w:p>
        </w:tc>
        <w:tc>
          <w:tcPr>
            <w:tcW w:w="1165" w:type="dxa"/>
            <w:tcBorders>
              <w:top w:val="single" w:color="auto" w:sz="4" w:space="0"/>
              <w:left w:val="single" w:color="auto" w:sz="4" w:space="0"/>
            </w:tcBorders>
            <w:shd w:val="clear" w:color="auto" w:fill="FFFFFF"/>
            <w:vAlign w:val="center"/>
          </w:tcPr>
          <w:p>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1.</w:t>
            </w:r>
            <w:r>
              <w:rPr>
                <w:rFonts w:ascii="宋体" w:hAnsi="宋体" w:cs="宋体"/>
                <w:color w:val="000000"/>
                <w:kern w:val="0"/>
                <w:sz w:val="14"/>
                <w:szCs w:val="14"/>
                <w:lang w:val="zh-TW" w:eastAsia="zh-TW" w:bidi="zh-TW"/>
              </w:rPr>
              <w:t>00</w:t>
            </w:r>
          </w:p>
        </w:tc>
        <w:tc>
          <w:tcPr>
            <w:tcW w:w="2824" w:type="dxa"/>
            <w:tcBorders>
              <w:top w:val="single" w:color="auto" w:sz="4" w:space="0"/>
              <w:left w:val="single" w:color="auto" w:sz="4" w:space="0"/>
              <w:right w:val="single" w:color="auto" w:sz="4" w:space="0"/>
            </w:tcBorders>
            <w:shd w:val="clear" w:color="auto" w:fill="FFFFFF"/>
          </w:tcPr>
          <w:p>
            <w:pPr>
              <w:jc w:val="left"/>
              <w:rPr>
                <w:rFonts w:eastAsia="Times New Roman"/>
                <w:color w:val="000000"/>
                <w:kern w:val="0"/>
                <w:sz w:val="10"/>
                <w:szCs w:val="10"/>
                <w:lang w:eastAsia="en-US" w:bidi="en-US"/>
              </w:rPr>
            </w:pPr>
          </w:p>
        </w:tc>
      </w:tr>
      <w:tr>
        <w:tblPrEx>
          <w:tblLayout w:type="fixed"/>
          <w:tblCellMar>
            <w:top w:w="0" w:type="dxa"/>
            <w:left w:w="10" w:type="dxa"/>
            <w:bottom w:w="0" w:type="dxa"/>
            <w:right w:w="10" w:type="dxa"/>
          </w:tblCellMar>
        </w:tblPrEx>
        <w:trPr>
          <w:trHeight w:val="629" w:hRule="exact"/>
          <w:jc w:val="center"/>
        </w:trPr>
        <w:tc>
          <w:tcPr>
            <w:tcW w:w="825"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30"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11"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1073" w:type="dxa"/>
            <w:tcBorders>
              <w:top w:val="single" w:color="auto" w:sz="4" w:space="0"/>
              <w:left w:val="single" w:color="auto" w:sz="4" w:space="0"/>
            </w:tcBorders>
            <w:shd w:val="clear" w:color="auto" w:fill="FFFFFF"/>
            <w:vAlign w:val="center"/>
          </w:tcPr>
          <w:p>
            <w:pPr>
              <w:spacing w:line="203"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2、严格执行实施方案或实施</w:t>
            </w:r>
            <w:r>
              <w:rPr>
                <w:rFonts w:hint="eastAsia" w:ascii="宋体" w:hAnsi="宋体" w:cs="宋体"/>
                <w:color w:val="000000"/>
                <w:kern w:val="0"/>
                <w:sz w:val="14"/>
                <w:szCs w:val="14"/>
                <w:lang w:val="zh-TW" w:eastAsia="zh-CN" w:bidi="zh-TW"/>
              </w:rPr>
              <w:t>计划</w:t>
            </w:r>
            <w:r>
              <w:rPr>
                <w:rFonts w:ascii="宋体" w:hAnsi="宋体" w:cs="宋体"/>
                <w:color w:val="000000"/>
                <w:kern w:val="0"/>
                <w:sz w:val="14"/>
                <w:szCs w:val="14"/>
                <w:lang w:val="zh-TW" w:eastAsia="zh-TW" w:bidi="zh-TW"/>
              </w:rPr>
              <w:t>；</w:t>
            </w:r>
          </w:p>
        </w:tc>
        <w:tc>
          <w:tcPr>
            <w:tcW w:w="1104" w:type="dxa"/>
            <w:tcBorders>
              <w:top w:val="single" w:color="auto" w:sz="4" w:space="0"/>
              <w:left w:val="single" w:color="auto" w:sz="4" w:space="0"/>
            </w:tcBorders>
            <w:shd w:val="clear" w:color="auto" w:fill="FFFFFF"/>
            <w:vAlign w:val="center"/>
          </w:tcPr>
          <w:p>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1分</w:t>
            </w:r>
          </w:p>
        </w:tc>
        <w:tc>
          <w:tcPr>
            <w:tcW w:w="5392" w:type="dxa"/>
            <w:tcBorders>
              <w:top w:val="single" w:color="auto" w:sz="4" w:space="0"/>
              <w:left w:val="single" w:color="auto" w:sz="4" w:space="0"/>
            </w:tcBorders>
            <w:shd w:val="clear" w:color="auto" w:fill="FFFFFF"/>
            <w:vAlign w:val="center"/>
          </w:tcPr>
          <w:p>
            <w:pPr>
              <w:spacing w:after="40"/>
              <w:jc w:val="left"/>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zh-TW" w:eastAsia="zh-CN" w:bidi="zh-TW"/>
              </w:rPr>
              <w:t>严格执行</w:t>
            </w:r>
            <w:r>
              <w:rPr>
                <w:rFonts w:ascii="宋体" w:hAnsi="宋体" w:cs="宋体"/>
                <w:color w:val="000000"/>
                <w:kern w:val="0"/>
                <w:sz w:val="14"/>
                <w:szCs w:val="14"/>
                <w:lang w:val="zh-TW" w:eastAsia="zh-TW" w:bidi="zh-TW"/>
              </w:rPr>
              <w:t>实施方案或实施计划</w:t>
            </w:r>
            <w:r>
              <w:rPr>
                <w:rFonts w:ascii="宋体" w:hAnsi="宋体" w:cs="宋体"/>
                <w:color w:val="000000"/>
                <w:kern w:val="0"/>
                <w:sz w:val="14"/>
                <w:szCs w:val="14"/>
                <w:lang w:bidi="en-US"/>
              </w:rPr>
              <w:t>1-0.</w:t>
            </w:r>
            <w:r>
              <w:rPr>
                <w:rFonts w:ascii="宋体" w:hAnsi="宋体" w:cs="宋体"/>
                <w:color w:val="000000"/>
                <w:kern w:val="0"/>
                <w:sz w:val="14"/>
                <w:szCs w:val="14"/>
                <w:lang w:val="zh-TW" w:eastAsia="zh-TW" w:bidi="zh-TW"/>
              </w:rPr>
              <w:t>9分，较严格执行</w:t>
            </w:r>
            <w:r>
              <w:rPr>
                <w:rFonts w:ascii="宋体" w:hAnsi="宋体" w:cs="宋体"/>
                <w:color w:val="000000"/>
                <w:kern w:val="0"/>
                <w:sz w:val="14"/>
                <w:szCs w:val="14"/>
                <w:lang w:bidi="en-US"/>
              </w:rPr>
              <w:t>0.9-0.</w:t>
            </w:r>
            <w:r>
              <w:rPr>
                <w:rFonts w:ascii="宋体" w:hAnsi="宋体" w:cs="宋体"/>
                <w:color w:val="000000"/>
                <w:kern w:val="0"/>
                <w:sz w:val="14"/>
                <w:szCs w:val="14"/>
                <w:lang w:val="zh-TW" w:eastAsia="zh-TW" w:bidi="zh-TW"/>
              </w:rPr>
              <w:t>8分.基本执行</w:t>
            </w:r>
            <w:r>
              <w:rPr>
                <w:rFonts w:ascii="宋体" w:hAnsi="宋体" w:cs="宋体"/>
                <w:color w:val="000000"/>
                <w:kern w:val="0"/>
                <w:sz w:val="14"/>
                <w:szCs w:val="14"/>
                <w:lang w:eastAsia="en-US" w:bidi="en-US"/>
              </w:rPr>
              <w:t>0.8-0.</w:t>
            </w:r>
            <w:r>
              <w:rPr>
                <w:rFonts w:ascii="宋体" w:hAnsi="宋体" w:cs="宋体"/>
                <w:color w:val="000000"/>
                <w:kern w:val="0"/>
                <w:sz w:val="14"/>
                <w:szCs w:val="14"/>
                <w:lang w:val="zh-TW" w:eastAsia="zh-TW" w:bidi="zh-TW"/>
              </w:rPr>
              <w:t>6分，未执行0.6-0分</w:t>
            </w:r>
          </w:p>
        </w:tc>
        <w:tc>
          <w:tcPr>
            <w:tcW w:w="1165" w:type="dxa"/>
            <w:tcBorders>
              <w:top w:val="single" w:color="auto" w:sz="4" w:space="0"/>
              <w:left w:val="single" w:color="auto" w:sz="4" w:space="0"/>
            </w:tcBorders>
            <w:shd w:val="clear" w:color="auto" w:fill="FFFFFF"/>
            <w:vAlign w:val="center"/>
          </w:tcPr>
          <w:p>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1.00</w:t>
            </w:r>
          </w:p>
        </w:tc>
        <w:tc>
          <w:tcPr>
            <w:tcW w:w="2824" w:type="dxa"/>
            <w:tcBorders>
              <w:top w:val="single" w:color="auto" w:sz="4" w:space="0"/>
              <w:left w:val="single" w:color="auto" w:sz="4" w:space="0"/>
              <w:right w:val="single" w:color="auto" w:sz="4" w:space="0"/>
            </w:tcBorders>
            <w:shd w:val="clear" w:color="auto" w:fill="FFFFFF"/>
          </w:tcPr>
          <w:p>
            <w:pPr>
              <w:jc w:val="left"/>
              <w:rPr>
                <w:rFonts w:eastAsia="Times New Roman"/>
                <w:color w:val="000000"/>
                <w:kern w:val="0"/>
                <w:sz w:val="10"/>
                <w:szCs w:val="10"/>
                <w:lang w:eastAsia="en-US" w:bidi="en-US"/>
              </w:rPr>
            </w:pPr>
          </w:p>
        </w:tc>
      </w:tr>
      <w:tr>
        <w:tblPrEx>
          <w:tblLayout w:type="fixed"/>
          <w:tblCellMar>
            <w:top w:w="0" w:type="dxa"/>
            <w:left w:w="10" w:type="dxa"/>
            <w:bottom w:w="0" w:type="dxa"/>
            <w:right w:w="10" w:type="dxa"/>
          </w:tblCellMar>
        </w:tblPrEx>
        <w:trPr>
          <w:trHeight w:val="634" w:hRule="exact"/>
          <w:jc w:val="center"/>
        </w:trPr>
        <w:tc>
          <w:tcPr>
            <w:tcW w:w="825"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30"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811" w:type="dxa"/>
            <w:vMerge w:val="continue"/>
            <w:tcBorders>
              <w:left w:val="single" w:color="auto" w:sz="4" w:space="0"/>
            </w:tcBorders>
            <w:shd w:val="clear" w:color="auto" w:fill="FFFFFF"/>
            <w:vAlign w:val="center"/>
          </w:tcPr>
          <w:p>
            <w:pPr>
              <w:jc w:val="left"/>
              <w:rPr>
                <w:rFonts w:eastAsia="Times New Roman"/>
                <w:color w:val="000000"/>
                <w:kern w:val="0"/>
                <w:sz w:val="24"/>
                <w:lang w:eastAsia="en-US" w:bidi="en-US"/>
              </w:rPr>
            </w:pPr>
          </w:p>
        </w:tc>
        <w:tc>
          <w:tcPr>
            <w:tcW w:w="1073" w:type="dxa"/>
            <w:tcBorders>
              <w:top w:val="single" w:color="auto" w:sz="4" w:space="0"/>
              <w:left w:val="single" w:color="auto" w:sz="4" w:space="0"/>
            </w:tcBorders>
            <w:shd w:val="clear" w:color="auto" w:fill="FFFFFF"/>
            <w:vAlign w:val="center"/>
          </w:tcPr>
          <w:p>
            <w:pPr>
              <w:spacing w:line="207"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项目管理方法科学、合理；</w:t>
            </w:r>
          </w:p>
        </w:tc>
        <w:tc>
          <w:tcPr>
            <w:tcW w:w="1104" w:type="dxa"/>
            <w:tcBorders>
              <w:top w:val="single" w:color="auto" w:sz="4" w:space="0"/>
              <w:left w:val="single" w:color="auto" w:sz="4" w:space="0"/>
            </w:tcBorders>
            <w:shd w:val="clear" w:color="auto" w:fill="FFFFFF"/>
            <w:vAlign w:val="center"/>
          </w:tcPr>
          <w:p>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2分</w:t>
            </w:r>
          </w:p>
        </w:tc>
        <w:tc>
          <w:tcPr>
            <w:tcW w:w="5392" w:type="dxa"/>
            <w:tcBorders>
              <w:top w:val="single" w:color="auto" w:sz="4" w:space="0"/>
              <w:left w:val="single" w:color="auto" w:sz="4" w:space="0"/>
            </w:tcBorders>
            <w:shd w:val="clear" w:color="auto" w:fill="FFFFFF"/>
            <w:vAlign w:val="center"/>
          </w:tcPr>
          <w:p>
            <w:pPr>
              <w:spacing w:line="200" w:lineRule="exact"/>
              <w:jc w:val="left"/>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zh-TW" w:eastAsia="zh-CN" w:bidi="zh-TW"/>
              </w:rPr>
              <w:t>项目管理</w:t>
            </w:r>
            <w:r>
              <w:rPr>
                <w:rFonts w:ascii="宋体" w:hAnsi="宋体" w:cs="宋体"/>
                <w:color w:val="000000"/>
                <w:kern w:val="0"/>
                <w:sz w:val="14"/>
                <w:szCs w:val="14"/>
                <w:lang w:val="zh-TW" w:eastAsia="zh-TW" w:bidi="zh-TW"/>
              </w:rPr>
              <w:t>方法科学合理</w:t>
            </w:r>
            <w:r>
              <w:rPr>
                <w:rFonts w:ascii="宋体" w:hAnsi="宋体" w:cs="宋体"/>
                <w:color w:val="000000"/>
                <w:kern w:val="0"/>
                <w:sz w:val="14"/>
                <w:szCs w:val="14"/>
                <w:lang w:bidi="en-US"/>
              </w:rPr>
              <w:t>2-1.8</w:t>
            </w:r>
            <w:r>
              <w:rPr>
                <w:rFonts w:ascii="宋体" w:hAnsi="宋体" w:cs="宋体"/>
                <w:color w:val="000000"/>
                <w:kern w:val="0"/>
                <w:sz w:val="14"/>
                <w:szCs w:val="14"/>
                <w:lang w:val="zh-TW" w:eastAsia="zh-TW" w:bidi="zh-TW"/>
              </w:rPr>
              <w:t>分；项目管理方法较科学合理</w:t>
            </w:r>
            <w:r>
              <w:rPr>
                <w:rFonts w:ascii="宋体" w:hAnsi="宋体" w:cs="宋体"/>
                <w:color w:val="000000"/>
                <w:kern w:val="0"/>
                <w:sz w:val="14"/>
                <w:szCs w:val="14"/>
                <w:lang w:bidi="en-US"/>
              </w:rPr>
              <w:t>1.8-1.</w:t>
            </w:r>
            <w:r>
              <w:rPr>
                <w:rFonts w:ascii="宋体" w:hAnsi="宋体" w:cs="宋体"/>
                <w:color w:val="000000"/>
                <w:kern w:val="0"/>
                <w:sz w:val="14"/>
                <w:szCs w:val="14"/>
                <w:lang w:val="zh-TW" w:eastAsia="zh-TW" w:bidi="zh-TW"/>
              </w:rPr>
              <w:t>5分</w:t>
            </w:r>
            <w:r>
              <w:rPr>
                <w:rFonts w:hint="eastAsia" w:ascii="宋体" w:hAnsi="宋体" w:cs="宋体"/>
                <w:color w:val="000000"/>
                <w:kern w:val="0"/>
                <w:sz w:val="14"/>
                <w:szCs w:val="14"/>
                <w:lang w:val="zh-TW" w:eastAsia="zh-CN" w:bidi="zh-TW"/>
              </w:rPr>
              <w:t>，</w:t>
            </w:r>
            <w:r>
              <w:rPr>
                <w:rFonts w:ascii="宋体" w:hAnsi="宋体" w:cs="宋体"/>
                <w:color w:val="000000"/>
                <w:kern w:val="0"/>
                <w:sz w:val="14"/>
                <w:szCs w:val="14"/>
                <w:lang w:val="zh-TW" w:eastAsia="zh-TW" w:bidi="zh-TW"/>
              </w:rPr>
              <w:t>项目管理方法基本科学合理</w:t>
            </w:r>
            <w:r>
              <w:rPr>
                <w:rFonts w:ascii="宋体" w:hAnsi="宋体" w:cs="宋体"/>
                <w:color w:val="000000"/>
                <w:kern w:val="0"/>
                <w:sz w:val="14"/>
                <w:szCs w:val="14"/>
                <w:lang w:bidi="en-US"/>
              </w:rPr>
              <w:t>1.5-1.</w:t>
            </w:r>
            <w:r>
              <w:rPr>
                <w:rFonts w:ascii="宋体" w:hAnsi="宋体" w:cs="宋体"/>
                <w:color w:val="000000"/>
                <w:kern w:val="0"/>
                <w:sz w:val="14"/>
                <w:szCs w:val="14"/>
                <w:lang w:val="zh-TW" w:eastAsia="zh-TW" w:bidi="zh-TW"/>
              </w:rPr>
              <w:t>2分，项目管理方法不科学不合理</w:t>
            </w:r>
            <w:r>
              <w:rPr>
                <w:rFonts w:ascii="宋体" w:hAnsi="宋体" w:cs="宋体"/>
                <w:color w:val="000000"/>
                <w:kern w:val="0"/>
                <w:sz w:val="14"/>
                <w:szCs w:val="14"/>
                <w:lang w:bidi="en-US"/>
              </w:rPr>
              <w:t>1.2-0</w:t>
            </w:r>
            <w:r>
              <w:rPr>
                <w:rFonts w:ascii="宋体" w:hAnsi="宋体" w:cs="宋体"/>
                <w:color w:val="000000"/>
                <w:kern w:val="0"/>
                <w:sz w:val="14"/>
                <w:szCs w:val="14"/>
                <w:lang w:val="zh-TW" w:eastAsia="zh-TW" w:bidi="zh-TW"/>
              </w:rPr>
              <w:t>分</w:t>
            </w:r>
          </w:p>
        </w:tc>
        <w:tc>
          <w:tcPr>
            <w:tcW w:w="1165" w:type="dxa"/>
            <w:tcBorders>
              <w:top w:val="single" w:color="auto" w:sz="4" w:space="0"/>
              <w:left w:val="single" w:color="auto" w:sz="4" w:space="0"/>
            </w:tcBorders>
            <w:shd w:val="clear" w:color="auto" w:fill="FFFFFF"/>
            <w:vAlign w:val="center"/>
          </w:tcPr>
          <w:p>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2.00</w:t>
            </w:r>
          </w:p>
        </w:tc>
        <w:tc>
          <w:tcPr>
            <w:tcW w:w="2824" w:type="dxa"/>
            <w:tcBorders>
              <w:top w:val="single" w:color="auto" w:sz="4" w:space="0"/>
              <w:left w:val="single" w:color="auto" w:sz="4" w:space="0"/>
              <w:right w:val="single" w:color="auto" w:sz="4" w:space="0"/>
            </w:tcBorders>
            <w:shd w:val="clear" w:color="auto" w:fill="FFFFFF"/>
          </w:tcPr>
          <w:p>
            <w:pPr>
              <w:jc w:val="left"/>
              <w:rPr>
                <w:rFonts w:eastAsia="Times New Roman"/>
                <w:color w:val="000000"/>
                <w:kern w:val="0"/>
                <w:sz w:val="10"/>
                <w:szCs w:val="10"/>
                <w:lang w:eastAsia="en-US" w:bidi="en-US"/>
              </w:rPr>
            </w:pPr>
          </w:p>
        </w:tc>
      </w:tr>
      <w:tr>
        <w:tblPrEx>
          <w:tblLayout w:type="fixed"/>
          <w:tblCellMar>
            <w:top w:w="0" w:type="dxa"/>
            <w:left w:w="10" w:type="dxa"/>
            <w:bottom w:w="0" w:type="dxa"/>
            <w:right w:w="10" w:type="dxa"/>
          </w:tblCellMar>
        </w:tblPrEx>
        <w:trPr>
          <w:trHeight w:val="1072" w:hRule="exact"/>
          <w:jc w:val="center"/>
        </w:trPr>
        <w:tc>
          <w:tcPr>
            <w:tcW w:w="825" w:type="dxa"/>
            <w:vMerge w:val="continue"/>
            <w:tcBorders>
              <w:left w:val="single" w:color="auto" w:sz="4" w:space="0"/>
              <w:bottom w:val="single" w:color="auto" w:sz="4" w:space="0"/>
            </w:tcBorders>
            <w:shd w:val="clear" w:color="auto" w:fill="FFFFFF"/>
            <w:vAlign w:val="center"/>
          </w:tcPr>
          <w:p>
            <w:pPr>
              <w:jc w:val="left"/>
              <w:rPr>
                <w:rFonts w:eastAsia="Times New Roman"/>
                <w:color w:val="000000"/>
                <w:kern w:val="0"/>
                <w:sz w:val="24"/>
                <w:lang w:eastAsia="en-US" w:bidi="en-US"/>
              </w:rPr>
            </w:pPr>
          </w:p>
        </w:tc>
        <w:tc>
          <w:tcPr>
            <w:tcW w:w="830" w:type="dxa"/>
            <w:vMerge w:val="continue"/>
            <w:tcBorders>
              <w:left w:val="single" w:color="auto" w:sz="4" w:space="0"/>
              <w:bottom w:val="single" w:color="auto" w:sz="4" w:space="0"/>
            </w:tcBorders>
            <w:shd w:val="clear" w:color="auto" w:fill="FFFFFF"/>
            <w:vAlign w:val="center"/>
          </w:tcPr>
          <w:p>
            <w:pPr>
              <w:jc w:val="left"/>
              <w:rPr>
                <w:rFonts w:eastAsia="Times New Roman"/>
                <w:color w:val="000000"/>
                <w:kern w:val="0"/>
                <w:sz w:val="24"/>
                <w:lang w:eastAsia="en-US" w:bidi="en-US"/>
              </w:rPr>
            </w:pPr>
          </w:p>
        </w:tc>
        <w:tc>
          <w:tcPr>
            <w:tcW w:w="811" w:type="dxa"/>
            <w:vMerge w:val="continue"/>
            <w:tcBorders>
              <w:left w:val="single" w:color="auto" w:sz="4" w:space="0"/>
              <w:bottom w:val="single" w:color="auto" w:sz="4" w:space="0"/>
            </w:tcBorders>
            <w:shd w:val="clear" w:color="auto" w:fill="FFFFFF"/>
            <w:vAlign w:val="center"/>
          </w:tcPr>
          <w:p>
            <w:pPr>
              <w:jc w:val="left"/>
              <w:rPr>
                <w:rFonts w:eastAsia="Times New Roman"/>
                <w:color w:val="000000"/>
                <w:kern w:val="0"/>
                <w:sz w:val="24"/>
                <w:lang w:eastAsia="en-US" w:bidi="en-US"/>
              </w:rPr>
            </w:pPr>
          </w:p>
        </w:tc>
        <w:tc>
          <w:tcPr>
            <w:tcW w:w="1073" w:type="dxa"/>
            <w:tcBorders>
              <w:top w:val="single" w:color="auto" w:sz="4" w:space="0"/>
              <w:left w:val="single" w:color="auto" w:sz="4" w:space="0"/>
              <w:bottom w:val="single" w:color="auto" w:sz="4" w:space="0"/>
            </w:tcBorders>
            <w:shd w:val="clear" w:color="auto" w:fill="FFFFFF"/>
            <w:vAlign w:val="center"/>
          </w:tcPr>
          <w:p>
            <w:pPr>
              <w:spacing w:line="199"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4、项目管理过程中进行了指导监督并留相关</w:t>
            </w:r>
            <w:r>
              <w:rPr>
                <w:rFonts w:hint="eastAsia" w:ascii="宋体" w:hAnsi="宋体" w:cs="宋体"/>
                <w:color w:val="000000"/>
                <w:kern w:val="0"/>
                <w:sz w:val="14"/>
                <w:szCs w:val="14"/>
                <w:lang w:val="zh-TW" w:eastAsia="zh-CN" w:bidi="zh-TW"/>
              </w:rPr>
              <w:t>记录</w:t>
            </w:r>
            <w:r>
              <w:rPr>
                <w:rFonts w:ascii="宋体" w:hAnsi="宋体" w:cs="宋体"/>
                <w:color w:val="000000"/>
                <w:kern w:val="0"/>
                <w:sz w:val="14"/>
                <w:szCs w:val="14"/>
                <w:lang w:val="zh-TW" w:eastAsia="zh-TW" w:bidi="zh-TW"/>
              </w:rPr>
              <w:t>。</w:t>
            </w:r>
          </w:p>
        </w:tc>
        <w:tc>
          <w:tcPr>
            <w:tcW w:w="1104" w:type="dxa"/>
            <w:tcBorders>
              <w:top w:val="single" w:color="auto" w:sz="4" w:space="0"/>
              <w:left w:val="single" w:color="auto" w:sz="4" w:space="0"/>
              <w:bottom w:val="single" w:color="auto" w:sz="4" w:space="0"/>
            </w:tcBorders>
            <w:shd w:val="clear" w:color="auto" w:fill="FFFFFF"/>
            <w:vAlign w:val="center"/>
          </w:tcPr>
          <w:p>
            <w:pPr>
              <w:ind w:firstLine="38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2分</w:t>
            </w:r>
          </w:p>
        </w:tc>
        <w:tc>
          <w:tcPr>
            <w:tcW w:w="5392" w:type="dxa"/>
            <w:tcBorders>
              <w:top w:val="single" w:color="auto" w:sz="4" w:space="0"/>
              <w:left w:val="single" w:color="auto" w:sz="4" w:space="0"/>
              <w:bottom w:val="single" w:color="auto" w:sz="4" w:space="0"/>
            </w:tcBorders>
            <w:shd w:val="clear" w:color="auto" w:fill="FFFFFF"/>
            <w:vAlign w:val="center"/>
          </w:tcPr>
          <w:p>
            <w:pPr>
              <w:spacing w:line="198" w:lineRule="exact"/>
              <w:jc w:val="left"/>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zh-TW" w:eastAsia="zh-CN" w:bidi="zh-TW"/>
              </w:rPr>
              <w:t>项目</w:t>
            </w:r>
            <w:r>
              <w:rPr>
                <w:rFonts w:ascii="宋体" w:hAnsi="宋体" w:cs="宋体"/>
                <w:color w:val="000000"/>
                <w:kern w:val="0"/>
                <w:sz w:val="14"/>
                <w:szCs w:val="14"/>
                <w:lang w:val="zh-TW" w:eastAsia="zh-TW" w:bidi="zh-TW"/>
              </w:rPr>
              <w:t>管理过程中做了详细指导、监督并留存相关记录</w:t>
            </w:r>
            <w:r>
              <w:rPr>
                <w:rFonts w:ascii="宋体" w:hAnsi="宋体" w:cs="宋体"/>
                <w:color w:val="000000"/>
                <w:kern w:val="0"/>
                <w:sz w:val="14"/>
                <w:szCs w:val="14"/>
                <w:lang w:bidi="en-US"/>
              </w:rPr>
              <w:t>2-1.8</w:t>
            </w:r>
            <w:r>
              <w:rPr>
                <w:rFonts w:ascii="宋体" w:hAnsi="宋体" w:cs="宋体"/>
                <w:color w:val="000000"/>
                <w:kern w:val="0"/>
                <w:sz w:val="14"/>
                <w:szCs w:val="14"/>
                <w:lang w:val="zh-TW" w:eastAsia="zh-TW" w:bidi="zh-TW"/>
              </w:rPr>
              <w:t>分：做较详细</w:t>
            </w:r>
            <w:r>
              <w:rPr>
                <w:rFonts w:hint="eastAsia" w:ascii="宋体" w:hAnsi="宋体" w:cs="宋体"/>
                <w:color w:val="000000"/>
                <w:kern w:val="0"/>
                <w:sz w:val="14"/>
                <w:szCs w:val="14"/>
                <w:lang w:val="zh-TW" w:eastAsia="zh-CN" w:bidi="zh-TW"/>
              </w:rPr>
              <w:t>指导</w:t>
            </w:r>
            <w:r>
              <w:rPr>
                <w:rFonts w:ascii="宋体" w:hAnsi="宋体" w:cs="宋体"/>
                <w:color w:val="000000"/>
                <w:kern w:val="0"/>
                <w:sz w:val="14"/>
                <w:szCs w:val="14"/>
                <w:lang w:val="zh-TW" w:eastAsia="zh-TW" w:bidi="zh-TW"/>
              </w:rPr>
              <w:t>监督并留存相关</w:t>
            </w:r>
            <w:r>
              <w:rPr>
                <w:rFonts w:ascii="宋体" w:hAnsi="宋体" w:cs="宋体"/>
                <w:color w:val="000000"/>
                <w:kern w:val="0"/>
                <w:sz w:val="14"/>
                <w:szCs w:val="14"/>
                <w:lang w:bidi="en-US"/>
              </w:rPr>
              <w:t>1.8-1.</w:t>
            </w:r>
            <w:r>
              <w:rPr>
                <w:rFonts w:ascii="宋体" w:hAnsi="宋体" w:cs="宋体"/>
                <w:color w:val="000000"/>
                <w:kern w:val="0"/>
                <w:sz w:val="14"/>
                <w:szCs w:val="14"/>
                <w:lang w:val="zh-TW" w:eastAsia="zh-TW" w:bidi="zh-TW"/>
              </w:rPr>
              <w:t>5分，做了基本指导、监督并留存相关记录</w:t>
            </w:r>
            <w:r>
              <w:rPr>
                <w:rFonts w:ascii="宋体" w:hAnsi="宋体" w:cs="宋体"/>
                <w:color w:val="000000"/>
                <w:kern w:val="0"/>
                <w:sz w:val="14"/>
                <w:szCs w:val="14"/>
                <w:lang w:bidi="en-US"/>
              </w:rPr>
              <w:t>1.5-1.</w:t>
            </w:r>
            <w:r>
              <w:rPr>
                <w:rFonts w:ascii="宋体" w:hAnsi="宋体" w:cs="宋体"/>
                <w:color w:val="000000"/>
                <w:kern w:val="0"/>
                <w:sz w:val="14"/>
                <w:szCs w:val="14"/>
                <w:lang w:val="zh-TW" w:eastAsia="zh-TW" w:bidi="zh-TW"/>
              </w:rPr>
              <w:t>2分，未执行指导、监督，未留存相关记录</w:t>
            </w:r>
            <w:r>
              <w:rPr>
                <w:rFonts w:hint="eastAsia" w:ascii="宋体" w:hAnsi="宋体" w:cs="宋体"/>
                <w:color w:val="000000"/>
                <w:kern w:val="0"/>
                <w:sz w:val="14"/>
                <w:szCs w:val="14"/>
                <w:lang w:val="en-US" w:eastAsia="zh-CN" w:bidi="en-US"/>
              </w:rPr>
              <w:t>1.2-0</w:t>
            </w:r>
            <w:r>
              <w:rPr>
                <w:rFonts w:ascii="宋体" w:hAnsi="宋体" w:cs="宋体"/>
                <w:color w:val="000000"/>
                <w:kern w:val="0"/>
                <w:sz w:val="14"/>
                <w:szCs w:val="14"/>
                <w:lang w:val="zh-TW" w:eastAsia="zh-TW" w:bidi="zh-TW"/>
              </w:rPr>
              <w:t>分</w:t>
            </w:r>
          </w:p>
        </w:tc>
        <w:tc>
          <w:tcPr>
            <w:tcW w:w="1165" w:type="dxa"/>
            <w:tcBorders>
              <w:top w:val="single" w:color="auto" w:sz="4" w:space="0"/>
              <w:left w:val="single" w:color="auto" w:sz="4" w:space="0"/>
              <w:bottom w:val="single" w:color="auto" w:sz="4" w:space="0"/>
            </w:tcBorders>
            <w:shd w:val="clear" w:color="auto" w:fill="FFFFFF"/>
            <w:vAlign w:val="center"/>
          </w:tcPr>
          <w:p>
            <w:pPr>
              <w:tabs>
                <w:tab w:val="left" w:pos="1081"/>
              </w:tabs>
              <w:ind w:firstLine="340"/>
              <w:jc w:val="left"/>
              <w:rPr>
                <w:rFonts w:ascii="宋体" w:hAnsi="宋体" w:cs="宋体"/>
                <w:color w:val="000000"/>
                <w:kern w:val="0"/>
                <w:sz w:val="14"/>
                <w:szCs w:val="14"/>
                <w:lang w:bidi="en-US"/>
              </w:rPr>
            </w:pPr>
          </w:p>
          <w:p>
            <w:pPr>
              <w:tabs>
                <w:tab w:val="left" w:pos="1081"/>
              </w:tabs>
              <w:ind w:firstLine="34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1.50</w:t>
            </w:r>
            <w:r>
              <w:rPr>
                <w:rFonts w:ascii="宋体" w:hAnsi="宋体" w:cs="宋体"/>
                <w:color w:val="000000"/>
                <w:kern w:val="0"/>
                <w:sz w:val="14"/>
                <w:szCs w:val="14"/>
                <w:lang w:val="zh-TW" w:eastAsia="zh-TW" w:bidi="zh-TW"/>
              </w:rPr>
              <w:tab/>
            </w:r>
          </w:p>
        </w:tc>
        <w:tc>
          <w:tcPr>
            <w:tcW w:w="2824"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过程资料</w:t>
            </w:r>
            <w:r>
              <w:rPr>
                <w:rFonts w:hint="eastAsia" w:ascii="宋体" w:hAnsi="宋体" w:cs="宋体"/>
                <w:color w:val="000000"/>
                <w:kern w:val="0"/>
                <w:sz w:val="14"/>
                <w:szCs w:val="14"/>
                <w:lang w:val="zh-TW" w:bidi="zh-TW"/>
              </w:rPr>
              <w:t>的完整性有所不足</w:t>
            </w:r>
          </w:p>
        </w:tc>
      </w:tr>
    </w:tbl>
    <w:p>
      <w:pPr>
        <w:spacing w:line="1" w:lineRule="exact"/>
        <w:jc w:val="left"/>
        <w:rPr>
          <w:rFonts w:eastAsia="Times New Roman"/>
          <w:color w:val="000000"/>
          <w:kern w:val="0"/>
          <w:sz w:val="2"/>
          <w:szCs w:val="2"/>
          <w:lang w:bidi="en-US"/>
        </w:rPr>
      </w:pPr>
      <w:r>
        <w:rPr>
          <w:rFonts w:eastAsia="Times New Roman"/>
          <w:color w:val="000000"/>
          <w:kern w:val="0"/>
          <w:sz w:val="24"/>
          <w:lang w:bidi="en-US"/>
        </w:rPr>
        <w:br w:type="page"/>
      </w:r>
    </w:p>
    <w:p>
      <w:pPr>
        <w:ind w:left="4440"/>
        <w:jc w:val="left"/>
        <w:rPr>
          <w:rFonts w:ascii="宋体" w:hAnsi="宋体" w:cs="宋体"/>
          <w:color w:val="000000"/>
          <w:kern w:val="0"/>
          <w:sz w:val="22"/>
          <w:lang w:val="zh-TW" w:eastAsia="zh-TW" w:bidi="zh-TW"/>
        </w:rPr>
      </w:pPr>
      <w:r>
        <w:rPr>
          <w:rFonts w:hint="eastAsia" w:ascii="宋体" w:hAnsi="宋体" w:cs="宋体"/>
          <w:color w:val="000000"/>
          <w:kern w:val="0"/>
          <w:sz w:val="22"/>
          <w:lang w:val="zh-TW" w:eastAsia="zh-TW" w:bidi="zh-TW"/>
        </w:rPr>
        <w:t>202</w:t>
      </w:r>
      <w:r>
        <w:rPr>
          <w:rFonts w:hint="eastAsia" w:ascii="宋体" w:hAnsi="宋体" w:cs="宋体"/>
          <w:color w:val="000000"/>
          <w:kern w:val="0"/>
          <w:sz w:val="22"/>
          <w:lang w:bidi="zh-TW"/>
        </w:rPr>
        <w:t>3</w:t>
      </w:r>
      <w:r>
        <w:rPr>
          <w:rFonts w:hint="eastAsia" w:ascii="宋体" w:hAnsi="宋体" w:cs="宋体"/>
          <w:color w:val="000000"/>
          <w:kern w:val="0"/>
          <w:sz w:val="22"/>
          <w:lang w:val="zh-TW" w:eastAsia="zh-TW" w:bidi="zh-TW"/>
        </w:rPr>
        <w:t>年密云检察院信息化运维费项目</w:t>
      </w:r>
      <w:r>
        <w:rPr>
          <w:rFonts w:ascii="宋体" w:hAnsi="宋体" w:cs="宋体"/>
          <w:color w:val="000000"/>
          <w:kern w:val="0"/>
          <w:sz w:val="22"/>
          <w:lang w:val="zh-TW" w:eastAsia="zh-TW" w:bidi="zh-TW"/>
        </w:rPr>
        <w:t>指标体系及打分情况表</w:t>
      </w:r>
    </w:p>
    <w:tbl>
      <w:tblPr>
        <w:tblStyle w:val="26"/>
        <w:tblW w:w="13767" w:type="dxa"/>
        <w:jc w:val="center"/>
        <w:tblInd w:w="0" w:type="dxa"/>
        <w:tblLayout w:type="fixed"/>
        <w:tblCellMar>
          <w:top w:w="0" w:type="dxa"/>
          <w:left w:w="10" w:type="dxa"/>
          <w:bottom w:w="0" w:type="dxa"/>
          <w:right w:w="10" w:type="dxa"/>
        </w:tblCellMar>
      </w:tblPr>
      <w:tblGrid>
        <w:gridCol w:w="933"/>
        <w:gridCol w:w="811"/>
        <w:gridCol w:w="802"/>
        <w:gridCol w:w="883"/>
        <w:gridCol w:w="1091"/>
        <w:gridCol w:w="5375"/>
        <w:gridCol w:w="1164"/>
        <w:gridCol w:w="2708"/>
      </w:tblGrid>
      <w:tr>
        <w:tblPrEx>
          <w:tblLayout w:type="fixed"/>
          <w:tblCellMar>
            <w:top w:w="0" w:type="dxa"/>
            <w:left w:w="10" w:type="dxa"/>
            <w:bottom w:w="0" w:type="dxa"/>
            <w:right w:w="10" w:type="dxa"/>
          </w:tblCellMar>
        </w:tblPrEx>
        <w:trPr>
          <w:trHeight w:val="421" w:hRule="exact"/>
          <w:jc w:val="center"/>
        </w:trPr>
        <w:tc>
          <w:tcPr>
            <w:tcW w:w="933"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一级指标</w:t>
            </w:r>
          </w:p>
        </w:tc>
        <w:tc>
          <w:tcPr>
            <w:tcW w:w="811"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en-US" w:eastAsia="zh-CN" w:bidi="zh-TW"/>
              </w:rPr>
              <w:t>二</w:t>
            </w:r>
            <w:r>
              <w:rPr>
                <w:rFonts w:ascii="宋体" w:hAnsi="宋体" w:cs="宋体"/>
                <w:color w:val="000000"/>
                <w:kern w:val="0"/>
                <w:sz w:val="14"/>
                <w:szCs w:val="14"/>
                <w:lang w:val="zh-TW" w:eastAsia="zh-TW" w:bidi="zh-TW"/>
              </w:rPr>
              <w:t>级指标</w:t>
            </w:r>
          </w:p>
        </w:tc>
        <w:tc>
          <w:tcPr>
            <w:tcW w:w="802"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三级指标</w:t>
            </w:r>
          </w:p>
        </w:tc>
        <w:tc>
          <w:tcPr>
            <w:tcW w:w="883"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四级指标</w:t>
            </w:r>
          </w:p>
        </w:tc>
        <w:tc>
          <w:tcPr>
            <w:tcW w:w="1091"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评分</w:t>
            </w:r>
          </w:p>
        </w:tc>
        <w:tc>
          <w:tcPr>
            <w:tcW w:w="5375"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评价内容（标准）</w:t>
            </w:r>
          </w:p>
        </w:tc>
        <w:tc>
          <w:tcPr>
            <w:tcW w:w="1164"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zh-TW" w:bidi="zh-TW"/>
              </w:rPr>
              <w:t>评价得分</w:t>
            </w:r>
          </w:p>
        </w:tc>
        <w:tc>
          <w:tcPr>
            <w:tcW w:w="2708"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扣分原因</w:t>
            </w:r>
          </w:p>
        </w:tc>
      </w:tr>
      <w:tr>
        <w:tblPrEx>
          <w:tblLayout w:type="fixed"/>
          <w:tblCellMar>
            <w:top w:w="0" w:type="dxa"/>
            <w:left w:w="10" w:type="dxa"/>
            <w:bottom w:w="0" w:type="dxa"/>
            <w:right w:w="10" w:type="dxa"/>
          </w:tblCellMar>
        </w:tblPrEx>
        <w:trPr>
          <w:trHeight w:val="675" w:hRule="exact"/>
          <w:jc w:val="center"/>
        </w:trPr>
        <w:tc>
          <w:tcPr>
            <w:tcW w:w="933" w:type="dxa"/>
            <w:vMerge w:val="restart"/>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项目绩效</w:t>
            </w:r>
          </w:p>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（55 分）</w:t>
            </w:r>
          </w:p>
        </w:tc>
        <w:tc>
          <w:tcPr>
            <w:tcW w:w="811" w:type="dxa"/>
            <w:vMerge w:val="restart"/>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项目产出</w:t>
            </w:r>
          </w:p>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（30 分）</w:t>
            </w:r>
          </w:p>
        </w:tc>
        <w:tc>
          <w:tcPr>
            <w:tcW w:w="802"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bidi="zh-TW"/>
              </w:rPr>
            </w:pPr>
            <w:r>
              <w:rPr>
                <w:rFonts w:ascii="宋体" w:hAnsi="宋体" w:cs="宋体"/>
                <w:color w:val="000000"/>
                <w:kern w:val="0"/>
                <w:sz w:val="14"/>
                <w:szCs w:val="14"/>
                <w:lang w:val="zh-TW" w:eastAsia="zh-TW" w:bidi="zh-TW"/>
              </w:rPr>
              <w:t>产出数</w:t>
            </w:r>
            <w:r>
              <w:rPr>
                <w:rFonts w:hint="eastAsia" w:ascii="宋体" w:hAnsi="宋体" w:cs="宋体"/>
                <w:color w:val="000000"/>
                <w:kern w:val="0"/>
                <w:sz w:val="14"/>
                <w:szCs w:val="14"/>
                <w:lang w:val="zh-TW" w:bidi="zh-TW"/>
              </w:rPr>
              <w:t>量</w:t>
            </w:r>
          </w:p>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（10 分）</w:t>
            </w:r>
          </w:p>
        </w:tc>
        <w:tc>
          <w:tcPr>
            <w:tcW w:w="883" w:type="dxa"/>
            <w:tcBorders>
              <w:top w:val="single" w:color="auto" w:sz="4" w:space="0"/>
              <w:left w:val="single" w:color="auto" w:sz="4" w:space="0"/>
            </w:tcBorders>
            <w:shd w:val="clear" w:color="auto" w:fill="FFFFFF"/>
            <w:vAlign w:val="center"/>
          </w:tcPr>
          <w:p>
            <w:pPr>
              <w:spacing w:line="167" w:lineRule="exact"/>
              <w:jc w:val="center"/>
              <w:rPr>
                <w:rFonts w:ascii="宋体" w:hAnsi="宋体" w:cs="宋体"/>
                <w:color w:val="000000"/>
                <w:kern w:val="0"/>
                <w:sz w:val="12"/>
                <w:szCs w:val="12"/>
                <w:lang w:val="zh-TW" w:eastAsia="zh-TW" w:bidi="zh-TW"/>
              </w:rPr>
            </w:pPr>
            <w:r>
              <w:rPr>
                <w:rFonts w:ascii="宋体" w:hAnsi="宋体" w:cs="宋体"/>
                <w:color w:val="000000"/>
                <w:kern w:val="0"/>
                <w:sz w:val="14"/>
                <w:szCs w:val="14"/>
                <w:lang w:val="zh-TW" w:eastAsia="zh-TW" w:bidi="zh-TW"/>
              </w:rPr>
              <w:t xml:space="preserve">项目产出数 </w:t>
            </w:r>
            <w:r>
              <w:rPr>
                <w:rFonts w:hint="eastAsia" w:ascii="宋体" w:hAnsi="宋体" w:cs="宋体"/>
                <w:color w:val="000000"/>
                <w:kern w:val="0"/>
                <w:sz w:val="14"/>
                <w:szCs w:val="14"/>
                <w:lang w:val="zh-TW" w:bidi="zh-TW"/>
              </w:rPr>
              <w:t>量</w:t>
            </w:r>
            <w:r>
              <w:rPr>
                <w:rFonts w:ascii="宋体" w:hAnsi="宋体" w:cs="宋体"/>
                <w:color w:val="000000"/>
                <w:kern w:val="0"/>
                <w:sz w:val="14"/>
                <w:szCs w:val="14"/>
                <w:lang w:val="zh-TW" w:eastAsia="zh-TW" w:bidi="zh-TW"/>
              </w:rPr>
              <w:t>达到项</w:t>
            </w:r>
            <w:r>
              <w:rPr>
                <w:rFonts w:hint="eastAsia" w:ascii="宋体" w:hAnsi="宋体" w:cs="宋体"/>
                <w:color w:val="000000"/>
                <w:kern w:val="0"/>
                <w:sz w:val="14"/>
                <w:szCs w:val="14"/>
                <w:lang w:val="zh-TW" w:bidi="zh-TW"/>
              </w:rPr>
              <w:t>目</w:t>
            </w:r>
            <w:r>
              <w:rPr>
                <w:rFonts w:ascii="宋体" w:hAnsi="宋体" w:cs="宋体"/>
                <w:color w:val="000000"/>
                <w:kern w:val="0"/>
                <w:sz w:val="14"/>
                <w:szCs w:val="14"/>
                <w:lang w:val="zh-TW" w:eastAsia="zh-TW" w:bidi="zh-TW"/>
              </w:rPr>
              <w:t>申报时的</w:t>
            </w:r>
            <w:r>
              <w:rPr>
                <w:rFonts w:hint="eastAsia" w:ascii="宋体" w:hAnsi="宋体" w:cs="宋体"/>
                <w:color w:val="000000"/>
                <w:kern w:val="0"/>
                <w:sz w:val="14"/>
                <w:szCs w:val="14"/>
                <w:lang w:val="zh-TW" w:eastAsia="zh-CN" w:bidi="zh-TW"/>
              </w:rPr>
              <w:t>工程</w:t>
            </w:r>
          </w:p>
        </w:tc>
        <w:tc>
          <w:tcPr>
            <w:tcW w:w="1091" w:type="dxa"/>
            <w:tcBorders>
              <w:top w:val="single" w:color="auto" w:sz="4" w:space="0"/>
              <w:left w:val="single" w:color="auto" w:sz="4" w:space="0"/>
            </w:tcBorders>
            <w:shd w:val="clear" w:color="auto" w:fill="FFFFFF"/>
            <w:vAlign w:val="center"/>
          </w:tcPr>
          <w:p>
            <w:pPr>
              <w:ind w:firstLine="280" w:firstLineChars="200"/>
              <w:jc w:val="both"/>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10分</w:t>
            </w:r>
          </w:p>
        </w:tc>
        <w:tc>
          <w:tcPr>
            <w:tcW w:w="5375" w:type="dxa"/>
            <w:tcBorders>
              <w:top w:val="single" w:color="auto" w:sz="4" w:space="0"/>
              <w:left w:val="single" w:color="auto" w:sz="4" w:space="0"/>
            </w:tcBorders>
            <w:shd w:val="clear" w:color="auto" w:fill="FFFFFF"/>
            <w:vAlign w:val="bottom"/>
          </w:tcPr>
          <w:p>
            <w:pPr>
              <w:spacing w:line="195"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该指标总共10分，完成计划率100%-90%：</w:t>
            </w:r>
            <w:r>
              <w:rPr>
                <w:rFonts w:ascii="宋体" w:hAnsi="宋体" w:cs="宋体"/>
                <w:color w:val="000000"/>
                <w:kern w:val="0"/>
                <w:sz w:val="14"/>
                <w:szCs w:val="14"/>
                <w:lang w:bidi="en-US"/>
              </w:rPr>
              <w:t>10-9</w:t>
            </w:r>
            <w:r>
              <w:rPr>
                <w:rFonts w:ascii="宋体" w:hAnsi="宋体" w:cs="宋体"/>
                <w:color w:val="000000"/>
                <w:kern w:val="0"/>
                <w:sz w:val="14"/>
                <w:szCs w:val="14"/>
                <w:lang w:val="zh-TW" w:eastAsia="zh-TW" w:bidi="zh-TW"/>
              </w:rPr>
              <w:t>分；完成计划率90%-75%：9-</w:t>
            </w:r>
            <w:r>
              <w:rPr>
                <w:rFonts w:ascii="宋体" w:hAnsi="宋体" w:cs="宋体"/>
                <w:color w:val="000000"/>
                <w:kern w:val="0"/>
                <w:sz w:val="14"/>
                <w:szCs w:val="14"/>
                <w:lang w:bidi="en-US"/>
              </w:rPr>
              <w:t>7.</w:t>
            </w:r>
            <w:r>
              <w:rPr>
                <w:rFonts w:ascii="宋体" w:hAnsi="宋体" w:cs="宋体"/>
                <w:color w:val="000000"/>
                <w:kern w:val="0"/>
                <w:sz w:val="14"/>
                <w:szCs w:val="14"/>
                <w:lang w:val="zh-TW" w:eastAsia="zh-TW" w:bidi="zh-TW"/>
              </w:rPr>
              <w:t>5分：</w:t>
            </w:r>
          </w:p>
          <w:p>
            <w:pPr>
              <w:spacing w:line="195"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完成计划率75%-60%：</w:t>
            </w:r>
            <w:r>
              <w:rPr>
                <w:rFonts w:ascii="宋体" w:hAnsi="宋体" w:cs="宋体"/>
                <w:color w:val="000000"/>
                <w:kern w:val="0"/>
                <w:sz w:val="14"/>
                <w:szCs w:val="14"/>
                <w:lang w:bidi="en-US"/>
              </w:rPr>
              <w:t>7.5-6</w:t>
            </w:r>
            <w:r>
              <w:rPr>
                <w:rFonts w:ascii="宋体" w:hAnsi="宋体" w:cs="宋体"/>
                <w:color w:val="000000"/>
                <w:kern w:val="0"/>
                <w:sz w:val="14"/>
                <w:szCs w:val="14"/>
                <w:lang w:val="zh-TW" w:eastAsia="zh-TW" w:bidi="zh-TW"/>
              </w:rPr>
              <w:t>分；完成计划率60%以下；</w:t>
            </w:r>
            <w:r>
              <w:rPr>
                <w:rFonts w:ascii="宋体" w:hAnsi="宋体" w:cs="宋体"/>
                <w:color w:val="000000"/>
                <w:kern w:val="0"/>
                <w:sz w:val="14"/>
                <w:szCs w:val="14"/>
                <w:lang w:bidi="en-US"/>
              </w:rPr>
              <w:t>6-0</w:t>
            </w:r>
            <w:r>
              <w:rPr>
                <w:rFonts w:ascii="宋体" w:hAnsi="宋体" w:cs="宋体"/>
                <w:color w:val="000000"/>
                <w:kern w:val="0"/>
                <w:sz w:val="14"/>
                <w:szCs w:val="14"/>
                <w:lang w:val="zh-TW" w:eastAsia="zh-TW" w:bidi="zh-TW"/>
              </w:rPr>
              <w:t>分</w:t>
            </w:r>
          </w:p>
        </w:tc>
        <w:tc>
          <w:tcPr>
            <w:tcW w:w="1164" w:type="dxa"/>
            <w:tcBorders>
              <w:top w:val="single" w:color="auto" w:sz="4" w:space="0"/>
              <w:left w:val="single" w:color="auto" w:sz="4" w:space="0"/>
            </w:tcBorders>
            <w:shd w:val="clear" w:color="auto" w:fill="FFFFFF"/>
            <w:vAlign w:val="center"/>
          </w:tcPr>
          <w:p>
            <w:pPr>
              <w:ind w:firstLine="420"/>
              <w:jc w:val="left"/>
              <w:rPr>
                <w:rFonts w:ascii="宋体" w:hAnsi="宋体" w:eastAsia="PMingLiU" w:cs="宋体"/>
                <w:color w:val="000000"/>
                <w:kern w:val="0"/>
                <w:sz w:val="14"/>
                <w:szCs w:val="14"/>
                <w:lang w:val="zh-TW" w:eastAsia="zh-TW" w:bidi="zh-TW"/>
              </w:rPr>
            </w:pPr>
            <w:r>
              <w:rPr>
                <w:rFonts w:ascii="宋体" w:hAnsi="宋体" w:cs="宋体"/>
                <w:color w:val="000000"/>
                <w:kern w:val="0"/>
                <w:sz w:val="14"/>
                <w:szCs w:val="14"/>
                <w:lang w:eastAsia="en-US" w:bidi="en-US"/>
              </w:rPr>
              <w:t>10.00</w:t>
            </w:r>
          </w:p>
        </w:tc>
        <w:tc>
          <w:tcPr>
            <w:tcW w:w="2708" w:type="dxa"/>
            <w:tcBorders>
              <w:top w:val="single" w:color="auto" w:sz="4" w:space="0"/>
              <w:left w:val="single" w:color="auto" w:sz="4" w:space="0"/>
              <w:right w:val="single" w:color="auto" w:sz="4" w:space="0"/>
            </w:tcBorders>
            <w:shd w:val="clear" w:color="auto" w:fill="FFFFFF"/>
            <w:vAlign w:val="center"/>
          </w:tcPr>
          <w:p>
            <w:pPr>
              <w:jc w:val="left"/>
              <w:rPr>
                <w:rFonts w:ascii="宋体" w:hAnsi="宋体" w:eastAsia="PMingLiU" w:cs="宋体"/>
                <w:color w:val="000000"/>
                <w:kern w:val="0"/>
                <w:sz w:val="14"/>
                <w:szCs w:val="14"/>
                <w:lang w:val="zh-TW" w:eastAsia="zh-TW" w:bidi="zh-TW"/>
              </w:rPr>
            </w:pPr>
          </w:p>
        </w:tc>
      </w:tr>
      <w:tr>
        <w:tblPrEx>
          <w:tblLayout w:type="fixed"/>
          <w:tblCellMar>
            <w:top w:w="0" w:type="dxa"/>
            <w:left w:w="10" w:type="dxa"/>
            <w:bottom w:w="0" w:type="dxa"/>
            <w:right w:w="10" w:type="dxa"/>
          </w:tblCellMar>
        </w:tblPrEx>
        <w:trPr>
          <w:trHeight w:val="625" w:hRule="exact"/>
          <w:jc w:val="center"/>
        </w:trPr>
        <w:tc>
          <w:tcPr>
            <w:tcW w:w="933" w:type="dxa"/>
            <w:vMerge w:val="continue"/>
            <w:tcBorders>
              <w:left w:val="single" w:color="auto" w:sz="4" w:space="0"/>
            </w:tcBorders>
            <w:shd w:val="clear" w:color="auto" w:fill="FFFFFF"/>
            <w:vAlign w:val="center"/>
          </w:tcPr>
          <w:p>
            <w:pPr>
              <w:jc w:val="center"/>
              <w:rPr>
                <w:rFonts w:eastAsia="Times New Roman"/>
                <w:color w:val="000000"/>
                <w:kern w:val="0"/>
                <w:sz w:val="24"/>
                <w:lang w:bidi="en-US"/>
              </w:rPr>
            </w:pPr>
          </w:p>
        </w:tc>
        <w:tc>
          <w:tcPr>
            <w:tcW w:w="811" w:type="dxa"/>
            <w:vMerge w:val="continue"/>
            <w:tcBorders>
              <w:left w:val="single" w:color="auto" w:sz="4" w:space="0"/>
            </w:tcBorders>
            <w:shd w:val="clear" w:color="auto" w:fill="FFFFFF"/>
            <w:vAlign w:val="center"/>
          </w:tcPr>
          <w:p>
            <w:pPr>
              <w:jc w:val="center"/>
              <w:rPr>
                <w:rFonts w:eastAsia="Times New Roman"/>
                <w:color w:val="000000"/>
                <w:kern w:val="0"/>
                <w:sz w:val="24"/>
                <w:lang w:bidi="en-US"/>
              </w:rPr>
            </w:pPr>
          </w:p>
        </w:tc>
        <w:tc>
          <w:tcPr>
            <w:tcW w:w="802" w:type="dxa"/>
            <w:tcBorders>
              <w:top w:val="single" w:color="auto" w:sz="4" w:space="0"/>
              <w:left w:val="single" w:color="auto" w:sz="4" w:space="0"/>
            </w:tcBorders>
            <w:shd w:val="clear" w:color="auto" w:fill="FFFFFF"/>
            <w:vAlign w:val="center"/>
          </w:tcPr>
          <w:p>
            <w:pPr>
              <w:spacing w:line="195"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产出质量（10分）</w:t>
            </w:r>
          </w:p>
        </w:tc>
        <w:tc>
          <w:tcPr>
            <w:tcW w:w="883" w:type="dxa"/>
            <w:tcBorders>
              <w:top w:val="single" w:color="auto" w:sz="4" w:space="0"/>
              <w:left w:val="single" w:color="auto" w:sz="4" w:space="0"/>
            </w:tcBorders>
            <w:shd w:val="clear" w:color="auto" w:fill="FFFFFF"/>
            <w:vAlign w:val="center"/>
          </w:tcPr>
          <w:p>
            <w:pPr>
              <w:spacing w:line="188"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项目产出质</w:t>
            </w:r>
            <w:r>
              <w:rPr>
                <w:rFonts w:hint="eastAsia" w:ascii="宋体" w:hAnsi="宋体" w:cs="宋体"/>
                <w:color w:val="000000"/>
                <w:kern w:val="0"/>
                <w:sz w:val="14"/>
                <w:szCs w:val="14"/>
                <w:lang w:val="zh-TW" w:bidi="zh-TW"/>
              </w:rPr>
              <w:t>量</w:t>
            </w:r>
            <w:r>
              <w:rPr>
                <w:rFonts w:ascii="宋体" w:hAnsi="宋体" w:cs="宋体"/>
                <w:color w:val="000000"/>
                <w:kern w:val="0"/>
                <w:sz w:val="14"/>
                <w:szCs w:val="14"/>
                <w:lang w:val="zh-TW" w:eastAsia="zh-TW" w:bidi="zh-TW"/>
              </w:rPr>
              <w:t>通过专业人员的评估</w:t>
            </w:r>
          </w:p>
        </w:tc>
        <w:tc>
          <w:tcPr>
            <w:tcW w:w="1091" w:type="dxa"/>
            <w:tcBorders>
              <w:top w:val="single" w:color="auto" w:sz="4" w:space="0"/>
              <w:left w:val="single" w:color="auto" w:sz="4" w:space="0"/>
            </w:tcBorders>
            <w:shd w:val="clear" w:color="auto" w:fill="FFFFFF"/>
            <w:vAlign w:val="center"/>
          </w:tcPr>
          <w:p>
            <w:pPr>
              <w:ind w:firstLine="280" w:firstLineChars="200"/>
              <w:jc w:val="both"/>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10分</w:t>
            </w:r>
          </w:p>
        </w:tc>
        <w:tc>
          <w:tcPr>
            <w:tcW w:w="5375" w:type="dxa"/>
            <w:tcBorders>
              <w:top w:val="single" w:color="auto" w:sz="4" w:space="0"/>
              <w:left w:val="single" w:color="auto" w:sz="4" w:space="0"/>
            </w:tcBorders>
            <w:shd w:val="clear" w:color="auto" w:fill="FFFFFF"/>
          </w:tcPr>
          <w:p>
            <w:pPr>
              <w:spacing w:after="4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项目产出质量</w:t>
            </w:r>
            <w:r>
              <w:rPr>
                <w:rFonts w:hint="eastAsia" w:ascii="宋体" w:hAnsi="宋体" w:cs="宋体"/>
                <w:color w:val="000000"/>
                <w:kern w:val="0"/>
                <w:sz w:val="14"/>
                <w:szCs w:val="14"/>
                <w:lang w:val="zh-TW" w:eastAsia="zh-CN" w:bidi="zh-TW"/>
              </w:rPr>
              <w:t>：</w:t>
            </w:r>
            <w:r>
              <w:rPr>
                <w:rFonts w:ascii="宋体" w:hAnsi="宋体" w:cs="宋体"/>
                <w:color w:val="000000"/>
                <w:kern w:val="0"/>
                <w:sz w:val="14"/>
                <w:szCs w:val="14"/>
                <w:lang w:val="zh-TW" w:eastAsia="zh-TW" w:bidi="zh-TW"/>
              </w:rPr>
              <w:t>达到实现预期目标的质量</w:t>
            </w:r>
            <w:r>
              <w:rPr>
                <w:rFonts w:hint="eastAsia" w:ascii="宋体" w:hAnsi="宋体" w:cs="宋体"/>
                <w:color w:val="000000"/>
                <w:kern w:val="0"/>
                <w:sz w:val="14"/>
                <w:szCs w:val="14"/>
                <w:lang w:val="zh-TW" w:eastAsia="zh-CN" w:bidi="zh-TW"/>
              </w:rPr>
              <w:t>：</w:t>
            </w:r>
            <w:r>
              <w:rPr>
                <w:rFonts w:ascii="宋体" w:hAnsi="宋体" w:cs="宋体"/>
                <w:color w:val="000000"/>
                <w:kern w:val="0"/>
                <w:sz w:val="14"/>
                <w:szCs w:val="14"/>
                <w:lang w:val="zh-TW" w:eastAsia="zh-TW" w:bidi="zh-TW"/>
              </w:rPr>
              <w:t>要求10-9分；项目实施质</w:t>
            </w:r>
            <w:r>
              <w:rPr>
                <w:rFonts w:hint="eastAsia" w:ascii="宋体" w:hAnsi="宋体" w:cs="宋体"/>
                <w:color w:val="000000"/>
                <w:kern w:val="0"/>
                <w:sz w:val="14"/>
                <w:szCs w:val="14"/>
                <w:lang w:val="zh-TW" w:eastAsia="zh-CN" w:bidi="zh-TW"/>
              </w:rPr>
              <w:t>量</w:t>
            </w:r>
            <w:r>
              <w:rPr>
                <w:rFonts w:ascii="宋体" w:hAnsi="宋体" w:cs="宋体"/>
                <w:color w:val="000000"/>
                <w:kern w:val="0"/>
                <w:sz w:val="14"/>
                <w:szCs w:val="14"/>
                <w:lang w:val="zh-TW" w:eastAsia="zh-TW" w:bidi="zh-TW"/>
              </w:rPr>
              <w:t>水平较高</w:t>
            </w:r>
            <w:r>
              <w:rPr>
                <w:rFonts w:ascii="宋体" w:hAnsi="宋体" w:cs="宋体"/>
                <w:color w:val="000000"/>
                <w:kern w:val="0"/>
                <w:sz w:val="14"/>
                <w:szCs w:val="14"/>
                <w:lang w:bidi="en-US"/>
              </w:rPr>
              <w:t>9-</w:t>
            </w:r>
          </w:p>
          <w:p>
            <w:pPr>
              <w:spacing w:after="4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bidi="en-US"/>
              </w:rPr>
              <w:t>7.</w:t>
            </w:r>
            <w:r>
              <w:rPr>
                <w:rFonts w:ascii="宋体" w:hAnsi="宋体" w:cs="宋体"/>
                <w:color w:val="000000"/>
                <w:kern w:val="0"/>
                <w:sz w:val="14"/>
                <w:szCs w:val="14"/>
                <w:lang w:val="zh-TW" w:eastAsia="zh-TW" w:bidi="zh-TW"/>
              </w:rPr>
              <w:t>5分；质量水平</w:t>
            </w:r>
            <w:r>
              <w:rPr>
                <w:rFonts w:hint="eastAsia" w:ascii="宋体" w:hAnsi="宋体" w:cs="宋体"/>
                <w:color w:val="000000"/>
                <w:kern w:val="0"/>
                <w:sz w:val="14"/>
                <w:szCs w:val="14"/>
                <w:lang w:val="zh-TW" w:eastAsia="zh-CN" w:bidi="zh-TW"/>
              </w:rPr>
              <w:t>一般</w:t>
            </w:r>
            <w:r>
              <w:rPr>
                <w:rFonts w:ascii="宋体" w:hAnsi="宋体" w:cs="宋体"/>
                <w:color w:val="000000"/>
                <w:kern w:val="0"/>
                <w:sz w:val="14"/>
                <w:szCs w:val="14"/>
                <w:lang w:bidi="en-US"/>
              </w:rPr>
              <w:t>7.5-6</w:t>
            </w:r>
            <w:r>
              <w:rPr>
                <w:rFonts w:ascii="宋体" w:hAnsi="宋体" w:cs="宋体"/>
                <w:color w:val="000000"/>
                <w:kern w:val="0"/>
                <w:sz w:val="14"/>
                <w:szCs w:val="14"/>
                <w:lang w:val="zh-TW" w:eastAsia="zh-TW" w:bidi="zh-TW"/>
              </w:rPr>
              <w:t>分；质量较差6-0分</w:t>
            </w:r>
          </w:p>
        </w:tc>
        <w:tc>
          <w:tcPr>
            <w:tcW w:w="1164" w:type="dxa"/>
            <w:tcBorders>
              <w:top w:val="single" w:color="auto" w:sz="4" w:space="0"/>
              <w:left w:val="single" w:color="auto" w:sz="4" w:space="0"/>
            </w:tcBorders>
            <w:shd w:val="clear" w:color="auto" w:fill="FFFFFF"/>
            <w:vAlign w:val="center"/>
          </w:tcPr>
          <w:p>
            <w:pPr>
              <w:ind w:firstLine="420" w:firstLineChars="300"/>
              <w:rPr>
                <w:rFonts w:ascii="宋体" w:hAnsi="宋体" w:eastAsia="PMingLiU" w:cs="宋体"/>
                <w:color w:val="000000"/>
                <w:kern w:val="0"/>
                <w:sz w:val="14"/>
                <w:szCs w:val="14"/>
                <w:lang w:val="zh-TW" w:eastAsia="zh-TW" w:bidi="zh-TW"/>
              </w:rPr>
            </w:pPr>
            <w:r>
              <w:rPr>
                <w:rFonts w:ascii="宋体" w:hAnsi="宋体" w:cs="宋体"/>
                <w:color w:val="000000"/>
                <w:kern w:val="0"/>
                <w:sz w:val="14"/>
                <w:szCs w:val="14"/>
                <w:lang w:eastAsia="en-US" w:bidi="en-US"/>
              </w:rPr>
              <w:t>8.00</w:t>
            </w:r>
          </w:p>
        </w:tc>
        <w:tc>
          <w:tcPr>
            <w:tcW w:w="2708" w:type="dxa"/>
            <w:tcBorders>
              <w:top w:val="single" w:color="auto" w:sz="4" w:space="0"/>
              <w:left w:val="single" w:color="auto" w:sz="4" w:space="0"/>
              <w:right w:val="single" w:color="auto" w:sz="4" w:space="0"/>
            </w:tcBorders>
            <w:shd w:val="clear" w:color="auto" w:fill="FFFFFF"/>
            <w:vAlign w:val="center"/>
          </w:tcPr>
          <w:p>
            <w:pPr>
              <w:jc w:val="left"/>
              <w:rPr>
                <w:rFonts w:ascii="宋体" w:hAnsi="宋体" w:cs="宋体"/>
                <w:color w:val="000000"/>
                <w:kern w:val="0"/>
                <w:sz w:val="14"/>
                <w:szCs w:val="14"/>
                <w:lang w:val="zh-TW" w:eastAsia="zh-TW" w:bidi="zh-TW"/>
              </w:rPr>
            </w:pPr>
            <w:r>
              <w:rPr>
                <w:rFonts w:hint="eastAsia" w:ascii="宋体" w:hAnsi="宋体" w:cs="宋体"/>
                <w:color w:val="000000"/>
                <w:kern w:val="0"/>
                <w:sz w:val="14"/>
                <w:szCs w:val="14"/>
                <w:lang w:val="zh-TW" w:bidi="zh-TW"/>
              </w:rPr>
              <w:t>过程监督管控资料的呈现有所不足</w:t>
            </w:r>
          </w:p>
        </w:tc>
      </w:tr>
      <w:tr>
        <w:tblPrEx>
          <w:tblLayout w:type="fixed"/>
          <w:tblCellMar>
            <w:top w:w="0" w:type="dxa"/>
            <w:left w:w="10" w:type="dxa"/>
            <w:bottom w:w="0" w:type="dxa"/>
            <w:right w:w="10" w:type="dxa"/>
          </w:tblCellMar>
        </w:tblPrEx>
        <w:trPr>
          <w:trHeight w:val="770" w:hRule="exact"/>
          <w:jc w:val="center"/>
        </w:trPr>
        <w:tc>
          <w:tcPr>
            <w:tcW w:w="933" w:type="dxa"/>
            <w:vMerge w:val="continue"/>
            <w:tcBorders>
              <w:left w:val="single" w:color="auto" w:sz="4" w:space="0"/>
            </w:tcBorders>
            <w:shd w:val="clear" w:color="auto" w:fill="FFFFFF"/>
            <w:vAlign w:val="center"/>
          </w:tcPr>
          <w:p>
            <w:pPr>
              <w:jc w:val="center"/>
              <w:rPr>
                <w:rFonts w:eastAsia="Times New Roman"/>
                <w:color w:val="000000"/>
                <w:kern w:val="0"/>
                <w:sz w:val="24"/>
                <w:lang w:bidi="en-US"/>
              </w:rPr>
            </w:pPr>
          </w:p>
        </w:tc>
        <w:tc>
          <w:tcPr>
            <w:tcW w:w="811" w:type="dxa"/>
            <w:vMerge w:val="continue"/>
            <w:tcBorders>
              <w:left w:val="single" w:color="auto" w:sz="4" w:space="0"/>
            </w:tcBorders>
            <w:shd w:val="clear" w:color="auto" w:fill="FFFFFF"/>
            <w:vAlign w:val="center"/>
          </w:tcPr>
          <w:p>
            <w:pPr>
              <w:jc w:val="center"/>
              <w:rPr>
                <w:rFonts w:eastAsia="Times New Roman"/>
                <w:color w:val="000000"/>
                <w:kern w:val="0"/>
                <w:sz w:val="24"/>
                <w:lang w:bidi="en-US"/>
              </w:rPr>
            </w:pPr>
          </w:p>
        </w:tc>
        <w:tc>
          <w:tcPr>
            <w:tcW w:w="802" w:type="dxa"/>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产</w:t>
            </w:r>
            <w:r>
              <w:rPr>
                <w:rFonts w:hint="eastAsia" w:ascii="宋体" w:hAnsi="宋体" w:cs="宋体"/>
                <w:color w:val="000000"/>
                <w:kern w:val="0"/>
                <w:sz w:val="14"/>
                <w:szCs w:val="14"/>
                <w:lang w:val="zh-TW" w:bidi="zh-TW"/>
              </w:rPr>
              <w:t>出</w:t>
            </w:r>
            <w:r>
              <w:rPr>
                <w:rFonts w:ascii="宋体" w:hAnsi="宋体" w:cs="宋体"/>
                <w:color w:val="000000"/>
                <w:kern w:val="0"/>
                <w:sz w:val="14"/>
                <w:szCs w:val="14"/>
                <w:lang w:val="zh-TW" w:eastAsia="zh-TW" w:bidi="zh-TW"/>
              </w:rPr>
              <w:t>时效</w:t>
            </w:r>
          </w:p>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883" w:type="dxa"/>
            <w:tcBorders>
              <w:top w:val="single" w:color="auto" w:sz="4" w:space="0"/>
              <w:left w:val="single" w:color="auto" w:sz="4" w:space="0"/>
            </w:tcBorders>
            <w:shd w:val="clear" w:color="auto" w:fill="FFFFFF"/>
            <w:vAlign w:val="center"/>
          </w:tcPr>
          <w:p>
            <w:pPr>
              <w:spacing w:line="186"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项目产出时效达到目</w:t>
            </w:r>
            <w:r>
              <w:rPr>
                <w:rFonts w:ascii="宋体" w:hAnsi="宋体" w:cs="宋体"/>
                <w:color w:val="000000"/>
                <w:kern w:val="0"/>
                <w:sz w:val="14"/>
                <w:szCs w:val="14"/>
                <w:lang w:val="zh-CN" w:bidi="zh-CN"/>
              </w:rPr>
              <w:t>标.</w:t>
            </w:r>
          </w:p>
        </w:tc>
        <w:tc>
          <w:tcPr>
            <w:tcW w:w="1091" w:type="dxa"/>
            <w:tcBorders>
              <w:top w:val="single" w:color="auto" w:sz="4" w:space="0"/>
              <w:left w:val="single" w:color="auto" w:sz="4" w:space="0"/>
            </w:tcBorders>
            <w:shd w:val="clear" w:color="auto" w:fill="FFFFFF"/>
            <w:vAlign w:val="center"/>
          </w:tcPr>
          <w:p>
            <w:pPr>
              <w:ind w:firstLine="280" w:firstLineChars="200"/>
              <w:jc w:val="both"/>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5375" w:type="dxa"/>
            <w:tcBorders>
              <w:top w:val="single" w:color="auto" w:sz="4" w:space="0"/>
              <w:left w:val="single" w:color="auto" w:sz="4" w:space="0"/>
            </w:tcBorders>
            <w:shd w:val="clear" w:color="auto" w:fill="FFFFFF"/>
            <w:vAlign w:val="center"/>
          </w:tcPr>
          <w:p>
            <w:pPr>
              <w:spacing w:line="197"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项目组织实施完全按照实施方案、计划或绩效目标设定的进度按期完成</w:t>
            </w:r>
            <w:r>
              <w:rPr>
                <w:rFonts w:ascii="宋体" w:hAnsi="宋体" w:cs="宋体"/>
                <w:color w:val="000000"/>
                <w:kern w:val="0"/>
                <w:sz w:val="14"/>
                <w:szCs w:val="14"/>
                <w:lang w:bidi="en-US"/>
              </w:rPr>
              <w:t>5-4.5</w:t>
            </w:r>
            <w:r>
              <w:rPr>
                <w:rFonts w:ascii="宋体" w:hAnsi="宋体" w:cs="宋体"/>
                <w:color w:val="000000"/>
                <w:kern w:val="0"/>
                <w:sz w:val="14"/>
                <w:szCs w:val="14"/>
                <w:lang w:val="zh-TW" w:eastAsia="zh-TW" w:bidi="zh-TW"/>
              </w:rPr>
              <w:t>分；实施进度计划完成较好</w:t>
            </w:r>
            <w:r>
              <w:rPr>
                <w:rFonts w:ascii="宋体" w:hAnsi="宋体" w:cs="宋体"/>
                <w:color w:val="000000"/>
                <w:kern w:val="0"/>
                <w:sz w:val="14"/>
                <w:szCs w:val="14"/>
                <w:lang w:bidi="en-US"/>
              </w:rPr>
              <w:t>4.5-3.</w:t>
            </w:r>
            <w:r>
              <w:rPr>
                <w:rFonts w:ascii="宋体" w:hAnsi="宋体" w:cs="宋体"/>
                <w:color w:val="000000"/>
                <w:kern w:val="0"/>
                <w:sz w:val="14"/>
                <w:szCs w:val="14"/>
                <w:lang w:val="zh-TW" w:eastAsia="zh-TW" w:bidi="zh-TW"/>
              </w:rPr>
              <w:t>6分；实施进度计划完成较好一般</w:t>
            </w:r>
            <w:r>
              <w:rPr>
                <w:rFonts w:ascii="宋体" w:hAnsi="宋体" w:cs="宋体"/>
                <w:color w:val="000000"/>
                <w:kern w:val="0"/>
                <w:sz w:val="14"/>
                <w:szCs w:val="14"/>
                <w:lang w:bidi="en-US"/>
              </w:rPr>
              <w:t>3.</w:t>
            </w:r>
            <w:r>
              <w:rPr>
                <w:rFonts w:ascii="宋体" w:hAnsi="宋体" w:cs="宋体"/>
                <w:color w:val="000000"/>
                <w:kern w:val="0"/>
                <w:sz w:val="14"/>
                <w:szCs w:val="14"/>
                <w:lang w:eastAsia="en-US" w:bidi="en-US"/>
              </w:rPr>
              <w:t>6-3</w:t>
            </w:r>
            <w:r>
              <w:rPr>
                <w:rFonts w:ascii="宋体" w:hAnsi="宋体" w:cs="宋体"/>
                <w:color w:val="000000"/>
                <w:kern w:val="0"/>
                <w:sz w:val="14"/>
                <w:szCs w:val="14"/>
                <w:lang w:val="zh-TW" w:eastAsia="zh-TW" w:bidi="zh-TW"/>
              </w:rPr>
              <w:t>分；没有完成或没有实施</w:t>
            </w:r>
            <w:r>
              <w:rPr>
                <w:rFonts w:ascii="宋体" w:hAnsi="宋体" w:cs="宋体"/>
                <w:color w:val="000000"/>
                <w:kern w:val="0"/>
                <w:sz w:val="14"/>
                <w:szCs w:val="14"/>
                <w:lang w:eastAsia="en-US" w:bidi="en-US"/>
              </w:rPr>
              <w:t>3-0</w:t>
            </w:r>
            <w:r>
              <w:rPr>
                <w:rFonts w:ascii="宋体" w:hAnsi="宋体" w:cs="宋体"/>
                <w:color w:val="000000"/>
                <w:kern w:val="0"/>
                <w:sz w:val="14"/>
                <w:szCs w:val="14"/>
                <w:lang w:val="zh-TW" w:eastAsia="zh-TW" w:bidi="zh-TW"/>
              </w:rPr>
              <w:t>分</w:t>
            </w:r>
          </w:p>
        </w:tc>
        <w:tc>
          <w:tcPr>
            <w:tcW w:w="1164" w:type="dxa"/>
            <w:tcBorders>
              <w:top w:val="single" w:color="auto" w:sz="4" w:space="0"/>
              <w:left w:val="single" w:color="auto" w:sz="4" w:space="0"/>
            </w:tcBorders>
            <w:shd w:val="clear" w:color="auto" w:fill="FFFFFF"/>
            <w:vAlign w:val="center"/>
          </w:tcPr>
          <w:p>
            <w:pPr>
              <w:ind w:firstLine="420" w:firstLineChars="300"/>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5.00</w:t>
            </w:r>
          </w:p>
        </w:tc>
        <w:tc>
          <w:tcPr>
            <w:tcW w:w="2708" w:type="dxa"/>
            <w:tcBorders>
              <w:top w:val="single" w:color="auto" w:sz="4" w:space="0"/>
              <w:left w:val="single" w:color="auto" w:sz="4" w:space="0"/>
              <w:right w:val="single" w:color="auto" w:sz="4" w:space="0"/>
            </w:tcBorders>
            <w:shd w:val="clear" w:color="auto" w:fill="FFFFFF"/>
          </w:tcPr>
          <w:p>
            <w:pPr>
              <w:jc w:val="left"/>
              <w:rPr>
                <w:rFonts w:eastAsia="Times New Roman"/>
                <w:color w:val="000000"/>
                <w:kern w:val="0"/>
                <w:sz w:val="10"/>
                <w:szCs w:val="10"/>
                <w:lang w:eastAsia="en-US" w:bidi="en-US"/>
              </w:rPr>
            </w:pPr>
          </w:p>
        </w:tc>
      </w:tr>
      <w:tr>
        <w:tblPrEx>
          <w:tblLayout w:type="fixed"/>
          <w:tblCellMar>
            <w:top w:w="0" w:type="dxa"/>
            <w:left w:w="10" w:type="dxa"/>
            <w:bottom w:w="0" w:type="dxa"/>
            <w:right w:w="10" w:type="dxa"/>
          </w:tblCellMar>
        </w:tblPrEx>
        <w:trPr>
          <w:trHeight w:val="661" w:hRule="exact"/>
          <w:jc w:val="center"/>
        </w:trPr>
        <w:tc>
          <w:tcPr>
            <w:tcW w:w="933" w:type="dxa"/>
            <w:vMerge w:val="continue"/>
            <w:tcBorders>
              <w:left w:val="single" w:color="auto" w:sz="4" w:space="0"/>
            </w:tcBorders>
            <w:shd w:val="clear" w:color="auto" w:fill="FFFFFF"/>
            <w:vAlign w:val="center"/>
          </w:tcPr>
          <w:p>
            <w:pPr>
              <w:jc w:val="center"/>
              <w:rPr>
                <w:rFonts w:eastAsia="Times New Roman"/>
                <w:color w:val="000000"/>
                <w:kern w:val="0"/>
                <w:sz w:val="24"/>
                <w:lang w:eastAsia="en-US" w:bidi="en-US"/>
              </w:rPr>
            </w:pPr>
          </w:p>
        </w:tc>
        <w:tc>
          <w:tcPr>
            <w:tcW w:w="811" w:type="dxa"/>
            <w:vMerge w:val="continue"/>
            <w:tcBorders>
              <w:left w:val="single" w:color="auto" w:sz="4" w:space="0"/>
            </w:tcBorders>
            <w:shd w:val="clear" w:color="auto" w:fill="FFFFFF"/>
            <w:vAlign w:val="center"/>
          </w:tcPr>
          <w:p>
            <w:pPr>
              <w:jc w:val="center"/>
              <w:rPr>
                <w:rFonts w:eastAsia="Times New Roman"/>
                <w:color w:val="000000"/>
                <w:kern w:val="0"/>
                <w:sz w:val="24"/>
                <w:lang w:eastAsia="en-US" w:bidi="en-US"/>
              </w:rPr>
            </w:pPr>
          </w:p>
        </w:tc>
        <w:tc>
          <w:tcPr>
            <w:tcW w:w="802" w:type="dxa"/>
            <w:tcBorders>
              <w:top w:val="single" w:color="auto" w:sz="4" w:space="0"/>
              <w:left w:val="single" w:color="auto" w:sz="4" w:space="0"/>
            </w:tcBorders>
            <w:shd w:val="clear" w:color="auto" w:fill="FFFFFF"/>
            <w:vAlign w:val="center"/>
          </w:tcPr>
          <w:p>
            <w:pPr>
              <w:spacing w:line="195"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产出成本</w:t>
            </w:r>
          </w:p>
          <w:p>
            <w:pPr>
              <w:spacing w:line="195"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883" w:type="dxa"/>
            <w:tcBorders>
              <w:top w:val="single" w:color="auto" w:sz="4" w:space="0"/>
              <w:left w:val="single" w:color="auto" w:sz="4" w:space="0"/>
            </w:tcBorders>
            <w:shd w:val="clear" w:color="auto" w:fill="FFFFFF"/>
            <w:vAlign w:val="center"/>
          </w:tcPr>
          <w:p>
            <w:pPr>
              <w:spacing w:line="186"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项目成本严格按照绩效目标</w:t>
            </w:r>
            <w:r>
              <w:rPr>
                <w:rFonts w:ascii="宋体" w:hAnsi="宋体" w:cs="宋体"/>
                <w:color w:val="000000"/>
                <w:kern w:val="0"/>
                <w:sz w:val="14"/>
                <w:szCs w:val="14"/>
                <w:lang w:val="zh-CN" w:bidi="zh-CN"/>
              </w:rPr>
              <w:t>控制.</w:t>
            </w:r>
          </w:p>
        </w:tc>
        <w:tc>
          <w:tcPr>
            <w:tcW w:w="1091" w:type="dxa"/>
            <w:tcBorders>
              <w:top w:val="single" w:color="auto" w:sz="4" w:space="0"/>
              <w:left w:val="single" w:color="auto" w:sz="4" w:space="0"/>
            </w:tcBorders>
            <w:shd w:val="clear" w:color="auto" w:fill="FFFFFF"/>
            <w:vAlign w:val="center"/>
          </w:tcPr>
          <w:p>
            <w:pPr>
              <w:ind w:firstLine="280" w:firstLineChars="200"/>
              <w:jc w:val="both"/>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5375" w:type="dxa"/>
            <w:tcBorders>
              <w:top w:val="single" w:color="auto" w:sz="4" w:space="0"/>
              <w:left w:val="single" w:color="auto" w:sz="4" w:space="0"/>
            </w:tcBorders>
            <w:shd w:val="clear" w:color="auto" w:fill="FFFFFF"/>
            <w:vAlign w:val="bottom"/>
          </w:tcPr>
          <w:p>
            <w:pPr>
              <w:spacing w:line="188"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项目组织实施完全按照实施方案、计划或绩效目标设定的进度按期完成</w:t>
            </w:r>
            <w:r>
              <w:rPr>
                <w:rFonts w:ascii="宋体" w:hAnsi="宋体" w:cs="宋体"/>
                <w:color w:val="000000"/>
                <w:kern w:val="0"/>
                <w:sz w:val="14"/>
                <w:szCs w:val="14"/>
                <w:lang w:bidi="en-US"/>
              </w:rPr>
              <w:t>5-4.5</w:t>
            </w:r>
            <w:r>
              <w:rPr>
                <w:rFonts w:ascii="宋体" w:hAnsi="宋体" w:cs="宋体"/>
                <w:color w:val="000000"/>
                <w:kern w:val="0"/>
                <w:sz w:val="14"/>
                <w:szCs w:val="14"/>
                <w:lang w:val="zh-TW" w:eastAsia="zh-TW" w:bidi="zh-TW"/>
              </w:rPr>
              <w:t>分；实施进度计划完成较好</w:t>
            </w:r>
            <w:r>
              <w:rPr>
                <w:rFonts w:ascii="宋体" w:hAnsi="宋体" w:cs="宋体"/>
                <w:color w:val="000000"/>
                <w:kern w:val="0"/>
                <w:sz w:val="14"/>
                <w:szCs w:val="14"/>
                <w:lang w:bidi="en-US"/>
              </w:rPr>
              <w:t>4.5-3.</w:t>
            </w:r>
            <w:r>
              <w:rPr>
                <w:rFonts w:ascii="宋体" w:hAnsi="宋体" w:cs="宋体"/>
                <w:color w:val="000000"/>
                <w:kern w:val="0"/>
                <w:sz w:val="14"/>
                <w:szCs w:val="14"/>
                <w:lang w:val="zh-TW" w:eastAsia="zh-TW" w:bidi="zh-TW"/>
              </w:rPr>
              <w:t>6分；实施进度计划完成较好一般</w:t>
            </w:r>
            <w:r>
              <w:rPr>
                <w:rFonts w:ascii="宋体" w:hAnsi="宋体" w:cs="宋体"/>
                <w:color w:val="000000"/>
                <w:kern w:val="0"/>
                <w:sz w:val="14"/>
                <w:szCs w:val="14"/>
                <w:lang w:bidi="en-US"/>
              </w:rPr>
              <w:t>3.</w:t>
            </w:r>
            <w:r>
              <w:rPr>
                <w:rFonts w:ascii="宋体" w:hAnsi="宋体" w:cs="宋体"/>
                <w:color w:val="000000"/>
                <w:kern w:val="0"/>
                <w:sz w:val="14"/>
                <w:szCs w:val="14"/>
                <w:lang w:eastAsia="en-US" w:bidi="en-US"/>
              </w:rPr>
              <w:t>6-3</w:t>
            </w:r>
            <w:r>
              <w:rPr>
                <w:rFonts w:ascii="宋体" w:hAnsi="宋体" w:cs="宋体"/>
                <w:color w:val="000000"/>
                <w:kern w:val="0"/>
                <w:sz w:val="14"/>
                <w:szCs w:val="14"/>
                <w:lang w:val="zh-TW" w:eastAsia="zh-TW" w:bidi="zh-TW"/>
              </w:rPr>
              <w:t>分；没有完成或没有实施</w:t>
            </w:r>
            <w:r>
              <w:rPr>
                <w:rFonts w:ascii="宋体" w:hAnsi="宋体" w:cs="宋体"/>
                <w:color w:val="000000"/>
                <w:kern w:val="0"/>
                <w:sz w:val="14"/>
                <w:szCs w:val="14"/>
                <w:lang w:eastAsia="en-US" w:bidi="en-US"/>
              </w:rPr>
              <w:t>3-0</w:t>
            </w:r>
            <w:r>
              <w:rPr>
                <w:rFonts w:ascii="宋体" w:hAnsi="宋体" w:cs="宋体"/>
                <w:color w:val="000000"/>
                <w:kern w:val="0"/>
                <w:sz w:val="14"/>
                <w:szCs w:val="14"/>
                <w:lang w:val="zh-TW" w:eastAsia="zh-TW" w:bidi="zh-TW"/>
              </w:rPr>
              <w:t>分</w:t>
            </w:r>
          </w:p>
        </w:tc>
        <w:tc>
          <w:tcPr>
            <w:tcW w:w="1164" w:type="dxa"/>
            <w:tcBorders>
              <w:top w:val="single" w:color="auto" w:sz="4" w:space="0"/>
              <w:left w:val="single" w:color="auto" w:sz="4" w:space="0"/>
            </w:tcBorders>
            <w:shd w:val="clear" w:color="auto" w:fill="FFFFFF"/>
            <w:vAlign w:val="center"/>
          </w:tcPr>
          <w:p>
            <w:pPr>
              <w:ind w:firstLine="420" w:firstLineChars="300"/>
              <w:rPr>
                <w:rFonts w:ascii="宋体" w:hAnsi="宋体" w:eastAsia="PMingLiU" w:cs="宋体"/>
                <w:color w:val="000000"/>
                <w:kern w:val="0"/>
                <w:sz w:val="14"/>
                <w:szCs w:val="14"/>
                <w:lang w:val="zh-TW" w:eastAsia="zh-TW" w:bidi="zh-TW"/>
              </w:rPr>
            </w:pPr>
            <w:r>
              <w:rPr>
                <w:rFonts w:ascii="宋体" w:hAnsi="宋体" w:cs="宋体"/>
                <w:color w:val="000000"/>
                <w:kern w:val="0"/>
                <w:sz w:val="14"/>
                <w:szCs w:val="14"/>
                <w:lang w:eastAsia="en-US" w:bidi="en-US"/>
              </w:rPr>
              <w:t>5.00</w:t>
            </w:r>
          </w:p>
        </w:tc>
        <w:tc>
          <w:tcPr>
            <w:tcW w:w="2708" w:type="dxa"/>
            <w:tcBorders>
              <w:top w:val="single" w:color="auto" w:sz="4" w:space="0"/>
              <w:left w:val="single" w:color="auto" w:sz="4" w:space="0"/>
              <w:right w:val="single" w:color="auto" w:sz="4" w:space="0"/>
            </w:tcBorders>
            <w:shd w:val="clear" w:color="auto" w:fill="FFFFFF"/>
          </w:tcPr>
          <w:p>
            <w:pPr>
              <w:jc w:val="left"/>
              <w:rPr>
                <w:rFonts w:ascii="宋体" w:hAnsi="宋体" w:cs="宋体"/>
                <w:color w:val="000000"/>
                <w:kern w:val="0"/>
                <w:sz w:val="14"/>
                <w:szCs w:val="14"/>
                <w:lang w:val="zh-TW" w:bidi="zh-TW"/>
              </w:rPr>
            </w:pPr>
          </w:p>
        </w:tc>
      </w:tr>
      <w:tr>
        <w:tblPrEx>
          <w:tblLayout w:type="fixed"/>
          <w:tblCellMar>
            <w:top w:w="0" w:type="dxa"/>
            <w:left w:w="10" w:type="dxa"/>
            <w:bottom w:w="0" w:type="dxa"/>
            <w:right w:w="10" w:type="dxa"/>
          </w:tblCellMar>
        </w:tblPrEx>
        <w:trPr>
          <w:trHeight w:val="589" w:hRule="exact"/>
          <w:jc w:val="center"/>
        </w:trPr>
        <w:tc>
          <w:tcPr>
            <w:tcW w:w="933" w:type="dxa"/>
            <w:vMerge w:val="continue"/>
            <w:tcBorders>
              <w:left w:val="single" w:color="auto" w:sz="4" w:space="0"/>
            </w:tcBorders>
            <w:shd w:val="clear" w:color="auto" w:fill="FFFFFF"/>
            <w:vAlign w:val="center"/>
          </w:tcPr>
          <w:p>
            <w:pPr>
              <w:jc w:val="center"/>
              <w:rPr>
                <w:rFonts w:eastAsia="Times New Roman"/>
                <w:color w:val="000000"/>
                <w:kern w:val="0"/>
                <w:sz w:val="24"/>
                <w:lang w:eastAsia="en-US" w:bidi="en-US"/>
              </w:rPr>
            </w:pPr>
          </w:p>
        </w:tc>
        <w:tc>
          <w:tcPr>
            <w:tcW w:w="811" w:type="dxa"/>
            <w:vMerge w:val="restart"/>
            <w:tcBorders>
              <w:top w:val="single" w:color="auto" w:sz="4" w:space="0"/>
              <w:left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项目效果</w:t>
            </w:r>
          </w:p>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（25分）</w:t>
            </w:r>
          </w:p>
        </w:tc>
        <w:tc>
          <w:tcPr>
            <w:tcW w:w="802" w:type="dxa"/>
            <w:tcBorders>
              <w:top w:val="single" w:color="auto" w:sz="4" w:space="0"/>
              <w:left w:val="single" w:color="auto" w:sz="4" w:space="0"/>
            </w:tcBorders>
            <w:shd w:val="clear" w:color="auto" w:fill="FFFFFF"/>
          </w:tcPr>
          <w:p>
            <w:pPr>
              <w:spacing w:before="80" w:line="190" w:lineRule="exact"/>
              <w:ind w:firstLine="140" w:firstLineChars="100"/>
              <w:jc w:val="center"/>
              <w:rPr>
                <w:rFonts w:hint="eastAsia" w:ascii="宋体" w:hAnsi="宋体" w:cs="宋体"/>
                <w:color w:val="000000"/>
                <w:kern w:val="0"/>
                <w:sz w:val="14"/>
                <w:szCs w:val="14"/>
                <w:lang w:val="zh-TW" w:bidi="zh-TW"/>
              </w:rPr>
            </w:pPr>
            <w:r>
              <w:rPr>
                <w:rFonts w:hint="eastAsia" w:ascii="宋体" w:hAnsi="宋体" w:cs="宋体"/>
                <w:color w:val="000000"/>
                <w:kern w:val="0"/>
                <w:sz w:val="14"/>
                <w:szCs w:val="14"/>
                <w:lang w:val="zh-TW" w:bidi="zh-TW"/>
              </w:rPr>
              <w:t>社会效益</w:t>
            </w:r>
          </w:p>
          <w:p>
            <w:pPr>
              <w:spacing w:before="80" w:line="190" w:lineRule="exact"/>
              <w:ind w:firstLine="140" w:firstLineChars="100"/>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w:t>
            </w:r>
            <w:r>
              <w:rPr>
                <w:rFonts w:ascii="宋体" w:hAnsi="宋体" w:eastAsia="PMingLiU" w:cs="宋体"/>
                <w:color w:val="000000"/>
                <w:kern w:val="0"/>
                <w:sz w:val="14"/>
                <w:szCs w:val="14"/>
                <w:lang w:val="zh-TW" w:eastAsia="zh-TW" w:bidi="zh-TW"/>
              </w:rPr>
              <w:t>10</w:t>
            </w:r>
            <w:r>
              <w:rPr>
                <w:rFonts w:ascii="宋体" w:hAnsi="宋体" w:cs="宋体"/>
                <w:color w:val="000000"/>
                <w:kern w:val="0"/>
                <w:sz w:val="14"/>
                <w:szCs w:val="14"/>
                <w:lang w:val="zh-TW" w:eastAsia="zh-TW" w:bidi="zh-TW"/>
              </w:rPr>
              <w:t>分）</w:t>
            </w:r>
          </w:p>
        </w:tc>
        <w:tc>
          <w:tcPr>
            <w:tcW w:w="883" w:type="dxa"/>
            <w:tcBorders>
              <w:top w:val="single" w:color="auto" w:sz="4" w:space="0"/>
              <w:left w:val="single" w:color="auto" w:sz="4" w:space="0"/>
            </w:tcBorders>
            <w:shd w:val="clear" w:color="auto" w:fill="FFFFFF"/>
            <w:vAlign w:val="center"/>
          </w:tcPr>
          <w:p>
            <w:pPr>
              <w:spacing w:line="179"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w:t>
            </w:r>
            <w:r>
              <w:rPr>
                <w:rFonts w:hint="eastAsia" w:ascii="宋体" w:hAnsi="宋体" w:cs="宋体"/>
                <w:color w:val="000000"/>
                <w:kern w:val="0"/>
                <w:sz w:val="14"/>
                <w:szCs w:val="14"/>
                <w:lang w:val="zh-TW" w:eastAsia="zh-CN" w:bidi="zh-TW"/>
              </w:rPr>
              <w:t>产生</w:t>
            </w:r>
            <w:r>
              <w:rPr>
                <w:rFonts w:ascii="宋体" w:hAnsi="宋体" w:cs="宋体"/>
                <w:color w:val="000000"/>
                <w:kern w:val="0"/>
                <w:sz w:val="14"/>
                <w:szCs w:val="14"/>
                <w:lang w:val="zh-TW" w:eastAsia="zh-TW" w:bidi="zh-TW"/>
              </w:rPr>
              <w:t>社会综合效益。</w:t>
            </w:r>
          </w:p>
        </w:tc>
        <w:tc>
          <w:tcPr>
            <w:tcW w:w="1091" w:type="dxa"/>
            <w:tcBorders>
              <w:top w:val="single" w:color="auto" w:sz="4" w:space="0"/>
              <w:left w:val="single" w:color="auto" w:sz="4" w:space="0"/>
            </w:tcBorders>
            <w:shd w:val="clear" w:color="auto" w:fill="FFFFFF"/>
            <w:vAlign w:val="center"/>
          </w:tcPr>
          <w:p>
            <w:pPr>
              <w:ind w:firstLine="280" w:firstLineChars="200"/>
              <w:jc w:val="both"/>
              <w:rPr>
                <w:rFonts w:ascii="宋体" w:hAnsi="宋体" w:cs="宋体"/>
                <w:color w:val="000000"/>
                <w:kern w:val="0"/>
                <w:sz w:val="14"/>
                <w:szCs w:val="14"/>
                <w:lang w:val="zh-TW" w:eastAsia="zh-TW" w:bidi="zh-TW"/>
              </w:rPr>
            </w:pPr>
            <w:r>
              <w:rPr>
                <w:rFonts w:ascii="宋体" w:hAnsi="宋体" w:eastAsia="PMingLiU" w:cs="宋体"/>
                <w:color w:val="000000"/>
                <w:kern w:val="0"/>
                <w:sz w:val="14"/>
                <w:szCs w:val="14"/>
                <w:lang w:val="zh-TW" w:eastAsia="zh-TW" w:bidi="zh-TW"/>
              </w:rPr>
              <w:t>10</w:t>
            </w:r>
            <w:r>
              <w:rPr>
                <w:rFonts w:ascii="宋体" w:hAnsi="宋体" w:cs="宋体"/>
                <w:color w:val="000000"/>
                <w:kern w:val="0"/>
                <w:sz w:val="14"/>
                <w:szCs w:val="14"/>
                <w:lang w:val="zh-TW" w:eastAsia="zh-TW" w:bidi="zh-TW"/>
              </w:rPr>
              <w:t>分</w:t>
            </w:r>
          </w:p>
        </w:tc>
        <w:tc>
          <w:tcPr>
            <w:tcW w:w="5375" w:type="dxa"/>
            <w:tcBorders>
              <w:top w:val="single" w:color="auto" w:sz="4" w:space="0"/>
              <w:left w:val="single" w:color="auto" w:sz="4" w:space="0"/>
            </w:tcBorders>
            <w:shd w:val="clear" w:color="auto" w:fill="FFFFFF"/>
            <w:vAlign w:val="bottom"/>
          </w:tcPr>
          <w:p>
            <w:pPr>
              <w:spacing w:after="40"/>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效益十分明显10-9分</w:t>
            </w:r>
            <w:r>
              <w:rPr>
                <w:rFonts w:hint="eastAsia" w:ascii="宋体" w:hAnsi="宋体" w:cs="宋体"/>
                <w:color w:val="000000"/>
                <w:kern w:val="0"/>
                <w:sz w:val="14"/>
                <w:szCs w:val="14"/>
                <w:lang w:val="zh-TW" w:eastAsia="zh-CN" w:bidi="zh-TW"/>
              </w:rPr>
              <w:t>；收</w:t>
            </w:r>
            <w:r>
              <w:rPr>
                <w:rFonts w:ascii="宋体" w:hAnsi="宋体" w:cs="宋体"/>
                <w:color w:val="000000"/>
                <w:kern w:val="0"/>
                <w:sz w:val="14"/>
                <w:szCs w:val="14"/>
                <w:lang w:val="zh-TW" w:eastAsia="zh-TW" w:bidi="zh-TW"/>
              </w:rPr>
              <w:t>益较好</w:t>
            </w:r>
            <w:r>
              <w:rPr>
                <w:rFonts w:ascii="宋体" w:hAnsi="宋体" w:cs="宋体"/>
                <w:color w:val="000000"/>
                <w:kern w:val="0"/>
                <w:sz w:val="14"/>
                <w:szCs w:val="14"/>
                <w:lang w:bidi="en-US"/>
              </w:rPr>
              <w:t>9-7.</w:t>
            </w:r>
            <w:r>
              <w:rPr>
                <w:rFonts w:ascii="宋体" w:hAnsi="宋体" w:cs="宋体"/>
                <w:color w:val="000000"/>
                <w:kern w:val="0"/>
                <w:sz w:val="14"/>
                <w:szCs w:val="14"/>
                <w:lang w:val="zh-TW" w:eastAsia="zh-TW" w:bidi="zh-TW"/>
              </w:rPr>
              <w:t>5分；效益一般</w:t>
            </w:r>
            <w:r>
              <w:rPr>
                <w:rFonts w:ascii="宋体" w:hAnsi="宋体" w:cs="宋体"/>
                <w:color w:val="000000"/>
                <w:kern w:val="0"/>
                <w:sz w:val="14"/>
                <w:szCs w:val="14"/>
                <w:lang w:bidi="en-US"/>
              </w:rPr>
              <w:t>7</w:t>
            </w:r>
            <w:r>
              <w:rPr>
                <w:rFonts w:hint="eastAsia" w:ascii="宋体" w:hAnsi="宋体" w:cs="宋体"/>
                <w:color w:val="000000"/>
                <w:kern w:val="0"/>
                <w:sz w:val="14"/>
                <w:szCs w:val="14"/>
                <w:lang w:bidi="en-US"/>
              </w:rPr>
              <w:t>.</w:t>
            </w:r>
            <w:r>
              <w:rPr>
                <w:rFonts w:ascii="宋体" w:hAnsi="宋体" w:cs="宋体"/>
                <w:color w:val="000000"/>
                <w:kern w:val="0"/>
                <w:sz w:val="14"/>
                <w:szCs w:val="14"/>
                <w:lang w:bidi="en-US"/>
              </w:rPr>
              <w:t>5-6</w:t>
            </w:r>
            <w:r>
              <w:rPr>
                <w:rFonts w:hint="eastAsia" w:ascii="宋体" w:hAnsi="宋体" w:cs="宋体"/>
                <w:color w:val="000000"/>
                <w:kern w:val="0"/>
                <w:sz w:val="14"/>
                <w:szCs w:val="14"/>
                <w:lang w:bidi="en-US"/>
              </w:rPr>
              <w:t>分</w:t>
            </w:r>
            <w:r>
              <w:rPr>
                <w:rFonts w:ascii="宋体" w:hAnsi="宋体" w:cs="宋体"/>
                <w:color w:val="000000"/>
                <w:kern w:val="0"/>
                <w:sz w:val="14"/>
                <w:szCs w:val="14"/>
                <w:lang w:val="zh-TW" w:eastAsia="zh-TW" w:bidi="zh-TW"/>
              </w:rPr>
              <w:t>：没有改善或改善较差</w:t>
            </w:r>
          </w:p>
          <w:p>
            <w:pPr>
              <w:spacing w:line="199" w:lineRule="exact"/>
              <w:jc w:val="left"/>
              <w:rPr>
                <w:rFonts w:ascii="宋体" w:hAnsi="宋体" w:eastAsia="PMingLiU" w:cs="宋体"/>
                <w:color w:val="000000"/>
                <w:kern w:val="0"/>
                <w:sz w:val="14"/>
                <w:szCs w:val="14"/>
                <w:lang w:val="zh-TW" w:eastAsia="zh-TW" w:bidi="zh-TW"/>
              </w:rPr>
            </w:pPr>
            <w:r>
              <w:rPr>
                <w:rFonts w:ascii="宋体" w:hAnsi="宋体" w:cs="宋体"/>
                <w:color w:val="000000"/>
                <w:kern w:val="0"/>
                <w:sz w:val="14"/>
                <w:szCs w:val="14"/>
                <w:lang w:val="zh-TW" w:eastAsia="zh-TW" w:bidi="zh-TW"/>
              </w:rPr>
              <w:t>6-0分</w:t>
            </w:r>
          </w:p>
        </w:tc>
        <w:tc>
          <w:tcPr>
            <w:tcW w:w="1164" w:type="dxa"/>
            <w:tcBorders>
              <w:top w:val="single" w:color="auto" w:sz="4" w:space="0"/>
              <w:left w:val="single" w:color="auto" w:sz="4" w:space="0"/>
            </w:tcBorders>
            <w:shd w:val="clear" w:color="auto" w:fill="FFFFFF"/>
            <w:vAlign w:val="center"/>
          </w:tcPr>
          <w:p>
            <w:pPr>
              <w:ind w:firstLine="420" w:firstLineChars="300"/>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10.00</w:t>
            </w:r>
          </w:p>
        </w:tc>
        <w:tc>
          <w:tcPr>
            <w:tcW w:w="2708" w:type="dxa"/>
            <w:tcBorders>
              <w:top w:val="single" w:color="auto" w:sz="4" w:space="0"/>
              <w:left w:val="single" w:color="auto" w:sz="4" w:space="0"/>
              <w:right w:val="single" w:color="auto" w:sz="4" w:space="0"/>
            </w:tcBorders>
            <w:shd w:val="clear" w:color="auto" w:fill="FFFFFF"/>
            <w:vAlign w:val="center"/>
          </w:tcPr>
          <w:p>
            <w:pPr>
              <w:jc w:val="left"/>
              <w:rPr>
                <w:rFonts w:ascii="宋体" w:hAnsi="宋体" w:eastAsia="PMingLiU" w:cs="宋体"/>
                <w:color w:val="000000"/>
                <w:kern w:val="0"/>
                <w:sz w:val="14"/>
                <w:szCs w:val="14"/>
                <w:lang w:val="zh-TW" w:eastAsia="zh-TW" w:bidi="zh-TW"/>
              </w:rPr>
            </w:pPr>
          </w:p>
        </w:tc>
      </w:tr>
      <w:tr>
        <w:tblPrEx>
          <w:tblLayout w:type="fixed"/>
          <w:tblCellMar>
            <w:top w:w="0" w:type="dxa"/>
            <w:left w:w="10" w:type="dxa"/>
            <w:bottom w:w="0" w:type="dxa"/>
            <w:right w:w="10" w:type="dxa"/>
          </w:tblCellMar>
        </w:tblPrEx>
        <w:trPr>
          <w:trHeight w:val="670" w:hRule="exact"/>
          <w:jc w:val="center"/>
        </w:trPr>
        <w:tc>
          <w:tcPr>
            <w:tcW w:w="933" w:type="dxa"/>
            <w:vMerge w:val="continue"/>
            <w:tcBorders>
              <w:left w:val="single" w:color="auto" w:sz="4" w:space="0"/>
            </w:tcBorders>
            <w:shd w:val="clear" w:color="auto" w:fill="FFFFFF"/>
            <w:vAlign w:val="center"/>
          </w:tcPr>
          <w:p>
            <w:pPr>
              <w:jc w:val="center"/>
              <w:rPr>
                <w:rFonts w:eastAsia="Times New Roman"/>
                <w:color w:val="000000"/>
                <w:kern w:val="0"/>
                <w:sz w:val="24"/>
                <w:lang w:eastAsia="en-US" w:bidi="en-US"/>
              </w:rPr>
            </w:pPr>
          </w:p>
        </w:tc>
        <w:tc>
          <w:tcPr>
            <w:tcW w:w="811" w:type="dxa"/>
            <w:vMerge w:val="continue"/>
            <w:tcBorders>
              <w:left w:val="single" w:color="auto" w:sz="4" w:space="0"/>
            </w:tcBorders>
            <w:shd w:val="clear" w:color="auto" w:fill="FFFFFF"/>
            <w:vAlign w:val="center"/>
          </w:tcPr>
          <w:p>
            <w:pPr>
              <w:jc w:val="center"/>
              <w:rPr>
                <w:rFonts w:eastAsia="Times New Roman"/>
                <w:color w:val="000000"/>
                <w:kern w:val="0"/>
                <w:sz w:val="24"/>
                <w:lang w:eastAsia="en-US" w:bidi="en-US"/>
              </w:rPr>
            </w:pPr>
          </w:p>
        </w:tc>
        <w:tc>
          <w:tcPr>
            <w:tcW w:w="802" w:type="dxa"/>
            <w:tcBorders>
              <w:top w:val="single" w:color="auto" w:sz="4" w:space="0"/>
              <w:left w:val="single" w:color="auto" w:sz="4" w:space="0"/>
            </w:tcBorders>
            <w:shd w:val="clear" w:color="auto" w:fill="FFFFFF"/>
            <w:vAlign w:val="center"/>
          </w:tcPr>
          <w:p>
            <w:pPr>
              <w:spacing w:line="168"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可持续影响（</w:t>
            </w:r>
            <w:r>
              <w:rPr>
                <w:rFonts w:ascii="宋体" w:hAnsi="宋体" w:eastAsia="PMingLiU" w:cs="宋体"/>
                <w:color w:val="000000"/>
                <w:kern w:val="0"/>
                <w:sz w:val="14"/>
                <w:szCs w:val="14"/>
                <w:lang w:val="zh-TW" w:eastAsia="zh-TW" w:bidi="zh-TW"/>
              </w:rPr>
              <w:t>10</w:t>
            </w:r>
            <w:r>
              <w:rPr>
                <w:rFonts w:ascii="宋体" w:hAnsi="宋体" w:cs="宋体"/>
                <w:color w:val="000000"/>
                <w:kern w:val="0"/>
                <w:sz w:val="14"/>
                <w:szCs w:val="14"/>
                <w:lang w:val="zh-TW" w:eastAsia="zh-TW" w:bidi="zh-TW"/>
              </w:rPr>
              <w:t>分）</w:t>
            </w:r>
          </w:p>
        </w:tc>
        <w:tc>
          <w:tcPr>
            <w:tcW w:w="883" w:type="dxa"/>
            <w:tcBorders>
              <w:top w:val="single" w:color="auto" w:sz="4" w:space="0"/>
              <w:left w:val="single" w:color="auto" w:sz="4" w:space="0"/>
            </w:tcBorders>
            <w:shd w:val="clear" w:color="auto" w:fill="FFFFFF"/>
            <w:vAlign w:val="center"/>
          </w:tcPr>
          <w:p>
            <w:pPr>
              <w:spacing w:line="186"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项目实施对节约资源带来可持续</w:t>
            </w:r>
            <w:r>
              <w:rPr>
                <w:rFonts w:hint="eastAsia" w:ascii="宋体" w:hAnsi="宋体" w:cs="宋体"/>
                <w:color w:val="000000"/>
                <w:kern w:val="0"/>
                <w:sz w:val="14"/>
                <w:szCs w:val="14"/>
                <w:lang w:val="zh-TW" w:eastAsia="zh-CN" w:bidi="zh-TW"/>
              </w:rPr>
              <w:t>影响</w:t>
            </w:r>
          </w:p>
        </w:tc>
        <w:tc>
          <w:tcPr>
            <w:tcW w:w="1091" w:type="dxa"/>
            <w:tcBorders>
              <w:top w:val="single" w:color="auto" w:sz="4" w:space="0"/>
              <w:left w:val="single" w:color="auto" w:sz="4" w:space="0"/>
            </w:tcBorders>
            <w:shd w:val="clear" w:color="auto" w:fill="FFFFFF"/>
            <w:vAlign w:val="center"/>
          </w:tcPr>
          <w:p>
            <w:pPr>
              <w:ind w:firstLine="280" w:firstLineChars="200"/>
              <w:jc w:val="both"/>
              <w:rPr>
                <w:rFonts w:ascii="宋体" w:hAnsi="宋体" w:cs="宋体"/>
                <w:color w:val="000000"/>
                <w:kern w:val="0"/>
                <w:sz w:val="14"/>
                <w:szCs w:val="14"/>
                <w:lang w:val="zh-TW" w:eastAsia="zh-TW" w:bidi="zh-TW"/>
              </w:rPr>
            </w:pPr>
            <w:r>
              <w:rPr>
                <w:rFonts w:ascii="宋体" w:hAnsi="宋体" w:eastAsia="PMingLiU" w:cs="宋体"/>
                <w:color w:val="000000"/>
                <w:kern w:val="0"/>
                <w:sz w:val="14"/>
                <w:szCs w:val="14"/>
                <w:lang w:val="zh-TW" w:eastAsia="zh-TW" w:bidi="zh-TW"/>
              </w:rPr>
              <w:t>10</w:t>
            </w:r>
            <w:r>
              <w:rPr>
                <w:rFonts w:ascii="宋体" w:hAnsi="宋体" w:cs="宋体"/>
                <w:color w:val="000000"/>
                <w:kern w:val="0"/>
                <w:sz w:val="14"/>
                <w:szCs w:val="14"/>
                <w:lang w:val="zh-TW" w:eastAsia="zh-TW" w:bidi="zh-TW"/>
              </w:rPr>
              <w:t>分</w:t>
            </w:r>
          </w:p>
        </w:tc>
        <w:tc>
          <w:tcPr>
            <w:tcW w:w="5375" w:type="dxa"/>
            <w:tcBorders>
              <w:top w:val="single" w:color="auto" w:sz="4" w:space="0"/>
              <w:left w:val="single" w:color="auto" w:sz="4" w:space="0"/>
            </w:tcBorders>
            <w:shd w:val="clear" w:color="auto" w:fill="FFFFFF"/>
            <w:vAlign w:val="center"/>
          </w:tcPr>
          <w:p>
            <w:pPr>
              <w:spacing w:line="190"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可持续影响十分明显10-9分：影响程度较好</w:t>
            </w:r>
            <w:r>
              <w:rPr>
                <w:rFonts w:ascii="宋体" w:hAnsi="宋体" w:cs="宋体"/>
                <w:color w:val="000000"/>
                <w:kern w:val="0"/>
                <w:sz w:val="14"/>
                <w:szCs w:val="14"/>
                <w:lang w:bidi="en-US"/>
              </w:rPr>
              <w:t>9-7.</w:t>
            </w:r>
            <w:r>
              <w:rPr>
                <w:rFonts w:ascii="宋体" w:hAnsi="宋体" w:cs="宋体"/>
                <w:color w:val="000000"/>
                <w:kern w:val="0"/>
                <w:sz w:val="14"/>
                <w:szCs w:val="14"/>
                <w:lang w:val="zh-TW" w:eastAsia="zh-TW" w:bidi="zh-TW"/>
              </w:rPr>
              <w:t>5分：影响程度一般</w:t>
            </w:r>
            <w:r>
              <w:rPr>
                <w:rFonts w:ascii="宋体" w:hAnsi="宋体" w:cs="宋体"/>
                <w:color w:val="000000"/>
                <w:kern w:val="0"/>
                <w:sz w:val="14"/>
                <w:szCs w:val="14"/>
                <w:lang w:bidi="en-US"/>
              </w:rPr>
              <w:t>7</w:t>
            </w:r>
            <w:r>
              <w:rPr>
                <w:rFonts w:hint="eastAsia" w:ascii="宋体" w:hAnsi="宋体" w:cs="宋体"/>
                <w:color w:val="000000"/>
                <w:kern w:val="0"/>
                <w:sz w:val="14"/>
                <w:szCs w:val="14"/>
                <w:lang w:bidi="en-US"/>
              </w:rPr>
              <w:t>.</w:t>
            </w:r>
            <w:r>
              <w:rPr>
                <w:rFonts w:ascii="宋体" w:hAnsi="宋体" w:cs="宋体"/>
                <w:color w:val="000000"/>
                <w:kern w:val="0"/>
                <w:sz w:val="14"/>
                <w:szCs w:val="14"/>
                <w:lang w:bidi="en-US"/>
              </w:rPr>
              <w:t>5-6</w:t>
            </w:r>
            <w:r>
              <w:rPr>
                <w:rFonts w:ascii="宋体" w:hAnsi="宋体" w:cs="宋体"/>
                <w:color w:val="000000"/>
                <w:kern w:val="0"/>
                <w:sz w:val="14"/>
                <w:szCs w:val="14"/>
                <w:lang w:val="zh-TW" w:eastAsia="zh-TW" w:bidi="zh-TW"/>
              </w:rPr>
              <w:t>分：影响较差</w:t>
            </w:r>
            <w:r>
              <w:rPr>
                <w:rFonts w:ascii="宋体" w:hAnsi="宋体" w:cs="宋体"/>
                <w:color w:val="000000"/>
                <w:kern w:val="0"/>
                <w:sz w:val="14"/>
                <w:szCs w:val="14"/>
                <w:lang w:bidi="en-US"/>
              </w:rPr>
              <w:t>6-0</w:t>
            </w:r>
            <w:r>
              <w:rPr>
                <w:rFonts w:ascii="宋体" w:hAnsi="宋体" w:cs="宋体"/>
                <w:color w:val="000000"/>
                <w:kern w:val="0"/>
                <w:sz w:val="14"/>
                <w:szCs w:val="14"/>
                <w:lang w:val="zh-TW" w:eastAsia="zh-TW" w:bidi="zh-TW"/>
              </w:rPr>
              <w:t>分</w:t>
            </w:r>
          </w:p>
        </w:tc>
        <w:tc>
          <w:tcPr>
            <w:tcW w:w="1164" w:type="dxa"/>
            <w:tcBorders>
              <w:top w:val="single" w:color="auto" w:sz="4" w:space="0"/>
              <w:left w:val="single" w:color="auto" w:sz="4" w:space="0"/>
            </w:tcBorders>
            <w:shd w:val="clear" w:color="auto" w:fill="FFFFFF"/>
            <w:vAlign w:val="center"/>
          </w:tcPr>
          <w:p>
            <w:pPr>
              <w:ind w:firstLine="420" w:firstLineChars="300"/>
              <w:rPr>
                <w:rFonts w:ascii="宋体" w:hAnsi="宋体" w:eastAsia="PMingLiU" w:cs="宋体"/>
                <w:color w:val="000000"/>
                <w:kern w:val="0"/>
                <w:sz w:val="14"/>
                <w:szCs w:val="14"/>
                <w:lang w:val="zh-TW" w:eastAsia="zh-TW" w:bidi="zh-TW"/>
              </w:rPr>
            </w:pPr>
            <w:r>
              <w:rPr>
                <w:rFonts w:ascii="宋体" w:hAnsi="宋体" w:cs="宋体"/>
                <w:color w:val="000000"/>
                <w:kern w:val="0"/>
                <w:sz w:val="14"/>
                <w:szCs w:val="14"/>
                <w:lang w:eastAsia="en-US" w:bidi="en-US"/>
              </w:rPr>
              <w:t>10.00</w:t>
            </w:r>
          </w:p>
        </w:tc>
        <w:tc>
          <w:tcPr>
            <w:tcW w:w="2708" w:type="dxa"/>
            <w:tcBorders>
              <w:top w:val="single" w:color="auto" w:sz="4" w:space="0"/>
              <w:left w:val="single" w:color="auto" w:sz="4" w:space="0"/>
              <w:right w:val="single" w:color="auto" w:sz="4" w:space="0"/>
            </w:tcBorders>
            <w:shd w:val="clear" w:color="auto" w:fill="FFFFFF"/>
            <w:vAlign w:val="center"/>
          </w:tcPr>
          <w:p>
            <w:pPr>
              <w:jc w:val="left"/>
              <w:rPr>
                <w:rFonts w:ascii="宋体" w:hAnsi="宋体" w:eastAsia="PMingLiU" w:cs="宋体"/>
                <w:color w:val="000000"/>
                <w:kern w:val="0"/>
                <w:sz w:val="14"/>
                <w:szCs w:val="14"/>
                <w:lang w:val="zh-TW" w:eastAsia="zh-TW" w:bidi="zh-TW"/>
              </w:rPr>
            </w:pPr>
          </w:p>
        </w:tc>
      </w:tr>
      <w:tr>
        <w:tblPrEx>
          <w:tblLayout w:type="fixed"/>
          <w:tblCellMar>
            <w:top w:w="0" w:type="dxa"/>
            <w:left w:w="10" w:type="dxa"/>
            <w:bottom w:w="0" w:type="dxa"/>
            <w:right w:w="10" w:type="dxa"/>
          </w:tblCellMar>
        </w:tblPrEx>
        <w:trPr>
          <w:trHeight w:val="611" w:hRule="exact"/>
          <w:jc w:val="center"/>
        </w:trPr>
        <w:tc>
          <w:tcPr>
            <w:tcW w:w="933" w:type="dxa"/>
            <w:vMerge w:val="continue"/>
            <w:tcBorders>
              <w:left w:val="single" w:color="auto" w:sz="4" w:space="0"/>
            </w:tcBorders>
            <w:shd w:val="clear" w:color="auto" w:fill="FFFFFF"/>
            <w:vAlign w:val="center"/>
          </w:tcPr>
          <w:p>
            <w:pPr>
              <w:jc w:val="center"/>
              <w:rPr>
                <w:rFonts w:eastAsia="Times New Roman"/>
                <w:color w:val="000000"/>
                <w:kern w:val="0"/>
                <w:sz w:val="24"/>
                <w:lang w:eastAsia="en-US" w:bidi="en-US"/>
              </w:rPr>
            </w:pPr>
          </w:p>
        </w:tc>
        <w:tc>
          <w:tcPr>
            <w:tcW w:w="811" w:type="dxa"/>
            <w:vMerge w:val="continue"/>
            <w:tcBorders>
              <w:left w:val="single" w:color="auto" w:sz="4" w:space="0"/>
            </w:tcBorders>
            <w:shd w:val="clear" w:color="auto" w:fill="FFFFFF"/>
            <w:vAlign w:val="center"/>
          </w:tcPr>
          <w:p>
            <w:pPr>
              <w:jc w:val="center"/>
              <w:rPr>
                <w:rFonts w:eastAsia="Times New Roman"/>
                <w:color w:val="000000"/>
                <w:kern w:val="0"/>
                <w:sz w:val="24"/>
                <w:lang w:eastAsia="en-US" w:bidi="en-US"/>
              </w:rPr>
            </w:pPr>
          </w:p>
        </w:tc>
        <w:tc>
          <w:tcPr>
            <w:tcW w:w="802" w:type="dxa"/>
            <w:tcBorders>
              <w:top w:val="single" w:color="auto" w:sz="4" w:space="0"/>
              <w:left w:val="single" w:color="auto" w:sz="4" w:space="0"/>
            </w:tcBorders>
            <w:shd w:val="clear" w:color="auto" w:fill="FFFFFF"/>
            <w:vAlign w:val="bottom"/>
          </w:tcPr>
          <w:p>
            <w:pPr>
              <w:spacing w:line="190" w:lineRule="exact"/>
              <w:jc w:val="center"/>
              <w:rPr>
                <w:rFonts w:hint="eastAsia" w:ascii="宋体" w:hAnsi="宋体" w:eastAsia="宋体" w:cs="宋体"/>
                <w:color w:val="000000"/>
                <w:kern w:val="0"/>
                <w:sz w:val="14"/>
                <w:szCs w:val="14"/>
                <w:lang w:val="zh-TW" w:eastAsia="zh-CN" w:bidi="zh-TW"/>
              </w:rPr>
            </w:pPr>
            <w:r>
              <w:rPr>
                <w:rFonts w:ascii="宋体" w:hAnsi="宋体" w:cs="宋体"/>
                <w:color w:val="000000"/>
                <w:kern w:val="0"/>
                <w:sz w:val="14"/>
                <w:szCs w:val="14"/>
                <w:lang w:val="zh-TW" w:eastAsia="zh-TW" w:bidi="zh-TW"/>
              </w:rPr>
              <w:t>服务对象满意</w:t>
            </w:r>
            <w:r>
              <w:rPr>
                <w:rFonts w:hint="eastAsia" w:ascii="宋体" w:hAnsi="宋体" w:cs="宋体"/>
                <w:color w:val="000000"/>
                <w:kern w:val="0"/>
                <w:sz w:val="14"/>
                <w:szCs w:val="14"/>
                <w:lang w:val="zh-TW" w:eastAsia="zh-CN" w:bidi="zh-TW"/>
              </w:rPr>
              <w:t>度</w:t>
            </w:r>
          </w:p>
          <w:p>
            <w:pPr>
              <w:spacing w:line="190"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883" w:type="dxa"/>
            <w:tcBorders>
              <w:top w:val="single" w:color="auto" w:sz="4" w:space="0"/>
              <w:left w:val="single" w:color="auto" w:sz="4" w:space="0"/>
            </w:tcBorders>
            <w:shd w:val="clear" w:color="auto" w:fill="FFFFFF"/>
            <w:vAlign w:val="center"/>
          </w:tcPr>
          <w:p>
            <w:pPr>
              <w:spacing w:line="183" w:lineRule="exact"/>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服务对象对项目实施满意.</w:t>
            </w:r>
          </w:p>
        </w:tc>
        <w:tc>
          <w:tcPr>
            <w:tcW w:w="1091" w:type="dxa"/>
            <w:tcBorders>
              <w:top w:val="single" w:color="auto" w:sz="4" w:space="0"/>
              <w:left w:val="single" w:color="auto" w:sz="4" w:space="0"/>
            </w:tcBorders>
            <w:shd w:val="clear" w:color="auto" w:fill="FFFFFF"/>
            <w:vAlign w:val="center"/>
          </w:tcPr>
          <w:p>
            <w:pPr>
              <w:ind w:firstLine="280" w:firstLineChars="200"/>
              <w:jc w:val="both"/>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5分</w:t>
            </w:r>
          </w:p>
        </w:tc>
        <w:tc>
          <w:tcPr>
            <w:tcW w:w="5375" w:type="dxa"/>
            <w:tcBorders>
              <w:top w:val="single" w:color="auto" w:sz="4" w:space="0"/>
              <w:left w:val="single" w:color="auto" w:sz="4" w:space="0"/>
            </w:tcBorders>
            <w:shd w:val="clear" w:color="auto" w:fill="FFFFFF"/>
            <w:vAlign w:val="bottom"/>
          </w:tcPr>
          <w:p>
            <w:pPr>
              <w:spacing w:line="208" w:lineRule="exact"/>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服务对象非常满意5-4.5分；服务对象比较满意</w:t>
            </w:r>
            <w:r>
              <w:rPr>
                <w:rFonts w:ascii="宋体" w:hAnsi="宋体" w:cs="宋体"/>
                <w:color w:val="000000"/>
                <w:kern w:val="0"/>
                <w:sz w:val="14"/>
                <w:szCs w:val="14"/>
                <w:lang w:bidi="en-US"/>
              </w:rPr>
              <w:t>4.</w:t>
            </w:r>
            <w:r>
              <w:rPr>
                <w:rFonts w:ascii="宋体" w:hAnsi="宋体" w:cs="宋体"/>
                <w:color w:val="000000"/>
                <w:kern w:val="0"/>
                <w:sz w:val="14"/>
                <w:szCs w:val="14"/>
                <w:lang w:val="zh-TW" w:eastAsia="zh-TW" w:bidi="zh-TW"/>
              </w:rPr>
              <w:t>5-3.6分；服务对象态度一般3.6-3分；服务对象不满意3-0分</w:t>
            </w:r>
          </w:p>
        </w:tc>
        <w:tc>
          <w:tcPr>
            <w:tcW w:w="1164" w:type="dxa"/>
            <w:tcBorders>
              <w:top w:val="single" w:color="auto" w:sz="4" w:space="0"/>
              <w:left w:val="single" w:color="auto" w:sz="4" w:space="0"/>
            </w:tcBorders>
            <w:shd w:val="clear" w:color="auto" w:fill="FFFFFF"/>
            <w:vAlign w:val="center"/>
          </w:tcPr>
          <w:p>
            <w:pPr>
              <w:ind w:firstLine="420" w:firstLineChars="300"/>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3.50</w:t>
            </w:r>
          </w:p>
        </w:tc>
        <w:tc>
          <w:tcPr>
            <w:tcW w:w="2708" w:type="dxa"/>
            <w:tcBorders>
              <w:top w:val="single" w:color="auto" w:sz="4" w:space="0"/>
              <w:left w:val="single" w:color="auto" w:sz="4" w:space="0"/>
              <w:right w:val="single" w:color="auto" w:sz="4" w:space="0"/>
            </w:tcBorders>
            <w:shd w:val="clear" w:color="auto" w:fill="FFFFFF"/>
            <w:vAlign w:val="center"/>
          </w:tcPr>
          <w:p>
            <w:pPr>
              <w:jc w:val="left"/>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未见</w:t>
            </w:r>
            <w:r>
              <w:rPr>
                <w:rFonts w:hint="eastAsia" w:ascii="宋体" w:hAnsi="宋体" w:cs="宋体"/>
                <w:color w:val="000000"/>
                <w:kern w:val="0"/>
                <w:sz w:val="14"/>
                <w:szCs w:val="14"/>
                <w:lang w:val="zh-TW" w:eastAsia="zh-CN" w:bidi="zh-TW"/>
              </w:rPr>
              <w:t>满意度</w:t>
            </w:r>
            <w:r>
              <w:rPr>
                <w:rFonts w:hint="eastAsia" w:ascii="宋体" w:hAnsi="宋体" w:cs="宋体"/>
                <w:color w:val="000000"/>
                <w:kern w:val="0"/>
                <w:sz w:val="14"/>
                <w:szCs w:val="14"/>
                <w:lang w:val="zh-TW" w:bidi="zh-TW"/>
              </w:rPr>
              <w:t>调查</w:t>
            </w:r>
          </w:p>
        </w:tc>
      </w:tr>
      <w:tr>
        <w:tblPrEx>
          <w:tblLayout w:type="fixed"/>
          <w:tblCellMar>
            <w:top w:w="0" w:type="dxa"/>
            <w:left w:w="10" w:type="dxa"/>
            <w:bottom w:w="0" w:type="dxa"/>
            <w:right w:w="10" w:type="dxa"/>
          </w:tblCellMar>
        </w:tblPrEx>
        <w:trPr>
          <w:trHeight w:val="543" w:hRule="exact"/>
          <w:jc w:val="center"/>
        </w:trPr>
        <w:tc>
          <w:tcPr>
            <w:tcW w:w="3429" w:type="dxa"/>
            <w:gridSpan w:val="4"/>
            <w:tcBorders>
              <w:top w:val="single" w:color="auto" w:sz="4" w:space="0"/>
              <w:left w:val="single" w:color="auto" w:sz="4" w:space="0"/>
              <w:bottom w:val="single" w:color="auto" w:sz="4" w:space="0"/>
            </w:tcBorders>
            <w:shd w:val="clear" w:color="auto" w:fill="FFFFFF"/>
            <w:vAlign w:val="center"/>
          </w:tcPr>
          <w:p>
            <w:pPr>
              <w:jc w:val="center"/>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综合得分</w:t>
            </w:r>
          </w:p>
        </w:tc>
        <w:tc>
          <w:tcPr>
            <w:tcW w:w="1091" w:type="dxa"/>
            <w:tcBorders>
              <w:top w:val="single" w:color="auto" w:sz="4" w:space="0"/>
              <w:left w:val="single" w:color="auto" w:sz="4" w:space="0"/>
              <w:bottom w:val="single" w:color="auto" w:sz="4" w:space="0"/>
            </w:tcBorders>
            <w:shd w:val="clear" w:color="auto" w:fill="FFFFFF"/>
            <w:vAlign w:val="center"/>
          </w:tcPr>
          <w:p>
            <w:pPr>
              <w:ind w:firstLine="300"/>
              <w:rPr>
                <w:rFonts w:ascii="宋体" w:hAnsi="宋体" w:cs="宋体"/>
                <w:color w:val="000000"/>
                <w:kern w:val="0"/>
                <w:sz w:val="14"/>
                <w:szCs w:val="14"/>
                <w:lang w:val="zh-TW" w:eastAsia="zh-TW" w:bidi="zh-TW"/>
              </w:rPr>
            </w:pPr>
            <w:r>
              <w:rPr>
                <w:rFonts w:ascii="宋体" w:hAnsi="宋体" w:cs="宋体"/>
                <w:color w:val="000000"/>
                <w:kern w:val="0"/>
                <w:sz w:val="14"/>
                <w:szCs w:val="14"/>
                <w:lang w:val="zh-TW" w:eastAsia="zh-TW" w:bidi="zh-TW"/>
              </w:rPr>
              <w:t>100分</w:t>
            </w:r>
          </w:p>
        </w:tc>
        <w:tc>
          <w:tcPr>
            <w:tcW w:w="5375" w:type="dxa"/>
            <w:tcBorders>
              <w:top w:val="single" w:color="auto" w:sz="4" w:space="0"/>
              <w:left w:val="single" w:color="auto" w:sz="4" w:space="0"/>
              <w:bottom w:val="single" w:color="auto" w:sz="4" w:space="0"/>
            </w:tcBorders>
            <w:shd w:val="clear" w:color="auto" w:fill="FFFFFF"/>
          </w:tcPr>
          <w:p>
            <w:pPr>
              <w:jc w:val="left"/>
              <w:rPr>
                <w:rFonts w:eastAsia="Times New Roman"/>
                <w:color w:val="000000"/>
                <w:kern w:val="0"/>
                <w:sz w:val="10"/>
                <w:szCs w:val="10"/>
                <w:lang w:eastAsia="en-US" w:bidi="en-US"/>
              </w:rPr>
            </w:pPr>
          </w:p>
        </w:tc>
        <w:tc>
          <w:tcPr>
            <w:tcW w:w="1164" w:type="dxa"/>
            <w:tcBorders>
              <w:top w:val="single" w:color="auto" w:sz="4" w:space="0"/>
              <w:left w:val="single" w:color="auto" w:sz="4" w:space="0"/>
              <w:bottom w:val="single" w:color="auto" w:sz="4" w:space="0"/>
            </w:tcBorders>
            <w:shd w:val="clear" w:color="auto" w:fill="FFFFFF"/>
            <w:vAlign w:val="center"/>
          </w:tcPr>
          <w:p>
            <w:pPr>
              <w:ind w:firstLine="420" w:firstLineChars="300"/>
              <w:rPr>
                <w:rFonts w:ascii="宋体" w:hAnsi="宋体" w:cs="宋体"/>
                <w:color w:val="000000"/>
                <w:kern w:val="0"/>
                <w:sz w:val="14"/>
                <w:szCs w:val="14"/>
                <w:lang w:val="zh-TW" w:eastAsia="zh-TW" w:bidi="zh-TW"/>
              </w:rPr>
            </w:pPr>
            <w:r>
              <w:rPr>
                <w:rFonts w:ascii="宋体" w:hAnsi="宋体" w:cs="宋体"/>
                <w:color w:val="000000"/>
                <w:kern w:val="0"/>
                <w:sz w:val="14"/>
                <w:szCs w:val="14"/>
                <w:lang w:eastAsia="en-US" w:bidi="en-US"/>
              </w:rPr>
              <w:t>9</w:t>
            </w:r>
            <w:r>
              <w:rPr>
                <w:rFonts w:hint="eastAsia" w:ascii="宋体" w:hAnsi="宋体" w:cs="宋体"/>
                <w:color w:val="000000"/>
                <w:kern w:val="0"/>
                <w:sz w:val="14"/>
                <w:szCs w:val="14"/>
                <w:lang w:bidi="en-US"/>
              </w:rPr>
              <w:t>3</w:t>
            </w:r>
            <w:r>
              <w:rPr>
                <w:rFonts w:ascii="宋体" w:hAnsi="宋体" w:cs="宋体"/>
                <w:color w:val="000000"/>
                <w:kern w:val="0"/>
                <w:sz w:val="14"/>
                <w:szCs w:val="14"/>
                <w:lang w:eastAsia="en-US" w:bidi="en-US"/>
              </w:rPr>
              <w:t>.</w:t>
            </w:r>
            <w:r>
              <w:rPr>
                <w:rFonts w:hint="eastAsia" w:ascii="宋体" w:hAnsi="宋体" w:cs="宋体"/>
                <w:color w:val="000000"/>
                <w:kern w:val="0"/>
                <w:sz w:val="14"/>
                <w:szCs w:val="14"/>
                <w:lang w:bidi="en-US"/>
              </w:rPr>
              <w:t>1</w:t>
            </w:r>
            <w:r>
              <w:rPr>
                <w:rFonts w:ascii="宋体" w:hAnsi="宋体" w:cs="宋体"/>
                <w:color w:val="000000"/>
                <w:kern w:val="0"/>
                <w:sz w:val="14"/>
                <w:szCs w:val="14"/>
                <w:lang w:eastAsia="en-US" w:bidi="en-US"/>
              </w:rPr>
              <w:t>0</w:t>
            </w:r>
          </w:p>
        </w:tc>
        <w:tc>
          <w:tcPr>
            <w:tcW w:w="2708" w:type="dxa"/>
            <w:tcBorders>
              <w:top w:val="single" w:color="auto" w:sz="4" w:space="0"/>
              <w:left w:val="single" w:color="auto" w:sz="4" w:space="0"/>
              <w:bottom w:val="single" w:color="auto" w:sz="4" w:space="0"/>
              <w:right w:val="single" w:color="auto" w:sz="4" w:space="0"/>
            </w:tcBorders>
            <w:shd w:val="clear" w:color="auto" w:fill="FFFFFF"/>
          </w:tcPr>
          <w:p>
            <w:pPr>
              <w:jc w:val="left"/>
              <w:rPr>
                <w:rFonts w:eastAsia="Times New Roman"/>
                <w:color w:val="000000"/>
                <w:kern w:val="0"/>
                <w:sz w:val="10"/>
                <w:szCs w:val="10"/>
                <w:lang w:eastAsia="en-US" w:bidi="en-US"/>
              </w:rPr>
            </w:pPr>
          </w:p>
        </w:tc>
      </w:tr>
    </w:tbl>
    <w:p>
      <w:pPr>
        <w:spacing w:line="600" w:lineRule="exact"/>
        <w:ind w:firstLine="420" w:firstLineChars="200"/>
      </w:pPr>
    </w:p>
    <w:sectPr>
      <w:footerReference r:id="rId4" w:type="default"/>
      <w:pgSz w:w="16838" w:h="11906" w:orient="landscape"/>
      <w:pgMar w:top="1587" w:right="2098" w:bottom="1474" w:left="1984" w:header="851" w:footer="992"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pPr>
                          <w:r>
                            <w:fldChar w:fldCharType="begin"/>
                          </w:r>
                          <w:r>
                            <w:instrText xml:space="preserve"> PAGE  \* MERGEFORMAT </w:instrText>
                          </w:r>
                          <w:r>
                            <w:fldChar w:fldCharType="separate"/>
                          </w:r>
                          <w:r>
                            <w:t>14</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3QW1FLgBAABXAwAADgAAAAAAAAABACAAAAAeAQAAZHJzL2Uyb0RvYy54bWxQSwUGAAAAAAYABgBZ&#10;AQAASA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14</w:t>
                    </w:r>
                    <w:r>
                      <w:fldChar w:fldCharType="end"/>
                    </w:r>
                  </w:p>
                </w:txbxContent>
              </v:textbox>
            </v:shape>
          </w:pict>
        </mc:Fallback>
      </mc:AlternateContent>
    </w:r>
    <w:sdt>
      <w:sdtPr>
        <w:id w:val="-797760772"/>
      </w:sdtPr>
      <w:sdtContent/>
    </w:sdt>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2130347818"/>
                          </w:sdtPr>
                          <w:sdtContent>
                            <w:p>
                              <w:pPr>
                                <w:pStyle w:val="14"/>
                                <w:jc w:val="center"/>
                              </w:pPr>
                              <w:r>
                                <w:fldChar w:fldCharType="begin"/>
                              </w:r>
                              <w:r>
                                <w:instrText xml:space="preserve">PAGE   \* MERGEFORMAT</w:instrText>
                              </w:r>
                              <w:r>
                                <w:fldChar w:fldCharType="separate"/>
                              </w:r>
                              <w:r>
                                <w:rPr>
                                  <w:lang w:val="zh-CN"/>
                                </w:rPr>
                                <w:t>15</w:t>
                              </w:r>
                              <w:r>
                                <w:fldChar w:fldCharType="end"/>
                              </w:r>
                            </w:p>
                          </w:sdtContent>
                        </w:sdt>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6p&#10;ebnPAAAABQEAAA8AAAAAAAAAAQAgAAAAIgAAAGRycy9kb3ducmV2LnhtbFBLAQIUABQAAAAIAIdO&#10;4kBn0BR3ugEAAFcDAAAOAAAAAAAAAAEAIAAAAB4BAABkcnMvZTJvRG9jLnhtbFBLBQYAAAAABgAG&#10;AFkBAABKBQAAAAA=&#10;">
              <v:fill on="f" focussize="0,0"/>
              <v:stroke on="f"/>
              <v:imagedata o:title=""/>
              <o:lock v:ext="edit" aspectratio="f"/>
              <v:textbox inset="0mm,0mm,0mm,0mm" style="mso-fit-shape-to-text:t;">
                <w:txbxContent>
                  <w:sdt>
                    <w:sdtPr>
                      <w:id w:val="2130347818"/>
                    </w:sdtPr>
                    <w:sdtContent>
                      <w:p>
                        <w:pPr>
                          <w:pStyle w:val="14"/>
                          <w:jc w:val="center"/>
                        </w:pPr>
                        <w:r>
                          <w:fldChar w:fldCharType="begin"/>
                        </w:r>
                        <w:r>
                          <w:instrText xml:space="preserve">PAGE   \* MERGEFORMAT</w:instrText>
                        </w:r>
                        <w:r>
                          <w:fldChar w:fldCharType="separate"/>
                        </w:r>
                        <w:r>
                          <w:rPr>
                            <w:lang w:val="zh-CN"/>
                          </w:rPr>
                          <w:t>15</w:t>
                        </w:r>
                        <w:r>
                          <w:fldChar w:fldCharType="end"/>
                        </w:r>
                      </w:p>
                    </w:sdtContent>
                  </w:sdt>
                  <w:p/>
                </w:txbxContent>
              </v:textbox>
            </v:shape>
          </w:pict>
        </mc:Fallback>
      </mc:AlternateContent>
    </w:r>
  </w:p>
  <w:p>
    <w:pPr>
      <w:pStyle w:val="1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doNotValidateAgainstSchema/>
  <w:doNotDemarcateInvalidXml/>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yNzA1ODI0Y2M3MmYyNGE2OGM5MWFiODYxN2JlOGMifQ=="/>
  </w:docVars>
  <w:rsids>
    <w:rsidRoot w:val="00D52695"/>
    <w:rsid w:val="000003AC"/>
    <w:rsid w:val="000007C8"/>
    <w:rsid w:val="00001B06"/>
    <w:rsid w:val="00001B6F"/>
    <w:rsid w:val="00001DC3"/>
    <w:rsid w:val="00001F32"/>
    <w:rsid w:val="00001F5B"/>
    <w:rsid w:val="000020B4"/>
    <w:rsid w:val="00002A9B"/>
    <w:rsid w:val="00002B1C"/>
    <w:rsid w:val="00003E66"/>
    <w:rsid w:val="00004D93"/>
    <w:rsid w:val="00006288"/>
    <w:rsid w:val="0000630F"/>
    <w:rsid w:val="00006AF4"/>
    <w:rsid w:val="0000774A"/>
    <w:rsid w:val="00007D05"/>
    <w:rsid w:val="0001053E"/>
    <w:rsid w:val="000125CA"/>
    <w:rsid w:val="00012EC5"/>
    <w:rsid w:val="00013A2B"/>
    <w:rsid w:val="00013B18"/>
    <w:rsid w:val="00013BA1"/>
    <w:rsid w:val="00013F06"/>
    <w:rsid w:val="000149C4"/>
    <w:rsid w:val="00015881"/>
    <w:rsid w:val="000164FE"/>
    <w:rsid w:val="000165B1"/>
    <w:rsid w:val="0002016D"/>
    <w:rsid w:val="000204AC"/>
    <w:rsid w:val="00020A5E"/>
    <w:rsid w:val="00021B6E"/>
    <w:rsid w:val="00021BA6"/>
    <w:rsid w:val="00021DEF"/>
    <w:rsid w:val="00021E11"/>
    <w:rsid w:val="000222AB"/>
    <w:rsid w:val="00023289"/>
    <w:rsid w:val="000235CA"/>
    <w:rsid w:val="00023E01"/>
    <w:rsid w:val="000248D7"/>
    <w:rsid w:val="000254C1"/>
    <w:rsid w:val="00025684"/>
    <w:rsid w:val="0002629D"/>
    <w:rsid w:val="00027020"/>
    <w:rsid w:val="000273EF"/>
    <w:rsid w:val="00027621"/>
    <w:rsid w:val="000278E3"/>
    <w:rsid w:val="00030E57"/>
    <w:rsid w:val="0003267F"/>
    <w:rsid w:val="0003280E"/>
    <w:rsid w:val="00033400"/>
    <w:rsid w:val="0003389E"/>
    <w:rsid w:val="00033D83"/>
    <w:rsid w:val="00033FB6"/>
    <w:rsid w:val="000344AE"/>
    <w:rsid w:val="00035B0C"/>
    <w:rsid w:val="00041037"/>
    <w:rsid w:val="000410ED"/>
    <w:rsid w:val="0004154A"/>
    <w:rsid w:val="00041CB7"/>
    <w:rsid w:val="00043E20"/>
    <w:rsid w:val="00044B33"/>
    <w:rsid w:val="00044CCD"/>
    <w:rsid w:val="00045394"/>
    <w:rsid w:val="000455AC"/>
    <w:rsid w:val="000461C0"/>
    <w:rsid w:val="00046F04"/>
    <w:rsid w:val="00046FF8"/>
    <w:rsid w:val="00047854"/>
    <w:rsid w:val="0004797E"/>
    <w:rsid w:val="00047C23"/>
    <w:rsid w:val="00052A17"/>
    <w:rsid w:val="000538F9"/>
    <w:rsid w:val="00054276"/>
    <w:rsid w:val="000543D1"/>
    <w:rsid w:val="00056898"/>
    <w:rsid w:val="00061826"/>
    <w:rsid w:val="00061D3E"/>
    <w:rsid w:val="000625EE"/>
    <w:rsid w:val="000627FC"/>
    <w:rsid w:val="0006308E"/>
    <w:rsid w:val="0006353B"/>
    <w:rsid w:val="000637AF"/>
    <w:rsid w:val="00064511"/>
    <w:rsid w:val="00065EBA"/>
    <w:rsid w:val="00066D31"/>
    <w:rsid w:val="000675C2"/>
    <w:rsid w:val="000675F6"/>
    <w:rsid w:val="0006785F"/>
    <w:rsid w:val="000708DC"/>
    <w:rsid w:val="00070907"/>
    <w:rsid w:val="00070AB9"/>
    <w:rsid w:val="00071F80"/>
    <w:rsid w:val="00072082"/>
    <w:rsid w:val="00073D17"/>
    <w:rsid w:val="00073DBC"/>
    <w:rsid w:val="00075E39"/>
    <w:rsid w:val="0008021C"/>
    <w:rsid w:val="00080470"/>
    <w:rsid w:val="00080A11"/>
    <w:rsid w:val="00080B19"/>
    <w:rsid w:val="000810CC"/>
    <w:rsid w:val="0008286D"/>
    <w:rsid w:val="00084D0B"/>
    <w:rsid w:val="00086CA3"/>
    <w:rsid w:val="00090397"/>
    <w:rsid w:val="000903D6"/>
    <w:rsid w:val="0009088C"/>
    <w:rsid w:val="0009209E"/>
    <w:rsid w:val="000921C1"/>
    <w:rsid w:val="000921D4"/>
    <w:rsid w:val="00092822"/>
    <w:rsid w:val="00093ECE"/>
    <w:rsid w:val="000943EE"/>
    <w:rsid w:val="00094ACB"/>
    <w:rsid w:val="00094B1D"/>
    <w:rsid w:val="000953C7"/>
    <w:rsid w:val="0009630A"/>
    <w:rsid w:val="00096636"/>
    <w:rsid w:val="000970D4"/>
    <w:rsid w:val="00097785"/>
    <w:rsid w:val="000A03E1"/>
    <w:rsid w:val="000A17FD"/>
    <w:rsid w:val="000A18B5"/>
    <w:rsid w:val="000A3856"/>
    <w:rsid w:val="000A4786"/>
    <w:rsid w:val="000A50FB"/>
    <w:rsid w:val="000A5CFA"/>
    <w:rsid w:val="000A631A"/>
    <w:rsid w:val="000A68DC"/>
    <w:rsid w:val="000B0A0E"/>
    <w:rsid w:val="000B228B"/>
    <w:rsid w:val="000B2684"/>
    <w:rsid w:val="000B30FC"/>
    <w:rsid w:val="000B3DB3"/>
    <w:rsid w:val="000B3F39"/>
    <w:rsid w:val="000B4263"/>
    <w:rsid w:val="000B427D"/>
    <w:rsid w:val="000B5C15"/>
    <w:rsid w:val="000B5F6A"/>
    <w:rsid w:val="000C036F"/>
    <w:rsid w:val="000C0B3E"/>
    <w:rsid w:val="000C0C78"/>
    <w:rsid w:val="000C2A83"/>
    <w:rsid w:val="000C39D2"/>
    <w:rsid w:val="000C3EA6"/>
    <w:rsid w:val="000C4192"/>
    <w:rsid w:val="000C4ED8"/>
    <w:rsid w:val="000C54D9"/>
    <w:rsid w:val="000C55E5"/>
    <w:rsid w:val="000C57AD"/>
    <w:rsid w:val="000C659C"/>
    <w:rsid w:val="000C7BC2"/>
    <w:rsid w:val="000D02BF"/>
    <w:rsid w:val="000D0C21"/>
    <w:rsid w:val="000D31C7"/>
    <w:rsid w:val="000D49F0"/>
    <w:rsid w:val="000D49F1"/>
    <w:rsid w:val="000D63D0"/>
    <w:rsid w:val="000D79E2"/>
    <w:rsid w:val="000D7CD1"/>
    <w:rsid w:val="000E081E"/>
    <w:rsid w:val="000E1F6E"/>
    <w:rsid w:val="000E20D2"/>
    <w:rsid w:val="000E30A0"/>
    <w:rsid w:val="000E3AA7"/>
    <w:rsid w:val="000E4FF8"/>
    <w:rsid w:val="000E7B3E"/>
    <w:rsid w:val="000F010C"/>
    <w:rsid w:val="000F02D0"/>
    <w:rsid w:val="000F3AE6"/>
    <w:rsid w:val="000F508B"/>
    <w:rsid w:val="000F5331"/>
    <w:rsid w:val="000F6780"/>
    <w:rsid w:val="000F6D3C"/>
    <w:rsid w:val="000F6F1F"/>
    <w:rsid w:val="000F722E"/>
    <w:rsid w:val="000F757E"/>
    <w:rsid w:val="0010001A"/>
    <w:rsid w:val="00101044"/>
    <w:rsid w:val="00101728"/>
    <w:rsid w:val="00101C63"/>
    <w:rsid w:val="00101EE4"/>
    <w:rsid w:val="001020CD"/>
    <w:rsid w:val="00102409"/>
    <w:rsid w:val="001027C0"/>
    <w:rsid w:val="00102FEA"/>
    <w:rsid w:val="00103105"/>
    <w:rsid w:val="001031FD"/>
    <w:rsid w:val="001039DB"/>
    <w:rsid w:val="00105567"/>
    <w:rsid w:val="00105766"/>
    <w:rsid w:val="00105D6D"/>
    <w:rsid w:val="001070BF"/>
    <w:rsid w:val="00107484"/>
    <w:rsid w:val="00107E74"/>
    <w:rsid w:val="0011070C"/>
    <w:rsid w:val="00110740"/>
    <w:rsid w:val="00110AB5"/>
    <w:rsid w:val="00111036"/>
    <w:rsid w:val="00111EF4"/>
    <w:rsid w:val="001120AF"/>
    <w:rsid w:val="00112143"/>
    <w:rsid w:val="0011441B"/>
    <w:rsid w:val="00115806"/>
    <w:rsid w:val="0012189D"/>
    <w:rsid w:val="00122679"/>
    <w:rsid w:val="001227A2"/>
    <w:rsid w:val="00123CAA"/>
    <w:rsid w:val="00124CC6"/>
    <w:rsid w:val="00125D8E"/>
    <w:rsid w:val="00125DF6"/>
    <w:rsid w:val="00127576"/>
    <w:rsid w:val="0013000C"/>
    <w:rsid w:val="0013001B"/>
    <w:rsid w:val="00131B09"/>
    <w:rsid w:val="00131CA3"/>
    <w:rsid w:val="0013238C"/>
    <w:rsid w:val="001348FC"/>
    <w:rsid w:val="00134B50"/>
    <w:rsid w:val="001357A5"/>
    <w:rsid w:val="0013580D"/>
    <w:rsid w:val="00135E18"/>
    <w:rsid w:val="00136292"/>
    <w:rsid w:val="0013718D"/>
    <w:rsid w:val="001411FC"/>
    <w:rsid w:val="00143778"/>
    <w:rsid w:val="00144F98"/>
    <w:rsid w:val="00145B02"/>
    <w:rsid w:val="00145DE1"/>
    <w:rsid w:val="00147053"/>
    <w:rsid w:val="001479B2"/>
    <w:rsid w:val="00147D19"/>
    <w:rsid w:val="00150FAE"/>
    <w:rsid w:val="001510CA"/>
    <w:rsid w:val="001510F2"/>
    <w:rsid w:val="00151D26"/>
    <w:rsid w:val="00152D68"/>
    <w:rsid w:val="00153B2A"/>
    <w:rsid w:val="00154D8A"/>
    <w:rsid w:val="00155929"/>
    <w:rsid w:val="001568FB"/>
    <w:rsid w:val="00157593"/>
    <w:rsid w:val="001579D9"/>
    <w:rsid w:val="00157B4A"/>
    <w:rsid w:val="001610FB"/>
    <w:rsid w:val="00161325"/>
    <w:rsid w:val="00161ABA"/>
    <w:rsid w:val="00161CC1"/>
    <w:rsid w:val="00164F09"/>
    <w:rsid w:val="0016543A"/>
    <w:rsid w:val="00165DA4"/>
    <w:rsid w:val="00165EB3"/>
    <w:rsid w:val="00166542"/>
    <w:rsid w:val="0016654E"/>
    <w:rsid w:val="00166ABD"/>
    <w:rsid w:val="00166BAC"/>
    <w:rsid w:val="00166D1C"/>
    <w:rsid w:val="00167940"/>
    <w:rsid w:val="00167F2B"/>
    <w:rsid w:val="0017053F"/>
    <w:rsid w:val="00171B41"/>
    <w:rsid w:val="00173136"/>
    <w:rsid w:val="00174780"/>
    <w:rsid w:val="00174A21"/>
    <w:rsid w:val="001750B2"/>
    <w:rsid w:val="0018049C"/>
    <w:rsid w:val="001808D3"/>
    <w:rsid w:val="00181EA5"/>
    <w:rsid w:val="0018238C"/>
    <w:rsid w:val="00182996"/>
    <w:rsid w:val="00182BAF"/>
    <w:rsid w:val="00182E16"/>
    <w:rsid w:val="00183E15"/>
    <w:rsid w:val="00183F97"/>
    <w:rsid w:val="00184586"/>
    <w:rsid w:val="00185474"/>
    <w:rsid w:val="00185CA5"/>
    <w:rsid w:val="001863F2"/>
    <w:rsid w:val="00186768"/>
    <w:rsid w:val="00186CEC"/>
    <w:rsid w:val="00186F41"/>
    <w:rsid w:val="00190751"/>
    <w:rsid w:val="00190D3F"/>
    <w:rsid w:val="00190FA4"/>
    <w:rsid w:val="00192AB7"/>
    <w:rsid w:val="00193577"/>
    <w:rsid w:val="00193FF9"/>
    <w:rsid w:val="001944FC"/>
    <w:rsid w:val="00194BF6"/>
    <w:rsid w:val="00195D71"/>
    <w:rsid w:val="001973A0"/>
    <w:rsid w:val="001974B8"/>
    <w:rsid w:val="00197C06"/>
    <w:rsid w:val="001A03DE"/>
    <w:rsid w:val="001A1147"/>
    <w:rsid w:val="001A1F28"/>
    <w:rsid w:val="001A27D6"/>
    <w:rsid w:val="001A34DA"/>
    <w:rsid w:val="001A39EB"/>
    <w:rsid w:val="001A46FC"/>
    <w:rsid w:val="001A4729"/>
    <w:rsid w:val="001A5579"/>
    <w:rsid w:val="001A55A4"/>
    <w:rsid w:val="001A5D0C"/>
    <w:rsid w:val="001A7BD9"/>
    <w:rsid w:val="001A7C0F"/>
    <w:rsid w:val="001B033F"/>
    <w:rsid w:val="001B0F5B"/>
    <w:rsid w:val="001B1D59"/>
    <w:rsid w:val="001B2035"/>
    <w:rsid w:val="001B20BF"/>
    <w:rsid w:val="001B25B5"/>
    <w:rsid w:val="001B2BFA"/>
    <w:rsid w:val="001B3359"/>
    <w:rsid w:val="001B4297"/>
    <w:rsid w:val="001B5BAA"/>
    <w:rsid w:val="001B6509"/>
    <w:rsid w:val="001B6BCF"/>
    <w:rsid w:val="001B6D26"/>
    <w:rsid w:val="001B6E1E"/>
    <w:rsid w:val="001B7BDD"/>
    <w:rsid w:val="001B7CD3"/>
    <w:rsid w:val="001C19C0"/>
    <w:rsid w:val="001C2939"/>
    <w:rsid w:val="001C32F9"/>
    <w:rsid w:val="001C3AFB"/>
    <w:rsid w:val="001C46EF"/>
    <w:rsid w:val="001C543B"/>
    <w:rsid w:val="001C5AD6"/>
    <w:rsid w:val="001C5B9B"/>
    <w:rsid w:val="001C6171"/>
    <w:rsid w:val="001D079F"/>
    <w:rsid w:val="001D0ABA"/>
    <w:rsid w:val="001D0BB9"/>
    <w:rsid w:val="001D11B0"/>
    <w:rsid w:val="001D1CD1"/>
    <w:rsid w:val="001D1D38"/>
    <w:rsid w:val="001D2A90"/>
    <w:rsid w:val="001D32DD"/>
    <w:rsid w:val="001D4312"/>
    <w:rsid w:val="001D6C33"/>
    <w:rsid w:val="001D6F02"/>
    <w:rsid w:val="001D7455"/>
    <w:rsid w:val="001D7D42"/>
    <w:rsid w:val="001E01E8"/>
    <w:rsid w:val="001E0C23"/>
    <w:rsid w:val="001E20FC"/>
    <w:rsid w:val="001E2E61"/>
    <w:rsid w:val="001E44ED"/>
    <w:rsid w:val="001E479D"/>
    <w:rsid w:val="001E4B65"/>
    <w:rsid w:val="001E4EED"/>
    <w:rsid w:val="001E5AA9"/>
    <w:rsid w:val="001E6339"/>
    <w:rsid w:val="001E6CC9"/>
    <w:rsid w:val="001E786E"/>
    <w:rsid w:val="001E7F7A"/>
    <w:rsid w:val="001F08A4"/>
    <w:rsid w:val="001F0D69"/>
    <w:rsid w:val="001F143D"/>
    <w:rsid w:val="001F1497"/>
    <w:rsid w:val="001F169F"/>
    <w:rsid w:val="001F2439"/>
    <w:rsid w:val="001F31F4"/>
    <w:rsid w:val="001F376E"/>
    <w:rsid w:val="001F3E3B"/>
    <w:rsid w:val="001F50A1"/>
    <w:rsid w:val="001F60AF"/>
    <w:rsid w:val="001F6F73"/>
    <w:rsid w:val="001F712E"/>
    <w:rsid w:val="00200287"/>
    <w:rsid w:val="002003C3"/>
    <w:rsid w:val="00202970"/>
    <w:rsid w:val="00202BD0"/>
    <w:rsid w:val="00203262"/>
    <w:rsid w:val="002043BE"/>
    <w:rsid w:val="002043C2"/>
    <w:rsid w:val="00204CFA"/>
    <w:rsid w:val="00205FDC"/>
    <w:rsid w:val="002075A1"/>
    <w:rsid w:val="00207D02"/>
    <w:rsid w:val="00211A94"/>
    <w:rsid w:val="00211E58"/>
    <w:rsid w:val="002125DA"/>
    <w:rsid w:val="002133AD"/>
    <w:rsid w:val="002133D4"/>
    <w:rsid w:val="002141BF"/>
    <w:rsid w:val="00217084"/>
    <w:rsid w:val="00217108"/>
    <w:rsid w:val="00220E80"/>
    <w:rsid w:val="0022374F"/>
    <w:rsid w:val="002242DE"/>
    <w:rsid w:val="002243B1"/>
    <w:rsid w:val="00225641"/>
    <w:rsid w:val="002269F3"/>
    <w:rsid w:val="00226DB5"/>
    <w:rsid w:val="00226EE7"/>
    <w:rsid w:val="00230D7E"/>
    <w:rsid w:val="002315F5"/>
    <w:rsid w:val="00231F08"/>
    <w:rsid w:val="0023289A"/>
    <w:rsid w:val="0023298D"/>
    <w:rsid w:val="00232FC6"/>
    <w:rsid w:val="0023400F"/>
    <w:rsid w:val="002342D3"/>
    <w:rsid w:val="0023434F"/>
    <w:rsid w:val="00235495"/>
    <w:rsid w:val="00235B0F"/>
    <w:rsid w:val="00237CFD"/>
    <w:rsid w:val="00240734"/>
    <w:rsid w:val="00243700"/>
    <w:rsid w:val="00243E94"/>
    <w:rsid w:val="002442B5"/>
    <w:rsid w:val="0024523F"/>
    <w:rsid w:val="00245C7C"/>
    <w:rsid w:val="00247542"/>
    <w:rsid w:val="0025123B"/>
    <w:rsid w:val="002512BF"/>
    <w:rsid w:val="00252E36"/>
    <w:rsid w:val="00253852"/>
    <w:rsid w:val="00253C1A"/>
    <w:rsid w:val="00254775"/>
    <w:rsid w:val="00254D47"/>
    <w:rsid w:val="0025587B"/>
    <w:rsid w:val="0025637D"/>
    <w:rsid w:val="00256827"/>
    <w:rsid w:val="00256BDA"/>
    <w:rsid w:val="00256C4D"/>
    <w:rsid w:val="00256F90"/>
    <w:rsid w:val="002571D8"/>
    <w:rsid w:val="0025779E"/>
    <w:rsid w:val="00257966"/>
    <w:rsid w:val="00257FB7"/>
    <w:rsid w:val="002614F9"/>
    <w:rsid w:val="00261901"/>
    <w:rsid w:val="00262D09"/>
    <w:rsid w:val="00264A72"/>
    <w:rsid w:val="00265049"/>
    <w:rsid w:val="0026570E"/>
    <w:rsid w:val="00265BA6"/>
    <w:rsid w:val="00265F0E"/>
    <w:rsid w:val="0026641D"/>
    <w:rsid w:val="00270AAB"/>
    <w:rsid w:val="00270DD9"/>
    <w:rsid w:val="002715E3"/>
    <w:rsid w:val="002726D3"/>
    <w:rsid w:val="00272C29"/>
    <w:rsid w:val="00273141"/>
    <w:rsid w:val="00274ADD"/>
    <w:rsid w:val="0027530A"/>
    <w:rsid w:val="00276D7C"/>
    <w:rsid w:val="0027742E"/>
    <w:rsid w:val="00277ADB"/>
    <w:rsid w:val="00277FD8"/>
    <w:rsid w:val="00280053"/>
    <w:rsid w:val="002800D6"/>
    <w:rsid w:val="00280222"/>
    <w:rsid w:val="0028132E"/>
    <w:rsid w:val="0028178D"/>
    <w:rsid w:val="00284EA2"/>
    <w:rsid w:val="00286534"/>
    <w:rsid w:val="00287F3C"/>
    <w:rsid w:val="00290277"/>
    <w:rsid w:val="00291EBD"/>
    <w:rsid w:val="0029221A"/>
    <w:rsid w:val="002929FE"/>
    <w:rsid w:val="00292A26"/>
    <w:rsid w:val="002935B2"/>
    <w:rsid w:val="002936DA"/>
    <w:rsid w:val="00294614"/>
    <w:rsid w:val="00297E53"/>
    <w:rsid w:val="002A132F"/>
    <w:rsid w:val="002A14FE"/>
    <w:rsid w:val="002A31EA"/>
    <w:rsid w:val="002A3483"/>
    <w:rsid w:val="002A5020"/>
    <w:rsid w:val="002A5D71"/>
    <w:rsid w:val="002A68B8"/>
    <w:rsid w:val="002A7A59"/>
    <w:rsid w:val="002B0F06"/>
    <w:rsid w:val="002B2142"/>
    <w:rsid w:val="002B2B43"/>
    <w:rsid w:val="002B3D70"/>
    <w:rsid w:val="002B59EF"/>
    <w:rsid w:val="002C0F84"/>
    <w:rsid w:val="002C1AE3"/>
    <w:rsid w:val="002C27E1"/>
    <w:rsid w:val="002C2938"/>
    <w:rsid w:val="002C2F34"/>
    <w:rsid w:val="002C397B"/>
    <w:rsid w:val="002C429E"/>
    <w:rsid w:val="002C4448"/>
    <w:rsid w:val="002C4D70"/>
    <w:rsid w:val="002C63EA"/>
    <w:rsid w:val="002C66FB"/>
    <w:rsid w:val="002C67DF"/>
    <w:rsid w:val="002D074E"/>
    <w:rsid w:val="002D0D30"/>
    <w:rsid w:val="002D3CE9"/>
    <w:rsid w:val="002D3F66"/>
    <w:rsid w:val="002D456B"/>
    <w:rsid w:val="002D4BBF"/>
    <w:rsid w:val="002D6577"/>
    <w:rsid w:val="002D65AD"/>
    <w:rsid w:val="002D678E"/>
    <w:rsid w:val="002D6847"/>
    <w:rsid w:val="002D68EC"/>
    <w:rsid w:val="002D69E0"/>
    <w:rsid w:val="002D78E5"/>
    <w:rsid w:val="002E0844"/>
    <w:rsid w:val="002E1940"/>
    <w:rsid w:val="002E2EE8"/>
    <w:rsid w:val="002E3CFA"/>
    <w:rsid w:val="002E40F1"/>
    <w:rsid w:val="002E50F8"/>
    <w:rsid w:val="002E5B35"/>
    <w:rsid w:val="002E5D32"/>
    <w:rsid w:val="002E5FAF"/>
    <w:rsid w:val="002E66B8"/>
    <w:rsid w:val="002E6B50"/>
    <w:rsid w:val="002E75D4"/>
    <w:rsid w:val="002F02E4"/>
    <w:rsid w:val="002F07C8"/>
    <w:rsid w:val="002F2B85"/>
    <w:rsid w:val="002F5C1E"/>
    <w:rsid w:val="002F6D70"/>
    <w:rsid w:val="002F765E"/>
    <w:rsid w:val="002F777F"/>
    <w:rsid w:val="002F78E5"/>
    <w:rsid w:val="002F7D22"/>
    <w:rsid w:val="003001D2"/>
    <w:rsid w:val="00303406"/>
    <w:rsid w:val="00303891"/>
    <w:rsid w:val="00304229"/>
    <w:rsid w:val="0030458F"/>
    <w:rsid w:val="00304E4A"/>
    <w:rsid w:val="00304FCB"/>
    <w:rsid w:val="003055DC"/>
    <w:rsid w:val="00305848"/>
    <w:rsid w:val="00305E17"/>
    <w:rsid w:val="003063F4"/>
    <w:rsid w:val="003069B5"/>
    <w:rsid w:val="00306C9B"/>
    <w:rsid w:val="003101B7"/>
    <w:rsid w:val="003101BC"/>
    <w:rsid w:val="003103B5"/>
    <w:rsid w:val="003119C4"/>
    <w:rsid w:val="00311E9F"/>
    <w:rsid w:val="00311FDF"/>
    <w:rsid w:val="003142BE"/>
    <w:rsid w:val="00316FED"/>
    <w:rsid w:val="00317449"/>
    <w:rsid w:val="00317BD7"/>
    <w:rsid w:val="0032098F"/>
    <w:rsid w:val="0032101C"/>
    <w:rsid w:val="003214BB"/>
    <w:rsid w:val="003227FB"/>
    <w:rsid w:val="00322F39"/>
    <w:rsid w:val="003231EC"/>
    <w:rsid w:val="00324203"/>
    <w:rsid w:val="00324814"/>
    <w:rsid w:val="0032481F"/>
    <w:rsid w:val="003250F0"/>
    <w:rsid w:val="00326452"/>
    <w:rsid w:val="00326876"/>
    <w:rsid w:val="00326BAB"/>
    <w:rsid w:val="0032788E"/>
    <w:rsid w:val="0033031B"/>
    <w:rsid w:val="003305C0"/>
    <w:rsid w:val="003305E4"/>
    <w:rsid w:val="00330A7F"/>
    <w:rsid w:val="00331A84"/>
    <w:rsid w:val="00331E9B"/>
    <w:rsid w:val="00332519"/>
    <w:rsid w:val="00333026"/>
    <w:rsid w:val="003336AA"/>
    <w:rsid w:val="00333C8D"/>
    <w:rsid w:val="0033443D"/>
    <w:rsid w:val="00334FFD"/>
    <w:rsid w:val="003368C1"/>
    <w:rsid w:val="003379CD"/>
    <w:rsid w:val="003402A7"/>
    <w:rsid w:val="00340A3E"/>
    <w:rsid w:val="00340E9D"/>
    <w:rsid w:val="0034114C"/>
    <w:rsid w:val="00341463"/>
    <w:rsid w:val="003426A4"/>
    <w:rsid w:val="00342EB4"/>
    <w:rsid w:val="00342FB2"/>
    <w:rsid w:val="0034339D"/>
    <w:rsid w:val="00343787"/>
    <w:rsid w:val="0034412C"/>
    <w:rsid w:val="00344511"/>
    <w:rsid w:val="00344622"/>
    <w:rsid w:val="00344BCB"/>
    <w:rsid w:val="00344BF2"/>
    <w:rsid w:val="003461AB"/>
    <w:rsid w:val="003463FE"/>
    <w:rsid w:val="003472F7"/>
    <w:rsid w:val="00347C53"/>
    <w:rsid w:val="00350A87"/>
    <w:rsid w:val="00351943"/>
    <w:rsid w:val="00351DEC"/>
    <w:rsid w:val="00351F43"/>
    <w:rsid w:val="00352366"/>
    <w:rsid w:val="003523D1"/>
    <w:rsid w:val="00353B79"/>
    <w:rsid w:val="00353CA3"/>
    <w:rsid w:val="0035509E"/>
    <w:rsid w:val="0035546B"/>
    <w:rsid w:val="003568A8"/>
    <w:rsid w:val="00356A53"/>
    <w:rsid w:val="0036176F"/>
    <w:rsid w:val="003623B2"/>
    <w:rsid w:val="003627EB"/>
    <w:rsid w:val="00362C88"/>
    <w:rsid w:val="0036513D"/>
    <w:rsid w:val="003658FD"/>
    <w:rsid w:val="00365E21"/>
    <w:rsid w:val="003665A7"/>
    <w:rsid w:val="00366BDD"/>
    <w:rsid w:val="00367F10"/>
    <w:rsid w:val="00371A6D"/>
    <w:rsid w:val="00372EA9"/>
    <w:rsid w:val="00373D0C"/>
    <w:rsid w:val="00374112"/>
    <w:rsid w:val="003751E9"/>
    <w:rsid w:val="00375492"/>
    <w:rsid w:val="003763F0"/>
    <w:rsid w:val="00376863"/>
    <w:rsid w:val="00377800"/>
    <w:rsid w:val="00377A3C"/>
    <w:rsid w:val="003801B7"/>
    <w:rsid w:val="00380754"/>
    <w:rsid w:val="00384E7C"/>
    <w:rsid w:val="0038642E"/>
    <w:rsid w:val="003902CB"/>
    <w:rsid w:val="0039055A"/>
    <w:rsid w:val="003911EE"/>
    <w:rsid w:val="003936D9"/>
    <w:rsid w:val="003941DE"/>
    <w:rsid w:val="003941F3"/>
    <w:rsid w:val="00395A88"/>
    <w:rsid w:val="003A084C"/>
    <w:rsid w:val="003A163B"/>
    <w:rsid w:val="003A1E5C"/>
    <w:rsid w:val="003A286B"/>
    <w:rsid w:val="003A417F"/>
    <w:rsid w:val="003A46D2"/>
    <w:rsid w:val="003A4846"/>
    <w:rsid w:val="003A54A5"/>
    <w:rsid w:val="003A7399"/>
    <w:rsid w:val="003B001B"/>
    <w:rsid w:val="003B0B55"/>
    <w:rsid w:val="003B0BCA"/>
    <w:rsid w:val="003B0F51"/>
    <w:rsid w:val="003B1C60"/>
    <w:rsid w:val="003B29F3"/>
    <w:rsid w:val="003B2A1F"/>
    <w:rsid w:val="003B3C7B"/>
    <w:rsid w:val="003B450F"/>
    <w:rsid w:val="003B461E"/>
    <w:rsid w:val="003B4A17"/>
    <w:rsid w:val="003B5135"/>
    <w:rsid w:val="003B534B"/>
    <w:rsid w:val="003B6832"/>
    <w:rsid w:val="003C03D2"/>
    <w:rsid w:val="003C17BB"/>
    <w:rsid w:val="003C302A"/>
    <w:rsid w:val="003C5517"/>
    <w:rsid w:val="003C5AAA"/>
    <w:rsid w:val="003C6A5F"/>
    <w:rsid w:val="003C7072"/>
    <w:rsid w:val="003D0061"/>
    <w:rsid w:val="003D0340"/>
    <w:rsid w:val="003D1C31"/>
    <w:rsid w:val="003D2277"/>
    <w:rsid w:val="003D2CA7"/>
    <w:rsid w:val="003D6B86"/>
    <w:rsid w:val="003E005A"/>
    <w:rsid w:val="003E0789"/>
    <w:rsid w:val="003E150C"/>
    <w:rsid w:val="003E1BDB"/>
    <w:rsid w:val="003E41AC"/>
    <w:rsid w:val="003E4259"/>
    <w:rsid w:val="003E4E2F"/>
    <w:rsid w:val="003E6425"/>
    <w:rsid w:val="003E71AC"/>
    <w:rsid w:val="003F13FA"/>
    <w:rsid w:val="003F2DEC"/>
    <w:rsid w:val="003F30D7"/>
    <w:rsid w:val="003F4274"/>
    <w:rsid w:val="003F57D3"/>
    <w:rsid w:val="00400D0E"/>
    <w:rsid w:val="00401161"/>
    <w:rsid w:val="00401204"/>
    <w:rsid w:val="0040129E"/>
    <w:rsid w:val="004025A4"/>
    <w:rsid w:val="00403744"/>
    <w:rsid w:val="00404DDF"/>
    <w:rsid w:val="004065FC"/>
    <w:rsid w:val="00406729"/>
    <w:rsid w:val="00407014"/>
    <w:rsid w:val="0041241F"/>
    <w:rsid w:val="004129F9"/>
    <w:rsid w:val="00412F78"/>
    <w:rsid w:val="00414194"/>
    <w:rsid w:val="0041517D"/>
    <w:rsid w:val="00415232"/>
    <w:rsid w:val="0041537B"/>
    <w:rsid w:val="00416483"/>
    <w:rsid w:val="00417B76"/>
    <w:rsid w:val="00417E14"/>
    <w:rsid w:val="00420FAE"/>
    <w:rsid w:val="004213FD"/>
    <w:rsid w:val="0042151E"/>
    <w:rsid w:val="00421C6E"/>
    <w:rsid w:val="0042345F"/>
    <w:rsid w:val="004244FB"/>
    <w:rsid w:val="00424D3D"/>
    <w:rsid w:val="004258D7"/>
    <w:rsid w:val="00425B70"/>
    <w:rsid w:val="0042727A"/>
    <w:rsid w:val="00427291"/>
    <w:rsid w:val="00431DED"/>
    <w:rsid w:val="00432038"/>
    <w:rsid w:val="0043380D"/>
    <w:rsid w:val="00434379"/>
    <w:rsid w:val="00434AEA"/>
    <w:rsid w:val="004352FD"/>
    <w:rsid w:val="004360CC"/>
    <w:rsid w:val="0043635D"/>
    <w:rsid w:val="00437EBD"/>
    <w:rsid w:val="0044083B"/>
    <w:rsid w:val="004414B5"/>
    <w:rsid w:val="00441671"/>
    <w:rsid w:val="00441981"/>
    <w:rsid w:val="00442EB3"/>
    <w:rsid w:val="00443A52"/>
    <w:rsid w:val="00443FF7"/>
    <w:rsid w:val="004456F3"/>
    <w:rsid w:val="00445C33"/>
    <w:rsid w:val="0044615C"/>
    <w:rsid w:val="00446B18"/>
    <w:rsid w:val="00447C22"/>
    <w:rsid w:val="00450230"/>
    <w:rsid w:val="00450A42"/>
    <w:rsid w:val="004519CA"/>
    <w:rsid w:val="00451D08"/>
    <w:rsid w:val="00451F32"/>
    <w:rsid w:val="00451F52"/>
    <w:rsid w:val="00452338"/>
    <w:rsid w:val="00452428"/>
    <w:rsid w:val="00452ACB"/>
    <w:rsid w:val="004537C9"/>
    <w:rsid w:val="004550F7"/>
    <w:rsid w:val="00457A29"/>
    <w:rsid w:val="00460716"/>
    <w:rsid w:val="00460BCD"/>
    <w:rsid w:val="0046482C"/>
    <w:rsid w:val="00464F3A"/>
    <w:rsid w:val="00465344"/>
    <w:rsid w:val="00465BEA"/>
    <w:rsid w:val="0046619F"/>
    <w:rsid w:val="00467007"/>
    <w:rsid w:val="00467307"/>
    <w:rsid w:val="00467931"/>
    <w:rsid w:val="0047015F"/>
    <w:rsid w:val="00470467"/>
    <w:rsid w:val="004710FF"/>
    <w:rsid w:val="0047221F"/>
    <w:rsid w:val="00472273"/>
    <w:rsid w:val="00472976"/>
    <w:rsid w:val="00474867"/>
    <w:rsid w:val="004754B4"/>
    <w:rsid w:val="00475A6E"/>
    <w:rsid w:val="00476FC5"/>
    <w:rsid w:val="00477258"/>
    <w:rsid w:val="00477369"/>
    <w:rsid w:val="00477493"/>
    <w:rsid w:val="00477C20"/>
    <w:rsid w:val="00477C75"/>
    <w:rsid w:val="0048075F"/>
    <w:rsid w:val="0048137D"/>
    <w:rsid w:val="00482BDD"/>
    <w:rsid w:val="00482CE7"/>
    <w:rsid w:val="00483838"/>
    <w:rsid w:val="004869E2"/>
    <w:rsid w:val="00487B23"/>
    <w:rsid w:val="00487C7D"/>
    <w:rsid w:val="00490F63"/>
    <w:rsid w:val="004912D8"/>
    <w:rsid w:val="004929C1"/>
    <w:rsid w:val="00493015"/>
    <w:rsid w:val="0049320F"/>
    <w:rsid w:val="00494A76"/>
    <w:rsid w:val="004953C3"/>
    <w:rsid w:val="00495B6A"/>
    <w:rsid w:val="00496791"/>
    <w:rsid w:val="004967C2"/>
    <w:rsid w:val="004970F9"/>
    <w:rsid w:val="00497A69"/>
    <w:rsid w:val="004A10F9"/>
    <w:rsid w:val="004A2CC8"/>
    <w:rsid w:val="004A3366"/>
    <w:rsid w:val="004A4656"/>
    <w:rsid w:val="004A479D"/>
    <w:rsid w:val="004A4F03"/>
    <w:rsid w:val="004A5456"/>
    <w:rsid w:val="004A5A04"/>
    <w:rsid w:val="004A5B33"/>
    <w:rsid w:val="004A6050"/>
    <w:rsid w:val="004A6E56"/>
    <w:rsid w:val="004A79D1"/>
    <w:rsid w:val="004B1429"/>
    <w:rsid w:val="004B158E"/>
    <w:rsid w:val="004B20E6"/>
    <w:rsid w:val="004B2D60"/>
    <w:rsid w:val="004B53A5"/>
    <w:rsid w:val="004B53AA"/>
    <w:rsid w:val="004B55EE"/>
    <w:rsid w:val="004B63AD"/>
    <w:rsid w:val="004B738B"/>
    <w:rsid w:val="004C0B17"/>
    <w:rsid w:val="004C17EB"/>
    <w:rsid w:val="004C1CBE"/>
    <w:rsid w:val="004C1F89"/>
    <w:rsid w:val="004C2817"/>
    <w:rsid w:val="004C3697"/>
    <w:rsid w:val="004C3FE6"/>
    <w:rsid w:val="004C483B"/>
    <w:rsid w:val="004C5E73"/>
    <w:rsid w:val="004D0724"/>
    <w:rsid w:val="004D072C"/>
    <w:rsid w:val="004D0BCC"/>
    <w:rsid w:val="004D0C23"/>
    <w:rsid w:val="004D152F"/>
    <w:rsid w:val="004D2E4B"/>
    <w:rsid w:val="004D4205"/>
    <w:rsid w:val="004D456F"/>
    <w:rsid w:val="004D475B"/>
    <w:rsid w:val="004D6297"/>
    <w:rsid w:val="004D7733"/>
    <w:rsid w:val="004E00A1"/>
    <w:rsid w:val="004E03BE"/>
    <w:rsid w:val="004E0A7A"/>
    <w:rsid w:val="004E1085"/>
    <w:rsid w:val="004E2B55"/>
    <w:rsid w:val="004E2F70"/>
    <w:rsid w:val="004E3E5A"/>
    <w:rsid w:val="004E65E8"/>
    <w:rsid w:val="004E7E4B"/>
    <w:rsid w:val="004F09E2"/>
    <w:rsid w:val="004F1238"/>
    <w:rsid w:val="004F14FD"/>
    <w:rsid w:val="004F1905"/>
    <w:rsid w:val="004F2CDE"/>
    <w:rsid w:val="004F3DD3"/>
    <w:rsid w:val="004F41D0"/>
    <w:rsid w:val="004F4A4A"/>
    <w:rsid w:val="004F5390"/>
    <w:rsid w:val="004F5907"/>
    <w:rsid w:val="004F7601"/>
    <w:rsid w:val="00500158"/>
    <w:rsid w:val="0050042B"/>
    <w:rsid w:val="00500B10"/>
    <w:rsid w:val="00500C25"/>
    <w:rsid w:val="00500D47"/>
    <w:rsid w:val="0050182F"/>
    <w:rsid w:val="00501EEC"/>
    <w:rsid w:val="00502ECA"/>
    <w:rsid w:val="00504AC3"/>
    <w:rsid w:val="00504D6D"/>
    <w:rsid w:val="005069CF"/>
    <w:rsid w:val="0050767D"/>
    <w:rsid w:val="00507F44"/>
    <w:rsid w:val="00510D3E"/>
    <w:rsid w:val="00511B35"/>
    <w:rsid w:val="00512C2F"/>
    <w:rsid w:val="0051305C"/>
    <w:rsid w:val="005140E8"/>
    <w:rsid w:val="005168B3"/>
    <w:rsid w:val="00520393"/>
    <w:rsid w:val="00520886"/>
    <w:rsid w:val="00520DA4"/>
    <w:rsid w:val="00521285"/>
    <w:rsid w:val="00522A05"/>
    <w:rsid w:val="005232D1"/>
    <w:rsid w:val="00523EE0"/>
    <w:rsid w:val="00526084"/>
    <w:rsid w:val="005270C3"/>
    <w:rsid w:val="00527E3A"/>
    <w:rsid w:val="0053017D"/>
    <w:rsid w:val="00530ADE"/>
    <w:rsid w:val="005326D0"/>
    <w:rsid w:val="00532E59"/>
    <w:rsid w:val="00532FA8"/>
    <w:rsid w:val="00533123"/>
    <w:rsid w:val="00533B40"/>
    <w:rsid w:val="00534455"/>
    <w:rsid w:val="00537C60"/>
    <w:rsid w:val="005405F3"/>
    <w:rsid w:val="00542D6B"/>
    <w:rsid w:val="005436D7"/>
    <w:rsid w:val="00543745"/>
    <w:rsid w:val="0054393D"/>
    <w:rsid w:val="00544D06"/>
    <w:rsid w:val="0054640E"/>
    <w:rsid w:val="005466AA"/>
    <w:rsid w:val="00546D95"/>
    <w:rsid w:val="005475F9"/>
    <w:rsid w:val="0054765F"/>
    <w:rsid w:val="00547900"/>
    <w:rsid w:val="00550047"/>
    <w:rsid w:val="0055087A"/>
    <w:rsid w:val="00550D29"/>
    <w:rsid w:val="00551DDB"/>
    <w:rsid w:val="005526E8"/>
    <w:rsid w:val="00553738"/>
    <w:rsid w:val="00554268"/>
    <w:rsid w:val="0055441E"/>
    <w:rsid w:val="00554634"/>
    <w:rsid w:val="00554D83"/>
    <w:rsid w:val="00554F28"/>
    <w:rsid w:val="005551B7"/>
    <w:rsid w:val="00555292"/>
    <w:rsid w:val="00556332"/>
    <w:rsid w:val="0055661F"/>
    <w:rsid w:val="005573B0"/>
    <w:rsid w:val="00557645"/>
    <w:rsid w:val="00557C10"/>
    <w:rsid w:val="00557F6A"/>
    <w:rsid w:val="00561BE8"/>
    <w:rsid w:val="00561C17"/>
    <w:rsid w:val="00562689"/>
    <w:rsid w:val="00563FDB"/>
    <w:rsid w:val="00567080"/>
    <w:rsid w:val="00567E1D"/>
    <w:rsid w:val="00570121"/>
    <w:rsid w:val="005706E7"/>
    <w:rsid w:val="0057086B"/>
    <w:rsid w:val="00572458"/>
    <w:rsid w:val="005733AD"/>
    <w:rsid w:val="00574A2A"/>
    <w:rsid w:val="00575AF2"/>
    <w:rsid w:val="005763DC"/>
    <w:rsid w:val="00576C32"/>
    <w:rsid w:val="005773E4"/>
    <w:rsid w:val="00577A2A"/>
    <w:rsid w:val="005809A2"/>
    <w:rsid w:val="00580C3B"/>
    <w:rsid w:val="00581419"/>
    <w:rsid w:val="00581559"/>
    <w:rsid w:val="00582C0A"/>
    <w:rsid w:val="005864E0"/>
    <w:rsid w:val="005866C2"/>
    <w:rsid w:val="005877D2"/>
    <w:rsid w:val="00587B1B"/>
    <w:rsid w:val="00590F9C"/>
    <w:rsid w:val="00591B8B"/>
    <w:rsid w:val="005930F1"/>
    <w:rsid w:val="00593752"/>
    <w:rsid w:val="005943B1"/>
    <w:rsid w:val="00594A1E"/>
    <w:rsid w:val="00594FE1"/>
    <w:rsid w:val="00595B84"/>
    <w:rsid w:val="0059604F"/>
    <w:rsid w:val="005978DD"/>
    <w:rsid w:val="005A05B7"/>
    <w:rsid w:val="005A238F"/>
    <w:rsid w:val="005A31E6"/>
    <w:rsid w:val="005A321E"/>
    <w:rsid w:val="005A5E9C"/>
    <w:rsid w:val="005A7768"/>
    <w:rsid w:val="005A77AB"/>
    <w:rsid w:val="005A7A77"/>
    <w:rsid w:val="005A7B30"/>
    <w:rsid w:val="005A7ED6"/>
    <w:rsid w:val="005B073B"/>
    <w:rsid w:val="005B18B6"/>
    <w:rsid w:val="005B1E50"/>
    <w:rsid w:val="005B2AC7"/>
    <w:rsid w:val="005B3883"/>
    <w:rsid w:val="005B3D88"/>
    <w:rsid w:val="005B43BC"/>
    <w:rsid w:val="005B44EC"/>
    <w:rsid w:val="005B4CE3"/>
    <w:rsid w:val="005B5550"/>
    <w:rsid w:val="005B5FC3"/>
    <w:rsid w:val="005B6272"/>
    <w:rsid w:val="005B68A8"/>
    <w:rsid w:val="005B79D5"/>
    <w:rsid w:val="005C0F01"/>
    <w:rsid w:val="005C2564"/>
    <w:rsid w:val="005C27BA"/>
    <w:rsid w:val="005C2DE0"/>
    <w:rsid w:val="005C34E6"/>
    <w:rsid w:val="005C4A7F"/>
    <w:rsid w:val="005C4FFE"/>
    <w:rsid w:val="005C6ED2"/>
    <w:rsid w:val="005D090B"/>
    <w:rsid w:val="005D271C"/>
    <w:rsid w:val="005D34C5"/>
    <w:rsid w:val="005D3E77"/>
    <w:rsid w:val="005D4E09"/>
    <w:rsid w:val="005D5278"/>
    <w:rsid w:val="005D573F"/>
    <w:rsid w:val="005D7270"/>
    <w:rsid w:val="005D73EF"/>
    <w:rsid w:val="005E021C"/>
    <w:rsid w:val="005E2C57"/>
    <w:rsid w:val="005E686B"/>
    <w:rsid w:val="005E68EA"/>
    <w:rsid w:val="005E6C81"/>
    <w:rsid w:val="005E776B"/>
    <w:rsid w:val="005E7BB7"/>
    <w:rsid w:val="005E7C35"/>
    <w:rsid w:val="005F0B20"/>
    <w:rsid w:val="005F13BD"/>
    <w:rsid w:val="005F1EE6"/>
    <w:rsid w:val="005F21E0"/>
    <w:rsid w:val="005F3620"/>
    <w:rsid w:val="005F4493"/>
    <w:rsid w:val="005F5696"/>
    <w:rsid w:val="005F655B"/>
    <w:rsid w:val="005F6917"/>
    <w:rsid w:val="005F70D2"/>
    <w:rsid w:val="00600B7F"/>
    <w:rsid w:val="0060128D"/>
    <w:rsid w:val="0060131F"/>
    <w:rsid w:val="00602682"/>
    <w:rsid w:val="006028FF"/>
    <w:rsid w:val="00602ABB"/>
    <w:rsid w:val="00602EBD"/>
    <w:rsid w:val="00603616"/>
    <w:rsid w:val="00603E33"/>
    <w:rsid w:val="006042B0"/>
    <w:rsid w:val="006042B1"/>
    <w:rsid w:val="006042BB"/>
    <w:rsid w:val="00605051"/>
    <w:rsid w:val="006053B0"/>
    <w:rsid w:val="006053EE"/>
    <w:rsid w:val="00606288"/>
    <w:rsid w:val="0061282E"/>
    <w:rsid w:val="006132BB"/>
    <w:rsid w:val="0061655B"/>
    <w:rsid w:val="00616632"/>
    <w:rsid w:val="00617ABA"/>
    <w:rsid w:val="00617CA3"/>
    <w:rsid w:val="006214FB"/>
    <w:rsid w:val="006221F0"/>
    <w:rsid w:val="00623069"/>
    <w:rsid w:val="006254B1"/>
    <w:rsid w:val="006277A7"/>
    <w:rsid w:val="00630B6F"/>
    <w:rsid w:val="0063110A"/>
    <w:rsid w:val="0063171F"/>
    <w:rsid w:val="00632B67"/>
    <w:rsid w:val="006333E7"/>
    <w:rsid w:val="00634873"/>
    <w:rsid w:val="0063524F"/>
    <w:rsid w:val="0063697D"/>
    <w:rsid w:val="0063764B"/>
    <w:rsid w:val="0063776C"/>
    <w:rsid w:val="00640F74"/>
    <w:rsid w:val="00641267"/>
    <w:rsid w:val="0064213E"/>
    <w:rsid w:val="00642BE3"/>
    <w:rsid w:val="00643AA6"/>
    <w:rsid w:val="00645038"/>
    <w:rsid w:val="0064508C"/>
    <w:rsid w:val="0064586B"/>
    <w:rsid w:val="00645A18"/>
    <w:rsid w:val="00646295"/>
    <w:rsid w:val="006468A0"/>
    <w:rsid w:val="00646C34"/>
    <w:rsid w:val="006471FB"/>
    <w:rsid w:val="00647BF0"/>
    <w:rsid w:val="00650018"/>
    <w:rsid w:val="006523E0"/>
    <w:rsid w:val="006551AB"/>
    <w:rsid w:val="00655448"/>
    <w:rsid w:val="0065668C"/>
    <w:rsid w:val="00656C19"/>
    <w:rsid w:val="00656E32"/>
    <w:rsid w:val="00656EBA"/>
    <w:rsid w:val="0065701D"/>
    <w:rsid w:val="006575ED"/>
    <w:rsid w:val="0065788E"/>
    <w:rsid w:val="00660040"/>
    <w:rsid w:val="00660BAC"/>
    <w:rsid w:val="00660C3A"/>
    <w:rsid w:val="00660E06"/>
    <w:rsid w:val="00660E51"/>
    <w:rsid w:val="0066193F"/>
    <w:rsid w:val="00661A7C"/>
    <w:rsid w:val="006623BE"/>
    <w:rsid w:val="00664130"/>
    <w:rsid w:val="00665E4A"/>
    <w:rsid w:val="006663D4"/>
    <w:rsid w:val="00666DD3"/>
    <w:rsid w:val="006671FD"/>
    <w:rsid w:val="00667C0D"/>
    <w:rsid w:val="0067065F"/>
    <w:rsid w:val="00672B6B"/>
    <w:rsid w:val="006732A4"/>
    <w:rsid w:val="00673B89"/>
    <w:rsid w:val="00674FAA"/>
    <w:rsid w:val="00675117"/>
    <w:rsid w:val="006755E2"/>
    <w:rsid w:val="0067579A"/>
    <w:rsid w:val="00676750"/>
    <w:rsid w:val="00676FE7"/>
    <w:rsid w:val="00677097"/>
    <w:rsid w:val="00681C27"/>
    <w:rsid w:val="00682224"/>
    <w:rsid w:val="006825D4"/>
    <w:rsid w:val="00683141"/>
    <w:rsid w:val="006836FB"/>
    <w:rsid w:val="00683937"/>
    <w:rsid w:val="00683DED"/>
    <w:rsid w:val="00684146"/>
    <w:rsid w:val="00684334"/>
    <w:rsid w:val="00684C53"/>
    <w:rsid w:val="006855B2"/>
    <w:rsid w:val="00690CCB"/>
    <w:rsid w:val="0069103E"/>
    <w:rsid w:val="006911F2"/>
    <w:rsid w:val="00691F8E"/>
    <w:rsid w:val="006920B1"/>
    <w:rsid w:val="00692FD3"/>
    <w:rsid w:val="006931E2"/>
    <w:rsid w:val="00694273"/>
    <w:rsid w:val="006945F0"/>
    <w:rsid w:val="00695A1B"/>
    <w:rsid w:val="00695FBD"/>
    <w:rsid w:val="006968FB"/>
    <w:rsid w:val="00697351"/>
    <w:rsid w:val="006A08A6"/>
    <w:rsid w:val="006A0A8F"/>
    <w:rsid w:val="006A1277"/>
    <w:rsid w:val="006A159F"/>
    <w:rsid w:val="006A28D6"/>
    <w:rsid w:val="006A302B"/>
    <w:rsid w:val="006A4499"/>
    <w:rsid w:val="006A78CD"/>
    <w:rsid w:val="006B0156"/>
    <w:rsid w:val="006B027C"/>
    <w:rsid w:val="006B130E"/>
    <w:rsid w:val="006B1AB4"/>
    <w:rsid w:val="006B20DF"/>
    <w:rsid w:val="006B2915"/>
    <w:rsid w:val="006B2A5F"/>
    <w:rsid w:val="006B4EE8"/>
    <w:rsid w:val="006B5AEC"/>
    <w:rsid w:val="006B62A6"/>
    <w:rsid w:val="006B69E9"/>
    <w:rsid w:val="006C0E22"/>
    <w:rsid w:val="006C453D"/>
    <w:rsid w:val="006C6339"/>
    <w:rsid w:val="006C654A"/>
    <w:rsid w:val="006C6A53"/>
    <w:rsid w:val="006C7B07"/>
    <w:rsid w:val="006C7F34"/>
    <w:rsid w:val="006D000D"/>
    <w:rsid w:val="006D0548"/>
    <w:rsid w:val="006D0554"/>
    <w:rsid w:val="006D08C7"/>
    <w:rsid w:val="006D1553"/>
    <w:rsid w:val="006D3163"/>
    <w:rsid w:val="006D429A"/>
    <w:rsid w:val="006D4729"/>
    <w:rsid w:val="006D4981"/>
    <w:rsid w:val="006D5C01"/>
    <w:rsid w:val="006D5E59"/>
    <w:rsid w:val="006D5E8E"/>
    <w:rsid w:val="006D6243"/>
    <w:rsid w:val="006D6403"/>
    <w:rsid w:val="006D70BC"/>
    <w:rsid w:val="006D74CC"/>
    <w:rsid w:val="006D794C"/>
    <w:rsid w:val="006E04E2"/>
    <w:rsid w:val="006E0CB9"/>
    <w:rsid w:val="006E19F1"/>
    <w:rsid w:val="006E35F2"/>
    <w:rsid w:val="006E41C6"/>
    <w:rsid w:val="006E4541"/>
    <w:rsid w:val="006E6CC5"/>
    <w:rsid w:val="006E722B"/>
    <w:rsid w:val="006E746E"/>
    <w:rsid w:val="006F298E"/>
    <w:rsid w:val="006F2E60"/>
    <w:rsid w:val="006F40B1"/>
    <w:rsid w:val="006F4298"/>
    <w:rsid w:val="006F48B7"/>
    <w:rsid w:val="006F4EC8"/>
    <w:rsid w:val="006F524A"/>
    <w:rsid w:val="00700752"/>
    <w:rsid w:val="00700D77"/>
    <w:rsid w:val="00702ABA"/>
    <w:rsid w:val="00702F1C"/>
    <w:rsid w:val="00703698"/>
    <w:rsid w:val="0070481A"/>
    <w:rsid w:val="007055DE"/>
    <w:rsid w:val="007064AD"/>
    <w:rsid w:val="00711288"/>
    <w:rsid w:val="00711B1E"/>
    <w:rsid w:val="0071265D"/>
    <w:rsid w:val="0071391E"/>
    <w:rsid w:val="007148F5"/>
    <w:rsid w:val="00714B50"/>
    <w:rsid w:val="00715D2A"/>
    <w:rsid w:val="0071648E"/>
    <w:rsid w:val="007165D4"/>
    <w:rsid w:val="00717B9B"/>
    <w:rsid w:val="00717C08"/>
    <w:rsid w:val="00717FA7"/>
    <w:rsid w:val="00720922"/>
    <w:rsid w:val="0072118F"/>
    <w:rsid w:val="007213E6"/>
    <w:rsid w:val="0072140F"/>
    <w:rsid w:val="00721ABB"/>
    <w:rsid w:val="00723754"/>
    <w:rsid w:val="00723924"/>
    <w:rsid w:val="007242A8"/>
    <w:rsid w:val="00724C07"/>
    <w:rsid w:val="00725315"/>
    <w:rsid w:val="00725DCB"/>
    <w:rsid w:val="00725EB0"/>
    <w:rsid w:val="00726E30"/>
    <w:rsid w:val="00727500"/>
    <w:rsid w:val="007304CF"/>
    <w:rsid w:val="00731A3B"/>
    <w:rsid w:val="00733847"/>
    <w:rsid w:val="00733B91"/>
    <w:rsid w:val="00734E8D"/>
    <w:rsid w:val="00735D00"/>
    <w:rsid w:val="00737474"/>
    <w:rsid w:val="007404F4"/>
    <w:rsid w:val="00740BC0"/>
    <w:rsid w:val="00741331"/>
    <w:rsid w:val="00741DE8"/>
    <w:rsid w:val="00743D87"/>
    <w:rsid w:val="00743E81"/>
    <w:rsid w:val="0074485B"/>
    <w:rsid w:val="00746A56"/>
    <w:rsid w:val="00750AA3"/>
    <w:rsid w:val="007530E6"/>
    <w:rsid w:val="0075555D"/>
    <w:rsid w:val="00756B08"/>
    <w:rsid w:val="007614E4"/>
    <w:rsid w:val="00761DD0"/>
    <w:rsid w:val="00762E9E"/>
    <w:rsid w:val="00764F82"/>
    <w:rsid w:val="0076517A"/>
    <w:rsid w:val="007651B5"/>
    <w:rsid w:val="00767088"/>
    <w:rsid w:val="0076755A"/>
    <w:rsid w:val="0077153A"/>
    <w:rsid w:val="0077189D"/>
    <w:rsid w:val="00772159"/>
    <w:rsid w:val="007723BF"/>
    <w:rsid w:val="007749A6"/>
    <w:rsid w:val="00775539"/>
    <w:rsid w:val="00775D47"/>
    <w:rsid w:val="007775BC"/>
    <w:rsid w:val="00780295"/>
    <w:rsid w:val="00780748"/>
    <w:rsid w:val="00781C5D"/>
    <w:rsid w:val="0078280D"/>
    <w:rsid w:val="007835B9"/>
    <w:rsid w:val="0078452A"/>
    <w:rsid w:val="00786BDF"/>
    <w:rsid w:val="00787084"/>
    <w:rsid w:val="007879FF"/>
    <w:rsid w:val="00790A59"/>
    <w:rsid w:val="00792997"/>
    <w:rsid w:val="00793A81"/>
    <w:rsid w:val="00793C68"/>
    <w:rsid w:val="007951E8"/>
    <w:rsid w:val="00795890"/>
    <w:rsid w:val="00796517"/>
    <w:rsid w:val="007974B0"/>
    <w:rsid w:val="007A067A"/>
    <w:rsid w:val="007A226C"/>
    <w:rsid w:val="007A2825"/>
    <w:rsid w:val="007A3663"/>
    <w:rsid w:val="007A5B04"/>
    <w:rsid w:val="007A7926"/>
    <w:rsid w:val="007B174E"/>
    <w:rsid w:val="007B2AC8"/>
    <w:rsid w:val="007B2E80"/>
    <w:rsid w:val="007B2FDF"/>
    <w:rsid w:val="007B3197"/>
    <w:rsid w:val="007B4201"/>
    <w:rsid w:val="007B51AF"/>
    <w:rsid w:val="007B562B"/>
    <w:rsid w:val="007B6124"/>
    <w:rsid w:val="007B6B40"/>
    <w:rsid w:val="007B7B9B"/>
    <w:rsid w:val="007C01FA"/>
    <w:rsid w:val="007C026B"/>
    <w:rsid w:val="007C0FBF"/>
    <w:rsid w:val="007C15D0"/>
    <w:rsid w:val="007C160D"/>
    <w:rsid w:val="007C1768"/>
    <w:rsid w:val="007C25C4"/>
    <w:rsid w:val="007C2968"/>
    <w:rsid w:val="007C2AB7"/>
    <w:rsid w:val="007C5A10"/>
    <w:rsid w:val="007C609E"/>
    <w:rsid w:val="007C6291"/>
    <w:rsid w:val="007C645A"/>
    <w:rsid w:val="007C64C0"/>
    <w:rsid w:val="007C65CD"/>
    <w:rsid w:val="007C6A67"/>
    <w:rsid w:val="007C6BF7"/>
    <w:rsid w:val="007C6ED4"/>
    <w:rsid w:val="007C741A"/>
    <w:rsid w:val="007C7DF4"/>
    <w:rsid w:val="007D0859"/>
    <w:rsid w:val="007D177D"/>
    <w:rsid w:val="007D1A0B"/>
    <w:rsid w:val="007D274C"/>
    <w:rsid w:val="007D2C84"/>
    <w:rsid w:val="007D3965"/>
    <w:rsid w:val="007D53A2"/>
    <w:rsid w:val="007D6731"/>
    <w:rsid w:val="007D6A55"/>
    <w:rsid w:val="007E0324"/>
    <w:rsid w:val="007E068B"/>
    <w:rsid w:val="007E0B9C"/>
    <w:rsid w:val="007E19C5"/>
    <w:rsid w:val="007E1B80"/>
    <w:rsid w:val="007E1D45"/>
    <w:rsid w:val="007E21F1"/>
    <w:rsid w:val="007E374F"/>
    <w:rsid w:val="007E4BE7"/>
    <w:rsid w:val="007E59F3"/>
    <w:rsid w:val="007E5B0B"/>
    <w:rsid w:val="007E6342"/>
    <w:rsid w:val="007E740A"/>
    <w:rsid w:val="007F0151"/>
    <w:rsid w:val="007F066D"/>
    <w:rsid w:val="007F08EE"/>
    <w:rsid w:val="007F0ABA"/>
    <w:rsid w:val="007F0D64"/>
    <w:rsid w:val="007F2236"/>
    <w:rsid w:val="007F237B"/>
    <w:rsid w:val="007F3B15"/>
    <w:rsid w:val="007F3B72"/>
    <w:rsid w:val="007F3BBD"/>
    <w:rsid w:val="007F53B9"/>
    <w:rsid w:val="007F5DD7"/>
    <w:rsid w:val="007F6460"/>
    <w:rsid w:val="007F682F"/>
    <w:rsid w:val="007F6AF3"/>
    <w:rsid w:val="007F73CC"/>
    <w:rsid w:val="007F7CA4"/>
    <w:rsid w:val="00800A8A"/>
    <w:rsid w:val="008016D6"/>
    <w:rsid w:val="00802D25"/>
    <w:rsid w:val="0080344D"/>
    <w:rsid w:val="00804342"/>
    <w:rsid w:val="00804E9F"/>
    <w:rsid w:val="00807B0F"/>
    <w:rsid w:val="00807FA0"/>
    <w:rsid w:val="0081055D"/>
    <w:rsid w:val="00810B29"/>
    <w:rsid w:val="008112C7"/>
    <w:rsid w:val="008116AA"/>
    <w:rsid w:val="00811D9F"/>
    <w:rsid w:val="00812324"/>
    <w:rsid w:val="008123F5"/>
    <w:rsid w:val="008126BC"/>
    <w:rsid w:val="00813213"/>
    <w:rsid w:val="0081387B"/>
    <w:rsid w:val="00813C92"/>
    <w:rsid w:val="00816148"/>
    <w:rsid w:val="00816974"/>
    <w:rsid w:val="0081781D"/>
    <w:rsid w:val="00817F8C"/>
    <w:rsid w:val="00820716"/>
    <w:rsid w:val="00822369"/>
    <w:rsid w:val="008225E8"/>
    <w:rsid w:val="00823351"/>
    <w:rsid w:val="00823C5A"/>
    <w:rsid w:val="00826830"/>
    <w:rsid w:val="008301A2"/>
    <w:rsid w:val="00830609"/>
    <w:rsid w:val="00830D8D"/>
    <w:rsid w:val="00831C3F"/>
    <w:rsid w:val="00832DA8"/>
    <w:rsid w:val="00833D8C"/>
    <w:rsid w:val="0083438D"/>
    <w:rsid w:val="00834686"/>
    <w:rsid w:val="008347D0"/>
    <w:rsid w:val="00834A84"/>
    <w:rsid w:val="00835427"/>
    <w:rsid w:val="00835593"/>
    <w:rsid w:val="00836EBB"/>
    <w:rsid w:val="00840123"/>
    <w:rsid w:val="0084093B"/>
    <w:rsid w:val="008412C4"/>
    <w:rsid w:val="00842203"/>
    <w:rsid w:val="00842862"/>
    <w:rsid w:val="00842D66"/>
    <w:rsid w:val="0084440B"/>
    <w:rsid w:val="0084557E"/>
    <w:rsid w:val="008455B0"/>
    <w:rsid w:val="008464E0"/>
    <w:rsid w:val="00846652"/>
    <w:rsid w:val="00846AE1"/>
    <w:rsid w:val="00846CFF"/>
    <w:rsid w:val="008478FE"/>
    <w:rsid w:val="00851556"/>
    <w:rsid w:val="008535DA"/>
    <w:rsid w:val="008553AF"/>
    <w:rsid w:val="00856140"/>
    <w:rsid w:val="00856330"/>
    <w:rsid w:val="0085707F"/>
    <w:rsid w:val="00857468"/>
    <w:rsid w:val="008574F2"/>
    <w:rsid w:val="00860025"/>
    <w:rsid w:val="00860282"/>
    <w:rsid w:val="00862114"/>
    <w:rsid w:val="0086249D"/>
    <w:rsid w:val="00862E7C"/>
    <w:rsid w:val="00862F98"/>
    <w:rsid w:val="008633FC"/>
    <w:rsid w:val="00863FF2"/>
    <w:rsid w:val="00864B4C"/>
    <w:rsid w:val="00864BFC"/>
    <w:rsid w:val="008651D9"/>
    <w:rsid w:val="00867578"/>
    <w:rsid w:val="0086760A"/>
    <w:rsid w:val="00872A14"/>
    <w:rsid w:val="00873971"/>
    <w:rsid w:val="008745FE"/>
    <w:rsid w:val="008749B0"/>
    <w:rsid w:val="00874EFD"/>
    <w:rsid w:val="008753F7"/>
    <w:rsid w:val="00875603"/>
    <w:rsid w:val="00880E97"/>
    <w:rsid w:val="00882CC3"/>
    <w:rsid w:val="00885221"/>
    <w:rsid w:val="00885A8B"/>
    <w:rsid w:val="0088641E"/>
    <w:rsid w:val="00887341"/>
    <w:rsid w:val="0088778A"/>
    <w:rsid w:val="00887EE6"/>
    <w:rsid w:val="00890CBB"/>
    <w:rsid w:val="008922C8"/>
    <w:rsid w:val="0089274E"/>
    <w:rsid w:val="00892E4B"/>
    <w:rsid w:val="00892FF6"/>
    <w:rsid w:val="00894867"/>
    <w:rsid w:val="00896426"/>
    <w:rsid w:val="00897532"/>
    <w:rsid w:val="00897B18"/>
    <w:rsid w:val="008A1931"/>
    <w:rsid w:val="008A1999"/>
    <w:rsid w:val="008A1F3E"/>
    <w:rsid w:val="008A1FBA"/>
    <w:rsid w:val="008A43A0"/>
    <w:rsid w:val="008A4C7F"/>
    <w:rsid w:val="008A523D"/>
    <w:rsid w:val="008A58DC"/>
    <w:rsid w:val="008A6C58"/>
    <w:rsid w:val="008B13DA"/>
    <w:rsid w:val="008B13E1"/>
    <w:rsid w:val="008B14E6"/>
    <w:rsid w:val="008B33DE"/>
    <w:rsid w:val="008B3741"/>
    <w:rsid w:val="008B4306"/>
    <w:rsid w:val="008B471E"/>
    <w:rsid w:val="008B5B5D"/>
    <w:rsid w:val="008B6653"/>
    <w:rsid w:val="008B733D"/>
    <w:rsid w:val="008B7FE1"/>
    <w:rsid w:val="008C05EC"/>
    <w:rsid w:val="008C0907"/>
    <w:rsid w:val="008C1334"/>
    <w:rsid w:val="008C1F32"/>
    <w:rsid w:val="008C2A29"/>
    <w:rsid w:val="008C2DE9"/>
    <w:rsid w:val="008C3C3A"/>
    <w:rsid w:val="008C4456"/>
    <w:rsid w:val="008C4AEC"/>
    <w:rsid w:val="008C6323"/>
    <w:rsid w:val="008C775F"/>
    <w:rsid w:val="008C7FC4"/>
    <w:rsid w:val="008D01CF"/>
    <w:rsid w:val="008D390C"/>
    <w:rsid w:val="008D405F"/>
    <w:rsid w:val="008D41CB"/>
    <w:rsid w:val="008D5CAA"/>
    <w:rsid w:val="008D6E08"/>
    <w:rsid w:val="008D778E"/>
    <w:rsid w:val="008D7D60"/>
    <w:rsid w:val="008D7EA7"/>
    <w:rsid w:val="008E218A"/>
    <w:rsid w:val="008E21DF"/>
    <w:rsid w:val="008E4208"/>
    <w:rsid w:val="008E4481"/>
    <w:rsid w:val="008E54D6"/>
    <w:rsid w:val="008E5BB5"/>
    <w:rsid w:val="008E6469"/>
    <w:rsid w:val="008E691E"/>
    <w:rsid w:val="008E69A0"/>
    <w:rsid w:val="008F05E0"/>
    <w:rsid w:val="008F0683"/>
    <w:rsid w:val="008F072B"/>
    <w:rsid w:val="008F113C"/>
    <w:rsid w:val="008F12C5"/>
    <w:rsid w:val="008F136C"/>
    <w:rsid w:val="008F1429"/>
    <w:rsid w:val="008F19D5"/>
    <w:rsid w:val="008F1BD0"/>
    <w:rsid w:val="008F2609"/>
    <w:rsid w:val="008F267A"/>
    <w:rsid w:val="008F2C50"/>
    <w:rsid w:val="008F2C76"/>
    <w:rsid w:val="008F321E"/>
    <w:rsid w:val="008F3504"/>
    <w:rsid w:val="008F3FBE"/>
    <w:rsid w:val="008F5794"/>
    <w:rsid w:val="008F5FD4"/>
    <w:rsid w:val="008F6BE3"/>
    <w:rsid w:val="008F6D0C"/>
    <w:rsid w:val="008F7836"/>
    <w:rsid w:val="008F7BB7"/>
    <w:rsid w:val="008F7D23"/>
    <w:rsid w:val="009001BD"/>
    <w:rsid w:val="00903348"/>
    <w:rsid w:val="0090494A"/>
    <w:rsid w:val="0090516B"/>
    <w:rsid w:val="00905CD0"/>
    <w:rsid w:val="009060B8"/>
    <w:rsid w:val="00907C28"/>
    <w:rsid w:val="00910A95"/>
    <w:rsid w:val="00912593"/>
    <w:rsid w:val="00912CFE"/>
    <w:rsid w:val="009134C5"/>
    <w:rsid w:val="00913A20"/>
    <w:rsid w:val="009146AD"/>
    <w:rsid w:val="00914A04"/>
    <w:rsid w:val="00915EB0"/>
    <w:rsid w:val="009173C2"/>
    <w:rsid w:val="00921947"/>
    <w:rsid w:val="0092236C"/>
    <w:rsid w:val="009229BC"/>
    <w:rsid w:val="0092395E"/>
    <w:rsid w:val="00923A62"/>
    <w:rsid w:val="00923E9B"/>
    <w:rsid w:val="009241B4"/>
    <w:rsid w:val="00925E0E"/>
    <w:rsid w:val="009279B3"/>
    <w:rsid w:val="00927B51"/>
    <w:rsid w:val="009306AA"/>
    <w:rsid w:val="00930915"/>
    <w:rsid w:val="009325A6"/>
    <w:rsid w:val="00933610"/>
    <w:rsid w:val="00934A6C"/>
    <w:rsid w:val="0093569E"/>
    <w:rsid w:val="00935A58"/>
    <w:rsid w:val="00936AC4"/>
    <w:rsid w:val="0094033E"/>
    <w:rsid w:val="00940A71"/>
    <w:rsid w:val="0094124F"/>
    <w:rsid w:val="0094150C"/>
    <w:rsid w:val="00944123"/>
    <w:rsid w:val="0094483C"/>
    <w:rsid w:val="00945562"/>
    <w:rsid w:val="00946283"/>
    <w:rsid w:val="00946B29"/>
    <w:rsid w:val="00946E5A"/>
    <w:rsid w:val="009479D8"/>
    <w:rsid w:val="00947C89"/>
    <w:rsid w:val="00950A16"/>
    <w:rsid w:val="009514F6"/>
    <w:rsid w:val="00952A40"/>
    <w:rsid w:val="00952A52"/>
    <w:rsid w:val="0095351A"/>
    <w:rsid w:val="009538C2"/>
    <w:rsid w:val="00953999"/>
    <w:rsid w:val="00955023"/>
    <w:rsid w:val="00956B49"/>
    <w:rsid w:val="00956F27"/>
    <w:rsid w:val="0096111E"/>
    <w:rsid w:val="0096251B"/>
    <w:rsid w:val="009646B6"/>
    <w:rsid w:val="00964E27"/>
    <w:rsid w:val="009654F4"/>
    <w:rsid w:val="009663BE"/>
    <w:rsid w:val="0096716A"/>
    <w:rsid w:val="00971E46"/>
    <w:rsid w:val="00972722"/>
    <w:rsid w:val="00972CF2"/>
    <w:rsid w:val="00972FBA"/>
    <w:rsid w:val="00973EFB"/>
    <w:rsid w:val="00973F71"/>
    <w:rsid w:val="0097583C"/>
    <w:rsid w:val="00976A9F"/>
    <w:rsid w:val="009773EE"/>
    <w:rsid w:val="00977828"/>
    <w:rsid w:val="00977D91"/>
    <w:rsid w:val="00980177"/>
    <w:rsid w:val="00980A3E"/>
    <w:rsid w:val="009820B0"/>
    <w:rsid w:val="00983B15"/>
    <w:rsid w:val="00984E6D"/>
    <w:rsid w:val="00985BAE"/>
    <w:rsid w:val="00985E64"/>
    <w:rsid w:val="0098697A"/>
    <w:rsid w:val="00986B0C"/>
    <w:rsid w:val="00990ACA"/>
    <w:rsid w:val="009919EE"/>
    <w:rsid w:val="009928FE"/>
    <w:rsid w:val="00992D76"/>
    <w:rsid w:val="00993494"/>
    <w:rsid w:val="0099490C"/>
    <w:rsid w:val="0099636A"/>
    <w:rsid w:val="00997803"/>
    <w:rsid w:val="009978D1"/>
    <w:rsid w:val="00997945"/>
    <w:rsid w:val="00997C4A"/>
    <w:rsid w:val="009A0C83"/>
    <w:rsid w:val="009A160A"/>
    <w:rsid w:val="009A2F35"/>
    <w:rsid w:val="009A405B"/>
    <w:rsid w:val="009A4310"/>
    <w:rsid w:val="009A4A30"/>
    <w:rsid w:val="009A4F2D"/>
    <w:rsid w:val="009A5B79"/>
    <w:rsid w:val="009A5E2D"/>
    <w:rsid w:val="009B04A0"/>
    <w:rsid w:val="009B1164"/>
    <w:rsid w:val="009B142B"/>
    <w:rsid w:val="009B14B1"/>
    <w:rsid w:val="009B30CC"/>
    <w:rsid w:val="009B7A03"/>
    <w:rsid w:val="009C06B0"/>
    <w:rsid w:val="009C0923"/>
    <w:rsid w:val="009C3EA7"/>
    <w:rsid w:val="009C45E0"/>
    <w:rsid w:val="009C4C59"/>
    <w:rsid w:val="009C5DB4"/>
    <w:rsid w:val="009C7DF3"/>
    <w:rsid w:val="009D1E27"/>
    <w:rsid w:val="009D2805"/>
    <w:rsid w:val="009D41D6"/>
    <w:rsid w:val="009D4479"/>
    <w:rsid w:val="009D4577"/>
    <w:rsid w:val="009D48B1"/>
    <w:rsid w:val="009D4DC0"/>
    <w:rsid w:val="009D644A"/>
    <w:rsid w:val="009D713E"/>
    <w:rsid w:val="009D73D2"/>
    <w:rsid w:val="009E1C07"/>
    <w:rsid w:val="009E1CFD"/>
    <w:rsid w:val="009E1DAB"/>
    <w:rsid w:val="009E36C4"/>
    <w:rsid w:val="009E3BDF"/>
    <w:rsid w:val="009E3C84"/>
    <w:rsid w:val="009E41F8"/>
    <w:rsid w:val="009E491E"/>
    <w:rsid w:val="009E4B45"/>
    <w:rsid w:val="009E5180"/>
    <w:rsid w:val="009E5499"/>
    <w:rsid w:val="009E5AB1"/>
    <w:rsid w:val="009E5B84"/>
    <w:rsid w:val="009E6BCE"/>
    <w:rsid w:val="009E7D9B"/>
    <w:rsid w:val="009F031B"/>
    <w:rsid w:val="009F0B82"/>
    <w:rsid w:val="009F0E73"/>
    <w:rsid w:val="009F2E26"/>
    <w:rsid w:val="009F454C"/>
    <w:rsid w:val="009F5587"/>
    <w:rsid w:val="009F6030"/>
    <w:rsid w:val="009F6B35"/>
    <w:rsid w:val="009F7AC8"/>
    <w:rsid w:val="00A0072F"/>
    <w:rsid w:val="00A00F62"/>
    <w:rsid w:val="00A023C2"/>
    <w:rsid w:val="00A03B5E"/>
    <w:rsid w:val="00A03F28"/>
    <w:rsid w:val="00A04D79"/>
    <w:rsid w:val="00A07397"/>
    <w:rsid w:val="00A07B3F"/>
    <w:rsid w:val="00A1048F"/>
    <w:rsid w:val="00A11A09"/>
    <w:rsid w:val="00A14C99"/>
    <w:rsid w:val="00A14E88"/>
    <w:rsid w:val="00A156E7"/>
    <w:rsid w:val="00A15CF9"/>
    <w:rsid w:val="00A17403"/>
    <w:rsid w:val="00A17B39"/>
    <w:rsid w:val="00A17F95"/>
    <w:rsid w:val="00A20395"/>
    <w:rsid w:val="00A20997"/>
    <w:rsid w:val="00A20C00"/>
    <w:rsid w:val="00A20E6C"/>
    <w:rsid w:val="00A21078"/>
    <w:rsid w:val="00A21749"/>
    <w:rsid w:val="00A21D56"/>
    <w:rsid w:val="00A21F67"/>
    <w:rsid w:val="00A22226"/>
    <w:rsid w:val="00A2234E"/>
    <w:rsid w:val="00A22632"/>
    <w:rsid w:val="00A22AB1"/>
    <w:rsid w:val="00A22E8B"/>
    <w:rsid w:val="00A26D2C"/>
    <w:rsid w:val="00A271C5"/>
    <w:rsid w:val="00A275F7"/>
    <w:rsid w:val="00A30245"/>
    <w:rsid w:val="00A31880"/>
    <w:rsid w:val="00A318A1"/>
    <w:rsid w:val="00A3201F"/>
    <w:rsid w:val="00A3253C"/>
    <w:rsid w:val="00A35691"/>
    <w:rsid w:val="00A3760C"/>
    <w:rsid w:val="00A37B47"/>
    <w:rsid w:val="00A411E0"/>
    <w:rsid w:val="00A4134E"/>
    <w:rsid w:val="00A41858"/>
    <w:rsid w:val="00A41C97"/>
    <w:rsid w:val="00A42CF4"/>
    <w:rsid w:val="00A43A42"/>
    <w:rsid w:val="00A43AFB"/>
    <w:rsid w:val="00A43EEE"/>
    <w:rsid w:val="00A448DB"/>
    <w:rsid w:val="00A44960"/>
    <w:rsid w:val="00A45CCC"/>
    <w:rsid w:val="00A4706C"/>
    <w:rsid w:val="00A4766F"/>
    <w:rsid w:val="00A47A4C"/>
    <w:rsid w:val="00A50D0B"/>
    <w:rsid w:val="00A50E47"/>
    <w:rsid w:val="00A51B47"/>
    <w:rsid w:val="00A52E56"/>
    <w:rsid w:val="00A53007"/>
    <w:rsid w:val="00A538BC"/>
    <w:rsid w:val="00A53AD2"/>
    <w:rsid w:val="00A5499E"/>
    <w:rsid w:val="00A54C6B"/>
    <w:rsid w:val="00A558EA"/>
    <w:rsid w:val="00A563DA"/>
    <w:rsid w:val="00A566E5"/>
    <w:rsid w:val="00A56A85"/>
    <w:rsid w:val="00A5711B"/>
    <w:rsid w:val="00A574E3"/>
    <w:rsid w:val="00A57E28"/>
    <w:rsid w:val="00A60DEE"/>
    <w:rsid w:val="00A60F8A"/>
    <w:rsid w:val="00A61B90"/>
    <w:rsid w:val="00A61E93"/>
    <w:rsid w:val="00A61FBA"/>
    <w:rsid w:val="00A6264B"/>
    <w:rsid w:val="00A63EEB"/>
    <w:rsid w:val="00A64BC4"/>
    <w:rsid w:val="00A653AE"/>
    <w:rsid w:val="00A6665B"/>
    <w:rsid w:val="00A67CA5"/>
    <w:rsid w:val="00A7012F"/>
    <w:rsid w:val="00A71504"/>
    <w:rsid w:val="00A7151E"/>
    <w:rsid w:val="00A71540"/>
    <w:rsid w:val="00A72AC4"/>
    <w:rsid w:val="00A72DFF"/>
    <w:rsid w:val="00A739B5"/>
    <w:rsid w:val="00A75B0B"/>
    <w:rsid w:val="00A75C3A"/>
    <w:rsid w:val="00A76A46"/>
    <w:rsid w:val="00A77711"/>
    <w:rsid w:val="00A777A9"/>
    <w:rsid w:val="00A77B30"/>
    <w:rsid w:val="00A80989"/>
    <w:rsid w:val="00A81A99"/>
    <w:rsid w:val="00A8505B"/>
    <w:rsid w:val="00A8526C"/>
    <w:rsid w:val="00A87015"/>
    <w:rsid w:val="00A87A57"/>
    <w:rsid w:val="00A87B0A"/>
    <w:rsid w:val="00A9003D"/>
    <w:rsid w:val="00A91482"/>
    <w:rsid w:val="00A91D35"/>
    <w:rsid w:val="00A92987"/>
    <w:rsid w:val="00A937C5"/>
    <w:rsid w:val="00A941EA"/>
    <w:rsid w:val="00A95410"/>
    <w:rsid w:val="00A95948"/>
    <w:rsid w:val="00A965B4"/>
    <w:rsid w:val="00AA0708"/>
    <w:rsid w:val="00AA1B9E"/>
    <w:rsid w:val="00AA3CEF"/>
    <w:rsid w:val="00AA4429"/>
    <w:rsid w:val="00AA5165"/>
    <w:rsid w:val="00AB09E4"/>
    <w:rsid w:val="00AB0DF6"/>
    <w:rsid w:val="00AB1ED1"/>
    <w:rsid w:val="00AB231C"/>
    <w:rsid w:val="00AB36C6"/>
    <w:rsid w:val="00AB40DD"/>
    <w:rsid w:val="00AB4BA6"/>
    <w:rsid w:val="00AB4CE3"/>
    <w:rsid w:val="00AB5307"/>
    <w:rsid w:val="00AB5E41"/>
    <w:rsid w:val="00AB6278"/>
    <w:rsid w:val="00AB689F"/>
    <w:rsid w:val="00AB6CDF"/>
    <w:rsid w:val="00AB7AFE"/>
    <w:rsid w:val="00AB7D74"/>
    <w:rsid w:val="00AC20B0"/>
    <w:rsid w:val="00AC46AE"/>
    <w:rsid w:val="00AC47E5"/>
    <w:rsid w:val="00AC5225"/>
    <w:rsid w:val="00AC7DA8"/>
    <w:rsid w:val="00AD023D"/>
    <w:rsid w:val="00AD0619"/>
    <w:rsid w:val="00AD0A73"/>
    <w:rsid w:val="00AD0DC1"/>
    <w:rsid w:val="00AD2D78"/>
    <w:rsid w:val="00AD4F10"/>
    <w:rsid w:val="00AD5D77"/>
    <w:rsid w:val="00AD6175"/>
    <w:rsid w:val="00AD6FB7"/>
    <w:rsid w:val="00AE0624"/>
    <w:rsid w:val="00AE0AEF"/>
    <w:rsid w:val="00AE143C"/>
    <w:rsid w:val="00AE373A"/>
    <w:rsid w:val="00AE3BBD"/>
    <w:rsid w:val="00AE56AB"/>
    <w:rsid w:val="00AE5F99"/>
    <w:rsid w:val="00AE62C8"/>
    <w:rsid w:val="00AE6584"/>
    <w:rsid w:val="00AF00CD"/>
    <w:rsid w:val="00AF0D98"/>
    <w:rsid w:val="00AF109F"/>
    <w:rsid w:val="00AF2ADA"/>
    <w:rsid w:val="00AF2C00"/>
    <w:rsid w:val="00AF2FFA"/>
    <w:rsid w:val="00AF5A8F"/>
    <w:rsid w:val="00AF5EE8"/>
    <w:rsid w:val="00AF6A9D"/>
    <w:rsid w:val="00AF6B3F"/>
    <w:rsid w:val="00AF7A42"/>
    <w:rsid w:val="00AF7C43"/>
    <w:rsid w:val="00B02821"/>
    <w:rsid w:val="00B02FD8"/>
    <w:rsid w:val="00B046FB"/>
    <w:rsid w:val="00B048BA"/>
    <w:rsid w:val="00B04BEA"/>
    <w:rsid w:val="00B054DA"/>
    <w:rsid w:val="00B071FC"/>
    <w:rsid w:val="00B07691"/>
    <w:rsid w:val="00B0773E"/>
    <w:rsid w:val="00B10005"/>
    <w:rsid w:val="00B10313"/>
    <w:rsid w:val="00B116F0"/>
    <w:rsid w:val="00B1300A"/>
    <w:rsid w:val="00B13D3D"/>
    <w:rsid w:val="00B14F75"/>
    <w:rsid w:val="00B154D7"/>
    <w:rsid w:val="00B15CF6"/>
    <w:rsid w:val="00B1665C"/>
    <w:rsid w:val="00B17784"/>
    <w:rsid w:val="00B20E1A"/>
    <w:rsid w:val="00B23F7D"/>
    <w:rsid w:val="00B2422F"/>
    <w:rsid w:val="00B24695"/>
    <w:rsid w:val="00B24BEF"/>
    <w:rsid w:val="00B25FCF"/>
    <w:rsid w:val="00B26662"/>
    <w:rsid w:val="00B31302"/>
    <w:rsid w:val="00B31E22"/>
    <w:rsid w:val="00B322A1"/>
    <w:rsid w:val="00B32484"/>
    <w:rsid w:val="00B330EF"/>
    <w:rsid w:val="00B33700"/>
    <w:rsid w:val="00B33DFE"/>
    <w:rsid w:val="00B341AC"/>
    <w:rsid w:val="00B341BF"/>
    <w:rsid w:val="00B34F41"/>
    <w:rsid w:val="00B353A9"/>
    <w:rsid w:val="00B35D16"/>
    <w:rsid w:val="00B360D7"/>
    <w:rsid w:val="00B3617E"/>
    <w:rsid w:val="00B36940"/>
    <w:rsid w:val="00B37E90"/>
    <w:rsid w:val="00B41724"/>
    <w:rsid w:val="00B42CBD"/>
    <w:rsid w:val="00B43256"/>
    <w:rsid w:val="00B43B9B"/>
    <w:rsid w:val="00B43BBA"/>
    <w:rsid w:val="00B43D69"/>
    <w:rsid w:val="00B44107"/>
    <w:rsid w:val="00B44ADE"/>
    <w:rsid w:val="00B45A39"/>
    <w:rsid w:val="00B462D4"/>
    <w:rsid w:val="00B5005C"/>
    <w:rsid w:val="00B5075D"/>
    <w:rsid w:val="00B5185C"/>
    <w:rsid w:val="00B5332A"/>
    <w:rsid w:val="00B53BF1"/>
    <w:rsid w:val="00B544AE"/>
    <w:rsid w:val="00B54901"/>
    <w:rsid w:val="00B5576C"/>
    <w:rsid w:val="00B5594B"/>
    <w:rsid w:val="00B563E2"/>
    <w:rsid w:val="00B57A23"/>
    <w:rsid w:val="00B57D43"/>
    <w:rsid w:val="00B60C6A"/>
    <w:rsid w:val="00B61349"/>
    <w:rsid w:val="00B62F2D"/>
    <w:rsid w:val="00B65F5D"/>
    <w:rsid w:val="00B66CF7"/>
    <w:rsid w:val="00B67036"/>
    <w:rsid w:val="00B672F9"/>
    <w:rsid w:val="00B70618"/>
    <w:rsid w:val="00B70B59"/>
    <w:rsid w:val="00B71B9D"/>
    <w:rsid w:val="00B71D6B"/>
    <w:rsid w:val="00B73978"/>
    <w:rsid w:val="00B774B9"/>
    <w:rsid w:val="00B776BF"/>
    <w:rsid w:val="00B811DD"/>
    <w:rsid w:val="00B8175F"/>
    <w:rsid w:val="00B8199F"/>
    <w:rsid w:val="00B81CF7"/>
    <w:rsid w:val="00B81F33"/>
    <w:rsid w:val="00B84065"/>
    <w:rsid w:val="00B846AE"/>
    <w:rsid w:val="00B84838"/>
    <w:rsid w:val="00B84FAE"/>
    <w:rsid w:val="00B850F6"/>
    <w:rsid w:val="00B870A0"/>
    <w:rsid w:val="00B870BC"/>
    <w:rsid w:val="00B93D5A"/>
    <w:rsid w:val="00B93ED2"/>
    <w:rsid w:val="00B94A9C"/>
    <w:rsid w:val="00B96269"/>
    <w:rsid w:val="00B9648E"/>
    <w:rsid w:val="00B96A42"/>
    <w:rsid w:val="00B96C4C"/>
    <w:rsid w:val="00B97090"/>
    <w:rsid w:val="00B97210"/>
    <w:rsid w:val="00BA02EB"/>
    <w:rsid w:val="00BA04E7"/>
    <w:rsid w:val="00BA05E8"/>
    <w:rsid w:val="00BA0ABA"/>
    <w:rsid w:val="00BA218C"/>
    <w:rsid w:val="00BA323B"/>
    <w:rsid w:val="00BA50E0"/>
    <w:rsid w:val="00BA55B8"/>
    <w:rsid w:val="00BA5DF3"/>
    <w:rsid w:val="00BA6234"/>
    <w:rsid w:val="00BA64AE"/>
    <w:rsid w:val="00BA6804"/>
    <w:rsid w:val="00BB0E8D"/>
    <w:rsid w:val="00BB1019"/>
    <w:rsid w:val="00BB20FA"/>
    <w:rsid w:val="00BB29F0"/>
    <w:rsid w:val="00BB2B73"/>
    <w:rsid w:val="00BB39EC"/>
    <w:rsid w:val="00BB48F1"/>
    <w:rsid w:val="00BB4BCD"/>
    <w:rsid w:val="00BB5D12"/>
    <w:rsid w:val="00BB6677"/>
    <w:rsid w:val="00BB6758"/>
    <w:rsid w:val="00BB6F1A"/>
    <w:rsid w:val="00BB7064"/>
    <w:rsid w:val="00BB73BA"/>
    <w:rsid w:val="00BC09C8"/>
    <w:rsid w:val="00BC14A2"/>
    <w:rsid w:val="00BC1D14"/>
    <w:rsid w:val="00BC2090"/>
    <w:rsid w:val="00BC2422"/>
    <w:rsid w:val="00BC2A5C"/>
    <w:rsid w:val="00BC2E6C"/>
    <w:rsid w:val="00BC4157"/>
    <w:rsid w:val="00BC4410"/>
    <w:rsid w:val="00BC460C"/>
    <w:rsid w:val="00BC4896"/>
    <w:rsid w:val="00BC4D62"/>
    <w:rsid w:val="00BC4F32"/>
    <w:rsid w:val="00BC5192"/>
    <w:rsid w:val="00BC55A3"/>
    <w:rsid w:val="00BC7BBF"/>
    <w:rsid w:val="00BD0852"/>
    <w:rsid w:val="00BD162A"/>
    <w:rsid w:val="00BD194A"/>
    <w:rsid w:val="00BD1EA5"/>
    <w:rsid w:val="00BD1EC0"/>
    <w:rsid w:val="00BD2365"/>
    <w:rsid w:val="00BD2789"/>
    <w:rsid w:val="00BD3258"/>
    <w:rsid w:val="00BD3886"/>
    <w:rsid w:val="00BD40F7"/>
    <w:rsid w:val="00BD4201"/>
    <w:rsid w:val="00BD4E9F"/>
    <w:rsid w:val="00BD5425"/>
    <w:rsid w:val="00BD65FE"/>
    <w:rsid w:val="00BD6E78"/>
    <w:rsid w:val="00BD70C8"/>
    <w:rsid w:val="00BD7D9E"/>
    <w:rsid w:val="00BE0AA9"/>
    <w:rsid w:val="00BE3609"/>
    <w:rsid w:val="00BE4558"/>
    <w:rsid w:val="00BE477C"/>
    <w:rsid w:val="00BE5918"/>
    <w:rsid w:val="00BE5AEC"/>
    <w:rsid w:val="00BE7131"/>
    <w:rsid w:val="00BF0943"/>
    <w:rsid w:val="00BF0C62"/>
    <w:rsid w:val="00BF0D2D"/>
    <w:rsid w:val="00BF170E"/>
    <w:rsid w:val="00BF2095"/>
    <w:rsid w:val="00BF3D39"/>
    <w:rsid w:val="00BF3EED"/>
    <w:rsid w:val="00BF3F51"/>
    <w:rsid w:val="00BF4757"/>
    <w:rsid w:val="00BF77FD"/>
    <w:rsid w:val="00BF7ABC"/>
    <w:rsid w:val="00BF7C01"/>
    <w:rsid w:val="00C00E28"/>
    <w:rsid w:val="00C037CA"/>
    <w:rsid w:val="00C03FFF"/>
    <w:rsid w:val="00C0758F"/>
    <w:rsid w:val="00C07A72"/>
    <w:rsid w:val="00C07B89"/>
    <w:rsid w:val="00C11994"/>
    <w:rsid w:val="00C11C65"/>
    <w:rsid w:val="00C12719"/>
    <w:rsid w:val="00C1293E"/>
    <w:rsid w:val="00C12BDC"/>
    <w:rsid w:val="00C13482"/>
    <w:rsid w:val="00C15B99"/>
    <w:rsid w:val="00C15F03"/>
    <w:rsid w:val="00C163F2"/>
    <w:rsid w:val="00C1794F"/>
    <w:rsid w:val="00C20177"/>
    <w:rsid w:val="00C206D3"/>
    <w:rsid w:val="00C21127"/>
    <w:rsid w:val="00C21760"/>
    <w:rsid w:val="00C2249B"/>
    <w:rsid w:val="00C22625"/>
    <w:rsid w:val="00C22CB9"/>
    <w:rsid w:val="00C23E8E"/>
    <w:rsid w:val="00C2516D"/>
    <w:rsid w:val="00C259E0"/>
    <w:rsid w:val="00C260E6"/>
    <w:rsid w:val="00C26832"/>
    <w:rsid w:val="00C26B4A"/>
    <w:rsid w:val="00C27646"/>
    <w:rsid w:val="00C27B02"/>
    <w:rsid w:val="00C30B61"/>
    <w:rsid w:val="00C31806"/>
    <w:rsid w:val="00C3272C"/>
    <w:rsid w:val="00C3281E"/>
    <w:rsid w:val="00C331AF"/>
    <w:rsid w:val="00C3337C"/>
    <w:rsid w:val="00C34549"/>
    <w:rsid w:val="00C36CF2"/>
    <w:rsid w:val="00C36EF8"/>
    <w:rsid w:val="00C37D2C"/>
    <w:rsid w:val="00C4052A"/>
    <w:rsid w:val="00C41D6B"/>
    <w:rsid w:val="00C42223"/>
    <w:rsid w:val="00C436FB"/>
    <w:rsid w:val="00C43C77"/>
    <w:rsid w:val="00C44F38"/>
    <w:rsid w:val="00C45EF9"/>
    <w:rsid w:val="00C4711F"/>
    <w:rsid w:val="00C471C2"/>
    <w:rsid w:val="00C50726"/>
    <w:rsid w:val="00C515CB"/>
    <w:rsid w:val="00C51625"/>
    <w:rsid w:val="00C51DE5"/>
    <w:rsid w:val="00C52CF1"/>
    <w:rsid w:val="00C52F90"/>
    <w:rsid w:val="00C53AB3"/>
    <w:rsid w:val="00C53BA8"/>
    <w:rsid w:val="00C54760"/>
    <w:rsid w:val="00C54D48"/>
    <w:rsid w:val="00C54FD1"/>
    <w:rsid w:val="00C5619E"/>
    <w:rsid w:val="00C561DA"/>
    <w:rsid w:val="00C576EF"/>
    <w:rsid w:val="00C60A78"/>
    <w:rsid w:val="00C6144F"/>
    <w:rsid w:val="00C61BAD"/>
    <w:rsid w:val="00C622A8"/>
    <w:rsid w:val="00C62574"/>
    <w:rsid w:val="00C63739"/>
    <w:rsid w:val="00C63C75"/>
    <w:rsid w:val="00C63F0E"/>
    <w:rsid w:val="00C641E8"/>
    <w:rsid w:val="00C67873"/>
    <w:rsid w:val="00C70239"/>
    <w:rsid w:val="00C7141C"/>
    <w:rsid w:val="00C721DE"/>
    <w:rsid w:val="00C72706"/>
    <w:rsid w:val="00C72A9D"/>
    <w:rsid w:val="00C76634"/>
    <w:rsid w:val="00C77D18"/>
    <w:rsid w:val="00C800B6"/>
    <w:rsid w:val="00C809AD"/>
    <w:rsid w:val="00C82224"/>
    <w:rsid w:val="00C82341"/>
    <w:rsid w:val="00C8293F"/>
    <w:rsid w:val="00C85345"/>
    <w:rsid w:val="00C8534D"/>
    <w:rsid w:val="00C8665C"/>
    <w:rsid w:val="00C86CD4"/>
    <w:rsid w:val="00C86EF6"/>
    <w:rsid w:val="00C87E4D"/>
    <w:rsid w:val="00C90204"/>
    <w:rsid w:val="00C910E7"/>
    <w:rsid w:val="00C922F0"/>
    <w:rsid w:val="00C929E9"/>
    <w:rsid w:val="00C9430E"/>
    <w:rsid w:val="00C94A13"/>
    <w:rsid w:val="00C94C31"/>
    <w:rsid w:val="00C95D9D"/>
    <w:rsid w:val="00C96218"/>
    <w:rsid w:val="00C965D0"/>
    <w:rsid w:val="00CA0E2D"/>
    <w:rsid w:val="00CA12C4"/>
    <w:rsid w:val="00CA2D1D"/>
    <w:rsid w:val="00CA2EA3"/>
    <w:rsid w:val="00CA3A81"/>
    <w:rsid w:val="00CA5216"/>
    <w:rsid w:val="00CA67CB"/>
    <w:rsid w:val="00CB09B9"/>
    <w:rsid w:val="00CB19BA"/>
    <w:rsid w:val="00CB35E9"/>
    <w:rsid w:val="00CB4A76"/>
    <w:rsid w:val="00CB5019"/>
    <w:rsid w:val="00CB51CF"/>
    <w:rsid w:val="00CB5ADF"/>
    <w:rsid w:val="00CB7DDA"/>
    <w:rsid w:val="00CB7F74"/>
    <w:rsid w:val="00CC096D"/>
    <w:rsid w:val="00CC3511"/>
    <w:rsid w:val="00CC4C6B"/>
    <w:rsid w:val="00CC5E20"/>
    <w:rsid w:val="00CC63F2"/>
    <w:rsid w:val="00CC6DA2"/>
    <w:rsid w:val="00CC7012"/>
    <w:rsid w:val="00CC70FD"/>
    <w:rsid w:val="00CD34DF"/>
    <w:rsid w:val="00CD3C23"/>
    <w:rsid w:val="00CD3DD7"/>
    <w:rsid w:val="00CD4AA7"/>
    <w:rsid w:val="00CD4F0F"/>
    <w:rsid w:val="00CD4FCD"/>
    <w:rsid w:val="00CD717D"/>
    <w:rsid w:val="00CE1650"/>
    <w:rsid w:val="00CE1C3F"/>
    <w:rsid w:val="00CE1CE5"/>
    <w:rsid w:val="00CE2A76"/>
    <w:rsid w:val="00CE3CDE"/>
    <w:rsid w:val="00CE3D55"/>
    <w:rsid w:val="00CE3E7C"/>
    <w:rsid w:val="00CE4B89"/>
    <w:rsid w:val="00CE5238"/>
    <w:rsid w:val="00CE55F8"/>
    <w:rsid w:val="00CE5C44"/>
    <w:rsid w:val="00CE600E"/>
    <w:rsid w:val="00CE61FB"/>
    <w:rsid w:val="00CE64FF"/>
    <w:rsid w:val="00CF073C"/>
    <w:rsid w:val="00CF0958"/>
    <w:rsid w:val="00CF0DDE"/>
    <w:rsid w:val="00CF0F46"/>
    <w:rsid w:val="00CF10A2"/>
    <w:rsid w:val="00CF1846"/>
    <w:rsid w:val="00CF1F72"/>
    <w:rsid w:val="00CF22A5"/>
    <w:rsid w:val="00CF3B80"/>
    <w:rsid w:val="00CF502B"/>
    <w:rsid w:val="00CF5A5C"/>
    <w:rsid w:val="00D00269"/>
    <w:rsid w:val="00D00C8E"/>
    <w:rsid w:val="00D03D63"/>
    <w:rsid w:val="00D03E35"/>
    <w:rsid w:val="00D04214"/>
    <w:rsid w:val="00D045F0"/>
    <w:rsid w:val="00D04F4F"/>
    <w:rsid w:val="00D06487"/>
    <w:rsid w:val="00D0789A"/>
    <w:rsid w:val="00D10F77"/>
    <w:rsid w:val="00D1167E"/>
    <w:rsid w:val="00D11D79"/>
    <w:rsid w:val="00D11DA8"/>
    <w:rsid w:val="00D1325D"/>
    <w:rsid w:val="00D13AEE"/>
    <w:rsid w:val="00D14732"/>
    <w:rsid w:val="00D15379"/>
    <w:rsid w:val="00D15DC1"/>
    <w:rsid w:val="00D16DC8"/>
    <w:rsid w:val="00D17A45"/>
    <w:rsid w:val="00D200AC"/>
    <w:rsid w:val="00D20CAD"/>
    <w:rsid w:val="00D212B7"/>
    <w:rsid w:val="00D22619"/>
    <w:rsid w:val="00D22B36"/>
    <w:rsid w:val="00D23A90"/>
    <w:rsid w:val="00D245E5"/>
    <w:rsid w:val="00D25077"/>
    <w:rsid w:val="00D25BD0"/>
    <w:rsid w:val="00D26428"/>
    <w:rsid w:val="00D26E25"/>
    <w:rsid w:val="00D26EFD"/>
    <w:rsid w:val="00D27668"/>
    <w:rsid w:val="00D278F0"/>
    <w:rsid w:val="00D27B47"/>
    <w:rsid w:val="00D30607"/>
    <w:rsid w:val="00D3109F"/>
    <w:rsid w:val="00D32B0D"/>
    <w:rsid w:val="00D3557F"/>
    <w:rsid w:val="00D35D7E"/>
    <w:rsid w:val="00D36064"/>
    <w:rsid w:val="00D368D6"/>
    <w:rsid w:val="00D36A71"/>
    <w:rsid w:val="00D372C0"/>
    <w:rsid w:val="00D400E7"/>
    <w:rsid w:val="00D4341B"/>
    <w:rsid w:val="00D44A24"/>
    <w:rsid w:val="00D44BBD"/>
    <w:rsid w:val="00D44C08"/>
    <w:rsid w:val="00D45710"/>
    <w:rsid w:val="00D46AAD"/>
    <w:rsid w:val="00D46FA8"/>
    <w:rsid w:val="00D47FC3"/>
    <w:rsid w:val="00D516B4"/>
    <w:rsid w:val="00D52510"/>
    <w:rsid w:val="00D5255B"/>
    <w:rsid w:val="00D52695"/>
    <w:rsid w:val="00D52D0B"/>
    <w:rsid w:val="00D53619"/>
    <w:rsid w:val="00D54305"/>
    <w:rsid w:val="00D5465F"/>
    <w:rsid w:val="00D558B4"/>
    <w:rsid w:val="00D56D4A"/>
    <w:rsid w:val="00D6010D"/>
    <w:rsid w:val="00D6225F"/>
    <w:rsid w:val="00D628F3"/>
    <w:rsid w:val="00D63802"/>
    <w:rsid w:val="00D6544E"/>
    <w:rsid w:val="00D65FAB"/>
    <w:rsid w:val="00D66AFE"/>
    <w:rsid w:val="00D66BC9"/>
    <w:rsid w:val="00D66BDB"/>
    <w:rsid w:val="00D66C67"/>
    <w:rsid w:val="00D717F9"/>
    <w:rsid w:val="00D74DA8"/>
    <w:rsid w:val="00D7518E"/>
    <w:rsid w:val="00D75912"/>
    <w:rsid w:val="00D7689A"/>
    <w:rsid w:val="00D76E68"/>
    <w:rsid w:val="00D809E5"/>
    <w:rsid w:val="00D82C8A"/>
    <w:rsid w:val="00D8482E"/>
    <w:rsid w:val="00D8557B"/>
    <w:rsid w:val="00D85759"/>
    <w:rsid w:val="00D8589F"/>
    <w:rsid w:val="00D8596F"/>
    <w:rsid w:val="00D90089"/>
    <w:rsid w:val="00D90C3F"/>
    <w:rsid w:val="00D911ED"/>
    <w:rsid w:val="00D915BE"/>
    <w:rsid w:val="00D92203"/>
    <w:rsid w:val="00D92832"/>
    <w:rsid w:val="00D9452C"/>
    <w:rsid w:val="00D95F71"/>
    <w:rsid w:val="00D966EC"/>
    <w:rsid w:val="00D96C55"/>
    <w:rsid w:val="00D97326"/>
    <w:rsid w:val="00D975B5"/>
    <w:rsid w:val="00D97E2F"/>
    <w:rsid w:val="00DA10D2"/>
    <w:rsid w:val="00DA11E8"/>
    <w:rsid w:val="00DA15C7"/>
    <w:rsid w:val="00DA2AD2"/>
    <w:rsid w:val="00DA2C45"/>
    <w:rsid w:val="00DA2C64"/>
    <w:rsid w:val="00DA4A4B"/>
    <w:rsid w:val="00DA5CA7"/>
    <w:rsid w:val="00DA6274"/>
    <w:rsid w:val="00DA669E"/>
    <w:rsid w:val="00DA6D1A"/>
    <w:rsid w:val="00DA700B"/>
    <w:rsid w:val="00DB092F"/>
    <w:rsid w:val="00DB0C45"/>
    <w:rsid w:val="00DB1946"/>
    <w:rsid w:val="00DB1957"/>
    <w:rsid w:val="00DB1B1B"/>
    <w:rsid w:val="00DB235C"/>
    <w:rsid w:val="00DB4086"/>
    <w:rsid w:val="00DB45F1"/>
    <w:rsid w:val="00DB58AA"/>
    <w:rsid w:val="00DB637F"/>
    <w:rsid w:val="00DB6E84"/>
    <w:rsid w:val="00DB7617"/>
    <w:rsid w:val="00DC0410"/>
    <w:rsid w:val="00DC0ED4"/>
    <w:rsid w:val="00DC141E"/>
    <w:rsid w:val="00DC15FE"/>
    <w:rsid w:val="00DC274D"/>
    <w:rsid w:val="00DC5ED6"/>
    <w:rsid w:val="00DC5F00"/>
    <w:rsid w:val="00DC7CF2"/>
    <w:rsid w:val="00DD018A"/>
    <w:rsid w:val="00DD0E07"/>
    <w:rsid w:val="00DD0F2D"/>
    <w:rsid w:val="00DD1E12"/>
    <w:rsid w:val="00DD22F1"/>
    <w:rsid w:val="00DD25BD"/>
    <w:rsid w:val="00DD3AFA"/>
    <w:rsid w:val="00DD4AD6"/>
    <w:rsid w:val="00DD530F"/>
    <w:rsid w:val="00DD5A53"/>
    <w:rsid w:val="00DE0956"/>
    <w:rsid w:val="00DE1331"/>
    <w:rsid w:val="00DE2579"/>
    <w:rsid w:val="00DE2FED"/>
    <w:rsid w:val="00DE3438"/>
    <w:rsid w:val="00DE3508"/>
    <w:rsid w:val="00DE369F"/>
    <w:rsid w:val="00DE3D7C"/>
    <w:rsid w:val="00DE5D5F"/>
    <w:rsid w:val="00DE762E"/>
    <w:rsid w:val="00DF1257"/>
    <w:rsid w:val="00DF281B"/>
    <w:rsid w:val="00DF353F"/>
    <w:rsid w:val="00DF50A9"/>
    <w:rsid w:val="00DF544A"/>
    <w:rsid w:val="00DF5AC7"/>
    <w:rsid w:val="00DF6176"/>
    <w:rsid w:val="00DF64E2"/>
    <w:rsid w:val="00DF6B2C"/>
    <w:rsid w:val="00E00F19"/>
    <w:rsid w:val="00E01362"/>
    <w:rsid w:val="00E0142C"/>
    <w:rsid w:val="00E03C1A"/>
    <w:rsid w:val="00E06A2E"/>
    <w:rsid w:val="00E06B11"/>
    <w:rsid w:val="00E07272"/>
    <w:rsid w:val="00E07999"/>
    <w:rsid w:val="00E10A19"/>
    <w:rsid w:val="00E1217A"/>
    <w:rsid w:val="00E12E07"/>
    <w:rsid w:val="00E12F34"/>
    <w:rsid w:val="00E1316A"/>
    <w:rsid w:val="00E13315"/>
    <w:rsid w:val="00E145A5"/>
    <w:rsid w:val="00E14D10"/>
    <w:rsid w:val="00E16284"/>
    <w:rsid w:val="00E16569"/>
    <w:rsid w:val="00E20595"/>
    <w:rsid w:val="00E20D24"/>
    <w:rsid w:val="00E21BFD"/>
    <w:rsid w:val="00E223AC"/>
    <w:rsid w:val="00E22C1D"/>
    <w:rsid w:val="00E234E5"/>
    <w:rsid w:val="00E24F24"/>
    <w:rsid w:val="00E25E4D"/>
    <w:rsid w:val="00E273B8"/>
    <w:rsid w:val="00E274F7"/>
    <w:rsid w:val="00E27FEF"/>
    <w:rsid w:val="00E316D2"/>
    <w:rsid w:val="00E31BC7"/>
    <w:rsid w:val="00E31C76"/>
    <w:rsid w:val="00E31F01"/>
    <w:rsid w:val="00E33D6D"/>
    <w:rsid w:val="00E3493D"/>
    <w:rsid w:val="00E3740F"/>
    <w:rsid w:val="00E40674"/>
    <w:rsid w:val="00E43A7A"/>
    <w:rsid w:val="00E4465D"/>
    <w:rsid w:val="00E44D97"/>
    <w:rsid w:val="00E45C1F"/>
    <w:rsid w:val="00E463BC"/>
    <w:rsid w:val="00E46708"/>
    <w:rsid w:val="00E470AF"/>
    <w:rsid w:val="00E47B9A"/>
    <w:rsid w:val="00E51AA9"/>
    <w:rsid w:val="00E51B18"/>
    <w:rsid w:val="00E521B5"/>
    <w:rsid w:val="00E52DCB"/>
    <w:rsid w:val="00E53F2E"/>
    <w:rsid w:val="00E54E84"/>
    <w:rsid w:val="00E55557"/>
    <w:rsid w:val="00E55962"/>
    <w:rsid w:val="00E55B29"/>
    <w:rsid w:val="00E55E13"/>
    <w:rsid w:val="00E55F00"/>
    <w:rsid w:val="00E56230"/>
    <w:rsid w:val="00E577AC"/>
    <w:rsid w:val="00E608BF"/>
    <w:rsid w:val="00E615BB"/>
    <w:rsid w:val="00E617EA"/>
    <w:rsid w:val="00E62215"/>
    <w:rsid w:val="00E6467A"/>
    <w:rsid w:val="00E64827"/>
    <w:rsid w:val="00E64DD5"/>
    <w:rsid w:val="00E64E13"/>
    <w:rsid w:val="00E651C0"/>
    <w:rsid w:val="00E65BA8"/>
    <w:rsid w:val="00E66D6F"/>
    <w:rsid w:val="00E66DF6"/>
    <w:rsid w:val="00E66F0F"/>
    <w:rsid w:val="00E67377"/>
    <w:rsid w:val="00E70867"/>
    <w:rsid w:val="00E71871"/>
    <w:rsid w:val="00E72519"/>
    <w:rsid w:val="00E72C1A"/>
    <w:rsid w:val="00E73A48"/>
    <w:rsid w:val="00E747E9"/>
    <w:rsid w:val="00E77237"/>
    <w:rsid w:val="00E80007"/>
    <w:rsid w:val="00E80B37"/>
    <w:rsid w:val="00E815F2"/>
    <w:rsid w:val="00E847ED"/>
    <w:rsid w:val="00E85507"/>
    <w:rsid w:val="00E8687B"/>
    <w:rsid w:val="00E86A29"/>
    <w:rsid w:val="00E86A31"/>
    <w:rsid w:val="00E86F64"/>
    <w:rsid w:val="00E91859"/>
    <w:rsid w:val="00E926B1"/>
    <w:rsid w:val="00E92937"/>
    <w:rsid w:val="00E9324B"/>
    <w:rsid w:val="00E94493"/>
    <w:rsid w:val="00E95657"/>
    <w:rsid w:val="00E95803"/>
    <w:rsid w:val="00E97655"/>
    <w:rsid w:val="00EA012C"/>
    <w:rsid w:val="00EA18E4"/>
    <w:rsid w:val="00EA1ED9"/>
    <w:rsid w:val="00EA3165"/>
    <w:rsid w:val="00EA3C57"/>
    <w:rsid w:val="00EA4697"/>
    <w:rsid w:val="00EA50B1"/>
    <w:rsid w:val="00EA5D4D"/>
    <w:rsid w:val="00EA5EA9"/>
    <w:rsid w:val="00EA7C83"/>
    <w:rsid w:val="00EA7F5C"/>
    <w:rsid w:val="00EB1007"/>
    <w:rsid w:val="00EB1FB1"/>
    <w:rsid w:val="00EB2148"/>
    <w:rsid w:val="00EB2DCC"/>
    <w:rsid w:val="00EB2E37"/>
    <w:rsid w:val="00EB3700"/>
    <w:rsid w:val="00EB3C8B"/>
    <w:rsid w:val="00EB3E94"/>
    <w:rsid w:val="00EB3EC2"/>
    <w:rsid w:val="00EB459E"/>
    <w:rsid w:val="00EB4EDD"/>
    <w:rsid w:val="00EB5714"/>
    <w:rsid w:val="00EB5BB5"/>
    <w:rsid w:val="00EB6747"/>
    <w:rsid w:val="00EC0305"/>
    <w:rsid w:val="00EC03C0"/>
    <w:rsid w:val="00EC11FB"/>
    <w:rsid w:val="00EC126E"/>
    <w:rsid w:val="00EC20BC"/>
    <w:rsid w:val="00EC2FC5"/>
    <w:rsid w:val="00EC308D"/>
    <w:rsid w:val="00EC578B"/>
    <w:rsid w:val="00EC6BA2"/>
    <w:rsid w:val="00ED0F38"/>
    <w:rsid w:val="00ED13F7"/>
    <w:rsid w:val="00ED2059"/>
    <w:rsid w:val="00ED2ABE"/>
    <w:rsid w:val="00ED3079"/>
    <w:rsid w:val="00ED5556"/>
    <w:rsid w:val="00ED5855"/>
    <w:rsid w:val="00ED59F1"/>
    <w:rsid w:val="00ED5BD4"/>
    <w:rsid w:val="00ED5E24"/>
    <w:rsid w:val="00ED7AC9"/>
    <w:rsid w:val="00EE02B7"/>
    <w:rsid w:val="00EE18AA"/>
    <w:rsid w:val="00EE346C"/>
    <w:rsid w:val="00EE350F"/>
    <w:rsid w:val="00EE3706"/>
    <w:rsid w:val="00EE4053"/>
    <w:rsid w:val="00EE45D8"/>
    <w:rsid w:val="00EE4BC9"/>
    <w:rsid w:val="00EE5D68"/>
    <w:rsid w:val="00EE74B9"/>
    <w:rsid w:val="00EF01C1"/>
    <w:rsid w:val="00EF16AF"/>
    <w:rsid w:val="00EF1958"/>
    <w:rsid w:val="00EF1DAF"/>
    <w:rsid w:val="00EF1DE8"/>
    <w:rsid w:val="00EF21DC"/>
    <w:rsid w:val="00EF245D"/>
    <w:rsid w:val="00EF26EB"/>
    <w:rsid w:val="00EF2892"/>
    <w:rsid w:val="00EF3C8A"/>
    <w:rsid w:val="00EF4FD2"/>
    <w:rsid w:val="00EF515D"/>
    <w:rsid w:val="00EF59D4"/>
    <w:rsid w:val="00EF6D7B"/>
    <w:rsid w:val="00EF7592"/>
    <w:rsid w:val="00EF7C0F"/>
    <w:rsid w:val="00F01DDB"/>
    <w:rsid w:val="00F01E8E"/>
    <w:rsid w:val="00F02F4A"/>
    <w:rsid w:val="00F0598B"/>
    <w:rsid w:val="00F05EF9"/>
    <w:rsid w:val="00F078B8"/>
    <w:rsid w:val="00F07DA0"/>
    <w:rsid w:val="00F1017F"/>
    <w:rsid w:val="00F104A2"/>
    <w:rsid w:val="00F10847"/>
    <w:rsid w:val="00F1118B"/>
    <w:rsid w:val="00F11672"/>
    <w:rsid w:val="00F11941"/>
    <w:rsid w:val="00F120BC"/>
    <w:rsid w:val="00F120C1"/>
    <w:rsid w:val="00F1334F"/>
    <w:rsid w:val="00F142FB"/>
    <w:rsid w:val="00F145B2"/>
    <w:rsid w:val="00F14E64"/>
    <w:rsid w:val="00F1584C"/>
    <w:rsid w:val="00F15A1B"/>
    <w:rsid w:val="00F16A65"/>
    <w:rsid w:val="00F17FC6"/>
    <w:rsid w:val="00F20983"/>
    <w:rsid w:val="00F20F56"/>
    <w:rsid w:val="00F221AA"/>
    <w:rsid w:val="00F2238C"/>
    <w:rsid w:val="00F22F1F"/>
    <w:rsid w:val="00F23828"/>
    <w:rsid w:val="00F23DEF"/>
    <w:rsid w:val="00F23FB9"/>
    <w:rsid w:val="00F24522"/>
    <w:rsid w:val="00F24B09"/>
    <w:rsid w:val="00F250C0"/>
    <w:rsid w:val="00F252E9"/>
    <w:rsid w:val="00F25590"/>
    <w:rsid w:val="00F25A5A"/>
    <w:rsid w:val="00F26F82"/>
    <w:rsid w:val="00F27F9C"/>
    <w:rsid w:val="00F307A0"/>
    <w:rsid w:val="00F31613"/>
    <w:rsid w:val="00F31852"/>
    <w:rsid w:val="00F31AF5"/>
    <w:rsid w:val="00F33529"/>
    <w:rsid w:val="00F34230"/>
    <w:rsid w:val="00F36041"/>
    <w:rsid w:val="00F36EC4"/>
    <w:rsid w:val="00F3747C"/>
    <w:rsid w:val="00F40062"/>
    <w:rsid w:val="00F41A76"/>
    <w:rsid w:val="00F424FE"/>
    <w:rsid w:val="00F42A6B"/>
    <w:rsid w:val="00F4544B"/>
    <w:rsid w:val="00F4576B"/>
    <w:rsid w:val="00F47C22"/>
    <w:rsid w:val="00F504E2"/>
    <w:rsid w:val="00F506CA"/>
    <w:rsid w:val="00F5169F"/>
    <w:rsid w:val="00F52400"/>
    <w:rsid w:val="00F528A7"/>
    <w:rsid w:val="00F529B5"/>
    <w:rsid w:val="00F53622"/>
    <w:rsid w:val="00F53651"/>
    <w:rsid w:val="00F53BDC"/>
    <w:rsid w:val="00F541D5"/>
    <w:rsid w:val="00F55394"/>
    <w:rsid w:val="00F55DB9"/>
    <w:rsid w:val="00F56A2A"/>
    <w:rsid w:val="00F61319"/>
    <w:rsid w:val="00F6176A"/>
    <w:rsid w:val="00F61A1A"/>
    <w:rsid w:val="00F626B8"/>
    <w:rsid w:val="00F641A9"/>
    <w:rsid w:val="00F64567"/>
    <w:rsid w:val="00F66066"/>
    <w:rsid w:val="00F7020B"/>
    <w:rsid w:val="00F70CA1"/>
    <w:rsid w:val="00F72A22"/>
    <w:rsid w:val="00F73483"/>
    <w:rsid w:val="00F736A3"/>
    <w:rsid w:val="00F73A8E"/>
    <w:rsid w:val="00F73AEE"/>
    <w:rsid w:val="00F746A3"/>
    <w:rsid w:val="00F749DA"/>
    <w:rsid w:val="00F75CE1"/>
    <w:rsid w:val="00F75EF5"/>
    <w:rsid w:val="00F75FEC"/>
    <w:rsid w:val="00F76251"/>
    <w:rsid w:val="00F80507"/>
    <w:rsid w:val="00F805AF"/>
    <w:rsid w:val="00F80A34"/>
    <w:rsid w:val="00F81C24"/>
    <w:rsid w:val="00F81C79"/>
    <w:rsid w:val="00F82A98"/>
    <w:rsid w:val="00F84A54"/>
    <w:rsid w:val="00F85C8F"/>
    <w:rsid w:val="00F86840"/>
    <w:rsid w:val="00F87708"/>
    <w:rsid w:val="00F877A6"/>
    <w:rsid w:val="00F87D17"/>
    <w:rsid w:val="00F91CE2"/>
    <w:rsid w:val="00F91E2A"/>
    <w:rsid w:val="00F928EC"/>
    <w:rsid w:val="00F93A02"/>
    <w:rsid w:val="00F95C86"/>
    <w:rsid w:val="00F96180"/>
    <w:rsid w:val="00F96244"/>
    <w:rsid w:val="00F9690D"/>
    <w:rsid w:val="00F97BF2"/>
    <w:rsid w:val="00FA00B9"/>
    <w:rsid w:val="00FA0466"/>
    <w:rsid w:val="00FA048E"/>
    <w:rsid w:val="00FA0F32"/>
    <w:rsid w:val="00FA1B60"/>
    <w:rsid w:val="00FA1FC7"/>
    <w:rsid w:val="00FA2FC4"/>
    <w:rsid w:val="00FA36A6"/>
    <w:rsid w:val="00FA3941"/>
    <w:rsid w:val="00FA3F0E"/>
    <w:rsid w:val="00FA42B6"/>
    <w:rsid w:val="00FA43F6"/>
    <w:rsid w:val="00FA605B"/>
    <w:rsid w:val="00FA6EA7"/>
    <w:rsid w:val="00FA6FCD"/>
    <w:rsid w:val="00FA753E"/>
    <w:rsid w:val="00FB0807"/>
    <w:rsid w:val="00FB300F"/>
    <w:rsid w:val="00FB4EFC"/>
    <w:rsid w:val="00FB66D5"/>
    <w:rsid w:val="00FC24F1"/>
    <w:rsid w:val="00FC2A34"/>
    <w:rsid w:val="00FC2D2C"/>
    <w:rsid w:val="00FC2D8F"/>
    <w:rsid w:val="00FC378C"/>
    <w:rsid w:val="00FC4732"/>
    <w:rsid w:val="00FC489A"/>
    <w:rsid w:val="00FC5011"/>
    <w:rsid w:val="00FC5527"/>
    <w:rsid w:val="00FC62C4"/>
    <w:rsid w:val="00FC6D46"/>
    <w:rsid w:val="00FC6D68"/>
    <w:rsid w:val="00FD1BEB"/>
    <w:rsid w:val="00FD3CF1"/>
    <w:rsid w:val="00FD4297"/>
    <w:rsid w:val="00FD4AB3"/>
    <w:rsid w:val="00FD4FE0"/>
    <w:rsid w:val="00FD6621"/>
    <w:rsid w:val="00FD6718"/>
    <w:rsid w:val="00FD7C8B"/>
    <w:rsid w:val="00FD7E4A"/>
    <w:rsid w:val="00FE08A8"/>
    <w:rsid w:val="00FE2A3C"/>
    <w:rsid w:val="00FE2CB4"/>
    <w:rsid w:val="00FE34D9"/>
    <w:rsid w:val="00FE36F6"/>
    <w:rsid w:val="00FE3C09"/>
    <w:rsid w:val="00FE3D17"/>
    <w:rsid w:val="00FE4360"/>
    <w:rsid w:val="00FE4A78"/>
    <w:rsid w:val="00FE54EE"/>
    <w:rsid w:val="00FE5C66"/>
    <w:rsid w:val="00FE73FB"/>
    <w:rsid w:val="00FF00EE"/>
    <w:rsid w:val="00FF0D6F"/>
    <w:rsid w:val="00FF1D28"/>
    <w:rsid w:val="00FF23FC"/>
    <w:rsid w:val="00FF49F7"/>
    <w:rsid w:val="00FF4FCC"/>
    <w:rsid w:val="00FF59FB"/>
    <w:rsid w:val="00FF6632"/>
    <w:rsid w:val="00FF75C3"/>
    <w:rsid w:val="017127B4"/>
    <w:rsid w:val="025F4662"/>
    <w:rsid w:val="028B18FB"/>
    <w:rsid w:val="033E071B"/>
    <w:rsid w:val="0382305E"/>
    <w:rsid w:val="03D42E21"/>
    <w:rsid w:val="03DD6186"/>
    <w:rsid w:val="042D41B7"/>
    <w:rsid w:val="04637FAC"/>
    <w:rsid w:val="04B67D5F"/>
    <w:rsid w:val="05685F23"/>
    <w:rsid w:val="05961213"/>
    <w:rsid w:val="05A61A15"/>
    <w:rsid w:val="05BE78F1"/>
    <w:rsid w:val="06180938"/>
    <w:rsid w:val="06544052"/>
    <w:rsid w:val="06936CFB"/>
    <w:rsid w:val="06994FED"/>
    <w:rsid w:val="084A7B62"/>
    <w:rsid w:val="085140B5"/>
    <w:rsid w:val="0A392C9C"/>
    <w:rsid w:val="0D401E07"/>
    <w:rsid w:val="0DF7722E"/>
    <w:rsid w:val="10760E11"/>
    <w:rsid w:val="11037D69"/>
    <w:rsid w:val="112847B9"/>
    <w:rsid w:val="1133021E"/>
    <w:rsid w:val="12144199"/>
    <w:rsid w:val="128948D0"/>
    <w:rsid w:val="146E12D1"/>
    <w:rsid w:val="15485AA9"/>
    <w:rsid w:val="15C7174A"/>
    <w:rsid w:val="1714006B"/>
    <w:rsid w:val="178526BC"/>
    <w:rsid w:val="196D04EC"/>
    <w:rsid w:val="19CE05A7"/>
    <w:rsid w:val="1A1F2F5C"/>
    <w:rsid w:val="1B495A57"/>
    <w:rsid w:val="1B785C04"/>
    <w:rsid w:val="1C3F462E"/>
    <w:rsid w:val="1C4C05F9"/>
    <w:rsid w:val="1C7062FE"/>
    <w:rsid w:val="1C76432C"/>
    <w:rsid w:val="1CFC449F"/>
    <w:rsid w:val="1D266050"/>
    <w:rsid w:val="1EAF32E5"/>
    <w:rsid w:val="1ECA4CCF"/>
    <w:rsid w:val="1F2E38E2"/>
    <w:rsid w:val="1F5834F5"/>
    <w:rsid w:val="20631BE8"/>
    <w:rsid w:val="209D686E"/>
    <w:rsid w:val="21AB2F31"/>
    <w:rsid w:val="22440677"/>
    <w:rsid w:val="2307527C"/>
    <w:rsid w:val="25071615"/>
    <w:rsid w:val="252E63EA"/>
    <w:rsid w:val="25496D80"/>
    <w:rsid w:val="25F36015"/>
    <w:rsid w:val="26415DF7"/>
    <w:rsid w:val="27EA26EE"/>
    <w:rsid w:val="28383B5E"/>
    <w:rsid w:val="28AE3498"/>
    <w:rsid w:val="28C3292C"/>
    <w:rsid w:val="2B47497F"/>
    <w:rsid w:val="2CCB6C14"/>
    <w:rsid w:val="2D1A07A5"/>
    <w:rsid w:val="2D4A18E7"/>
    <w:rsid w:val="2D6F488C"/>
    <w:rsid w:val="2DC27B09"/>
    <w:rsid w:val="301210A7"/>
    <w:rsid w:val="307876FC"/>
    <w:rsid w:val="3197679E"/>
    <w:rsid w:val="34E15E4E"/>
    <w:rsid w:val="35B36EA6"/>
    <w:rsid w:val="3713066A"/>
    <w:rsid w:val="38B347B3"/>
    <w:rsid w:val="392C0A3B"/>
    <w:rsid w:val="3A4D3B1A"/>
    <w:rsid w:val="3F5A7273"/>
    <w:rsid w:val="3F787D0E"/>
    <w:rsid w:val="3F79486F"/>
    <w:rsid w:val="4096427B"/>
    <w:rsid w:val="40CD4ACF"/>
    <w:rsid w:val="40E5258D"/>
    <w:rsid w:val="41111912"/>
    <w:rsid w:val="41490D2C"/>
    <w:rsid w:val="420A4172"/>
    <w:rsid w:val="42D000A5"/>
    <w:rsid w:val="44817E8C"/>
    <w:rsid w:val="45B64407"/>
    <w:rsid w:val="46685E10"/>
    <w:rsid w:val="46954138"/>
    <w:rsid w:val="47424128"/>
    <w:rsid w:val="47E52E2E"/>
    <w:rsid w:val="489F2FD7"/>
    <w:rsid w:val="490C3441"/>
    <w:rsid w:val="493A2D00"/>
    <w:rsid w:val="49C96FC6"/>
    <w:rsid w:val="4A19766C"/>
    <w:rsid w:val="4A842484"/>
    <w:rsid w:val="4AA9755E"/>
    <w:rsid w:val="4AB92C9A"/>
    <w:rsid w:val="4E0D2526"/>
    <w:rsid w:val="4E986A0F"/>
    <w:rsid w:val="4F3C2DEE"/>
    <w:rsid w:val="514819C1"/>
    <w:rsid w:val="51640797"/>
    <w:rsid w:val="51B1103D"/>
    <w:rsid w:val="53052C1D"/>
    <w:rsid w:val="533C0B4E"/>
    <w:rsid w:val="53790B62"/>
    <w:rsid w:val="54AA5C7B"/>
    <w:rsid w:val="54C45057"/>
    <w:rsid w:val="556C6C20"/>
    <w:rsid w:val="55955857"/>
    <w:rsid w:val="56151E85"/>
    <w:rsid w:val="56197654"/>
    <w:rsid w:val="591A7FB0"/>
    <w:rsid w:val="59F93C29"/>
    <w:rsid w:val="5B4B256B"/>
    <w:rsid w:val="5E3F1567"/>
    <w:rsid w:val="5E4C4C8C"/>
    <w:rsid w:val="5EC851CC"/>
    <w:rsid w:val="60275347"/>
    <w:rsid w:val="613747A0"/>
    <w:rsid w:val="62986BCB"/>
    <w:rsid w:val="62F861EB"/>
    <w:rsid w:val="631F442B"/>
    <w:rsid w:val="644F24F3"/>
    <w:rsid w:val="645411CC"/>
    <w:rsid w:val="645D6510"/>
    <w:rsid w:val="64B30F99"/>
    <w:rsid w:val="655B7E2E"/>
    <w:rsid w:val="65C900C9"/>
    <w:rsid w:val="669C71EE"/>
    <w:rsid w:val="672524A2"/>
    <w:rsid w:val="67596760"/>
    <w:rsid w:val="678076FD"/>
    <w:rsid w:val="68B630D0"/>
    <w:rsid w:val="68C4239F"/>
    <w:rsid w:val="695E0F21"/>
    <w:rsid w:val="69E14DA6"/>
    <w:rsid w:val="6B5F753B"/>
    <w:rsid w:val="6BA434C6"/>
    <w:rsid w:val="6BF36345"/>
    <w:rsid w:val="6C024B1C"/>
    <w:rsid w:val="6C0C1AC9"/>
    <w:rsid w:val="6D52459B"/>
    <w:rsid w:val="6D726375"/>
    <w:rsid w:val="6D8D2B4F"/>
    <w:rsid w:val="6DB47582"/>
    <w:rsid w:val="6E0E7956"/>
    <w:rsid w:val="6F1D293C"/>
    <w:rsid w:val="6F4251F9"/>
    <w:rsid w:val="6F5E6145"/>
    <w:rsid w:val="711A4722"/>
    <w:rsid w:val="735A0990"/>
    <w:rsid w:val="7394715C"/>
    <w:rsid w:val="74CE55B2"/>
    <w:rsid w:val="756473AA"/>
    <w:rsid w:val="771A6BB9"/>
    <w:rsid w:val="77AE5CCF"/>
    <w:rsid w:val="786D6018"/>
    <w:rsid w:val="796959D7"/>
    <w:rsid w:val="7DB841B7"/>
    <w:rsid w:val="7F7E54EF"/>
    <w:rsid w:val="7FD80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qFormat="1" w:unhideWhenUsed="0" w:uiPriority="0" w:semiHidden="0" w:name="Normal Indent"/>
    <w:lsdException w:uiPriority="0" w:name="footnote text"/>
    <w:lsdException w:qFormat="1" w:unhideWhenUsed="0"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sdException w:qFormat="1" w:unhideWhenUsed="0" w:uiPriority="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22" w:semiHidden="0" w:name="Strong" w:locked="1"/>
    <w:lsdException w:qFormat="1" w:unhideWhenUsed="0" w:uiPriority="0" w:semiHidden="0" w:name="Emphasis" w:locked="1"/>
    <w:lsdException w:qFormat="1" w:unhideWhenUsed="0"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8"/>
    <w:qFormat/>
    <w:uiPriority w:val="0"/>
    <w:pPr>
      <w:spacing w:line="540" w:lineRule="exact"/>
      <w:ind w:left="424" w:leftChars="202" w:firstLine="704" w:firstLineChars="220"/>
      <w:outlineLvl w:val="0"/>
    </w:pPr>
    <w:rPr>
      <w:rFonts w:ascii="仿宋_GB2312" w:hAnsi="Times New Roman" w:eastAsia="仿宋_GB2312"/>
      <w:b/>
      <w:bCs/>
      <w:kern w:val="44"/>
      <w:sz w:val="32"/>
      <w:szCs w:val="44"/>
    </w:rPr>
  </w:style>
  <w:style w:type="paragraph" w:styleId="3">
    <w:name w:val="heading 2"/>
    <w:basedOn w:val="1"/>
    <w:next w:val="1"/>
    <w:link w:val="34"/>
    <w:qFormat/>
    <w:uiPriority w:val="0"/>
    <w:pPr>
      <w:keepNext/>
      <w:keepLines/>
      <w:spacing w:before="260" w:after="260" w:line="416" w:lineRule="auto"/>
      <w:outlineLvl w:val="1"/>
    </w:pPr>
    <w:rPr>
      <w:rFonts w:ascii="Cambria" w:hAnsi="Cambria"/>
      <w:b/>
      <w:bCs/>
      <w:sz w:val="32"/>
      <w:szCs w:val="32"/>
    </w:rPr>
  </w:style>
  <w:style w:type="paragraph" w:styleId="4">
    <w:name w:val="heading 3"/>
    <w:basedOn w:val="1"/>
    <w:next w:val="1"/>
    <w:link w:val="31"/>
    <w:qFormat/>
    <w:uiPriority w:val="0"/>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26">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37"/>
    <w:semiHidden/>
    <w:qFormat/>
    <w:uiPriority w:val="0"/>
    <w:rPr>
      <w:rFonts w:ascii="Calibri" w:hAnsi="Calibri"/>
      <w:b/>
      <w:bCs/>
      <w:szCs w:val="22"/>
    </w:rPr>
  </w:style>
  <w:style w:type="paragraph" w:styleId="6">
    <w:name w:val="annotation text"/>
    <w:basedOn w:val="1"/>
    <w:link w:val="29"/>
    <w:semiHidden/>
    <w:qFormat/>
    <w:uiPriority w:val="0"/>
    <w:pPr>
      <w:jc w:val="left"/>
    </w:pPr>
    <w:rPr>
      <w:rFonts w:ascii="Times New Roman" w:hAnsi="Times New Roman"/>
      <w:szCs w:val="24"/>
    </w:rPr>
  </w:style>
  <w:style w:type="paragraph" w:styleId="7">
    <w:name w:val="Normal Indent"/>
    <w:basedOn w:val="1"/>
    <w:qFormat/>
    <w:uiPriority w:val="0"/>
    <w:pPr>
      <w:ind w:firstLine="420"/>
    </w:pPr>
    <w:rPr>
      <w:rFonts w:ascii="Times New Roman" w:hAnsi="Times New Roman"/>
      <w:szCs w:val="20"/>
    </w:rPr>
  </w:style>
  <w:style w:type="paragraph" w:styleId="8">
    <w:name w:val="Document Map"/>
    <w:basedOn w:val="1"/>
    <w:link w:val="32"/>
    <w:semiHidden/>
    <w:qFormat/>
    <w:uiPriority w:val="0"/>
    <w:rPr>
      <w:rFonts w:ascii="宋体"/>
      <w:sz w:val="18"/>
      <w:szCs w:val="18"/>
    </w:rPr>
  </w:style>
  <w:style w:type="paragraph" w:styleId="9">
    <w:name w:val="Body Text"/>
    <w:basedOn w:val="1"/>
    <w:qFormat/>
    <w:uiPriority w:val="1"/>
    <w:rPr>
      <w:rFonts w:ascii="仿宋" w:hAnsi="仿宋" w:eastAsia="仿宋" w:cs="仿宋"/>
      <w:sz w:val="32"/>
      <w:szCs w:val="32"/>
      <w:lang w:val="zh-CN" w:bidi="zh-CN"/>
    </w:rPr>
  </w:style>
  <w:style w:type="paragraph" w:styleId="10">
    <w:name w:val="toc 3"/>
    <w:basedOn w:val="1"/>
    <w:next w:val="1"/>
    <w:qFormat/>
    <w:locked/>
    <w:uiPriority w:val="39"/>
    <w:pPr>
      <w:ind w:left="840" w:leftChars="400"/>
    </w:pPr>
  </w:style>
  <w:style w:type="paragraph" w:styleId="11">
    <w:name w:val="Date"/>
    <w:basedOn w:val="1"/>
    <w:next w:val="1"/>
    <w:link w:val="33"/>
    <w:semiHidden/>
    <w:qFormat/>
    <w:uiPriority w:val="0"/>
    <w:pPr>
      <w:ind w:left="100" w:leftChars="2500"/>
    </w:pPr>
  </w:style>
  <w:style w:type="paragraph" w:styleId="12">
    <w:name w:val="Body Text Indent 2"/>
    <w:basedOn w:val="1"/>
    <w:qFormat/>
    <w:uiPriority w:val="0"/>
    <w:pPr>
      <w:spacing w:after="120" w:line="480" w:lineRule="auto"/>
      <w:ind w:left="420" w:leftChars="200"/>
    </w:pPr>
  </w:style>
  <w:style w:type="paragraph" w:styleId="13">
    <w:name w:val="Balloon Text"/>
    <w:basedOn w:val="1"/>
    <w:link w:val="30"/>
    <w:semiHidden/>
    <w:qFormat/>
    <w:uiPriority w:val="99"/>
    <w:rPr>
      <w:sz w:val="18"/>
      <w:szCs w:val="18"/>
    </w:rPr>
  </w:style>
  <w:style w:type="paragraph" w:styleId="14">
    <w:name w:val="footer"/>
    <w:basedOn w:val="1"/>
    <w:link w:val="35"/>
    <w:qFormat/>
    <w:uiPriority w:val="99"/>
    <w:pPr>
      <w:tabs>
        <w:tab w:val="center" w:pos="4153"/>
        <w:tab w:val="right" w:pos="8306"/>
      </w:tabs>
      <w:snapToGrid w:val="0"/>
      <w:jc w:val="left"/>
    </w:pPr>
    <w:rPr>
      <w:sz w:val="18"/>
      <w:szCs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rPr>
      <w:rFonts w:ascii="Times New Roman" w:hAnsi="Times New Roman"/>
      <w:szCs w:val="24"/>
    </w:rPr>
  </w:style>
  <w:style w:type="paragraph" w:styleId="17">
    <w:name w:val="Subtitle"/>
    <w:basedOn w:val="1"/>
    <w:next w:val="1"/>
    <w:link w:val="45"/>
    <w:qFormat/>
    <w:locked/>
    <w:uiPriority w:val="0"/>
    <w:pPr>
      <w:ind w:firstLine="200" w:firstLineChars="200"/>
      <w:jc w:val="left"/>
      <w:outlineLvl w:val="2"/>
    </w:pPr>
    <w:rPr>
      <w:rFonts w:ascii="Cambria" w:hAnsi="Cambria" w:eastAsia="黑体"/>
      <w:bCs/>
      <w:kern w:val="28"/>
      <w:sz w:val="28"/>
      <w:szCs w:val="32"/>
    </w:rPr>
  </w:style>
  <w:style w:type="paragraph" w:styleId="18">
    <w:name w:val="toc 2"/>
    <w:basedOn w:val="1"/>
    <w:next w:val="1"/>
    <w:qFormat/>
    <w:uiPriority w:val="39"/>
    <w:pPr>
      <w:ind w:left="420" w:leftChars="200"/>
    </w:pPr>
    <w:rPr>
      <w:rFonts w:ascii="Times New Roman" w:hAnsi="Times New Roman"/>
      <w:szCs w:val="24"/>
    </w:r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21">
    <w:name w:val="Strong"/>
    <w:basedOn w:val="20"/>
    <w:qFormat/>
    <w:locked/>
    <w:uiPriority w:val="22"/>
    <w:rPr>
      <w:b/>
      <w:bCs/>
    </w:rPr>
  </w:style>
  <w:style w:type="character" w:styleId="22">
    <w:name w:val="page number"/>
    <w:basedOn w:val="20"/>
    <w:qFormat/>
    <w:uiPriority w:val="0"/>
    <w:rPr>
      <w:rFonts w:cs="Times New Roman"/>
    </w:rPr>
  </w:style>
  <w:style w:type="character" w:styleId="23">
    <w:name w:val="Emphasis"/>
    <w:basedOn w:val="20"/>
    <w:qFormat/>
    <w:locked/>
    <w:uiPriority w:val="0"/>
    <w:rPr>
      <w:rFonts w:cs="Times New Roman"/>
      <w:i/>
      <w:iCs/>
    </w:rPr>
  </w:style>
  <w:style w:type="character" w:styleId="24">
    <w:name w:val="Hyperlink"/>
    <w:basedOn w:val="20"/>
    <w:qFormat/>
    <w:uiPriority w:val="99"/>
    <w:rPr>
      <w:rFonts w:cs="Times New Roman"/>
      <w:color w:val="0000FF"/>
      <w:u w:val="single"/>
    </w:rPr>
  </w:style>
  <w:style w:type="character" w:styleId="25">
    <w:name w:val="annotation reference"/>
    <w:basedOn w:val="20"/>
    <w:semiHidden/>
    <w:qFormat/>
    <w:uiPriority w:val="0"/>
    <w:rPr>
      <w:rFonts w:cs="Times New Roman"/>
      <w:sz w:val="21"/>
      <w:szCs w:val="21"/>
    </w:rPr>
  </w:style>
  <w:style w:type="table" w:styleId="27">
    <w:name w:val="Table Grid"/>
    <w:basedOn w:val="26"/>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28">
    <w:name w:val="标题 1 字符"/>
    <w:basedOn w:val="20"/>
    <w:link w:val="2"/>
    <w:qFormat/>
    <w:locked/>
    <w:uiPriority w:val="0"/>
    <w:rPr>
      <w:rFonts w:ascii="仿宋_GB2312" w:hAnsi="Times New Roman" w:eastAsia="仿宋_GB2312" w:cs="Times New Roman"/>
      <w:b/>
      <w:bCs/>
      <w:kern w:val="44"/>
      <w:sz w:val="44"/>
      <w:szCs w:val="44"/>
    </w:rPr>
  </w:style>
  <w:style w:type="character" w:customStyle="1" w:styleId="29">
    <w:name w:val="批注文字 字符"/>
    <w:basedOn w:val="20"/>
    <w:link w:val="6"/>
    <w:qFormat/>
    <w:locked/>
    <w:uiPriority w:val="0"/>
    <w:rPr>
      <w:rFonts w:ascii="Times New Roman" w:hAnsi="Times New Roman" w:cs="Times New Roman"/>
      <w:sz w:val="24"/>
      <w:szCs w:val="24"/>
    </w:rPr>
  </w:style>
  <w:style w:type="character" w:customStyle="1" w:styleId="30">
    <w:name w:val="批注框文本 字符"/>
    <w:basedOn w:val="20"/>
    <w:link w:val="13"/>
    <w:semiHidden/>
    <w:qFormat/>
    <w:locked/>
    <w:uiPriority w:val="99"/>
    <w:rPr>
      <w:rFonts w:cs="Times New Roman"/>
      <w:sz w:val="18"/>
      <w:szCs w:val="18"/>
    </w:rPr>
  </w:style>
  <w:style w:type="character" w:customStyle="1" w:styleId="31">
    <w:name w:val="标题 3 字符"/>
    <w:basedOn w:val="20"/>
    <w:link w:val="4"/>
    <w:semiHidden/>
    <w:qFormat/>
    <w:locked/>
    <w:uiPriority w:val="0"/>
    <w:rPr>
      <w:rFonts w:cs="Times New Roman"/>
      <w:b/>
      <w:bCs/>
      <w:sz w:val="32"/>
      <w:szCs w:val="32"/>
    </w:rPr>
  </w:style>
  <w:style w:type="character" w:customStyle="1" w:styleId="32">
    <w:name w:val="文档结构图 字符"/>
    <w:basedOn w:val="20"/>
    <w:link w:val="8"/>
    <w:semiHidden/>
    <w:qFormat/>
    <w:locked/>
    <w:uiPriority w:val="0"/>
    <w:rPr>
      <w:rFonts w:ascii="宋体" w:eastAsia="Times New Roman" w:cs="Times New Roman"/>
      <w:sz w:val="18"/>
      <w:szCs w:val="18"/>
    </w:rPr>
  </w:style>
  <w:style w:type="character" w:customStyle="1" w:styleId="33">
    <w:name w:val="日期 字符"/>
    <w:basedOn w:val="20"/>
    <w:link w:val="11"/>
    <w:semiHidden/>
    <w:qFormat/>
    <w:locked/>
    <w:uiPriority w:val="0"/>
    <w:rPr>
      <w:rFonts w:cs="Times New Roman"/>
      <w:kern w:val="2"/>
      <w:sz w:val="22"/>
      <w:szCs w:val="22"/>
    </w:rPr>
  </w:style>
  <w:style w:type="character" w:customStyle="1" w:styleId="34">
    <w:name w:val="标题 2 字符"/>
    <w:basedOn w:val="20"/>
    <w:link w:val="3"/>
    <w:semiHidden/>
    <w:qFormat/>
    <w:locked/>
    <w:uiPriority w:val="0"/>
    <w:rPr>
      <w:rFonts w:ascii="Cambria" w:hAnsi="Cambria" w:cs="Times New Roman"/>
      <w:b/>
      <w:bCs/>
      <w:sz w:val="32"/>
      <w:szCs w:val="32"/>
    </w:rPr>
  </w:style>
  <w:style w:type="character" w:customStyle="1" w:styleId="35">
    <w:name w:val="页脚 字符"/>
    <w:basedOn w:val="20"/>
    <w:link w:val="14"/>
    <w:qFormat/>
    <w:locked/>
    <w:uiPriority w:val="99"/>
    <w:rPr>
      <w:rFonts w:cs="Times New Roman"/>
      <w:sz w:val="18"/>
      <w:szCs w:val="18"/>
    </w:rPr>
  </w:style>
  <w:style w:type="character" w:customStyle="1" w:styleId="36">
    <w:name w:val="页眉 字符"/>
    <w:basedOn w:val="20"/>
    <w:link w:val="15"/>
    <w:qFormat/>
    <w:locked/>
    <w:uiPriority w:val="99"/>
    <w:rPr>
      <w:rFonts w:cs="Times New Roman"/>
      <w:sz w:val="18"/>
      <w:szCs w:val="18"/>
    </w:rPr>
  </w:style>
  <w:style w:type="character" w:customStyle="1" w:styleId="37">
    <w:name w:val="批注主题 字符"/>
    <w:basedOn w:val="29"/>
    <w:link w:val="5"/>
    <w:semiHidden/>
    <w:qFormat/>
    <w:locked/>
    <w:uiPriority w:val="0"/>
    <w:rPr>
      <w:rFonts w:ascii="Times New Roman" w:hAnsi="Times New Roman" w:cs="Times New Roman"/>
      <w:b/>
      <w:bCs/>
      <w:sz w:val="24"/>
      <w:szCs w:val="24"/>
    </w:rPr>
  </w:style>
  <w:style w:type="paragraph" w:customStyle="1" w:styleId="38">
    <w:name w:val="修订1"/>
    <w:semiHidden/>
    <w:qFormat/>
    <w:uiPriority w:val="0"/>
    <w:rPr>
      <w:rFonts w:ascii="Calibri" w:hAnsi="Calibri" w:eastAsia="宋体" w:cs="Times New Roman"/>
      <w:kern w:val="2"/>
      <w:sz w:val="21"/>
      <w:szCs w:val="22"/>
      <w:lang w:val="en-US" w:eastAsia="zh-CN" w:bidi="ar-SA"/>
    </w:rPr>
  </w:style>
  <w:style w:type="paragraph" w:customStyle="1" w:styleId="39">
    <w:name w:val="Char1"/>
    <w:basedOn w:val="8"/>
    <w:qFormat/>
    <w:uiPriority w:val="0"/>
    <w:pPr>
      <w:shd w:val="clear" w:color="auto" w:fill="000080"/>
      <w:adjustRightInd w:val="0"/>
      <w:spacing w:line="436" w:lineRule="exact"/>
      <w:ind w:left="357"/>
      <w:jc w:val="left"/>
      <w:outlineLvl w:val="3"/>
    </w:pPr>
    <w:rPr>
      <w:rFonts w:ascii="Tahoma" w:hAnsi="Tahoma"/>
      <w:b/>
      <w:sz w:val="24"/>
      <w:szCs w:val="24"/>
    </w:rPr>
  </w:style>
  <w:style w:type="paragraph" w:customStyle="1" w:styleId="4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41">
    <w:name w:val="TOC 标题1"/>
    <w:basedOn w:val="2"/>
    <w:next w:val="1"/>
    <w:qFormat/>
    <w:uiPriority w:val="0"/>
    <w:pPr>
      <w:keepNext/>
      <w:keepLines/>
      <w:widowControl/>
      <w:spacing w:before="480" w:line="276" w:lineRule="auto"/>
      <w:ind w:left="0" w:leftChars="0" w:firstLine="0" w:firstLineChars="0"/>
      <w:jc w:val="left"/>
      <w:outlineLvl w:val="9"/>
    </w:pPr>
    <w:rPr>
      <w:rFonts w:ascii="Cambria" w:hAnsi="Cambria" w:eastAsia="宋体"/>
      <w:color w:val="365F91"/>
      <w:kern w:val="0"/>
      <w:sz w:val="28"/>
      <w:szCs w:val="28"/>
    </w:rPr>
  </w:style>
  <w:style w:type="paragraph" w:customStyle="1" w:styleId="42">
    <w:name w:val="列出段落1"/>
    <w:basedOn w:val="1"/>
    <w:qFormat/>
    <w:uiPriority w:val="0"/>
    <w:pPr>
      <w:ind w:firstLine="420" w:firstLineChars="200"/>
    </w:pPr>
    <w:rPr>
      <w:rFonts w:ascii="Times New Roman" w:hAnsi="Times New Roman"/>
    </w:rPr>
  </w:style>
  <w:style w:type="paragraph" w:customStyle="1" w:styleId="43">
    <w:name w:val="Char"/>
    <w:basedOn w:val="8"/>
    <w:qFormat/>
    <w:uiPriority w:val="0"/>
    <w:pPr>
      <w:shd w:val="clear" w:color="auto" w:fill="000080"/>
      <w:adjustRightInd w:val="0"/>
      <w:spacing w:line="436" w:lineRule="exact"/>
      <w:ind w:left="357"/>
      <w:jc w:val="left"/>
      <w:outlineLvl w:val="3"/>
    </w:pPr>
    <w:rPr>
      <w:rFonts w:ascii="Tahoma" w:hAnsi="Tahoma"/>
      <w:b/>
      <w:sz w:val="24"/>
      <w:szCs w:val="24"/>
    </w:rPr>
  </w:style>
  <w:style w:type="paragraph" w:customStyle="1" w:styleId="44">
    <w:name w:val="Char Char Char Char Char Char"/>
    <w:basedOn w:val="1"/>
    <w:qFormat/>
    <w:uiPriority w:val="0"/>
    <w:pPr>
      <w:widowControl/>
      <w:spacing w:after="160" w:line="240" w:lineRule="exact"/>
      <w:jc w:val="left"/>
    </w:pPr>
    <w:rPr>
      <w:rFonts w:ascii="Times New Roman" w:hAnsi="Times New Roman"/>
      <w:szCs w:val="24"/>
    </w:rPr>
  </w:style>
  <w:style w:type="character" w:customStyle="1" w:styleId="45">
    <w:name w:val="副标题 字符"/>
    <w:basedOn w:val="20"/>
    <w:link w:val="17"/>
    <w:qFormat/>
    <w:locked/>
    <w:uiPriority w:val="0"/>
    <w:rPr>
      <w:rFonts w:ascii="Cambria" w:hAnsi="Cambria" w:eastAsia="黑体" w:cs="Times New Roman"/>
      <w:bCs/>
      <w:kern w:val="28"/>
      <w:sz w:val="32"/>
      <w:szCs w:val="32"/>
    </w:rPr>
  </w:style>
  <w:style w:type="paragraph" w:customStyle="1" w:styleId="46">
    <w:name w:val="修订2"/>
    <w:hidden/>
    <w:qFormat/>
    <w:uiPriority w:val="0"/>
    <w:rPr>
      <w:rFonts w:ascii="Calibri" w:hAnsi="Calibri" w:eastAsia="宋体" w:cs="Times New Roman"/>
      <w:kern w:val="2"/>
      <w:sz w:val="21"/>
      <w:szCs w:val="22"/>
      <w:lang w:val="en-US" w:eastAsia="zh-CN" w:bidi="ar-SA"/>
    </w:rPr>
  </w:style>
  <w:style w:type="paragraph" w:customStyle="1" w:styleId="47">
    <w:name w:val="修订3"/>
    <w:hidden/>
    <w:semiHidden/>
    <w:qFormat/>
    <w:uiPriority w:val="99"/>
    <w:rPr>
      <w:rFonts w:ascii="Calibri" w:hAnsi="Calibri" w:eastAsia="宋体" w:cs="Times New Roman"/>
      <w:kern w:val="2"/>
      <w:sz w:val="21"/>
      <w:szCs w:val="22"/>
      <w:lang w:val="en-US" w:eastAsia="zh-CN" w:bidi="ar-SA"/>
    </w:rPr>
  </w:style>
  <w:style w:type="paragraph" w:customStyle="1" w:styleId="48">
    <w:name w:val="修订4"/>
    <w:hidden/>
    <w:semiHidden/>
    <w:qFormat/>
    <w:uiPriority w:val="99"/>
    <w:rPr>
      <w:rFonts w:ascii="Calibri" w:hAnsi="Calibri" w:eastAsia="宋体" w:cs="Times New Roman"/>
      <w:kern w:val="2"/>
      <w:sz w:val="21"/>
      <w:szCs w:val="22"/>
      <w:lang w:val="en-US" w:eastAsia="zh-CN" w:bidi="ar-SA"/>
    </w:rPr>
  </w:style>
  <w:style w:type="character" w:customStyle="1" w:styleId="49">
    <w:name w:val="font61"/>
    <w:basedOn w:val="20"/>
    <w:qFormat/>
    <w:uiPriority w:val="0"/>
    <w:rPr>
      <w:rFonts w:hint="eastAsia" w:ascii="宋体" w:hAnsi="宋体" w:eastAsia="宋体" w:cs="宋体"/>
      <w:color w:val="000000"/>
      <w:sz w:val="20"/>
      <w:szCs w:val="20"/>
      <w:u w:val="none"/>
    </w:rPr>
  </w:style>
  <w:style w:type="character" w:customStyle="1" w:styleId="50">
    <w:name w:val="font41"/>
    <w:basedOn w:val="20"/>
    <w:qFormat/>
    <w:uiPriority w:val="0"/>
    <w:rPr>
      <w:rFonts w:hint="eastAsia" w:ascii="宋体" w:hAnsi="宋体" w:eastAsia="宋体" w:cs="宋体"/>
      <w:color w:val="000000"/>
      <w:sz w:val="20"/>
      <w:szCs w:val="20"/>
      <w:u w:val="none"/>
    </w:rPr>
  </w:style>
  <w:style w:type="paragraph" w:customStyle="1" w:styleId="51">
    <w:name w:val="修订5"/>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74BA77-1A0C-4B6B-B935-2D6B82E35FE6}">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17</Pages>
  <Words>1390</Words>
  <Characters>7925</Characters>
  <Lines>66</Lines>
  <Paragraphs>18</Paragraphs>
  <TotalTime>7</TotalTime>
  <ScaleCrop>false</ScaleCrop>
  <LinksUpToDate>false</LinksUpToDate>
  <CharactersWithSpaces>9297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2017-06-02T12:45:00Z</dcterms:created>
  <dc:creator>Sky123.Org</dc:creator>
  <cp:lastModifiedBy>USER</cp:lastModifiedBy>
  <cp:lastPrinted>2017-06-20T10:21:00Z</cp:lastPrinted>
  <dcterms:modified xsi:type="dcterms:W3CDTF">2024-05-20T07:23:13Z</dcterms:modified>
  <dc:title>北京市顺义区财政项目支出</dc:title>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EB5F88386F5349CFB7BA7F5496582418</vt:lpwstr>
  </property>
</Properties>
</file>