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北京市密云区人民检察院</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2</w:t>
      </w:r>
      <w:r>
        <w:rPr>
          <w:rFonts w:ascii="方正小标宋简体" w:eastAsia="方正小标宋简体"/>
          <w:sz w:val="36"/>
          <w:szCs w:val="36"/>
        </w:rPr>
        <w:t>02</w:t>
      </w:r>
      <w:r>
        <w:rPr>
          <w:rFonts w:hint="eastAsia" w:ascii="方正小标宋简体" w:eastAsia="方正小标宋简体"/>
          <w:sz w:val="36"/>
          <w:szCs w:val="36"/>
          <w:lang w:val="en-US" w:eastAsia="zh-CN"/>
        </w:rPr>
        <w:t>3</w:t>
      </w:r>
      <w:r>
        <w:rPr>
          <w:rFonts w:hint="eastAsia" w:ascii="方正小标宋简体" w:eastAsia="方正小标宋简体"/>
          <w:sz w:val="36"/>
          <w:szCs w:val="36"/>
        </w:rPr>
        <w:t>年度部门整体绩效评价报告</w:t>
      </w:r>
    </w:p>
    <w:p>
      <w:pPr>
        <w:jc w:val="center"/>
        <w:rPr>
          <w:rFonts w:ascii="仿宋_GB2312"/>
          <w:szCs w:val="30"/>
        </w:rPr>
      </w:pP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43" w:firstLineChars="200"/>
        <w:rPr>
          <w:rFonts w:ascii="楷体_GB2312" w:eastAsia="楷体_GB2312"/>
          <w:b/>
          <w:sz w:val="32"/>
          <w:szCs w:val="32"/>
        </w:rPr>
      </w:pPr>
      <w:r>
        <w:rPr>
          <w:rFonts w:hint="eastAsia" w:ascii="楷体_GB2312" w:eastAsia="楷体_GB2312"/>
          <w:b/>
          <w:sz w:val="32"/>
          <w:szCs w:val="32"/>
        </w:rPr>
        <w:t>（一）机构设置及职责工作任务情况</w:t>
      </w:r>
    </w:p>
    <w:p>
      <w:pPr>
        <w:spacing w:line="600" w:lineRule="exact"/>
        <w:ind w:firstLine="643" w:firstLineChars="200"/>
        <w:rPr>
          <w:rFonts w:ascii="仿宋_GB2312" w:eastAsia="仿宋_GB2312"/>
          <w:b/>
          <w:sz w:val="32"/>
          <w:szCs w:val="32"/>
        </w:rPr>
      </w:pPr>
      <w:r>
        <w:rPr>
          <w:rFonts w:hint="eastAsia" w:ascii="仿宋_GB2312" w:eastAsia="仿宋_GB2312"/>
          <w:b/>
          <w:sz w:val="32"/>
          <w:szCs w:val="32"/>
        </w:rPr>
        <w:t>1</w:t>
      </w:r>
      <w:r>
        <w:rPr>
          <w:rFonts w:ascii="仿宋_GB2312" w:eastAsia="仿宋_GB2312"/>
          <w:b/>
          <w:sz w:val="32"/>
          <w:szCs w:val="32"/>
        </w:rPr>
        <w:t>.</w:t>
      </w:r>
      <w:r>
        <w:rPr>
          <w:rFonts w:hint="eastAsia" w:ascii="仿宋_GB2312" w:eastAsia="仿宋_GB2312"/>
          <w:b/>
          <w:sz w:val="32"/>
          <w:szCs w:val="32"/>
        </w:rPr>
        <w:t>主要职能</w:t>
      </w:r>
    </w:p>
    <w:p>
      <w:pPr>
        <w:spacing w:line="600" w:lineRule="exact"/>
        <w:ind w:firstLine="640" w:firstLineChars="200"/>
        <w:rPr>
          <w:rFonts w:hint="eastAsia" w:ascii="仿宋_GB2312" w:eastAsia="仿宋_GB2312"/>
          <w:sz w:val="32"/>
          <w:szCs w:val="32"/>
          <w:highlight w:val="yellow"/>
          <w:lang w:eastAsia="zh-CN"/>
        </w:rPr>
      </w:pPr>
      <w:r>
        <w:rPr>
          <w:rFonts w:hint="eastAsia" w:ascii="仿宋_GB2312" w:eastAsia="仿宋_GB2312"/>
          <w:sz w:val="32"/>
          <w:szCs w:val="32"/>
        </w:rPr>
        <w:t>北京市密云区人民检察院（以下简称“区检察院”）在辖区内依法独立行使检察权，接受北京市人民检察院和密云区委的领导，对本区人民代表大会及其常务委员会负责并报告工作，其主要职责</w:t>
      </w:r>
      <w:r>
        <w:rPr>
          <w:rFonts w:hint="eastAsia" w:ascii="仿宋_GB2312" w:eastAsia="仿宋_GB2312"/>
          <w:sz w:val="32"/>
          <w:szCs w:val="32"/>
          <w:highlight w:val="none"/>
        </w:rPr>
        <w:t>是：（1）负责受理审查本院管辖提请逮捕的案件；（2）负责受理审查本院管辖提起公诉的案件，并出庭支持公诉；（3）负责受理辖区内公民和法人的检举、控告、申诉的案件；（4）负责受理辖区内公益诉讼工作的开展；（5）负责对辖区内的民事、经济、行政诉讼判决的监督；（6）负责对区公安局侦查工作的法律监督；（7）负责对辖区内监管场所收押犯罪嫌疑人、罪犯改造工作的监督；（8）负责本后勤管理和物质装备工作；（9）院的党建工作和干部教育管理以及思想政治工作；（10）负责本院党的纪律检查和行政监察工作；（11）负责由上级人民检察院交办的其他工作</w:t>
      </w:r>
      <w:r>
        <w:rPr>
          <w:rFonts w:hint="eastAsia" w:ascii="仿宋_GB2312" w:eastAsia="仿宋_GB2312"/>
          <w:sz w:val="32"/>
          <w:szCs w:val="32"/>
          <w:highlight w:val="none"/>
          <w:lang w:eastAsia="zh-CN"/>
        </w:rPr>
        <w:t>。</w:t>
      </w:r>
    </w:p>
    <w:p>
      <w:pPr>
        <w:spacing w:line="600" w:lineRule="exact"/>
        <w:ind w:firstLine="643" w:firstLineChars="200"/>
        <w:rPr>
          <w:rFonts w:ascii="仿宋_GB2312" w:eastAsia="仿宋_GB2312"/>
          <w:b/>
          <w:sz w:val="32"/>
          <w:szCs w:val="32"/>
        </w:rPr>
      </w:pPr>
      <w:r>
        <w:rPr>
          <w:rFonts w:hint="eastAsia" w:ascii="仿宋_GB2312" w:eastAsia="仿宋_GB2312"/>
          <w:b/>
          <w:sz w:val="32"/>
          <w:szCs w:val="32"/>
        </w:rPr>
        <w:t>2</w:t>
      </w:r>
      <w:r>
        <w:rPr>
          <w:rFonts w:ascii="仿宋_GB2312" w:eastAsia="仿宋_GB2312"/>
          <w:b/>
          <w:sz w:val="32"/>
          <w:szCs w:val="32"/>
        </w:rPr>
        <w:t>.</w:t>
      </w:r>
      <w:r>
        <w:rPr>
          <w:rFonts w:hint="eastAsia" w:ascii="仿宋_GB2312" w:eastAsia="仿宋_GB2312"/>
          <w:b/>
          <w:sz w:val="32"/>
          <w:szCs w:val="32"/>
        </w:rPr>
        <w:t>机构情况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区检察院内设10个内设机构</w:t>
      </w:r>
      <w:r>
        <w:rPr>
          <w:rFonts w:hint="eastAsia" w:ascii="仿宋_GB2312" w:eastAsia="仿宋_GB2312"/>
          <w:sz w:val="32"/>
          <w:szCs w:val="32"/>
          <w:lang w:eastAsia="zh-CN"/>
        </w:rPr>
        <w:t>，</w:t>
      </w:r>
      <w:r>
        <w:rPr>
          <w:rFonts w:hint="eastAsia" w:ascii="仿宋_GB2312" w:eastAsia="仿宋_GB2312"/>
          <w:sz w:val="32"/>
          <w:szCs w:val="32"/>
        </w:rPr>
        <w:t>分别是：第一检察部、第二检察部、第三检察部、第四检察部、第五检察部、第六检察部、第七检察部、</w:t>
      </w:r>
      <w:r>
        <w:rPr>
          <w:rFonts w:hint="eastAsia" w:ascii="仿宋_GB2312" w:eastAsia="仿宋_GB2312" w:cs="Times New Roman"/>
          <w:sz w:val="32"/>
          <w:szCs w:val="32"/>
          <w:highlight w:val="none"/>
          <w:lang w:val="en-US" w:eastAsia="zh-CN"/>
        </w:rPr>
        <w:t>办公室</w:t>
      </w:r>
      <w:r>
        <w:rPr>
          <w:rFonts w:hint="eastAsia" w:ascii="仿宋_GB2312" w:eastAsia="仿宋_GB2312"/>
          <w:sz w:val="32"/>
          <w:szCs w:val="32"/>
        </w:rPr>
        <w:t>、政治部、检务督察部，无下属单位。</w:t>
      </w:r>
    </w:p>
    <w:p>
      <w:pPr>
        <w:spacing w:line="60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人员情况</w:t>
      </w:r>
    </w:p>
    <w:p>
      <w:pPr>
        <w:spacing w:line="600" w:lineRule="exact"/>
        <w:ind w:firstLine="640" w:firstLineChars="200"/>
        <w:rPr>
          <w:rFonts w:ascii="仿宋_GB2312" w:eastAsia="仿宋_GB2312"/>
          <w:sz w:val="32"/>
          <w:szCs w:val="32"/>
          <w:highlight w:val="yellow"/>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年区检察院部门行政编制10</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人，实有人数</w:t>
      </w:r>
      <w:r>
        <w:rPr>
          <w:rFonts w:hint="eastAsia" w:ascii="仿宋_GB2312" w:eastAsia="仿宋_GB2312"/>
          <w:sz w:val="32"/>
          <w:szCs w:val="32"/>
          <w:highlight w:val="none"/>
          <w:lang w:val="en-US" w:eastAsia="zh-CN"/>
        </w:rPr>
        <w:t>97</w:t>
      </w:r>
      <w:r>
        <w:rPr>
          <w:rFonts w:hint="eastAsia" w:ascii="仿宋_GB2312" w:eastAsia="仿宋_GB2312"/>
          <w:sz w:val="32"/>
          <w:szCs w:val="32"/>
          <w:highlight w:val="none"/>
        </w:rPr>
        <w:t>人；事业编制1</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人，实际</w:t>
      </w:r>
      <w:r>
        <w:rPr>
          <w:rFonts w:hint="eastAsia" w:ascii="仿宋_GB2312" w:eastAsia="仿宋_GB2312"/>
          <w:sz w:val="32"/>
          <w:szCs w:val="32"/>
          <w:highlight w:val="none"/>
          <w:lang w:val="en-US" w:eastAsia="zh-CN"/>
        </w:rPr>
        <w:t>10</w:t>
      </w:r>
      <w:r>
        <w:rPr>
          <w:rFonts w:hint="eastAsia" w:ascii="仿宋_GB2312" w:eastAsia="仿宋_GB2312"/>
          <w:sz w:val="32"/>
          <w:szCs w:val="32"/>
          <w:highlight w:val="none"/>
        </w:rPr>
        <w:t>人；聘用人员（检察院聘任书记员、聘用制司法警察）</w:t>
      </w:r>
      <w:r>
        <w:rPr>
          <w:rFonts w:hint="eastAsia" w:ascii="仿宋_GB2312" w:eastAsia="仿宋_GB2312"/>
          <w:sz w:val="32"/>
          <w:szCs w:val="32"/>
          <w:highlight w:val="none"/>
          <w:lang w:val="en-US" w:eastAsia="zh-CN"/>
        </w:rPr>
        <w:t>33</w:t>
      </w:r>
      <w:r>
        <w:rPr>
          <w:rFonts w:hint="eastAsia" w:ascii="仿宋_GB2312" w:eastAsia="仿宋_GB2312"/>
          <w:sz w:val="32"/>
          <w:szCs w:val="32"/>
          <w:highlight w:val="none"/>
        </w:rPr>
        <w:t>人。离退休人员</w:t>
      </w:r>
      <w:r>
        <w:rPr>
          <w:rFonts w:hint="eastAsia" w:ascii="仿宋_GB2312" w:eastAsia="仿宋_GB2312"/>
          <w:sz w:val="32"/>
          <w:szCs w:val="32"/>
          <w:highlight w:val="none"/>
          <w:lang w:val="en-US" w:eastAsia="zh-CN"/>
        </w:rPr>
        <w:t>56</w:t>
      </w:r>
      <w:r>
        <w:rPr>
          <w:rFonts w:hint="eastAsia" w:ascii="仿宋_GB2312" w:eastAsia="仿宋_GB2312"/>
          <w:sz w:val="32"/>
          <w:szCs w:val="32"/>
          <w:highlight w:val="none"/>
        </w:rPr>
        <w:t>人，其中：离休0人，退休</w:t>
      </w:r>
      <w:r>
        <w:rPr>
          <w:rFonts w:hint="eastAsia" w:ascii="仿宋_GB2312" w:eastAsia="仿宋_GB2312"/>
          <w:sz w:val="32"/>
          <w:szCs w:val="32"/>
          <w:highlight w:val="none"/>
          <w:lang w:val="en-US" w:eastAsia="zh-CN"/>
        </w:rPr>
        <w:t>56</w:t>
      </w:r>
      <w:r>
        <w:rPr>
          <w:rFonts w:hint="eastAsia" w:ascii="仿宋_GB2312" w:eastAsia="仿宋_GB2312"/>
          <w:sz w:val="32"/>
          <w:szCs w:val="32"/>
          <w:highlight w:val="none"/>
        </w:rPr>
        <w:t>人。</w:t>
      </w:r>
      <w:bookmarkStart w:id="0" w:name="_GoBack"/>
      <w:bookmarkEnd w:id="0"/>
    </w:p>
    <w:p>
      <w:pPr>
        <w:spacing w:line="600" w:lineRule="exact"/>
        <w:ind w:firstLine="643" w:firstLineChars="200"/>
        <w:rPr>
          <w:rFonts w:ascii="楷体_GB2312" w:eastAsia="楷体_GB2312"/>
          <w:b/>
          <w:sz w:val="32"/>
          <w:szCs w:val="32"/>
        </w:rPr>
      </w:pPr>
      <w:r>
        <w:rPr>
          <w:rFonts w:hint="eastAsia" w:ascii="楷体_GB2312" w:eastAsia="楷体_GB2312"/>
          <w:b/>
          <w:sz w:val="32"/>
          <w:szCs w:val="32"/>
        </w:rPr>
        <w:t>（二）部门整体绩效目标设立情况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区检察院依据2</w:t>
      </w:r>
      <w:r>
        <w:rPr>
          <w:rFonts w:ascii="仿宋_GB2312" w:eastAsia="仿宋_GB2312"/>
          <w:sz w:val="32"/>
          <w:szCs w:val="32"/>
        </w:rPr>
        <w:t>02</w:t>
      </w:r>
      <w:r>
        <w:rPr>
          <w:rFonts w:hint="eastAsia" w:ascii="仿宋_GB2312" w:eastAsia="仿宋_GB2312"/>
          <w:sz w:val="32"/>
          <w:szCs w:val="32"/>
          <w:lang w:val="en-US" w:eastAsia="zh-CN"/>
        </w:rPr>
        <w:t>3</w:t>
      </w:r>
      <w:r>
        <w:rPr>
          <w:rFonts w:hint="eastAsia" w:ascii="仿宋_GB2312" w:eastAsia="仿宋_GB2312"/>
          <w:sz w:val="32"/>
          <w:szCs w:val="32"/>
        </w:rPr>
        <w:t>年度部门重点工作任务分解和部门年度工作计划，制定了部门年度绩效目标。</w:t>
      </w:r>
    </w:p>
    <w:p>
      <w:pPr>
        <w:spacing w:line="600" w:lineRule="exact"/>
        <w:ind w:firstLine="640" w:firstLineChars="200"/>
        <w:rPr>
          <w:rFonts w:ascii="仿宋_GB2312" w:eastAsia="仿宋_GB2312"/>
          <w:sz w:val="32"/>
          <w:szCs w:val="32"/>
        </w:rPr>
      </w:pPr>
      <w:r>
        <w:rPr>
          <w:rFonts w:hint="eastAsia" w:ascii="仿宋_GB2312" w:hAnsi="Calibri" w:eastAsia="仿宋_GB2312" w:cs="Times New Roman"/>
          <w:color w:val="auto"/>
          <w:kern w:val="2"/>
          <w:sz w:val="32"/>
          <w:szCs w:val="32"/>
          <w:highlight w:val="none"/>
          <w:lang w:val="en-US" w:eastAsia="zh-CN" w:bidi="ar-SA"/>
        </w:rPr>
        <w:t>党的二十大报告首次专门强调加强检察机关法律监督工作，首次对完善公益诉讼制度提出明确要求，这是继中央《意见》专门印发后，党中央又一次赋予检察机关的更重政治责任、法治责任、检察责任，充分彰显了党中央对法治建设、检察工作的高度重视和深切期望。2023年，区检察院将在区委和市检察院的坚强领导下，以站位全局的政治自觉，以忠诚履职的检察担当，为奋力谱写密云绿色高质量发展新篇章提供有力司法保障</w:t>
      </w:r>
      <w:r>
        <w:rPr>
          <w:rFonts w:hint="eastAsia" w:ascii="仿宋_GB2312" w:eastAsia="仿宋_GB2312"/>
          <w:sz w:val="32"/>
          <w:szCs w:val="32"/>
        </w:rPr>
        <w:t>。总体工作目标包含：</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强化思想建设，以政治建检的能动自觉坚守新时代检察之魂。把学习好领会好贯彻好党的二十大精神作为当前和今后一个时期的首要政治任务，深刻认识“两个确立”的决定性意义，自觉增强“四个意识”、坚定“四个自信”、做到“两个维护”，切实将党的二十大作出的重大决策部署付诸检察行动、见诸履职成效。持续深化“五双”党建业务深度融合机制，做到党建工作既要见物更要见人、既要有形更要有神、既要用心更要用情。</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突出保水担当，以生态检察的绿色答卷贡献新时代检察力量。立足区域保水保生态工作大局，坚持“法治+生态”一体理念，增强“司法+行政”两翼合力，完善“检察+库区”多方机制，持续打造生态检察守护密云水库“一体两翼多方”密云样本。推进落实生态环境损害赔偿制度、完善惩罚性赔偿与公益诉讼的有效衔接，推动形成以“我管”促“都管”生态检察治理格局，继续用法治力量当好密云水库守护人和“两山理论”守护人。</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牢记国之大者，以精准监督的法治追求践行新时代检察使命。深化精准监督理念，把监督重心放到提质量、增效率、强效果上，深化大数据运用在惩防违法犯罪、促进解决源头治理上的积极作用。推动完善公益诉讼检察制度，稳步拓展公益诉讼案件范围，依法做好跟进、融入式法律监督。强化执法司法监督制约，加强与行政执法机关、司法机关等的互联互动，实现检察监督与其他监督有机贯通，共同构建区域优质高效法治环境。</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站稳人民立场，以司法为民的生动实践诠释新时代检察情怀。聚焦提升人民群众获得感，秉持客观公正立场、综合考虑情理法统一，切实办好发生在群众身边的“小案”。聚焦提升人民群众幸福感，认真抓好群众信访件件有回复、未成年保护、行政争议实质性化解等工作，持续提升公开听证、司法救助、企业合规等工作成效。聚焦提升人民群众安全感，依法维护食药安全、环境保护、安全生产等领域涉及民生民利的合法权益，不断厚植党的执政根基。</w:t>
      </w:r>
    </w:p>
    <w:p>
      <w:pPr>
        <w:spacing w:line="600" w:lineRule="exact"/>
        <w:ind w:firstLine="640" w:firstLineChars="200"/>
        <w:rPr>
          <w:rFonts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筑牢发展根基，以管党治检的更严要求锻造新时代检察铁军。认真落实全面从严治党、全面从严治检主体责任，坚持发扬自我革命精神、斗争精神，积极打造让党放心、让人民满意的过硬检察队伍。大力加强政治轮训和实战练兵，统筹推进同堂培训、特邀检察官助理参与办案等务实举措，努力把检察人员培养成服务保障区域绿色高质量发展的高素质专业人才。</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年，区检察院部门支出预算6236.891933万元，其中基本支出预算5616.179633万元，项目支出预算620.7123万元。基本支出中，人员经费支出预算4887.615288万元，公用经费支出预算728.564345万元。</w:t>
      </w:r>
    </w:p>
    <w:p>
      <w:pPr>
        <w:spacing w:line="600" w:lineRule="exact"/>
        <w:ind w:firstLine="640" w:firstLineChars="200"/>
        <w:rPr>
          <w:rFonts w:ascii="仿宋_GB2312" w:eastAsia="仿宋_GB2312"/>
          <w:sz w:val="32"/>
          <w:szCs w:val="32"/>
          <w:highlight w:val="yellow"/>
        </w:rPr>
      </w:pPr>
      <w:r>
        <w:rPr>
          <w:rFonts w:hint="eastAsia" w:ascii="仿宋_GB2312" w:eastAsia="仿宋_GB2312"/>
          <w:sz w:val="32"/>
          <w:szCs w:val="32"/>
          <w:highlight w:val="none"/>
        </w:rPr>
        <w:t>经预算调整后，2</w:t>
      </w:r>
      <w:r>
        <w:rPr>
          <w:rFonts w:ascii="仿宋_GB2312" w:eastAsia="仿宋_GB2312"/>
          <w:sz w:val="32"/>
          <w:szCs w:val="32"/>
          <w:highlight w:val="none"/>
        </w:rPr>
        <w:t>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年全年预算数6252.8834万元，其中基本支出预算数5711.890953万元，项目支出预算数540.992447万元。资金总体支出6059.771922万元，预算执行率为96.91%。其中基本支出5527</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196639万元，预算执行率96.77%；项目支出532.575283万元，预算执行率98.44%。部门预算执行情况详见下表：</w:t>
      </w:r>
    </w:p>
    <w:p>
      <w:pPr>
        <w:adjustRightInd w:val="0"/>
        <w:snapToGrid w:val="0"/>
        <w:spacing w:line="360" w:lineRule="auto"/>
        <w:ind w:firstLine="1405" w:firstLineChars="500"/>
        <w:rPr>
          <w:rFonts w:ascii="仿宋" w:hAnsi="仿宋" w:eastAsia="仿宋" w:cs="仿宋"/>
          <w:b/>
          <w:kern w:val="0"/>
          <w:sz w:val="28"/>
          <w:szCs w:val="28"/>
        </w:rPr>
      </w:pPr>
      <w:r>
        <w:rPr>
          <w:rFonts w:hint="eastAsia" w:ascii="仿宋" w:hAnsi="仿宋" w:eastAsia="仿宋" w:cs="仿宋"/>
          <w:b/>
          <w:bCs/>
          <w:kern w:val="0"/>
          <w:sz w:val="28"/>
          <w:szCs w:val="28"/>
        </w:rPr>
        <w:t xml:space="preserve"> </w:t>
      </w:r>
      <w:r>
        <w:rPr>
          <w:rFonts w:ascii="仿宋" w:hAnsi="仿宋" w:eastAsia="仿宋" w:cs="仿宋"/>
          <w:b/>
          <w:bCs/>
          <w:kern w:val="0"/>
          <w:sz w:val="28"/>
          <w:szCs w:val="28"/>
        </w:rPr>
        <w:t xml:space="preserve">       </w:t>
      </w:r>
      <w:r>
        <w:rPr>
          <w:rFonts w:hint="eastAsia" w:ascii="仿宋" w:hAnsi="仿宋" w:eastAsia="仿宋" w:cs="仿宋"/>
          <w:b/>
          <w:bCs/>
          <w:kern w:val="0"/>
          <w:sz w:val="28"/>
          <w:szCs w:val="28"/>
        </w:rPr>
        <w:t>202</w:t>
      </w:r>
      <w:r>
        <w:rPr>
          <w:rFonts w:hint="eastAsia" w:ascii="仿宋" w:hAnsi="仿宋" w:eastAsia="仿宋" w:cs="仿宋"/>
          <w:b/>
          <w:bCs/>
          <w:kern w:val="0"/>
          <w:sz w:val="28"/>
          <w:szCs w:val="28"/>
          <w:lang w:val="en-US" w:eastAsia="zh-CN"/>
        </w:rPr>
        <w:t>3</w:t>
      </w:r>
      <w:r>
        <w:rPr>
          <w:rFonts w:hint="eastAsia" w:ascii="仿宋" w:hAnsi="仿宋" w:eastAsia="仿宋" w:cs="仿宋"/>
          <w:b/>
          <w:bCs/>
          <w:kern w:val="0"/>
          <w:sz w:val="28"/>
          <w:szCs w:val="28"/>
        </w:rPr>
        <w:t>年部门预算执行情况表</w:t>
      </w:r>
    </w:p>
    <w:tbl>
      <w:tblPr>
        <w:tblStyle w:val="9"/>
        <w:tblW w:w="8357" w:type="dxa"/>
        <w:jc w:val="center"/>
        <w:tblLayout w:type="fixed"/>
        <w:tblCellMar>
          <w:top w:w="0" w:type="dxa"/>
          <w:left w:w="108" w:type="dxa"/>
          <w:bottom w:w="0" w:type="dxa"/>
          <w:right w:w="108" w:type="dxa"/>
        </w:tblCellMar>
      </w:tblPr>
      <w:tblGrid>
        <w:gridCol w:w="1326"/>
        <w:gridCol w:w="1516"/>
        <w:gridCol w:w="1367"/>
        <w:gridCol w:w="1516"/>
        <w:gridCol w:w="1434"/>
        <w:gridCol w:w="1198"/>
      </w:tblGrid>
      <w:tr>
        <w:tblPrEx>
          <w:tblCellMar>
            <w:top w:w="0" w:type="dxa"/>
            <w:left w:w="108" w:type="dxa"/>
            <w:bottom w:w="0" w:type="dxa"/>
            <w:right w:w="108" w:type="dxa"/>
          </w:tblCellMar>
        </w:tblPrEx>
        <w:trPr>
          <w:trHeight w:val="454" w:hRule="atLeast"/>
          <w:jc w:val="center"/>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部门支出</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预算批复数（万元）</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预算调整数（万元）</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实际预算数（万元）</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预算执行数（万元）</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kern w:val="0"/>
                <w:sz w:val="24"/>
                <w:szCs w:val="24"/>
                <w:lang w:bidi="ar"/>
              </w:rPr>
            </w:pPr>
            <w:r>
              <w:rPr>
                <w:rFonts w:hint="eastAsia" w:ascii="仿宋" w:hAnsi="仿宋" w:eastAsia="仿宋" w:cs="仿宋"/>
                <w:b/>
                <w:bCs/>
                <w:color w:val="000000"/>
                <w:kern w:val="0"/>
                <w:sz w:val="24"/>
                <w:szCs w:val="24"/>
                <w:lang w:bidi="ar"/>
              </w:rPr>
              <w:t>预算</w:t>
            </w:r>
          </w:p>
          <w:p>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执行率</w:t>
            </w:r>
          </w:p>
        </w:tc>
      </w:tr>
      <w:tr>
        <w:tblPrEx>
          <w:tblCellMar>
            <w:top w:w="0" w:type="dxa"/>
            <w:left w:w="108" w:type="dxa"/>
            <w:bottom w:w="0" w:type="dxa"/>
            <w:right w:w="108" w:type="dxa"/>
          </w:tblCellMar>
        </w:tblPrEx>
        <w:trPr>
          <w:trHeight w:val="454" w:hRule="atLeast"/>
          <w:jc w:val="center"/>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人员经费</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color w:val="000000"/>
                <w:sz w:val="24"/>
                <w:szCs w:val="24"/>
                <w:lang w:val="en-US" w:eastAsia="zh-CN"/>
              </w:rPr>
            </w:pPr>
            <w:r>
              <w:rPr>
                <w:rFonts w:hint="default" w:ascii="仿宋" w:hAnsi="仿宋" w:eastAsia="仿宋" w:cs="仿宋"/>
                <w:color w:val="000000"/>
                <w:sz w:val="24"/>
                <w:szCs w:val="24"/>
                <w:lang w:val="en-US" w:eastAsia="zh-CN"/>
              </w:rPr>
              <w:t>4,887.62</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color w:val="000000"/>
                <w:sz w:val="24"/>
                <w:szCs w:val="24"/>
                <w:lang w:val="en-US" w:eastAsia="zh-CN"/>
              </w:rPr>
            </w:pPr>
            <w:r>
              <w:rPr>
                <w:rFonts w:hint="default" w:ascii="仿宋" w:hAnsi="仿宋" w:eastAsia="仿宋" w:cs="仿宋"/>
                <w:color w:val="000000"/>
                <w:sz w:val="24"/>
                <w:szCs w:val="24"/>
                <w:lang w:val="en-US" w:eastAsia="zh-CN"/>
              </w:rPr>
              <w:t>-31.</w:t>
            </w:r>
            <w:r>
              <w:rPr>
                <w:rFonts w:hint="eastAsia" w:ascii="仿宋" w:hAnsi="仿宋" w:eastAsia="仿宋" w:cs="仿宋"/>
                <w:color w:val="000000"/>
                <w:sz w:val="24"/>
                <w:szCs w:val="24"/>
                <w:lang w:val="en-US" w:eastAsia="zh-CN"/>
              </w:rPr>
              <w:t>30</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color w:val="000000"/>
                <w:sz w:val="24"/>
                <w:szCs w:val="24"/>
                <w:lang w:val="en-US" w:eastAsia="zh-CN"/>
              </w:rPr>
            </w:pPr>
            <w:r>
              <w:rPr>
                <w:rFonts w:hint="default" w:ascii="仿宋" w:hAnsi="仿宋" w:eastAsia="仿宋" w:cs="仿宋"/>
                <w:color w:val="000000"/>
                <w:sz w:val="24"/>
                <w:szCs w:val="24"/>
                <w:lang w:val="en-US" w:eastAsia="zh-CN"/>
              </w:rPr>
              <w:t>4,856.32</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color w:val="000000"/>
                <w:sz w:val="24"/>
                <w:szCs w:val="24"/>
                <w:lang w:val="en-US" w:eastAsia="zh-CN"/>
              </w:rPr>
            </w:pPr>
            <w:r>
              <w:rPr>
                <w:rFonts w:hint="default" w:ascii="仿宋" w:hAnsi="仿宋" w:eastAsia="仿宋" w:cs="仿宋"/>
                <w:color w:val="000000"/>
                <w:sz w:val="24"/>
                <w:szCs w:val="24"/>
                <w:lang w:val="en-US" w:eastAsia="zh-CN"/>
              </w:rPr>
              <w:t>4,834.87</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color w:val="000000"/>
                <w:sz w:val="24"/>
                <w:szCs w:val="24"/>
                <w:lang w:val="en-US" w:eastAsia="zh-CN"/>
              </w:rPr>
            </w:pPr>
            <w:r>
              <w:rPr>
                <w:rFonts w:hint="default" w:ascii="仿宋" w:hAnsi="仿宋" w:eastAsia="仿宋" w:cs="仿宋"/>
                <w:color w:val="000000"/>
                <w:sz w:val="24"/>
                <w:szCs w:val="24"/>
                <w:lang w:val="en-US" w:eastAsia="zh-CN"/>
              </w:rPr>
              <w:t>99.56%</w:t>
            </w:r>
          </w:p>
        </w:tc>
      </w:tr>
      <w:tr>
        <w:tblPrEx>
          <w:tblCellMar>
            <w:top w:w="0" w:type="dxa"/>
            <w:left w:w="108" w:type="dxa"/>
            <w:bottom w:w="0" w:type="dxa"/>
            <w:right w:w="108" w:type="dxa"/>
          </w:tblCellMar>
        </w:tblPrEx>
        <w:trPr>
          <w:trHeight w:val="454" w:hRule="atLeast"/>
          <w:jc w:val="center"/>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公用经费</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color w:val="000000"/>
                <w:sz w:val="24"/>
                <w:szCs w:val="24"/>
                <w:lang w:val="en-US" w:eastAsia="zh-CN"/>
              </w:rPr>
            </w:pPr>
            <w:r>
              <w:rPr>
                <w:rFonts w:hint="default" w:ascii="仿宋" w:hAnsi="仿宋" w:eastAsia="仿宋" w:cs="仿宋"/>
                <w:color w:val="000000"/>
                <w:sz w:val="24"/>
                <w:szCs w:val="24"/>
                <w:lang w:val="en-US" w:eastAsia="zh-CN"/>
              </w:rPr>
              <w:t>728.56</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w:t>
            </w:r>
            <w:r>
              <w:rPr>
                <w:rFonts w:hint="default" w:ascii="仿宋" w:hAnsi="仿宋" w:eastAsia="仿宋" w:cs="仿宋"/>
                <w:color w:val="000000"/>
                <w:sz w:val="24"/>
                <w:szCs w:val="24"/>
                <w:lang w:val="en-US" w:eastAsia="zh-CN"/>
              </w:rPr>
              <w:t>127.01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color w:val="000000"/>
                <w:sz w:val="24"/>
                <w:szCs w:val="24"/>
                <w:lang w:val="en-US" w:eastAsia="zh-CN"/>
              </w:rPr>
            </w:pPr>
            <w:r>
              <w:rPr>
                <w:rFonts w:hint="default" w:ascii="仿宋" w:hAnsi="仿宋" w:eastAsia="仿宋" w:cs="仿宋"/>
                <w:color w:val="000000"/>
                <w:sz w:val="24"/>
                <w:szCs w:val="24"/>
                <w:lang w:val="en-US" w:eastAsia="zh-CN"/>
              </w:rPr>
              <w:t>855.57</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color w:val="000000"/>
                <w:sz w:val="24"/>
                <w:szCs w:val="24"/>
                <w:lang w:val="en-US" w:eastAsia="zh-CN"/>
              </w:rPr>
            </w:pPr>
            <w:r>
              <w:rPr>
                <w:rFonts w:hint="default" w:ascii="仿宋" w:hAnsi="仿宋" w:eastAsia="仿宋" w:cs="仿宋"/>
                <w:color w:val="000000"/>
                <w:sz w:val="24"/>
                <w:szCs w:val="24"/>
                <w:lang w:val="en-US" w:eastAsia="zh-CN"/>
              </w:rPr>
              <w:t>692.33</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color w:val="000000"/>
                <w:sz w:val="24"/>
                <w:szCs w:val="24"/>
                <w:lang w:val="en-US" w:eastAsia="zh-CN"/>
              </w:rPr>
            </w:pPr>
            <w:r>
              <w:rPr>
                <w:rFonts w:hint="default" w:ascii="仿宋" w:hAnsi="仿宋" w:eastAsia="仿宋" w:cs="仿宋"/>
                <w:color w:val="000000"/>
                <w:sz w:val="24"/>
                <w:szCs w:val="24"/>
                <w:lang w:val="en-US" w:eastAsia="zh-CN"/>
              </w:rPr>
              <w:t>80.92%</w:t>
            </w:r>
          </w:p>
        </w:tc>
      </w:tr>
      <w:tr>
        <w:tblPrEx>
          <w:tblCellMar>
            <w:top w:w="0" w:type="dxa"/>
            <w:left w:w="108" w:type="dxa"/>
            <w:bottom w:w="0" w:type="dxa"/>
            <w:right w:w="108" w:type="dxa"/>
          </w:tblCellMar>
        </w:tblPrEx>
        <w:trPr>
          <w:trHeight w:val="454" w:hRule="atLeast"/>
          <w:jc w:val="center"/>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基本经费小计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b/>
                <w:color w:val="000000"/>
                <w:sz w:val="24"/>
                <w:szCs w:val="24"/>
                <w:lang w:val="en-US" w:eastAsia="zh-CN"/>
              </w:rPr>
            </w:pPr>
            <w:r>
              <w:rPr>
                <w:rFonts w:hint="default" w:ascii="仿宋" w:hAnsi="仿宋" w:eastAsia="仿宋" w:cs="仿宋"/>
                <w:b/>
                <w:color w:val="000000"/>
                <w:sz w:val="24"/>
                <w:szCs w:val="24"/>
                <w:lang w:val="en-US" w:eastAsia="zh-CN"/>
              </w:rPr>
              <w:t>5,616.18</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color w:val="000000"/>
                <w:sz w:val="24"/>
                <w:szCs w:val="24"/>
                <w:lang w:val="en-US" w:eastAsia="zh-CN"/>
              </w:rPr>
            </w:pPr>
            <w:r>
              <w:rPr>
                <w:rFonts w:hint="eastAsia" w:ascii="仿宋" w:hAnsi="仿宋" w:eastAsia="仿宋" w:cs="仿宋"/>
                <w:b/>
                <w:bCs/>
                <w:color w:val="000000"/>
                <w:sz w:val="24"/>
                <w:szCs w:val="24"/>
                <w:lang w:val="en-US" w:eastAsia="zh-CN"/>
              </w:rPr>
              <w:t>+</w:t>
            </w:r>
            <w:r>
              <w:rPr>
                <w:rFonts w:hint="default" w:ascii="仿宋" w:hAnsi="仿宋" w:eastAsia="仿宋" w:cs="仿宋"/>
                <w:b/>
                <w:bCs/>
                <w:color w:val="000000"/>
                <w:sz w:val="24"/>
                <w:szCs w:val="24"/>
                <w:lang w:val="en-US" w:eastAsia="zh-CN"/>
              </w:rPr>
              <w:t>95.7</w:t>
            </w:r>
            <w:r>
              <w:rPr>
                <w:rFonts w:hint="eastAsia" w:ascii="仿宋" w:hAnsi="仿宋" w:eastAsia="仿宋" w:cs="仿宋"/>
                <w:b/>
                <w:bCs/>
                <w:color w:val="000000"/>
                <w:sz w:val="24"/>
                <w:szCs w:val="24"/>
                <w:lang w:val="en-US" w:eastAsia="zh-CN"/>
              </w:rPr>
              <w:t>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b/>
                <w:bCs/>
                <w:color w:val="000000"/>
                <w:kern w:val="0"/>
                <w:sz w:val="24"/>
                <w:szCs w:val="24"/>
                <w:lang w:val="en-US" w:eastAsia="zh-CN" w:bidi="ar"/>
              </w:rPr>
            </w:pPr>
            <w:r>
              <w:rPr>
                <w:rFonts w:hint="default" w:ascii="仿宋" w:hAnsi="仿宋" w:eastAsia="仿宋" w:cs="仿宋"/>
                <w:b/>
                <w:bCs/>
                <w:color w:val="000000"/>
                <w:kern w:val="0"/>
                <w:sz w:val="24"/>
                <w:szCs w:val="24"/>
                <w:lang w:val="en-US" w:eastAsia="zh-CN" w:bidi="ar"/>
              </w:rPr>
              <w:t>5,711.89</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b/>
                <w:bCs/>
                <w:color w:val="000000"/>
                <w:sz w:val="24"/>
                <w:szCs w:val="24"/>
                <w:lang w:val="en-US" w:eastAsia="zh-CN"/>
              </w:rPr>
            </w:pPr>
            <w:r>
              <w:rPr>
                <w:rFonts w:hint="default" w:ascii="仿宋" w:hAnsi="仿宋" w:eastAsia="仿宋" w:cs="仿宋"/>
                <w:b/>
                <w:bCs/>
                <w:color w:val="000000"/>
                <w:sz w:val="24"/>
                <w:szCs w:val="24"/>
                <w:lang w:val="en-US" w:eastAsia="zh-CN"/>
              </w:rPr>
              <w:t>5,527.20</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b/>
                <w:bCs/>
                <w:color w:val="000000"/>
                <w:sz w:val="24"/>
                <w:szCs w:val="24"/>
                <w:lang w:val="en-US" w:eastAsia="zh-CN"/>
              </w:rPr>
            </w:pPr>
            <w:r>
              <w:rPr>
                <w:rFonts w:hint="default" w:ascii="仿宋" w:hAnsi="仿宋" w:eastAsia="仿宋" w:cs="仿宋"/>
                <w:b/>
                <w:bCs/>
                <w:color w:val="000000"/>
                <w:sz w:val="24"/>
                <w:szCs w:val="24"/>
                <w:lang w:val="en-US" w:eastAsia="zh-CN"/>
              </w:rPr>
              <w:t>96.77%</w:t>
            </w:r>
          </w:p>
        </w:tc>
      </w:tr>
      <w:tr>
        <w:tblPrEx>
          <w:tblCellMar>
            <w:top w:w="0" w:type="dxa"/>
            <w:left w:w="108" w:type="dxa"/>
            <w:bottom w:w="0" w:type="dxa"/>
            <w:right w:w="108" w:type="dxa"/>
          </w:tblCellMar>
        </w:tblPrEx>
        <w:trPr>
          <w:trHeight w:val="454" w:hRule="atLeast"/>
          <w:jc w:val="center"/>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szCs w:val="24"/>
              </w:rPr>
            </w:pPr>
            <w:r>
              <w:rPr>
                <w:rFonts w:hint="eastAsia" w:ascii="仿宋" w:hAnsi="仿宋" w:eastAsia="仿宋" w:cs="仿宋"/>
                <w:color w:val="000000"/>
                <w:kern w:val="0"/>
                <w:sz w:val="24"/>
                <w:szCs w:val="24"/>
                <w:lang w:bidi="ar"/>
              </w:rPr>
              <w:t>项目经费</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000000"/>
                <w:sz w:val="24"/>
                <w:szCs w:val="24"/>
                <w:lang w:val="en-US" w:eastAsia="zh-CN"/>
              </w:rPr>
            </w:pPr>
            <w:r>
              <w:rPr>
                <w:rFonts w:hint="default" w:ascii="仿宋" w:hAnsi="仿宋" w:eastAsia="仿宋" w:cs="仿宋"/>
                <w:color w:val="000000"/>
                <w:sz w:val="24"/>
                <w:szCs w:val="24"/>
                <w:lang w:val="en-US" w:eastAsia="zh-CN"/>
              </w:rPr>
              <w:t>620.71</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color w:val="000000"/>
                <w:sz w:val="24"/>
                <w:szCs w:val="24"/>
                <w:lang w:val="en-US" w:eastAsia="zh-CN"/>
              </w:rPr>
            </w:pPr>
            <w:r>
              <w:rPr>
                <w:rFonts w:hint="default" w:ascii="仿宋" w:hAnsi="仿宋" w:eastAsia="仿宋" w:cs="仿宋"/>
                <w:color w:val="000000"/>
                <w:sz w:val="24"/>
                <w:szCs w:val="24"/>
                <w:lang w:val="en-US" w:eastAsia="zh-CN"/>
              </w:rPr>
              <w:t>-79.72</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color w:val="000000"/>
                <w:sz w:val="24"/>
                <w:szCs w:val="24"/>
                <w:lang w:val="en-US" w:eastAsia="zh-CN"/>
              </w:rPr>
            </w:pPr>
            <w:r>
              <w:rPr>
                <w:rFonts w:hint="default" w:ascii="仿宋" w:hAnsi="仿宋" w:eastAsia="仿宋" w:cs="仿宋"/>
                <w:color w:val="000000"/>
                <w:sz w:val="24"/>
                <w:szCs w:val="24"/>
                <w:lang w:val="en-US" w:eastAsia="zh-CN"/>
              </w:rPr>
              <w:t>540.99</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color w:val="000000"/>
                <w:sz w:val="24"/>
                <w:szCs w:val="24"/>
                <w:lang w:val="en-US" w:eastAsia="zh-CN"/>
              </w:rPr>
            </w:pPr>
            <w:r>
              <w:rPr>
                <w:rFonts w:hint="default" w:ascii="仿宋" w:hAnsi="仿宋" w:eastAsia="仿宋" w:cs="仿宋"/>
                <w:color w:val="000000"/>
                <w:sz w:val="24"/>
                <w:szCs w:val="24"/>
                <w:lang w:val="en-US" w:eastAsia="zh-CN"/>
              </w:rPr>
              <w:t>532.58</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color w:val="000000"/>
                <w:sz w:val="24"/>
                <w:szCs w:val="24"/>
                <w:lang w:val="en-US" w:eastAsia="zh-CN"/>
              </w:rPr>
            </w:pPr>
            <w:r>
              <w:rPr>
                <w:rFonts w:hint="default" w:ascii="仿宋" w:hAnsi="仿宋" w:eastAsia="仿宋" w:cs="仿宋"/>
                <w:color w:val="000000"/>
                <w:sz w:val="24"/>
                <w:szCs w:val="24"/>
                <w:lang w:val="en-US" w:eastAsia="zh-CN"/>
              </w:rPr>
              <w:t>98.4</w:t>
            </w:r>
            <w:r>
              <w:rPr>
                <w:rFonts w:hint="eastAsia" w:ascii="仿宋" w:hAnsi="仿宋" w:eastAsia="仿宋" w:cs="仿宋"/>
                <w:color w:val="000000"/>
                <w:sz w:val="24"/>
                <w:szCs w:val="24"/>
                <w:lang w:val="en-US" w:eastAsia="zh-CN"/>
              </w:rPr>
              <w:t>5</w:t>
            </w:r>
            <w:r>
              <w:rPr>
                <w:rFonts w:hint="default" w:ascii="仿宋" w:hAnsi="仿宋" w:eastAsia="仿宋" w:cs="仿宋"/>
                <w:color w:val="000000"/>
                <w:sz w:val="24"/>
                <w:szCs w:val="24"/>
                <w:lang w:val="en-US" w:eastAsia="zh-CN"/>
              </w:rPr>
              <w:t>%</w:t>
            </w:r>
          </w:p>
        </w:tc>
      </w:tr>
      <w:tr>
        <w:tblPrEx>
          <w:tblCellMar>
            <w:top w:w="0" w:type="dxa"/>
            <w:left w:w="108" w:type="dxa"/>
            <w:bottom w:w="0" w:type="dxa"/>
            <w:right w:w="108" w:type="dxa"/>
          </w:tblCellMar>
        </w:tblPrEx>
        <w:trPr>
          <w:trHeight w:val="454" w:hRule="atLeast"/>
          <w:jc w:val="center"/>
        </w:trPr>
        <w:tc>
          <w:tcPr>
            <w:tcW w:w="13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lang w:bidi="ar"/>
              </w:rPr>
              <w:t>总计</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b/>
                <w:bCs w:val="0"/>
                <w:color w:val="000000"/>
                <w:sz w:val="24"/>
                <w:szCs w:val="24"/>
                <w:lang w:val="en-US" w:eastAsia="zh-CN"/>
              </w:rPr>
            </w:pPr>
            <w:r>
              <w:rPr>
                <w:rFonts w:hint="default" w:ascii="仿宋" w:hAnsi="仿宋" w:eastAsia="仿宋" w:cs="仿宋"/>
                <w:b/>
                <w:bCs w:val="0"/>
                <w:color w:val="000000"/>
                <w:sz w:val="24"/>
                <w:szCs w:val="24"/>
                <w:lang w:val="en-US" w:eastAsia="zh-CN"/>
              </w:rPr>
              <w:t>6,236.89</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w:t>
            </w:r>
            <w:r>
              <w:rPr>
                <w:rFonts w:hint="default" w:ascii="仿宋" w:hAnsi="仿宋" w:eastAsia="仿宋" w:cs="仿宋"/>
                <w:b/>
                <w:bCs w:val="0"/>
                <w:color w:val="000000"/>
                <w:sz w:val="24"/>
                <w:szCs w:val="24"/>
                <w:lang w:val="en-US" w:eastAsia="zh-CN"/>
              </w:rPr>
              <w:t>15.99</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b/>
                <w:bCs/>
                <w:color w:val="000000"/>
                <w:kern w:val="0"/>
                <w:sz w:val="24"/>
                <w:szCs w:val="24"/>
                <w:lang w:val="en-US" w:eastAsia="zh-CN" w:bidi="ar"/>
              </w:rPr>
            </w:pPr>
            <w:r>
              <w:rPr>
                <w:rFonts w:hint="default" w:ascii="仿宋" w:hAnsi="仿宋" w:eastAsia="仿宋" w:cs="仿宋"/>
                <w:b/>
                <w:bCs/>
                <w:color w:val="000000"/>
                <w:kern w:val="0"/>
                <w:sz w:val="24"/>
                <w:szCs w:val="24"/>
                <w:lang w:val="en-US" w:eastAsia="zh-CN" w:bidi="ar"/>
              </w:rPr>
              <w:t>6,252.88</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b/>
                <w:bCs/>
                <w:color w:val="000000"/>
                <w:sz w:val="24"/>
                <w:szCs w:val="24"/>
                <w:lang w:val="en-US" w:eastAsia="zh-CN"/>
              </w:rPr>
            </w:pPr>
            <w:r>
              <w:rPr>
                <w:rFonts w:hint="default" w:ascii="仿宋" w:hAnsi="仿宋" w:eastAsia="仿宋" w:cs="仿宋"/>
                <w:b/>
                <w:bCs/>
                <w:color w:val="000000"/>
                <w:sz w:val="24"/>
                <w:szCs w:val="24"/>
                <w:lang w:val="en-US" w:eastAsia="zh-CN"/>
              </w:rPr>
              <w:t>6,059.77</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b/>
                <w:bCs/>
                <w:color w:val="000000"/>
                <w:sz w:val="24"/>
                <w:szCs w:val="24"/>
                <w:lang w:val="en-US" w:eastAsia="zh-CN"/>
              </w:rPr>
            </w:pPr>
            <w:r>
              <w:rPr>
                <w:rFonts w:hint="default" w:ascii="仿宋" w:hAnsi="仿宋" w:eastAsia="仿宋" w:cs="仿宋"/>
                <w:b/>
                <w:bCs/>
                <w:color w:val="000000"/>
                <w:sz w:val="24"/>
                <w:szCs w:val="24"/>
                <w:lang w:val="en-US" w:eastAsia="zh-CN"/>
              </w:rPr>
              <w:t>96.91%</w:t>
            </w:r>
          </w:p>
        </w:tc>
      </w:tr>
    </w:tbl>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600" w:lineRule="exact"/>
        <w:ind w:left="105" w:leftChars="50" w:firstLine="482" w:firstLineChars="150"/>
        <w:rPr>
          <w:rFonts w:ascii="楷体_GB2312" w:eastAsia="楷体_GB2312"/>
          <w:b/>
          <w:sz w:val="32"/>
          <w:szCs w:val="32"/>
        </w:rPr>
      </w:pPr>
      <w:r>
        <w:rPr>
          <w:rFonts w:hint="eastAsia" w:ascii="楷体_GB2312" w:eastAsia="楷体_GB2312"/>
          <w:b/>
          <w:sz w:val="32"/>
          <w:szCs w:val="32"/>
        </w:rPr>
        <w:t>（一）产出完成情况分析</w:t>
      </w:r>
    </w:p>
    <w:p>
      <w:pPr>
        <w:spacing w:line="600" w:lineRule="exact"/>
        <w:ind w:firstLine="643" w:firstLineChars="200"/>
        <w:rPr>
          <w:rFonts w:hint="eastAsia" w:ascii="仿宋_GB2312" w:hAnsi="Calibri" w:eastAsia="仿宋_GB2312" w:cs="Times New Roman"/>
          <w:color w:val="auto"/>
          <w:kern w:val="2"/>
          <w:sz w:val="32"/>
          <w:szCs w:val="32"/>
          <w:highlight w:val="none"/>
          <w:lang w:val="en-US" w:eastAsia="zh-CN" w:bidi="ar-SA"/>
        </w:rPr>
      </w:pPr>
      <w:r>
        <w:rPr>
          <w:rFonts w:hint="eastAsia" w:ascii="仿宋_GB2312" w:hAnsi="宋体" w:eastAsia="仿宋_GB2312" w:cs="宋体"/>
          <w:b/>
          <w:color w:val="000000"/>
          <w:kern w:val="0"/>
          <w:sz w:val="32"/>
          <w:szCs w:val="32"/>
        </w:rPr>
        <w:t>1.产出数量</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一是努力做优刑事检察工作。依法打击各类刑事犯罪，共受理批捕案件420件/557人</w:t>
      </w:r>
      <w:r>
        <w:rPr>
          <w:rFonts w:hint="eastAsia" w:ascii="仿宋_GB2312" w:hAnsi="宋体" w:eastAsia="仿宋_GB2312" w:cs="宋体"/>
          <w:color w:val="000000"/>
          <w:kern w:val="0"/>
          <w:sz w:val="32"/>
          <w:szCs w:val="32"/>
          <w:highlight w:val="none"/>
          <w:lang w:eastAsia="zh-CN"/>
        </w:rPr>
        <w:t>；受理审查本院管辖提起公诉并出庭支持公诉的案件449件</w:t>
      </w:r>
      <w:r>
        <w:rPr>
          <w:rFonts w:hint="eastAsia" w:ascii="仿宋_GB2312" w:hAnsi="宋体" w:eastAsia="仿宋_GB2312" w:cs="宋体"/>
          <w:color w:val="000000"/>
          <w:kern w:val="0"/>
          <w:sz w:val="32"/>
          <w:szCs w:val="32"/>
          <w:highlight w:val="none"/>
        </w:rPr>
        <w:t>。对辖区内的民事、经济、行政诉讼判决的监督涉及1145件</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对区公安局侦查工作的法律监督涉及189件</w:t>
      </w:r>
      <w:r>
        <w:rPr>
          <w:rFonts w:hint="eastAsia" w:ascii="仿宋_GB2312" w:hAnsi="宋体" w:eastAsia="仿宋_GB2312" w:cs="宋体"/>
          <w:color w:val="000000"/>
          <w:kern w:val="0"/>
          <w:sz w:val="32"/>
          <w:szCs w:val="32"/>
          <w:highlight w:val="none"/>
          <w:lang w:eastAsia="zh-CN"/>
        </w:rPr>
        <w:t>；对辖区内监管场所收押犯罪嫌疑人、罪犯改造工作的监督涉及87件</w:t>
      </w:r>
      <w:r>
        <w:rPr>
          <w:rFonts w:hint="eastAsia" w:ascii="仿宋_GB2312" w:hAnsi="宋体" w:eastAsia="仿宋_GB2312" w:cs="宋体"/>
          <w:color w:val="000000"/>
          <w:kern w:val="0"/>
          <w:sz w:val="32"/>
          <w:szCs w:val="32"/>
          <w:highlight w:val="none"/>
        </w:rPr>
        <w:t>。</w:t>
      </w:r>
    </w:p>
    <w:p>
      <w:pPr>
        <w:spacing w:line="600" w:lineRule="exact"/>
        <w:ind w:firstLine="640" w:firstLineChars="20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rPr>
        <w:t>二是努力做好民事检察工作。坚持以人民为中心的司法理念，共受理辖区内公民和法人的检举、控告、申诉的案件22件</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受理辖区内公益诉讼工作的开展涉及262件</w:t>
      </w:r>
      <w:r>
        <w:rPr>
          <w:rFonts w:hint="eastAsia" w:ascii="仿宋_GB2312" w:hAnsi="宋体" w:eastAsia="仿宋_GB2312" w:cs="宋体"/>
          <w:color w:val="000000"/>
          <w:kern w:val="0"/>
          <w:sz w:val="32"/>
          <w:szCs w:val="32"/>
          <w:highlight w:val="none"/>
          <w:lang w:eastAsia="zh-CN"/>
        </w:rPr>
        <w:t>。</w:t>
      </w:r>
    </w:p>
    <w:p>
      <w:pPr>
        <w:spacing w:line="600" w:lineRule="exact"/>
        <w:ind w:firstLine="643" w:firstLineChars="200"/>
        <w:rPr>
          <w:rFonts w:ascii="仿宋_GB2312" w:hAnsi="宋体" w:eastAsia="仿宋_GB2312" w:cs="宋体"/>
          <w:b/>
          <w:color w:val="000000"/>
          <w:kern w:val="0"/>
          <w:sz w:val="32"/>
          <w:szCs w:val="32"/>
          <w:highlight w:val="none"/>
        </w:rPr>
      </w:pPr>
      <w:r>
        <w:rPr>
          <w:rFonts w:hint="eastAsia" w:ascii="仿宋_GB2312" w:hAnsi="宋体" w:eastAsia="仿宋_GB2312" w:cs="宋体"/>
          <w:b/>
          <w:color w:val="000000"/>
          <w:kern w:val="0"/>
          <w:sz w:val="32"/>
          <w:szCs w:val="32"/>
          <w:highlight w:val="none"/>
        </w:rPr>
        <w:t>2.产出质量</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Calibri" w:eastAsia="仿宋_GB2312" w:cs="Times New Roman"/>
          <w:color w:val="auto"/>
          <w:kern w:val="2"/>
          <w:sz w:val="32"/>
          <w:szCs w:val="32"/>
          <w:highlight w:val="none"/>
          <w:lang w:val="en-US" w:eastAsia="zh-CN" w:bidi="ar-SA"/>
        </w:rPr>
        <w:t>强化思想建设，以政治建检的能动自觉坚守新时代检察之魂。把学习好领会好贯彻好党的二十大精神作为当前和今后一个时期的首要政治任务，深刻认识“两个确立”的决定性意义，自觉增强“四个意识”、坚定“四个自信”、做到“两个维护”，切实将党的二十大作出的重大决策部署付诸检察行动、见诸履职成效。持续深化“五双”党建业务深度融合机制，做到党建工作既要见物更要见人、既要有形更要有神、既要用心更要用情</w:t>
      </w:r>
      <w:r>
        <w:rPr>
          <w:rFonts w:hint="eastAsia" w:ascii="仿宋_GB2312" w:hAnsi="宋体" w:eastAsia="仿宋_GB2312" w:cs="宋体"/>
          <w:color w:val="000000"/>
          <w:kern w:val="0"/>
          <w:sz w:val="32"/>
          <w:szCs w:val="32"/>
          <w:highlight w:val="none"/>
        </w:rPr>
        <w:t>。</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密云区检察院紧紧围绕“学思想、强党性、重实践、建新功”的总要求，高质量开展学习贯彻习近平新时代中国特色社会主义思想主题教育，确保一体推进理论学习入脑入心、调查研究走深走实、推动发展见行见效、检视整改落实落细，前往区司法局、区生态环境局、怀柔科学城东区等多处开展调研交流。</w:t>
      </w:r>
    </w:p>
    <w:p>
      <w:pPr>
        <w:spacing w:line="600" w:lineRule="exact"/>
        <w:ind w:firstLine="643" w:firstLineChars="200"/>
        <w:rPr>
          <w:rFonts w:ascii="仿宋_GB2312" w:eastAsia="仿宋_GB2312"/>
          <w:b/>
          <w:sz w:val="32"/>
          <w:szCs w:val="32"/>
          <w:highlight w:val="none"/>
        </w:rPr>
      </w:pPr>
      <w:r>
        <w:rPr>
          <w:rFonts w:hint="eastAsia" w:ascii="仿宋_GB2312" w:eastAsia="仿宋_GB2312"/>
          <w:b/>
          <w:sz w:val="32"/>
          <w:szCs w:val="32"/>
          <w:highlight w:val="none"/>
          <w:lang w:val="en-US" w:eastAsia="zh-CN"/>
        </w:rPr>
        <w:t>3</w:t>
      </w:r>
      <w:r>
        <w:rPr>
          <w:rFonts w:ascii="仿宋_GB2312" w:eastAsia="仿宋_GB2312"/>
          <w:b/>
          <w:sz w:val="32"/>
          <w:szCs w:val="32"/>
          <w:highlight w:val="none"/>
        </w:rPr>
        <w:t>.</w:t>
      </w:r>
      <w:r>
        <w:rPr>
          <w:rFonts w:hint="eastAsia" w:ascii="仿宋_GB2312" w:eastAsia="仿宋_GB2312"/>
          <w:b/>
          <w:sz w:val="32"/>
          <w:szCs w:val="32"/>
          <w:highlight w:val="none"/>
        </w:rPr>
        <w:t xml:space="preserve">产出成本 </w:t>
      </w:r>
    </w:p>
    <w:p>
      <w:pPr>
        <w:spacing w:line="600" w:lineRule="exact"/>
        <w:ind w:firstLine="640" w:firstLineChars="200"/>
        <w:rPr>
          <w:rFonts w:ascii="仿宋_GB2312" w:hAnsi="宋体" w:eastAsia="仿宋_GB2312" w:cs="宋体"/>
          <w:b/>
          <w:color w:val="000000"/>
          <w:kern w:val="0"/>
          <w:sz w:val="32"/>
          <w:szCs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 xml:space="preserve">年区检察院部门预算项目主要为办案费、检察工作经费、信息维护费、装备费、互联网接入费、安保经费等。主要用于我院日常的机构运转等方面。经费支出符合部门履职范围与预算相关法规要求，部门总体资金支出控制在预算范围内，未出现超支情况，部门整体成本控制情况良好。         </w:t>
      </w:r>
    </w:p>
    <w:p>
      <w:pPr>
        <w:spacing w:line="600" w:lineRule="exact"/>
        <w:ind w:left="105" w:leftChars="50" w:firstLine="482" w:firstLineChars="150"/>
        <w:rPr>
          <w:rFonts w:ascii="楷体_GB2312" w:eastAsia="楷体_GB2312"/>
          <w:b/>
          <w:sz w:val="32"/>
          <w:szCs w:val="32"/>
          <w:highlight w:val="none"/>
        </w:rPr>
      </w:pPr>
      <w:r>
        <w:rPr>
          <w:rFonts w:hint="eastAsia" w:ascii="楷体_GB2312" w:eastAsia="楷体_GB2312"/>
          <w:b/>
          <w:sz w:val="32"/>
          <w:szCs w:val="32"/>
          <w:highlight w:val="none"/>
        </w:rPr>
        <w:t>（二）效果</w:t>
      </w:r>
      <w:r>
        <w:rPr>
          <w:rFonts w:ascii="楷体_GB2312" w:eastAsia="楷体_GB2312"/>
          <w:b/>
          <w:sz w:val="32"/>
          <w:szCs w:val="32"/>
          <w:highlight w:val="none"/>
        </w:rPr>
        <w:t>实现情况分析</w:t>
      </w:r>
    </w:p>
    <w:p>
      <w:pPr>
        <w:spacing w:line="560" w:lineRule="exact"/>
        <w:ind w:firstLine="640" w:firstLineChars="200"/>
        <w:rPr>
          <w:rFonts w:ascii="仿宋_GB2312" w:eastAsia="仿宋_GB2312" w:cs="FZSSJW--GB1-0"/>
          <w:color w:val="000000"/>
          <w:kern w:val="0"/>
          <w:sz w:val="32"/>
          <w:szCs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年，区检察院在市检察院和区委的领导下，</w:t>
      </w:r>
      <w:r>
        <w:rPr>
          <w:rFonts w:hint="eastAsia" w:ascii="仿宋_GB2312" w:eastAsia="仿宋_GB2312" w:cs="FZSSJW--GB1-0"/>
          <w:color w:val="000000"/>
          <w:kern w:val="0"/>
          <w:sz w:val="32"/>
          <w:szCs w:val="32"/>
          <w:highlight w:val="none"/>
        </w:rPr>
        <w:t>坚持以习近平新时代中国特色社会主义思想为指导，全面贯彻习近平法治思想，深入落实</w:t>
      </w:r>
      <w:r>
        <w:rPr>
          <w:rFonts w:hint="eastAsia" w:ascii="仿宋_GB2312" w:eastAsia="仿宋_GB2312"/>
          <w:sz w:val="32"/>
          <w:szCs w:val="32"/>
          <w:highlight w:val="none"/>
        </w:rPr>
        <w:t>《中共中央关于加强新时代检察机关法律监督工作的意见》，</w:t>
      </w:r>
      <w:r>
        <w:rPr>
          <w:rFonts w:hint="eastAsia" w:ascii="仿宋_GB2312" w:eastAsia="仿宋_GB2312" w:cs="FZSSJW--GB1-0"/>
          <w:color w:val="000000"/>
          <w:kern w:val="0"/>
          <w:sz w:val="32"/>
          <w:szCs w:val="32"/>
          <w:highlight w:val="none"/>
        </w:rPr>
        <w:t>认真落实</w:t>
      </w:r>
      <w:r>
        <w:rPr>
          <w:rFonts w:hint="eastAsia" w:ascii="仿宋_GB2312" w:hAnsi="仿宋" w:eastAsia="仿宋_GB2312" w:cs="宋体"/>
          <w:kern w:val="0"/>
          <w:sz w:val="32"/>
          <w:szCs w:val="32"/>
          <w:highlight w:val="none"/>
        </w:rPr>
        <w:t>第十一次北京市检察工作会议等系列重要会议统一部署要求，以党的政治建设为统领，以生态检察为牵引，以政法队伍教育整顿和党史学习教育工作为抓手，</w:t>
      </w:r>
      <w:r>
        <w:rPr>
          <w:rFonts w:hint="eastAsia" w:ascii="仿宋_GB2312" w:eastAsia="仿宋_GB2312" w:cs="FZSSJW--GB1-0"/>
          <w:color w:val="000000"/>
          <w:kern w:val="0"/>
          <w:sz w:val="32"/>
          <w:szCs w:val="32"/>
          <w:highlight w:val="none"/>
        </w:rPr>
        <w:t>突出高质量发展主题，立足法律监督主责主业，</w:t>
      </w:r>
      <w:r>
        <w:rPr>
          <w:rFonts w:hint="eastAsia" w:ascii="仿宋_GB2312" w:hAnsi="仿宋" w:eastAsia="仿宋_GB2312" w:cs="仿宋_GB2312"/>
          <w:sz w:val="32"/>
          <w:szCs w:val="32"/>
          <w:highlight w:val="none"/>
        </w:rPr>
        <w:t>遵循“数量是基础，质量是关键，结构调整是重要点”的工作要求，</w:t>
      </w:r>
      <w:r>
        <w:rPr>
          <w:rFonts w:hint="eastAsia" w:ascii="仿宋_GB2312" w:eastAsia="仿宋_GB2312" w:cs="FZSSJW--GB1-0"/>
          <w:color w:val="000000"/>
          <w:kern w:val="0"/>
          <w:sz w:val="32"/>
          <w:szCs w:val="32"/>
          <w:highlight w:val="none"/>
        </w:rPr>
        <w:t>不断提高检察工作现代化水平，切实为服务区域高质量发展贡献检察力量。</w:t>
      </w:r>
    </w:p>
    <w:p>
      <w:pPr>
        <w:spacing w:line="600" w:lineRule="exact"/>
        <w:ind w:firstLine="643" w:firstLineChars="200"/>
        <w:rPr>
          <w:rFonts w:ascii="仿宋_GB2312" w:eastAsia="仿宋_GB2312"/>
          <w:b/>
          <w:sz w:val="32"/>
          <w:szCs w:val="32"/>
          <w:highlight w:val="none"/>
        </w:rPr>
      </w:pPr>
      <w:r>
        <w:rPr>
          <w:rFonts w:hint="eastAsia" w:ascii="仿宋_GB2312" w:eastAsia="仿宋_GB2312"/>
          <w:b/>
          <w:sz w:val="32"/>
          <w:szCs w:val="32"/>
          <w:highlight w:val="none"/>
          <w:lang w:val="en-US" w:eastAsia="zh-CN"/>
        </w:rPr>
        <w:t>1</w:t>
      </w:r>
      <w:r>
        <w:rPr>
          <w:rFonts w:hint="eastAsia" w:ascii="仿宋_GB2312" w:eastAsia="仿宋_GB2312"/>
          <w:b/>
          <w:sz w:val="32"/>
          <w:szCs w:val="32"/>
          <w:highlight w:val="none"/>
        </w:rPr>
        <w:t>.社会效益</w:t>
      </w:r>
    </w:p>
    <w:p>
      <w:pPr>
        <w:spacing w:line="600" w:lineRule="exact"/>
        <w:ind w:firstLine="640" w:firstLineChars="200"/>
        <w:rPr>
          <w:rFonts w:ascii="仿宋_GB2312" w:eastAsia="仿宋_GB2312"/>
          <w:sz w:val="32"/>
          <w:szCs w:val="32"/>
          <w:highlight w:val="none"/>
        </w:rPr>
      </w:pPr>
      <w:r>
        <w:rPr>
          <w:rFonts w:hint="eastAsia" w:ascii="仿宋_GB2312" w:hAnsi="Calibri" w:eastAsia="仿宋_GB2312" w:cs="Times New Roman"/>
          <w:color w:val="auto"/>
          <w:kern w:val="2"/>
          <w:sz w:val="32"/>
          <w:szCs w:val="32"/>
          <w:highlight w:val="none"/>
          <w:lang w:val="en-US" w:eastAsia="zh-CN" w:bidi="ar-SA"/>
        </w:rPr>
        <w:t>牢记国之大者，以精准监督的法治追求践行新时代检察使命。深化精准监督理念，把监督重心放到提质量、增效率、强效果上，深化大数据运用在惩防违法犯罪、促进解决源头治理上的积极作用。推动完善公益诉讼检察制度，稳步拓展公益诉讼案件范围，依法做好跟进、融入式法律监督。强化执法司法监督制约，加强与行政执法机关、司法机关等的互联互动，实现检察监督与其他监督有机贯通，共同构建区域优质高效法治环境</w:t>
      </w:r>
      <w:r>
        <w:rPr>
          <w:rFonts w:hint="eastAsia" w:ascii="仿宋_GB2312" w:eastAsia="仿宋_GB2312"/>
          <w:sz w:val="32"/>
          <w:szCs w:val="32"/>
          <w:highlight w:val="none"/>
        </w:rPr>
        <w:t>。</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认真落实《中共中央关于加强新时代检察机关法律监督工作的意见》和市委《实施意见》，深入理解检察权兼具监督属性和司法属性的内涵，坚持“四大检察”法律监督基本格局，着力推进检察工作高质量、现代化发展，提升数字检察赋能法律监督成效。</w:t>
      </w:r>
    </w:p>
    <w:p>
      <w:pPr>
        <w:spacing w:line="60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我院探索建用“密云水库生态环境资源保护大数据法律监督模型”，以北斗导航卫星遥感数据为基础，融合密云生态检察版“接诉即办”</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“益心为公”志愿者平台、生态检察线索征集等案源数据，有效挖掘案件线索</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建用“网络赌博案件资金穿透大数据监督模型”，办理涉多区网络赌博案件54件72人</w:t>
      </w:r>
      <w:r>
        <w:rPr>
          <w:rFonts w:hint="eastAsia" w:ascii="仿宋_GB2312" w:eastAsia="仿宋_GB2312"/>
          <w:sz w:val="32"/>
          <w:szCs w:val="32"/>
          <w:highlight w:val="none"/>
          <w:lang w:eastAsia="zh-CN"/>
        </w:rPr>
        <w:t>；建用“开药端医保欺诈识别监督模型”，严惩涉案人员74人，全市检察机关推广应用该模型发现线索129条，推动市域内相关部门开展联合专项打击行动，最高检工作报告专门“点名”肯定该模型。</w:t>
      </w:r>
    </w:p>
    <w:p>
      <w:pPr>
        <w:spacing w:line="600" w:lineRule="exact"/>
        <w:ind w:firstLine="643" w:firstLineChars="200"/>
        <w:rPr>
          <w:rFonts w:ascii="仿宋_GB2312" w:eastAsia="仿宋_GB2312"/>
          <w:b/>
          <w:sz w:val="32"/>
          <w:szCs w:val="32"/>
          <w:highlight w:val="none"/>
        </w:rPr>
      </w:pPr>
      <w:r>
        <w:rPr>
          <w:rFonts w:hint="eastAsia" w:ascii="仿宋_GB2312" w:eastAsia="仿宋_GB2312"/>
          <w:b/>
          <w:sz w:val="32"/>
          <w:szCs w:val="32"/>
          <w:highlight w:val="none"/>
          <w:lang w:val="en-US" w:eastAsia="zh-CN"/>
        </w:rPr>
        <w:t>2</w:t>
      </w:r>
      <w:r>
        <w:rPr>
          <w:rFonts w:ascii="仿宋_GB2312" w:eastAsia="仿宋_GB2312"/>
          <w:b/>
          <w:sz w:val="32"/>
          <w:szCs w:val="32"/>
          <w:highlight w:val="none"/>
        </w:rPr>
        <w:t>.</w:t>
      </w:r>
      <w:r>
        <w:rPr>
          <w:rFonts w:hint="eastAsia" w:ascii="仿宋_GB2312" w:eastAsia="仿宋_GB2312"/>
          <w:b/>
          <w:sz w:val="32"/>
          <w:szCs w:val="32"/>
          <w:highlight w:val="none"/>
          <w:lang w:eastAsia="zh-CN"/>
        </w:rPr>
        <w:t>生态</w:t>
      </w:r>
      <w:r>
        <w:rPr>
          <w:rFonts w:hint="eastAsia" w:ascii="仿宋_GB2312" w:eastAsia="仿宋_GB2312"/>
          <w:b/>
          <w:sz w:val="32"/>
          <w:szCs w:val="32"/>
          <w:highlight w:val="none"/>
        </w:rPr>
        <w:t>效益</w:t>
      </w:r>
    </w:p>
    <w:p>
      <w:pPr>
        <w:spacing w:line="600" w:lineRule="exact"/>
        <w:ind w:firstLine="640" w:firstLineChars="200"/>
        <w:rPr>
          <w:rFonts w:ascii="仿宋_GB2312" w:eastAsia="仿宋_GB2312"/>
          <w:sz w:val="32"/>
          <w:szCs w:val="32"/>
          <w:highlight w:val="yellow"/>
        </w:rPr>
      </w:pPr>
      <w:r>
        <w:rPr>
          <w:rFonts w:hint="eastAsia" w:ascii="仿宋_GB2312" w:eastAsia="仿宋_GB2312"/>
          <w:sz w:val="32"/>
          <w:szCs w:val="32"/>
          <w:highlight w:val="none"/>
          <w:lang w:eastAsia="zh-CN"/>
        </w:rPr>
        <w:t>一是</w:t>
      </w:r>
      <w:r>
        <w:rPr>
          <w:rFonts w:hint="eastAsia" w:ascii="仿宋_GB2312" w:eastAsia="仿宋_GB2312"/>
          <w:sz w:val="32"/>
          <w:szCs w:val="32"/>
          <w:highlight w:val="none"/>
        </w:rPr>
        <w:t>突出</w:t>
      </w:r>
      <w:r>
        <w:rPr>
          <w:rFonts w:hint="eastAsia" w:ascii="仿宋_GB2312" w:eastAsia="仿宋_GB2312"/>
          <w:sz w:val="32"/>
          <w:szCs w:val="32"/>
        </w:rPr>
        <w:t>保水担当，以生态检察的绿色答卷贡献新时代检察力量。立足区域保水保生态工作大局，坚持“法治+生态”一体理念，增强“司法+行政”两翼合力，完善“检察+库区”多方机制，持续打造生态检察守护密云水库“一体两翼多方”密云样本。推进落实生态环境损害赔偿制度、完善惩罚性赔偿与公益诉讼的有效衔接，推动形成以“我管”促“都管”生态检察治理格局，继续用法治力量当好密云水库守护人和“两山理论”守护人。</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密云区检察院深入贯彻习近平总书记重要回信精神，主动融入区域“5+2”保水护水工作体系，持续深入打造生态检察守护密云水库“一体两翼多方”密云样本。充分发挥“生态检察办公室”集中统一办理涉生态环境资源类刑事、民事、行政、公益诉讼案件的履职优势，建用“密云水库生态环境资源保护大数据法律监督模型”，有效解决传统执法手段难以发现复杂违法犯罪行为的难题。</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认真落实“尊重自然、顺应自然、保护自然”要求，高标准履行保水保生态首要政治责任，深入打造生态检察守护密云水库“一体两翼多方”密云样本。</w:t>
      </w:r>
    </w:p>
    <w:p>
      <w:pPr>
        <w:spacing w:line="60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举办“生态检察的密云实践暨生态检察白皮书发布座谈会”，连续两年发布《生态检察白皮书》新华社、法治日报、检察日报等主流媒体予以广泛报道</w:t>
      </w:r>
      <w:r>
        <w:rPr>
          <w:rFonts w:hint="eastAsia" w:ascii="仿宋_GB2312" w:eastAsia="仿宋_GB2312"/>
          <w:sz w:val="32"/>
          <w:szCs w:val="32"/>
          <w:highlight w:val="none"/>
          <w:lang w:eastAsia="zh-CN"/>
        </w:rPr>
        <w:t>；会签京津冀“四市五区”公益检察护航大美燕山联合行动意见，并介绍密云生态检察保护燕山生态环境成效，合力服务保障京津冀生态文明建设；办理生态环境和资源保护类行刑双向衔接案件11件，刘某某非法采矿案被评为“中国十大环境司法案例”；办理的夏某某等5人洗洞污染环境案，2023年被最高检、公安部、生态环境部评为依法严惩危险废物污染环境犯罪典型案例；高效保障和推进落实中央环保督察问题整改，协同推动治理印刷企业非法排放温室气体问题，2023年该案被最高检评为全国检察机关服务保障碳达峰碳中和典型案例；聘任50名“益心为公”检察云平台公益保护志愿者代表和45名生态检察线索征集员，组织参与公开听证、跟踪观察、观摩庭审等活动50余人次，接受线索提报并立案4件。</w:t>
      </w:r>
    </w:p>
    <w:p>
      <w:pPr>
        <w:numPr>
          <w:ilvl w:val="0"/>
          <w:numId w:val="0"/>
        </w:numPr>
        <w:spacing w:line="60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是围绕“一条科技创新和生命健康战略发展带，四条特色文化旅游休闲发展带、多个特色乡镇和特色产业”的全域发展格局，推动检察要素资源配置与密云经济高质量发展要求相适应。积极探索“两山”理论转化的司法途径，助力生态优势转化为发展优势。</w:t>
      </w:r>
    </w:p>
    <w:p>
      <w:pPr>
        <w:numPr>
          <w:ilvl w:val="0"/>
          <w:numId w:val="0"/>
        </w:numPr>
        <w:spacing w:line="600" w:lineRule="exact"/>
        <w:ind w:firstLine="640" w:firstLineChars="200"/>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我院紧紧围绕区委“生态优先、保水富民、绿色发展、特色一流”的总要求，制定了《北京市密云区人民检察院服务保障区域乡村振兴工作方案》，打造“五星服务、十项举措”检察服务乡村振兴特色品牌；办理全市首例涉农企业合规案，针对区域特色农场负责人甄某危害珍贵野生动物一案，引导企业开展生态环境损害赔偿，并建成观鸟爱鸟护鸟基地，推动生态环境资源保护和企业可持续发展形成良性互动，区人大常委会组织专题视察并给予充分肯定；针对聋哑人王某某未依法安装使用循环水设施情况下开展洗车业务的公益诉讼案件，创新提出“引导合法经营+法律宣讲+支持帮扶”工作方案。</w:t>
      </w:r>
    </w:p>
    <w:p>
      <w:pPr>
        <w:spacing w:line="600" w:lineRule="exact"/>
        <w:ind w:firstLine="643" w:firstLineChars="200"/>
        <w:rPr>
          <w:rFonts w:ascii="仿宋_GB2312" w:eastAsia="仿宋_GB2312"/>
          <w:b/>
          <w:sz w:val="32"/>
          <w:szCs w:val="32"/>
          <w:highlight w:val="none"/>
        </w:rPr>
      </w:pPr>
      <w:r>
        <w:rPr>
          <w:rFonts w:hint="eastAsia" w:ascii="仿宋_GB2312" w:eastAsia="仿宋_GB2312"/>
          <w:b/>
          <w:sz w:val="32"/>
          <w:szCs w:val="32"/>
          <w:highlight w:val="none"/>
          <w:lang w:val="en-US" w:eastAsia="zh-CN"/>
        </w:rPr>
        <w:t>3</w:t>
      </w:r>
      <w:r>
        <w:rPr>
          <w:rFonts w:hint="eastAsia" w:ascii="仿宋_GB2312" w:eastAsia="仿宋_GB2312"/>
          <w:b/>
          <w:sz w:val="32"/>
          <w:szCs w:val="32"/>
          <w:highlight w:val="none"/>
        </w:rPr>
        <w:t>.可持续性影响</w:t>
      </w:r>
    </w:p>
    <w:p>
      <w:pPr>
        <w:spacing w:line="600" w:lineRule="exact"/>
        <w:ind w:firstLine="640" w:firstLineChars="200"/>
        <w:rPr>
          <w:rFonts w:hint="eastAsia" w:ascii="仿宋_GB2312" w:eastAsia="仿宋_GB2312"/>
          <w:sz w:val="32"/>
          <w:szCs w:val="32"/>
          <w:highlight w:val="none"/>
        </w:rPr>
      </w:pPr>
      <w:r>
        <w:rPr>
          <w:rFonts w:hint="eastAsia" w:ascii="仿宋_GB2312" w:hAnsi="Calibri" w:eastAsia="仿宋_GB2312" w:cs="Times New Roman"/>
          <w:color w:val="auto"/>
          <w:kern w:val="2"/>
          <w:sz w:val="32"/>
          <w:szCs w:val="32"/>
          <w:highlight w:val="none"/>
          <w:lang w:val="en-US" w:eastAsia="zh-CN" w:bidi="ar-SA"/>
        </w:rPr>
        <w:t>筑牢发展根基，以管党治检的更严要求锻造新时代检察铁军。认真落实全面从严治党、全面从严治检主体责任，坚持发扬自我革命精神、斗争精神，积极打造让党放心、让人民满意的过硬检察队伍。大力加强政治轮训和实战练兵，统筹推进同堂培训、特邀检察官助理参与办案等务实举措，努力把检察人员培养成服务保障区域绿色高质量发展的高素质专业人才</w:t>
      </w:r>
      <w:r>
        <w:rPr>
          <w:rFonts w:hint="eastAsia" w:ascii="仿宋_GB2312" w:eastAsia="仿宋_GB2312"/>
          <w:sz w:val="32"/>
          <w:szCs w:val="32"/>
          <w:highlight w:val="none"/>
        </w:rPr>
        <w:t>。</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牢牢抓住队伍自身建设这个根本，深入推进素能提升、流程规范、保中争优、精品案件、管理提质、干警暖心工程，让“求真务实、担当实干”成为新时代新征程检察人员的鲜明履职特征，努力建设一支有想法敢担当可持续的高素质密云检察队伍。</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是持续推进人才建设工作。综合检察事业高质量发展需要、干警能力培养需求，印发《北京市密云区人民检察院人才建设规划（2023-2025年）》，深入实施全要素、全过程、全领域人才培养模式。持续完善检察人员选拔任用常态化机制，充分考虑人员晋升梯次推进、最大限度运用干部职级职数。完善人才评价激励机制，持续开展“密检先锋”选树、宣传，强化先进典型示范激励作用。完善人才发展保障机制，定期研究解决干警关心关切的问题。</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是持续加强专业能力培养。突出打造集理论学习、司法实务、综合素能为一体的密云检察特色培训平台，持续抓实专家讲座、夜校讲堂、公检法司同堂培训等活动，今年以来共组织各类培训115期3309人次。成功举办本院第二届“精品案件”和“优秀法律文书”评选工作，评选出10件“精品案件”和10份“优秀法律文书”；“谭某某不服法院生效刑事裁判申诉案”入选市院“参考性案例”，也是我院首次入选市检察院参考性案例。持续完善制定建立干警讲学计划、搭建干警交流平台、开办业务竞赛等制度，注重在典型案例打造、调研文章撰写、重大复杂疑难案件办理等工作中持续培养和锻炼干部；针对区域内破坏环境资源、一般预防、超市盗、故意伤害等高发领域撰写专题调研报告，并汇总形成《轻罪治理报告》。积极落实政法系统年轻干警培养锻炼的措施，深化与高等院校、科研院所的战略合作，统筹推进落实政法系统年轻干警培养锻炼、特邀检察官助理参与办案等务实举措，切实加大人才联合培养力度。</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是持续推进检察文化工作。坚持以检察文化凝心聚力，《加强新时代基层检察文化建设的思考与实践——以北京市密云区检察院为案例展开》获评新时代法治文化建设理论征文活动一等奖。深化打造“四季文化”品牌，“云水蓝”文化品牌连续获评北京市检察机关优秀文化品牌，以检察文化凝心聚力，注入发展动力；组织开展“水墨密检”书画兴趣班等丰富多彩的文体活动，更强筑牢“团结、包容、拼搏、向上”的密云检察情怀。</w:t>
      </w:r>
    </w:p>
    <w:p>
      <w:pPr>
        <w:spacing w:line="600" w:lineRule="exact"/>
        <w:ind w:firstLine="643" w:firstLineChars="200"/>
        <w:rPr>
          <w:rFonts w:ascii="仿宋_GB2312" w:eastAsia="仿宋_GB2312"/>
          <w:b/>
          <w:sz w:val="32"/>
          <w:szCs w:val="32"/>
          <w:highlight w:val="none"/>
        </w:rPr>
      </w:pPr>
      <w:r>
        <w:rPr>
          <w:rFonts w:hint="eastAsia" w:ascii="仿宋_GB2312" w:eastAsia="仿宋_GB2312"/>
          <w:b/>
          <w:sz w:val="32"/>
          <w:szCs w:val="32"/>
          <w:highlight w:val="none"/>
          <w:lang w:val="en-US" w:eastAsia="zh-CN"/>
        </w:rPr>
        <w:t>4.</w:t>
      </w:r>
      <w:r>
        <w:rPr>
          <w:rFonts w:hint="eastAsia" w:ascii="仿宋_GB2312" w:eastAsia="仿宋_GB2312"/>
          <w:b/>
          <w:sz w:val="32"/>
          <w:szCs w:val="32"/>
          <w:highlight w:val="none"/>
        </w:rPr>
        <w:t>服务对象满意度</w:t>
      </w:r>
    </w:p>
    <w:p>
      <w:pPr>
        <w:spacing w:line="600" w:lineRule="exact"/>
        <w:ind w:firstLine="640" w:firstLineChars="200"/>
        <w:rPr>
          <w:rFonts w:hint="eastAsia" w:ascii="仿宋_GB2312" w:eastAsia="仿宋_GB2312"/>
          <w:sz w:val="32"/>
          <w:szCs w:val="32"/>
          <w:highlight w:val="none"/>
        </w:rPr>
      </w:pPr>
      <w:r>
        <w:rPr>
          <w:rFonts w:hint="eastAsia" w:ascii="仿宋_GB2312" w:hAnsi="Calibri" w:eastAsia="仿宋_GB2312" w:cs="Times New Roman"/>
          <w:color w:val="auto"/>
          <w:kern w:val="2"/>
          <w:sz w:val="32"/>
          <w:szCs w:val="32"/>
          <w:highlight w:val="none"/>
          <w:lang w:val="en-US" w:eastAsia="zh-CN" w:bidi="ar-SA"/>
        </w:rPr>
        <w:t>站稳人民立场，以司法为民的生动实践诠释新时代检察情怀。聚焦提升人民群众获得感，秉持客观公正立场、综合考虑情理法统一，切实办好发生在群众身边的“小案”。聚焦提升人民群众幸福感，认真抓好群众信访件件有回复、未成年保护、行政争议实质性化解等工作，持续提升公开听证、司法救助、企业合规等工作成效。聚焦提升人民群众安全感，依法维护食药安全、环境保护、安全生产等领域涉及民生民利的合法权益，不断厚植党的执政根基</w:t>
      </w:r>
      <w:r>
        <w:rPr>
          <w:rFonts w:hint="eastAsia" w:ascii="仿宋_GB2312" w:eastAsia="仿宋_GB2312"/>
          <w:sz w:val="32"/>
          <w:szCs w:val="32"/>
          <w:highlight w:val="none"/>
        </w:rPr>
        <w:t>。</w:t>
      </w:r>
    </w:p>
    <w:p>
      <w:pPr>
        <w:spacing w:line="60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全力培树未检“护苗”品牌，第一检察部荣获“全国维护妇女儿童权益先进集体”称号</w:t>
      </w:r>
      <w:r>
        <w:rPr>
          <w:rFonts w:hint="eastAsia" w:ascii="仿宋_GB2312" w:eastAsia="仿宋_GB2312"/>
          <w:sz w:val="32"/>
          <w:szCs w:val="32"/>
          <w:highlight w:val="none"/>
          <w:lang w:eastAsia="zh-CN"/>
        </w:rPr>
        <w:t>；制发家庭教育指导令和督促监护令7份。开展校园周边交通安全设施法律监督专项活动，协同督促10所中小学完善周边相关设施；精准开展司法救助工作，向10名困难当事人发放司法救助金11.5万元。办理支持起诉案件371件，协同为农民工追回欠薪377万元，维护农民工合法权益。</w:t>
      </w:r>
    </w:p>
    <w:p>
      <w:pPr>
        <w:spacing w:line="600" w:lineRule="exact"/>
        <w:ind w:firstLine="640" w:firstLineChars="200"/>
        <w:rPr>
          <w:rFonts w:ascii="仿宋_GB2312" w:eastAsia="仿宋_GB2312"/>
          <w:b/>
          <w:sz w:val="32"/>
          <w:szCs w:val="32"/>
          <w:highlight w:val="none"/>
        </w:rPr>
      </w:pPr>
      <w:r>
        <w:rPr>
          <w:rFonts w:hint="eastAsia" w:ascii="仿宋_GB2312" w:eastAsia="仿宋_GB2312"/>
          <w:sz w:val="32"/>
          <w:szCs w:val="32"/>
          <w:highlight w:val="none"/>
        </w:rPr>
        <w:t>把为人民司法、让人民满意作为检察工作的出发点和着力点，在推进平安密云建设中不断增进民生福祉，努力提升人民群众的安全感、获得感和幸福感。</w:t>
      </w:r>
    </w:p>
    <w:p>
      <w:pPr>
        <w:spacing w:line="600" w:lineRule="exact"/>
        <w:ind w:left="105" w:leftChars="50" w:firstLine="480" w:firstLineChars="150"/>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四</w:t>
      </w:r>
      <w:r>
        <w:rPr>
          <w:rFonts w:ascii="黑体" w:hAnsi="黑体" w:eastAsia="黑体" w:cs="宋体"/>
          <w:color w:val="000000"/>
          <w:kern w:val="0"/>
          <w:sz w:val="32"/>
          <w:szCs w:val="32"/>
          <w:highlight w:val="none"/>
        </w:rPr>
        <w:t>、预算管理</w:t>
      </w:r>
      <w:r>
        <w:rPr>
          <w:rFonts w:hint="eastAsia" w:ascii="黑体" w:hAnsi="黑体" w:eastAsia="黑体" w:cs="宋体"/>
          <w:color w:val="000000"/>
          <w:kern w:val="0"/>
          <w:sz w:val="32"/>
          <w:szCs w:val="32"/>
          <w:highlight w:val="none"/>
        </w:rPr>
        <w:t>情况分</w:t>
      </w:r>
      <w:r>
        <w:rPr>
          <w:rFonts w:ascii="黑体" w:hAnsi="黑体" w:eastAsia="黑体" w:cs="宋体"/>
          <w:color w:val="000000"/>
          <w:kern w:val="0"/>
          <w:sz w:val="32"/>
          <w:szCs w:val="32"/>
          <w:highlight w:val="none"/>
        </w:rPr>
        <w:t>析</w:t>
      </w:r>
    </w:p>
    <w:p>
      <w:pPr>
        <w:spacing w:line="600" w:lineRule="exact"/>
        <w:ind w:left="105" w:leftChars="50" w:firstLine="482" w:firstLineChars="150"/>
        <w:rPr>
          <w:rFonts w:ascii="楷体_GB2312" w:eastAsia="楷体_GB2312"/>
          <w:b/>
          <w:sz w:val="32"/>
          <w:szCs w:val="32"/>
          <w:highlight w:val="none"/>
        </w:rPr>
      </w:pPr>
      <w:r>
        <w:rPr>
          <w:rFonts w:hint="eastAsia" w:ascii="楷体_GB2312" w:eastAsia="楷体_GB2312"/>
          <w:b/>
          <w:sz w:val="32"/>
          <w:szCs w:val="32"/>
          <w:highlight w:val="none"/>
        </w:rPr>
        <w:t>（一）财务管理</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1.财务</w:t>
      </w:r>
      <w:r>
        <w:rPr>
          <w:rFonts w:ascii="仿宋_GB2312" w:hAnsi="宋体" w:eastAsia="仿宋_GB2312" w:cs="宋体"/>
          <w:color w:val="000000"/>
          <w:kern w:val="0"/>
          <w:sz w:val="32"/>
          <w:szCs w:val="32"/>
          <w:highlight w:val="none"/>
        </w:rPr>
        <w:t>管理制度健全性</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区检察院为加强内部控制，结合部门工作实际需求，建立了“以预算管理为主线、以资金管控为核心”的内部控制体系，实现内部控制体系的系统化与常态化。对预算管理等领域业务流程的控制节点、提出了重要风险点的控制措施，规范了业务流程。单位层面的内控制度和财务管理制度健全有效。</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2.资金使用合规性</w:t>
      </w:r>
      <w:r>
        <w:rPr>
          <w:rFonts w:ascii="仿宋_GB2312" w:hAnsi="宋体" w:eastAsia="仿宋_GB2312" w:cs="宋体"/>
          <w:color w:val="000000"/>
          <w:kern w:val="0"/>
          <w:sz w:val="32"/>
          <w:szCs w:val="32"/>
          <w:highlight w:val="none"/>
        </w:rPr>
        <w:t>和安全性</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202</w:t>
      </w:r>
      <w:r>
        <w:rPr>
          <w:rFonts w:hint="eastAsia" w:ascii="仿宋_GB2312" w:hAnsi="宋体" w:eastAsia="仿宋_GB2312" w:cs="宋体"/>
          <w:color w:val="000000"/>
          <w:kern w:val="0"/>
          <w:sz w:val="32"/>
          <w:szCs w:val="32"/>
          <w:highlight w:val="none"/>
          <w:lang w:val="en-US" w:eastAsia="zh-CN"/>
        </w:rPr>
        <w:t>3</w:t>
      </w:r>
      <w:r>
        <w:rPr>
          <w:rFonts w:hint="eastAsia" w:ascii="仿宋_GB2312" w:hAnsi="宋体" w:eastAsia="仿宋_GB2312" w:cs="宋体"/>
          <w:color w:val="000000"/>
          <w:kern w:val="0"/>
          <w:sz w:val="32"/>
          <w:szCs w:val="32"/>
          <w:highlight w:val="none"/>
        </w:rPr>
        <w:t>年部门预算执行过程中，预算管理决策主要依据《单位内控制度》执行，决策过程有依据，管理有痕迹，执行有流程，按照内控管理制度落实到位。通过有效落实“三重一大”管理制度，保障了预算执行项目在项目决策、管理、执行过程中的安全有效，进一步科学合理地规避了财务支出风险。全年未出现截留、挤占、挪用、虚列支出等情况，资金管理过程留痕清晰，资金的整体使用按照内控管理制度的相关要求落实到位。确保了全年各预算项目在决策、管理、执行过程中的资金安全性与使用严谨性，进一步科学合理地规避了财政资金使用的风险。</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ascii="仿宋_GB2312" w:hAnsi="宋体" w:eastAsia="仿宋_GB2312" w:cs="宋体"/>
          <w:color w:val="000000"/>
          <w:kern w:val="0"/>
          <w:sz w:val="32"/>
          <w:szCs w:val="32"/>
          <w:highlight w:val="none"/>
        </w:rPr>
        <w:t>3.</w:t>
      </w:r>
      <w:r>
        <w:rPr>
          <w:rFonts w:hint="eastAsia" w:ascii="仿宋_GB2312" w:hAnsi="宋体" w:eastAsia="仿宋_GB2312" w:cs="宋体"/>
          <w:color w:val="000000"/>
          <w:kern w:val="0"/>
          <w:sz w:val="32"/>
          <w:szCs w:val="32"/>
          <w:highlight w:val="none"/>
        </w:rPr>
        <w:t>会计</w:t>
      </w:r>
      <w:r>
        <w:rPr>
          <w:rFonts w:ascii="仿宋_GB2312" w:hAnsi="宋体" w:eastAsia="仿宋_GB2312" w:cs="宋体"/>
          <w:color w:val="000000"/>
          <w:kern w:val="0"/>
          <w:sz w:val="32"/>
          <w:szCs w:val="32"/>
          <w:highlight w:val="none"/>
        </w:rPr>
        <w:t>基础信息完善性</w:t>
      </w:r>
    </w:p>
    <w:p>
      <w:pPr>
        <w:spacing w:line="600" w:lineRule="exact"/>
        <w:ind w:left="105" w:leftChars="50" w:firstLine="640" w:firstLineChars="20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为切实提高工作质量和效率，区检察院依据《预算管理办法》，对预算资金的分配、使用进行管理，主要涉及预算编制与审批、预算调整、预算执行与分析、决算与评价、预算监督等方面。以各部门为需求单位，提交本部门预算申请，以办公室（行政事务管理部）作为归口管理部门，通过研究相关制度、规定，组织预算的编制、申报、执行和决算，以合法、合理、真实、完整为原则，对预算资金的分配、使用进行有针对性的管理，全年会计资料的保管与会计账簿的记录完整准确。</w:t>
      </w:r>
    </w:p>
    <w:p>
      <w:pPr>
        <w:spacing w:line="600" w:lineRule="exact"/>
        <w:ind w:left="105" w:leftChars="50" w:firstLine="482" w:firstLineChars="150"/>
        <w:rPr>
          <w:rFonts w:ascii="楷体_GB2312" w:eastAsia="楷体_GB2312"/>
          <w:b/>
          <w:sz w:val="32"/>
          <w:szCs w:val="32"/>
          <w:highlight w:val="none"/>
        </w:rPr>
      </w:pPr>
      <w:r>
        <w:rPr>
          <w:rFonts w:hint="eastAsia" w:ascii="楷体_GB2312" w:eastAsia="楷体_GB2312"/>
          <w:b/>
          <w:sz w:val="32"/>
          <w:szCs w:val="32"/>
          <w:highlight w:val="none"/>
        </w:rPr>
        <w:t>（二）资产管理</w:t>
      </w:r>
    </w:p>
    <w:p>
      <w:pPr>
        <w:spacing w:line="640" w:lineRule="exact"/>
        <w:ind w:firstLine="640" w:firstLineChars="200"/>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为了加强固定资产的管理，提高固定资产管理水平，</w:t>
      </w:r>
      <w:r>
        <w:rPr>
          <w:rFonts w:hint="eastAsia" w:ascii="仿宋_GB2312" w:hAnsi="仿宋_GB2312" w:eastAsia="仿宋_GB2312" w:cs="仿宋_GB2312"/>
          <w:sz w:val="32"/>
          <w:szCs w:val="32"/>
          <w:highlight w:val="none"/>
        </w:rPr>
        <w:t>区检察院</w:t>
      </w:r>
      <w:r>
        <w:rPr>
          <w:rFonts w:hint="eastAsia" w:ascii="仿宋_GB2312" w:hAnsi="仿宋_GB2312" w:eastAsia="仿宋_GB2312" w:cs="仿宋_GB2312"/>
          <w:bCs/>
          <w:sz w:val="32"/>
          <w:szCs w:val="32"/>
          <w:highlight w:val="none"/>
        </w:rPr>
        <w:t>依据《政府会计制度》、《北京市密云区行政事业单位国有资产管理办法》、《密云区行政事业单位国有资产处置管理办法》等相关文件，制定了《密云区检察院固定资产管理制度》。</w:t>
      </w:r>
      <w:r>
        <w:rPr>
          <w:rFonts w:hint="eastAsia" w:ascii="仿宋_GB2312" w:hAnsi="仿宋_GB2312" w:eastAsia="仿宋_GB2312" w:cs="仿宋_GB2312"/>
          <w:sz w:val="32"/>
          <w:szCs w:val="32"/>
          <w:highlight w:val="none"/>
        </w:rPr>
        <w:t>区检察院</w:t>
      </w:r>
      <w:r>
        <w:rPr>
          <w:rFonts w:hint="eastAsia" w:ascii="仿宋_GB2312" w:hAnsi="仿宋_GB2312" w:eastAsia="仿宋_GB2312" w:cs="仿宋_GB2312"/>
          <w:bCs/>
          <w:sz w:val="32"/>
          <w:szCs w:val="32"/>
          <w:highlight w:val="none"/>
        </w:rPr>
        <w:t>能够按照制度要求，对实有固定资产进行合理配置。</w:t>
      </w:r>
    </w:p>
    <w:p>
      <w:pPr>
        <w:spacing w:line="640" w:lineRule="exact"/>
        <w:ind w:firstLine="640" w:firstLineChars="200"/>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在资产的使用上，建立固定资产登记管理制度，设置固定资产总账、财政动态库和固定资产卡片，并设专人负责固定资产实物管理，登记固定资产卡片，作为固定资产入账凭证之一。明确固定资产购置程序，建立验收、入库、登记制度。明确固定资产调拨程序，完善调拨手续。建立固定资产报废制度，明确统一由办公室负责，根据固定资产使用年限、固定资产使用状态及部室报废申请等，依法依规办理核销手续。资产信息化动态管理过程中，规范了固定资产增加、减少、使用和处置工作流程；加强了资产动态与预算管理相结合，为预算编制提供了真实、完整、准确的基础数据；进一步加强了日常资产管理和资产清查工作相结合，确保资产管理做到“账证、账实、账账”相符的要求。</w:t>
      </w:r>
    </w:p>
    <w:p>
      <w:pPr>
        <w:spacing w:line="600" w:lineRule="exact"/>
        <w:ind w:left="105" w:leftChars="50" w:firstLine="482" w:firstLineChars="150"/>
        <w:rPr>
          <w:rFonts w:ascii="楷体_GB2312" w:eastAsia="楷体_GB2312"/>
          <w:b/>
          <w:sz w:val="32"/>
          <w:szCs w:val="32"/>
          <w:highlight w:val="none"/>
        </w:rPr>
      </w:pPr>
      <w:r>
        <w:rPr>
          <w:rFonts w:hint="eastAsia" w:ascii="楷体_GB2312" w:eastAsia="楷体_GB2312"/>
          <w:b/>
          <w:sz w:val="32"/>
          <w:szCs w:val="32"/>
          <w:highlight w:val="none"/>
        </w:rPr>
        <w:t>（三）绩效</w:t>
      </w:r>
      <w:r>
        <w:rPr>
          <w:rFonts w:ascii="楷体_GB2312" w:eastAsia="楷体_GB2312"/>
          <w:b/>
          <w:sz w:val="32"/>
          <w:szCs w:val="32"/>
          <w:highlight w:val="none"/>
        </w:rPr>
        <w:t>管理</w:t>
      </w:r>
    </w:p>
    <w:p>
      <w:pPr>
        <w:spacing w:line="640" w:lineRule="exact"/>
        <w:ind w:firstLine="640" w:firstLineChars="200"/>
        <w:rPr>
          <w:rFonts w:ascii="仿宋_GB2312" w:hAnsi="Arial Narrow" w:eastAsia="仿宋_GB2312"/>
          <w:sz w:val="32"/>
          <w:szCs w:val="32"/>
          <w:highlight w:val="none"/>
        </w:rPr>
      </w:pPr>
      <w:r>
        <w:rPr>
          <w:rFonts w:hint="eastAsia" w:ascii="仿宋_GB2312" w:hAnsi="Arial Narrow" w:eastAsia="仿宋_GB2312"/>
          <w:sz w:val="32"/>
          <w:szCs w:val="32"/>
          <w:highlight w:val="none"/>
        </w:rPr>
        <w:t>区检察院了实现2</w:t>
      </w:r>
      <w:r>
        <w:rPr>
          <w:rFonts w:ascii="仿宋_GB2312" w:hAnsi="Arial Narrow" w:eastAsia="仿宋_GB2312"/>
          <w:sz w:val="32"/>
          <w:szCs w:val="32"/>
          <w:highlight w:val="none"/>
        </w:rPr>
        <w:t>02</w:t>
      </w:r>
      <w:r>
        <w:rPr>
          <w:rFonts w:hint="eastAsia" w:ascii="仿宋_GB2312" w:hAnsi="Arial Narrow" w:eastAsia="仿宋_GB2312"/>
          <w:sz w:val="32"/>
          <w:szCs w:val="32"/>
          <w:highlight w:val="none"/>
          <w:lang w:val="en-US" w:eastAsia="zh-CN"/>
        </w:rPr>
        <w:t>3</w:t>
      </w:r>
      <w:r>
        <w:rPr>
          <w:rFonts w:hint="eastAsia" w:ascii="仿宋_GB2312" w:hAnsi="Arial Narrow" w:eastAsia="仿宋_GB2312"/>
          <w:sz w:val="32"/>
          <w:szCs w:val="32"/>
          <w:highlight w:val="none"/>
        </w:rPr>
        <w:t>年度部门整体工作目标，填报了部门整体支出绩效目标申报表，设置了明确的年度总体绩效目标，并结合总体目标对各项具体指标进行了分解。各项产出指标依据年度重点工作任务、重大事项、及项目资金的使用进行设置，在单位内部进行充分研究后，按照集体决策程序进行研究审批，部门整体支出绩效目标的决策过程规范、有效。</w:t>
      </w:r>
      <w:r>
        <w:rPr>
          <w:rFonts w:hint="eastAsia" w:ascii="仿宋_GB2312" w:hAnsi="Arial Narrow" w:eastAsia="仿宋_GB2312"/>
          <w:bCs/>
          <w:sz w:val="32"/>
          <w:szCs w:val="32"/>
          <w:highlight w:val="none"/>
        </w:rPr>
        <w:t>通过多年来财政预算绩效管理相关工作的开展，对区检察院各方面工作均起到了明显的提高与促进作用。2</w:t>
      </w:r>
      <w:r>
        <w:rPr>
          <w:rFonts w:ascii="仿宋_GB2312" w:hAnsi="Arial Narrow" w:eastAsia="仿宋_GB2312"/>
          <w:bCs/>
          <w:sz w:val="32"/>
          <w:szCs w:val="32"/>
          <w:highlight w:val="none"/>
        </w:rPr>
        <w:t>02</w:t>
      </w:r>
      <w:r>
        <w:rPr>
          <w:rFonts w:hint="eastAsia" w:ascii="仿宋_GB2312" w:hAnsi="Arial Narrow" w:eastAsia="仿宋_GB2312"/>
          <w:bCs/>
          <w:sz w:val="32"/>
          <w:szCs w:val="32"/>
          <w:highlight w:val="none"/>
          <w:lang w:val="en-US" w:eastAsia="zh-CN"/>
        </w:rPr>
        <w:t>3</w:t>
      </w:r>
      <w:r>
        <w:rPr>
          <w:rFonts w:hint="eastAsia" w:ascii="仿宋_GB2312" w:hAnsi="Arial Narrow" w:eastAsia="仿宋_GB2312"/>
          <w:bCs/>
          <w:sz w:val="32"/>
          <w:szCs w:val="32"/>
          <w:highlight w:val="none"/>
        </w:rPr>
        <w:t>年度区检察院</w:t>
      </w:r>
      <w:r>
        <w:rPr>
          <w:rFonts w:hint="eastAsia" w:ascii="仿宋_GB2312" w:hAnsi="Arial Narrow" w:eastAsia="仿宋_GB2312"/>
          <w:sz w:val="32"/>
          <w:szCs w:val="32"/>
          <w:highlight w:val="none"/>
        </w:rPr>
        <w:t>高度重视绩效管理工作，</w:t>
      </w:r>
      <w:r>
        <w:rPr>
          <w:rFonts w:hint="eastAsia" w:ascii="仿宋_GB2312" w:hAnsi="Arial Narrow" w:eastAsia="仿宋_GB2312"/>
          <w:bCs/>
          <w:sz w:val="32"/>
          <w:szCs w:val="32"/>
          <w:highlight w:val="none"/>
        </w:rPr>
        <w:t>明确了全年绩效管理的主要工作内容和总体工作计划</w:t>
      </w:r>
      <w:r>
        <w:rPr>
          <w:rFonts w:hint="eastAsia" w:ascii="仿宋_GB2312" w:hAnsi="Arial Narrow" w:eastAsia="仿宋_GB2312"/>
          <w:sz w:val="32"/>
          <w:szCs w:val="32"/>
          <w:highlight w:val="none"/>
        </w:rPr>
        <w:t>，不定期对项目的进展、绩效实现和资金支付等情况进行了解，并加强了重点环节的检查，按照各项目预期的时间节点，对照项目的计划内容、绩效目标和实施节点进行重点跟踪检查，认真查找项目组织管理实施中与年度目标计划存在的差异，以及当前已实现的实际绩效与年度目标绩效间的差异，分析差异形成的原因，提出改进的要求。</w:t>
      </w:r>
    </w:p>
    <w:p>
      <w:pPr>
        <w:spacing w:line="600" w:lineRule="exact"/>
        <w:ind w:left="105" w:leftChars="50" w:firstLine="482" w:firstLineChars="150"/>
        <w:rPr>
          <w:rFonts w:ascii="楷体_GB2312" w:eastAsia="楷体_GB2312"/>
          <w:b/>
          <w:sz w:val="32"/>
          <w:szCs w:val="32"/>
        </w:rPr>
      </w:pPr>
      <w:r>
        <w:rPr>
          <w:rFonts w:hint="eastAsia" w:ascii="楷体_GB2312" w:eastAsia="楷体_GB2312"/>
          <w:b/>
          <w:sz w:val="32"/>
          <w:szCs w:val="32"/>
        </w:rPr>
        <w:t>（四）结转结余率</w:t>
      </w:r>
    </w:p>
    <w:p>
      <w:pPr>
        <w:spacing w:line="600" w:lineRule="exact"/>
        <w:ind w:left="105" w:leftChars="50" w:firstLine="480" w:firstLineChars="150"/>
        <w:rPr>
          <w:rFonts w:ascii="仿宋_GB2312" w:hAnsi="Arial Narrow" w:eastAsia="仿宋_GB2312"/>
          <w:sz w:val="32"/>
          <w:szCs w:val="32"/>
        </w:rPr>
      </w:pPr>
      <w:r>
        <w:rPr>
          <w:rFonts w:hint="eastAsia" w:ascii="仿宋_GB2312" w:hAnsi="Arial Narrow" w:eastAsia="仿宋_GB2312"/>
          <w:sz w:val="32"/>
          <w:szCs w:val="32"/>
        </w:rPr>
        <w:t>结转结余率=结转结余总额/支出预算数×100%。</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Arial Narrow" w:eastAsia="仿宋_GB2312"/>
          <w:sz w:val="32"/>
          <w:szCs w:val="32"/>
        </w:rPr>
        <w:t>2</w:t>
      </w:r>
      <w:r>
        <w:rPr>
          <w:rFonts w:ascii="仿宋_GB2312" w:hAnsi="Arial Narrow" w:eastAsia="仿宋_GB2312"/>
          <w:sz w:val="32"/>
          <w:szCs w:val="32"/>
        </w:rPr>
        <w:t>022</w:t>
      </w:r>
      <w:r>
        <w:rPr>
          <w:rFonts w:hint="eastAsia" w:ascii="仿宋_GB2312" w:hAnsi="Arial Narrow" w:eastAsia="仿宋_GB2312"/>
          <w:sz w:val="32"/>
          <w:szCs w:val="32"/>
        </w:rPr>
        <w:t>年度结转结余资金总额</w:t>
      </w:r>
      <w:r>
        <w:rPr>
          <w:rFonts w:ascii="仿宋_GB2312" w:hAnsi="Arial Narrow" w:eastAsia="仿宋_GB2312"/>
          <w:sz w:val="32"/>
          <w:szCs w:val="32"/>
        </w:rPr>
        <w:t>243.94</w:t>
      </w:r>
      <w:r>
        <w:rPr>
          <w:rFonts w:hint="eastAsia" w:ascii="仿宋_GB2312" w:hAnsi="Arial Narrow" w:eastAsia="仿宋_GB2312"/>
          <w:sz w:val="32"/>
          <w:szCs w:val="32"/>
        </w:rPr>
        <w:t>万元，全年预算支出数</w:t>
      </w:r>
      <w:r>
        <w:rPr>
          <w:rFonts w:ascii="仿宋_GB2312" w:hAnsi="宋体" w:eastAsia="仿宋_GB2312" w:cs="宋体"/>
          <w:color w:val="000000"/>
          <w:kern w:val="0"/>
          <w:sz w:val="32"/>
          <w:szCs w:val="32"/>
        </w:rPr>
        <w:t>5,959.58</w:t>
      </w:r>
      <w:r>
        <w:rPr>
          <w:rFonts w:hint="eastAsia" w:ascii="仿宋_GB2312" w:hAnsi="宋体" w:eastAsia="仿宋_GB2312" w:cs="宋体"/>
          <w:color w:val="000000"/>
          <w:kern w:val="0"/>
          <w:sz w:val="32"/>
          <w:szCs w:val="32"/>
        </w:rPr>
        <w:t>万元。结转结余率</w:t>
      </w:r>
      <w:r>
        <w:rPr>
          <w:rFonts w:ascii="仿宋_GB2312" w:hAnsi="宋体" w:eastAsia="仿宋_GB2312" w:cs="宋体"/>
          <w:color w:val="000000"/>
          <w:kern w:val="0"/>
          <w:sz w:val="32"/>
          <w:szCs w:val="32"/>
        </w:rPr>
        <w:t>4.09%</w:t>
      </w:r>
      <w:r>
        <w:rPr>
          <w:rFonts w:hint="eastAsia" w:ascii="仿宋_GB2312" w:hAnsi="宋体" w:eastAsia="仿宋_GB2312" w:cs="宋体"/>
          <w:color w:val="000000"/>
          <w:kern w:val="0"/>
          <w:sz w:val="32"/>
          <w:szCs w:val="32"/>
        </w:rPr>
        <w:t>。</w:t>
      </w:r>
    </w:p>
    <w:p>
      <w:pPr>
        <w:spacing w:line="600" w:lineRule="exact"/>
        <w:ind w:left="105" w:leftChars="50" w:firstLine="480" w:firstLineChars="150"/>
        <w:rPr>
          <w:rFonts w:ascii="仿宋_GB2312" w:hAnsi="Arial Narrow" w:eastAsia="仿宋_GB2312"/>
          <w:sz w:val="32"/>
          <w:szCs w:val="32"/>
          <w:highlight w:val="none"/>
        </w:rPr>
      </w:pPr>
      <w:r>
        <w:rPr>
          <w:rFonts w:hint="eastAsia" w:ascii="仿宋_GB2312" w:hAnsi="Arial Narrow" w:eastAsia="仿宋_GB2312"/>
          <w:sz w:val="32"/>
          <w:szCs w:val="32"/>
          <w:highlight w:val="none"/>
        </w:rPr>
        <w:t>2</w:t>
      </w:r>
      <w:r>
        <w:rPr>
          <w:rFonts w:ascii="仿宋_GB2312" w:hAnsi="Arial Narrow" w:eastAsia="仿宋_GB2312"/>
          <w:sz w:val="32"/>
          <w:szCs w:val="32"/>
          <w:highlight w:val="none"/>
        </w:rPr>
        <w:t>02</w:t>
      </w:r>
      <w:r>
        <w:rPr>
          <w:rFonts w:hint="eastAsia" w:ascii="仿宋_GB2312" w:hAnsi="Arial Narrow" w:eastAsia="仿宋_GB2312"/>
          <w:sz w:val="32"/>
          <w:szCs w:val="32"/>
          <w:highlight w:val="none"/>
          <w:lang w:val="en-US" w:eastAsia="zh-CN"/>
        </w:rPr>
        <w:t>3</w:t>
      </w:r>
      <w:r>
        <w:rPr>
          <w:rFonts w:hint="eastAsia" w:ascii="仿宋_GB2312" w:hAnsi="Arial Narrow" w:eastAsia="仿宋_GB2312"/>
          <w:sz w:val="32"/>
          <w:szCs w:val="32"/>
          <w:highlight w:val="none"/>
        </w:rPr>
        <w:t>年度结转结余资金总额149.59万元，全年预算支出数</w:t>
      </w:r>
      <w:r>
        <w:rPr>
          <w:rFonts w:hint="eastAsia" w:ascii="仿宋_GB2312" w:hAnsi="宋体" w:eastAsia="仿宋_GB2312" w:cs="宋体"/>
          <w:color w:val="000000"/>
          <w:kern w:val="0"/>
          <w:sz w:val="32"/>
          <w:szCs w:val="32"/>
          <w:highlight w:val="none"/>
        </w:rPr>
        <w:t>6,059.77万元。结转结余率2.47%。</w:t>
      </w:r>
    </w:p>
    <w:p>
      <w:pPr>
        <w:spacing w:line="600" w:lineRule="exact"/>
        <w:ind w:left="105" w:leftChars="50" w:firstLine="482" w:firstLineChars="150"/>
        <w:rPr>
          <w:rFonts w:ascii="楷体_GB2312" w:eastAsia="楷体_GB2312"/>
          <w:b/>
          <w:sz w:val="32"/>
          <w:szCs w:val="32"/>
          <w:highlight w:val="none"/>
        </w:rPr>
      </w:pPr>
      <w:r>
        <w:rPr>
          <w:rFonts w:hint="eastAsia" w:ascii="楷体_GB2312" w:eastAsia="楷体_GB2312"/>
          <w:b/>
          <w:sz w:val="32"/>
          <w:szCs w:val="32"/>
          <w:highlight w:val="none"/>
        </w:rPr>
        <w:t>（五）部门</w:t>
      </w:r>
      <w:r>
        <w:rPr>
          <w:rFonts w:ascii="楷体_GB2312" w:eastAsia="楷体_GB2312"/>
          <w:b/>
          <w:sz w:val="32"/>
          <w:szCs w:val="32"/>
          <w:highlight w:val="none"/>
        </w:rPr>
        <w:t>预决算差异率</w:t>
      </w:r>
    </w:p>
    <w:p>
      <w:pPr>
        <w:spacing w:line="600" w:lineRule="exact"/>
        <w:ind w:left="105" w:leftChars="50" w:firstLine="480" w:firstLineChars="150"/>
        <w:rPr>
          <w:rFonts w:ascii="仿宋_GB2312" w:hAnsi="Arial Narrow" w:eastAsia="仿宋_GB2312"/>
          <w:sz w:val="32"/>
          <w:szCs w:val="32"/>
          <w:highlight w:val="none"/>
        </w:rPr>
      </w:pPr>
      <w:r>
        <w:rPr>
          <w:rFonts w:hint="eastAsia" w:ascii="仿宋_GB2312" w:hAnsi="Arial Narrow" w:eastAsia="仿宋_GB2312"/>
          <w:sz w:val="32"/>
          <w:szCs w:val="32"/>
          <w:highlight w:val="none"/>
        </w:rPr>
        <w:t>202</w:t>
      </w:r>
      <w:r>
        <w:rPr>
          <w:rFonts w:hint="eastAsia" w:ascii="仿宋_GB2312" w:hAnsi="Arial Narrow" w:eastAsia="仿宋_GB2312"/>
          <w:sz w:val="32"/>
          <w:szCs w:val="32"/>
          <w:highlight w:val="none"/>
          <w:lang w:val="en-US" w:eastAsia="zh-CN"/>
        </w:rPr>
        <w:t>3</w:t>
      </w:r>
      <w:r>
        <w:rPr>
          <w:rFonts w:hint="eastAsia" w:ascii="仿宋_GB2312" w:hAnsi="Arial Narrow" w:eastAsia="仿宋_GB2312"/>
          <w:sz w:val="32"/>
          <w:szCs w:val="32"/>
          <w:highlight w:val="none"/>
        </w:rPr>
        <w:t>年决算支出合计数6,059.77万元比年初预算合计数6,236.89万元</w:t>
      </w:r>
      <w:r>
        <w:rPr>
          <w:rFonts w:hint="eastAsia" w:ascii="仿宋_GB2312" w:hAnsi="Arial Narrow" w:eastAsia="仿宋_GB2312"/>
          <w:sz w:val="32"/>
          <w:szCs w:val="32"/>
          <w:highlight w:val="none"/>
          <w:lang w:eastAsia="zh-CN"/>
        </w:rPr>
        <w:t>少177.12</w:t>
      </w:r>
      <w:r>
        <w:rPr>
          <w:rFonts w:hint="eastAsia" w:ascii="仿宋_GB2312" w:hAnsi="Arial Narrow" w:eastAsia="仿宋_GB2312"/>
          <w:sz w:val="32"/>
          <w:szCs w:val="32"/>
          <w:highlight w:val="none"/>
        </w:rPr>
        <w:t>万元，差异率为-2.84%，部门预决算差异率远低于市级平均差异率28.30%。</w:t>
      </w:r>
    </w:p>
    <w:p>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600" w:lineRule="exact"/>
        <w:ind w:left="105" w:leftChars="50" w:firstLine="482" w:firstLineChars="150"/>
        <w:rPr>
          <w:rFonts w:ascii="楷体_GB2312" w:eastAsia="楷体_GB2312"/>
          <w:b/>
          <w:sz w:val="32"/>
          <w:szCs w:val="32"/>
          <w:highlight w:val="none"/>
        </w:rPr>
      </w:pPr>
      <w:r>
        <w:rPr>
          <w:rFonts w:hint="eastAsia" w:ascii="楷体_GB2312" w:eastAsia="楷体_GB2312"/>
          <w:b/>
          <w:sz w:val="32"/>
          <w:szCs w:val="32"/>
          <w:highlight w:val="none"/>
        </w:rPr>
        <w:t>（一）评价</w:t>
      </w:r>
      <w:r>
        <w:rPr>
          <w:rFonts w:ascii="楷体_GB2312" w:eastAsia="楷体_GB2312"/>
          <w:b/>
          <w:sz w:val="32"/>
          <w:szCs w:val="32"/>
          <w:highlight w:val="none"/>
        </w:rPr>
        <w:t>得分</w:t>
      </w:r>
      <w:r>
        <w:rPr>
          <w:rFonts w:hint="eastAsia" w:ascii="楷体_GB2312" w:eastAsia="楷体_GB2312"/>
          <w:b/>
          <w:sz w:val="32"/>
          <w:szCs w:val="32"/>
          <w:highlight w:val="none"/>
        </w:rPr>
        <w:t>情况</w:t>
      </w:r>
    </w:p>
    <w:p>
      <w:pPr>
        <w:spacing w:line="600" w:lineRule="exact"/>
        <w:ind w:left="105" w:leftChars="50" w:firstLine="480" w:firstLineChars="150"/>
        <w:rPr>
          <w:rFonts w:ascii="仿宋_GB2312" w:hAnsi="Arial Narrow" w:eastAsia="仿宋_GB2312"/>
          <w:sz w:val="32"/>
          <w:szCs w:val="32"/>
          <w:highlight w:val="yellow"/>
        </w:rPr>
      </w:pPr>
      <w:r>
        <w:rPr>
          <w:rFonts w:hint="eastAsia" w:ascii="仿宋_GB2312" w:hAnsi="Arial Narrow" w:eastAsia="仿宋_GB2312"/>
          <w:sz w:val="32"/>
          <w:szCs w:val="32"/>
          <w:highlight w:val="none"/>
        </w:rPr>
        <w:t>根据2</w:t>
      </w:r>
      <w:r>
        <w:rPr>
          <w:rFonts w:ascii="仿宋_GB2312" w:hAnsi="Arial Narrow" w:eastAsia="仿宋_GB2312"/>
          <w:sz w:val="32"/>
          <w:szCs w:val="32"/>
          <w:highlight w:val="none"/>
        </w:rPr>
        <w:t>02</w:t>
      </w:r>
      <w:r>
        <w:rPr>
          <w:rFonts w:hint="eastAsia" w:ascii="仿宋_GB2312" w:hAnsi="Arial Narrow" w:eastAsia="仿宋_GB2312"/>
          <w:sz w:val="32"/>
          <w:szCs w:val="32"/>
          <w:highlight w:val="none"/>
          <w:lang w:val="en-US" w:eastAsia="zh-CN"/>
        </w:rPr>
        <w:t>3</w:t>
      </w:r>
      <w:r>
        <w:rPr>
          <w:rFonts w:hint="eastAsia" w:ascii="仿宋_GB2312" w:hAnsi="Arial Narrow" w:eastAsia="仿宋_GB2312"/>
          <w:sz w:val="32"/>
          <w:szCs w:val="32"/>
          <w:highlight w:val="none"/>
        </w:rPr>
        <w:t>年度部门整体支出绩效评价指标体系，经评价，评价得分为9</w:t>
      </w:r>
      <w:r>
        <w:rPr>
          <w:rFonts w:hint="eastAsia" w:ascii="仿宋_GB2312" w:hAnsi="Arial Narrow" w:eastAsia="仿宋_GB2312"/>
          <w:sz w:val="32"/>
          <w:szCs w:val="32"/>
          <w:highlight w:val="none"/>
          <w:lang w:val="en-US" w:eastAsia="zh-CN"/>
        </w:rPr>
        <w:t>5.08</w:t>
      </w:r>
      <w:r>
        <w:rPr>
          <w:rFonts w:hint="eastAsia" w:ascii="仿宋_GB2312" w:hAnsi="Arial Narrow" w:eastAsia="仿宋_GB2312"/>
          <w:sz w:val="32"/>
          <w:szCs w:val="32"/>
          <w:highlight w:val="none"/>
        </w:rPr>
        <w:t>分，评分等级为“优秀”。其中当年预算执行情况总分为2</w:t>
      </w:r>
      <w:r>
        <w:rPr>
          <w:rFonts w:ascii="仿宋_GB2312" w:hAnsi="Arial Narrow" w:eastAsia="仿宋_GB2312"/>
          <w:sz w:val="32"/>
          <w:szCs w:val="32"/>
          <w:highlight w:val="none"/>
        </w:rPr>
        <w:t>0</w:t>
      </w:r>
      <w:r>
        <w:rPr>
          <w:rFonts w:hint="eastAsia" w:ascii="仿宋_GB2312" w:hAnsi="Arial Narrow" w:eastAsia="仿宋_GB2312"/>
          <w:sz w:val="32"/>
          <w:szCs w:val="32"/>
          <w:highlight w:val="none"/>
        </w:rPr>
        <w:t>分，评价得分为</w:t>
      </w:r>
      <w:r>
        <w:rPr>
          <w:rFonts w:hint="eastAsia" w:ascii="仿宋_GB2312" w:hAnsi="Arial Narrow" w:eastAsia="仿宋_GB2312"/>
          <w:sz w:val="32"/>
          <w:szCs w:val="32"/>
          <w:highlight w:val="none"/>
          <w:lang w:val="en-US" w:eastAsia="zh-CN"/>
        </w:rPr>
        <w:t>19.38</w:t>
      </w:r>
      <w:r>
        <w:rPr>
          <w:rFonts w:hint="eastAsia" w:ascii="仿宋_GB2312" w:hAnsi="Arial Narrow" w:eastAsia="仿宋_GB2312"/>
          <w:sz w:val="32"/>
          <w:szCs w:val="32"/>
          <w:highlight w:val="none"/>
        </w:rPr>
        <w:t>分；整体绩效目标实现情况总分为6</w:t>
      </w:r>
      <w:r>
        <w:rPr>
          <w:rFonts w:ascii="仿宋_GB2312" w:hAnsi="Arial Narrow" w:eastAsia="仿宋_GB2312"/>
          <w:sz w:val="32"/>
          <w:szCs w:val="32"/>
          <w:highlight w:val="none"/>
        </w:rPr>
        <w:t>0</w:t>
      </w:r>
      <w:r>
        <w:rPr>
          <w:rFonts w:hint="eastAsia" w:ascii="仿宋_GB2312" w:hAnsi="Arial Narrow" w:eastAsia="仿宋_GB2312"/>
          <w:sz w:val="32"/>
          <w:szCs w:val="32"/>
          <w:highlight w:val="none"/>
        </w:rPr>
        <w:t>分，评价得分为</w:t>
      </w:r>
      <w:r>
        <w:rPr>
          <w:rFonts w:hint="eastAsia" w:ascii="仿宋_GB2312" w:hAnsi="Arial Narrow" w:eastAsia="仿宋_GB2312"/>
          <w:sz w:val="32"/>
          <w:szCs w:val="32"/>
          <w:highlight w:val="none"/>
          <w:lang w:val="en-US" w:eastAsia="zh-CN"/>
        </w:rPr>
        <w:t>55</w:t>
      </w:r>
      <w:r>
        <w:rPr>
          <w:rFonts w:ascii="仿宋_GB2312" w:hAnsi="Arial Narrow" w:eastAsia="仿宋_GB2312"/>
          <w:sz w:val="32"/>
          <w:szCs w:val="32"/>
          <w:highlight w:val="none"/>
        </w:rPr>
        <w:t>.7</w:t>
      </w:r>
      <w:r>
        <w:rPr>
          <w:rFonts w:hint="eastAsia" w:ascii="仿宋_GB2312" w:hAnsi="Arial Narrow" w:eastAsia="仿宋_GB2312"/>
          <w:sz w:val="32"/>
          <w:szCs w:val="32"/>
          <w:highlight w:val="none"/>
        </w:rPr>
        <w:t>分；预算管理情况总分为2</w:t>
      </w:r>
      <w:r>
        <w:rPr>
          <w:rFonts w:ascii="仿宋_GB2312" w:hAnsi="Arial Narrow" w:eastAsia="仿宋_GB2312"/>
          <w:sz w:val="32"/>
          <w:szCs w:val="32"/>
          <w:highlight w:val="none"/>
        </w:rPr>
        <w:t>0</w:t>
      </w:r>
      <w:r>
        <w:rPr>
          <w:rFonts w:hint="eastAsia" w:ascii="仿宋_GB2312" w:hAnsi="Arial Narrow" w:eastAsia="仿宋_GB2312"/>
          <w:sz w:val="32"/>
          <w:szCs w:val="32"/>
          <w:highlight w:val="none"/>
        </w:rPr>
        <w:t>分，评价得分为</w:t>
      </w:r>
      <w:r>
        <w:rPr>
          <w:rFonts w:ascii="仿宋_GB2312" w:hAnsi="Arial Narrow" w:eastAsia="仿宋_GB2312"/>
          <w:sz w:val="32"/>
          <w:szCs w:val="32"/>
          <w:highlight w:val="none"/>
        </w:rPr>
        <w:t>20</w:t>
      </w:r>
      <w:r>
        <w:rPr>
          <w:rFonts w:hint="eastAsia" w:ascii="仿宋_GB2312" w:hAnsi="Arial Narrow" w:eastAsia="仿宋_GB2312"/>
          <w:sz w:val="32"/>
          <w:szCs w:val="32"/>
          <w:highlight w:val="none"/>
        </w:rPr>
        <w:t>分。</w:t>
      </w:r>
    </w:p>
    <w:p>
      <w:pPr>
        <w:spacing w:line="600" w:lineRule="exact"/>
        <w:ind w:left="105" w:leftChars="50" w:firstLine="482" w:firstLineChars="150"/>
        <w:rPr>
          <w:rFonts w:ascii="楷体_GB2312" w:eastAsia="楷体_GB2312"/>
          <w:b/>
          <w:sz w:val="32"/>
          <w:szCs w:val="32"/>
          <w:highlight w:val="none"/>
        </w:rPr>
      </w:pPr>
      <w:r>
        <w:rPr>
          <w:rFonts w:hint="eastAsia" w:ascii="楷体_GB2312" w:eastAsia="楷体_GB2312"/>
          <w:b/>
          <w:sz w:val="32"/>
          <w:szCs w:val="32"/>
          <w:highlight w:val="none"/>
        </w:rPr>
        <w:t>（二）存在的问题及原因分析</w:t>
      </w:r>
    </w:p>
    <w:p>
      <w:pPr>
        <w:spacing w:line="600" w:lineRule="exact"/>
        <w:ind w:left="105" w:leftChars="50" w:firstLine="480" w:firstLineChars="150"/>
        <w:rPr>
          <w:rFonts w:hint="eastAsia" w:ascii="仿宋_GB2312" w:hAnsi="Arial Narrow" w:eastAsia="仿宋_GB2312"/>
          <w:sz w:val="32"/>
          <w:szCs w:val="32"/>
          <w:highlight w:val="none"/>
        </w:rPr>
      </w:pPr>
      <w:r>
        <w:rPr>
          <w:rFonts w:hint="eastAsia" w:ascii="仿宋_GB2312" w:hAnsi="Arial Narrow" w:eastAsia="仿宋_GB2312"/>
          <w:sz w:val="32"/>
          <w:szCs w:val="32"/>
          <w:highlight w:val="none"/>
        </w:rPr>
        <w:t>1.</w:t>
      </w:r>
      <w:r>
        <w:rPr>
          <w:rFonts w:hint="eastAsia"/>
          <w:highlight w:val="none"/>
        </w:rPr>
        <w:t xml:space="preserve"> </w:t>
      </w:r>
      <w:r>
        <w:rPr>
          <w:rFonts w:hint="eastAsia" w:ascii="仿宋_GB2312" w:hAnsi="Arial Narrow" w:eastAsia="仿宋_GB2312"/>
          <w:sz w:val="32"/>
          <w:szCs w:val="32"/>
          <w:highlight w:val="none"/>
        </w:rPr>
        <w:t>202</w:t>
      </w:r>
      <w:r>
        <w:rPr>
          <w:rFonts w:hint="eastAsia" w:ascii="仿宋_GB2312" w:hAnsi="Arial Narrow" w:eastAsia="仿宋_GB2312"/>
          <w:sz w:val="32"/>
          <w:szCs w:val="32"/>
          <w:highlight w:val="none"/>
          <w:lang w:val="en-US" w:eastAsia="zh-CN"/>
        </w:rPr>
        <w:t>3</w:t>
      </w:r>
      <w:r>
        <w:rPr>
          <w:rFonts w:hint="eastAsia" w:ascii="仿宋_GB2312" w:hAnsi="Arial Narrow" w:eastAsia="仿宋_GB2312"/>
          <w:sz w:val="32"/>
          <w:szCs w:val="32"/>
          <w:highlight w:val="none"/>
        </w:rPr>
        <w:t>年度，各预算申报项目绩效目标填报的规范性及合理性较上年有所规范，指标内容具备了</w:t>
      </w:r>
      <w:r>
        <w:rPr>
          <w:rFonts w:hint="eastAsia" w:ascii="仿宋_GB2312" w:hAnsi="Arial Narrow" w:eastAsia="仿宋_GB2312"/>
          <w:sz w:val="32"/>
          <w:szCs w:val="32"/>
          <w:highlight w:val="none"/>
          <w:lang w:eastAsia="zh-CN"/>
        </w:rPr>
        <w:t>较为清晰的</w:t>
      </w:r>
      <w:r>
        <w:rPr>
          <w:rFonts w:hint="eastAsia" w:ascii="仿宋_GB2312" w:hAnsi="Arial Narrow" w:eastAsia="仿宋_GB2312"/>
          <w:sz w:val="32"/>
          <w:szCs w:val="32"/>
          <w:highlight w:val="none"/>
        </w:rPr>
        <w:t>细化与量化程度。但个别项目的绩效目标填报仍存在科学性不足的情况，在资料收集过程中，对于绩效评价工作认识不够，理解不够深入。</w:t>
      </w:r>
    </w:p>
    <w:p>
      <w:pPr>
        <w:spacing w:line="600" w:lineRule="exact"/>
        <w:ind w:left="105" w:leftChars="50" w:firstLine="480" w:firstLineChars="150"/>
        <w:rPr>
          <w:rFonts w:ascii="仿宋_GB2312" w:hAnsi="Arial Narrow" w:eastAsia="仿宋_GB2312"/>
          <w:sz w:val="32"/>
          <w:szCs w:val="32"/>
          <w:highlight w:val="none"/>
        </w:rPr>
      </w:pPr>
      <w:r>
        <w:rPr>
          <w:rFonts w:hint="eastAsia" w:ascii="仿宋_GB2312" w:hAnsi="Arial Narrow" w:eastAsia="仿宋_GB2312"/>
          <w:sz w:val="32"/>
          <w:szCs w:val="32"/>
          <w:highlight w:val="none"/>
        </w:rPr>
        <w:t>2.部分项目实施过程的管理资料以及服务对象满意度调查资料的归集与整理情况存在不足。</w:t>
      </w:r>
    </w:p>
    <w:p>
      <w:pPr>
        <w:spacing w:line="600" w:lineRule="exact"/>
        <w:ind w:firstLine="640" w:firstLineChars="200"/>
        <w:rPr>
          <w:rFonts w:ascii="仿宋_GB2312" w:hAnsi="宋体" w:eastAsia="仿宋_GB2312" w:cs="宋体"/>
          <w:color w:val="000000"/>
          <w:kern w:val="0"/>
          <w:sz w:val="32"/>
          <w:szCs w:val="32"/>
          <w:highlight w:val="none"/>
        </w:rPr>
      </w:pPr>
      <w:r>
        <w:rPr>
          <w:rFonts w:hint="eastAsia" w:ascii="黑体" w:hAnsi="黑体" w:eastAsia="黑体" w:cs="宋体"/>
          <w:color w:val="000000"/>
          <w:kern w:val="0"/>
          <w:sz w:val="32"/>
          <w:szCs w:val="32"/>
          <w:highlight w:val="none"/>
        </w:rPr>
        <w:t>六、措施建议</w:t>
      </w:r>
    </w:p>
    <w:p>
      <w:pPr>
        <w:spacing w:line="600" w:lineRule="exact"/>
        <w:ind w:firstLine="641"/>
        <w:rPr>
          <w:rFonts w:ascii="仿宋_GB2312" w:eastAsia="仿宋_GB2312"/>
          <w:sz w:val="32"/>
          <w:szCs w:val="32"/>
          <w:highlight w:val="none"/>
        </w:rPr>
      </w:pPr>
      <w:r>
        <w:rPr>
          <w:rFonts w:hint="eastAsia" w:ascii="仿宋_GB2312" w:eastAsia="仿宋_GB2312"/>
          <w:sz w:val="32"/>
          <w:szCs w:val="32"/>
          <w:highlight w:val="none"/>
        </w:rPr>
        <w:t>通过对2</w:t>
      </w:r>
      <w:r>
        <w:rPr>
          <w:rFonts w:ascii="仿宋_GB2312" w:eastAsia="仿宋_GB2312"/>
          <w:sz w:val="32"/>
          <w:szCs w:val="32"/>
          <w:highlight w:val="none"/>
        </w:rPr>
        <w:t>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部门绩效自评工作，区检察院各部门预算管理意识有所增强，各财政预算项目在执行绩效管理工作的过程中均能够严格按照财政批复的范围和用途落实资金的使用，专款专用。但在本次自评工作中也发现存在的不足，将作为下一步重点关注与改进的方面。</w:t>
      </w:r>
    </w:p>
    <w:p>
      <w:pPr>
        <w:spacing w:line="600" w:lineRule="exact"/>
        <w:ind w:firstLine="641"/>
        <w:rPr>
          <w:rFonts w:ascii="仿宋_GB2312" w:eastAsia="仿宋_GB2312"/>
          <w:sz w:val="32"/>
          <w:szCs w:val="32"/>
          <w:highlight w:val="none"/>
        </w:rPr>
      </w:pPr>
      <w:r>
        <w:rPr>
          <w:rFonts w:hint="eastAsia" w:ascii="仿宋_GB2312" w:eastAsia="仿宋_GB2312"/>
          <w:sz w:val="32"/>
          <w:szCs w:val="32"/>
          <w:highlight w:val="none"/>
        </w:rPr>
        <w:t>（一）当前检察工作还存在一些不足。一是法律监督职能作用引领社会法治意识的示范效应还有待进一步提升；二是运用大数据赋能方式提供更好为大局服务的优质检察产品还需要进一步丰富；三是检察队伍建设距离新时代法治要求还有差距，专业化领军人才还相对欠缺。针对这些不足，我们将认真加以研究并积极解决。</w:t>
      </w:r>
    </w:p>
    <w:p>
      <w:pPr>
        <w:spacing w:line="600" w:lineRule="exact"/>
        <w:ind w:firstLine="641"/>
        <w:rPr>
          <w:rFonts w:ascii="仿宋_GB2312" w:eastAsia="仿宋_GB2312"/>
          <w:sz w:val="32"/>
          <w:szCs w:val="32"/>
          <w:highlight w:val="none"/>
        </w:rPr>
      </w:pPr>
      <w:r>
        <w:rPr>
          <w:rFonts w:hint="eastAsia" w:ascii="仿宋_GB2312" w:eastAsia="仿宋_GB2312"/>
          <w:sz w:val="32"/>
          <w:szCs w:val="32"/>
          <w:highlight w:val="none"/>
        </w:rPr>
        <w:t>（二）需进一步提高项目的绩效管理水平，规范科学编制绩效目标表，提高项目绩效目标和指标编制的合理性。建议项目单位加强绩效管理意识，设置目标应符合项目内容，并体现个性特征。参照计划标准、行业标准、历史标准等相关要求，按照清晰明确、可衡量、可实现、相关性与时限性等目标设置原则，合理设置年度目标值，避免出现绩效目标描述笼统，可衡量性差的情况。</w:t>
      </w:r>
    </w:p>
    <w:p>
      <w:pPr>
        <w:spacing w:line="600" w:lineRule="exact"/>
        <w:ind w:firstLine="641"/>
        <w:rPr>
          <w:rFonts w:ascii="仿宋_GB2312" w:eastAsia="仿宋_GB2312"/>
          <w:sz w:val="32"/>
          <w:szCs w:val="32"/>
          <w:highlight w:val="none"/>
        </w:rPr>
      </w:pPr>
      <w:r>
        <w:rPr>
          <w:rFonts w:hint="eastAsia" w:ascii="仿宋_GB2312" w:eastAsia="仿宋_GB2312"/>
          <w:sz w:val="32"/>
          <w:szCs w:val="32"/>
          <w:highlight w:val="none"/>
        </w:rPr>
        <w:t>（三）进一步重视绩效资料的留存与收集。在项目执行环节应注重及时收集项目绩效资料，加强对相关数据的汇总分析和历史比对，从多方面反映项目绩效成果的实现程度，全面展示项目实施效果。在项目执行过程中应不定期组织开展满意度调查，分层分级科学设计调查问卷，深入分析项目实施的效果和不足，通过对调查问卷的统计分析和结果应用，持续推进项目绩效的跟进和提升。</w:t>
      </w:r>
    </w:p>
    <w:p>
      <w:pPr>
        <w:spacing w:line="600" w:lineRule="exact"/>
        <w:ind w:firstLine="641"/>
        <w:rPr>
          <w:rFonts w:hint="eastAsia" w:ascii="仿宋_GB2312" w:eastAsia="仿宋_GB2312"/>
          <w:sz w:val="32"/>
          <w:szCs w:val="32"/>
          <w:highlight w:val="none"/>
        </w:rPr>
      </w:pPr>
      <w:r>
        <w:rPr>
          <w:rFonts w:hint="eastAsia" w:ascii="仿宋_GB2312" w:eastAsia="仿宋_GB2312"/>
          <w:sz w:val="32"/>
          <w:szCs w:val="32"/>
          <w:highlight w:val="none"/>
        </w:rPr>
        <w:t>（四）建议加强组织绩效管理方面的学习培训，充实绩效管理的理论基础。在以后年度预算编制时，加强绩效目标编制能力，充分细化绩效指标体系，增强指标设定与项目的相关度，提升项目绩效指标设置科学性、合理性和可操作性。</w:t>
      </w:r>
    </w:p>
    <w:p>
      <w:pPr>
        <w:spacing w:line="600" w:lineRule="exact"/>
        <w:ind w:firstLine="641"/>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五）进一步加强预算管理，细化项目的实施方案，明确资金使用标准和依据，不断完善，能全面反映项目产出、效果及效率的指标。下一步，我们将会提高预算编制的准确性，强化绩效目标管理。根据项目年度工作内容和总体目标，合理编制、细化预算，结合实际情况，科学合理设置绩效目标和绩效指标，确保指标设置能够全面体现工作任务的主要产出和效益。将绩效评价细化到各个具体科室，完善预算绩效指标，合理制定绩效目标，完善预算管理和专项资金管理制度等，从源头上杜绝，指标不够具体，效益量化不完整的发生。</w:t>
      </w:r>
    </w:p>
    <w:sectPr>
      <w:footerReference r:id="rId3" w:type="default"/>
      <w:pgSz w:w="11906" w:h="16838"/>
      <w:pgMar w:top="1440" w:right="1797" w:bottom="1440" w:left="179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FZSSJW--GB1-0">
    <w:altName w:val="宋体"/>
    <w:panose1 w:val="00000000000000000000"/>
    <w:charset w:val="86"/>
    <w:family w:val="auto"/>
    <w:pitch w:val="default"/>
    <w:sig w:usb0="00000000" w:usb1="00000000" w:usb2="00000010" w:usb3="00000000" w:csb0="00040000" w:csb1="00000000"/>
  </w:font>
  <w:font w:name="Arial Narrow">
    <w:altName w:val="Arial"/>
    <w:panose1 w:val="020B0606020202030204"/>
    <w:charset w:val="00"/>
    <w:family w:val="swiss"/>
    <w:pitch w:val="default"/>
    <w:sig w:usb0="00000000"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19 -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7"/>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19 -</w:t>
                    </w:r>
                    <w:r>
                      <w:rPr>
                        <w:rFonts w:ascii="宋体" w:hAnsi="宋体"/>
                        <w:sz w:val="28"/>
                        <w:szCs w:val="28"/>
                      </w:rPr>
                      <w:fldChar w:fldCharType="end"/>
                    </w:r>
                  </w:p>
                </w:txbxContent>
              </v:textbox>
            </v:shape>
          </w:pict>
        </mc:Fallback>
      </mc:AlternateContent>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lNjdhMTU2Yzk1NzQyMWE3NGRiMDdjYTc1OWMzZjEifQ=="/>
  </w:docVars>
  <w:rsids>
    <w:rsidRoot w:val="F77F09F4"/>
    <w:rsid w:val="000241C5"/>
    <w:rsid w:val="00044514"/>
    <w:rsid w:val="0005219F"/>
    <w:rsid w:val="00086110"/>
    <w:rsid w:val="00092DA4"/>
    <w:rsid w:val="000A52B0"/>
    <w:rsid w:val="000A65B4"/>
    <w:rsid w:val="00166410"/>
    <w:rsid w:val="00197EAB"/>
    <w:rsid w:val="001A5F9C"/>
    <w:rsid w:val="00204425"/>
    <w:rsid w:val="002163F0"/>
    <w:rsid w:val="00226493"/>
    <w:rsid w:val="00275130"/>
    <w:rsid w:val="002D52F9"/>
    <w:rsid w:val="003536DF"/>
    <w:rsid w:val="00363150"/>
    <w:rsid w:val="003726FE"/>
    <w:rsid w:val="006C23CB"/>
    <w:rsid w:val="006F78BF"/>
    <w:rsid w:val="00716699"/>
    <w:rsid w:val="007315A6"/>
    <w:rsid w:val="00793A49"/>
    <w:rsid w:val="007B1723"/>
    <w:rsid w:val="00802D30"/>
    <w:rsid w:val="008755E0"/>
    <w:rsid w:val="008808EB"/>
    <w:rsid w:val="008821D5"/>
    <w:rsid w:val="008A7D86"/>
    <w:rsid w:val="008B6D52"/>
    <w:rsid w:val="008B75A6"/>
    <w:rsid w:val="008F463B"/>
    <w:rsid w:val="0093278F"/>
    <w:rsid w:val="00957D2F"/>
    <w:rsid w:val="009A68E4"/>
    <w:rsid w:val="009D0114"/>
    <w:rsid w:val="009F3F83"/>
    <w:rsid w:val="009F44EB"/>
    <w:rsid w:val="00A270E5"/>
    <w:rsid w:val="00A45AE6"/>
    <w:rsid w:val="00A54285"/>
    <w:rsid w:val="00A758B9"/>
    <w:rsid w:val="00A758CA"/>
    <w:rsid w:val="00AB040D"/>
    <w:rsid w:val="00AE7BEA"/>
    <w:rsid w:val="00B35C69"/>
    <w:rsid w:val="00B44410"/>
    <w:rsid w:val="00BC43A4"/>
    <w:rsid w:val="00BD7954"/>
    <w:rsid w:val="00C07833"/>
    <w:rsid w:val="00C12749"/>
    <w:rsid w:val="00CC1198"/>
    <w:rsid w:val="00CC1EA3"/>
    <w:rsid w:val="00D64D18"/>
    <w:rsid w:val="00E1372B"/>
    <w:rsid w:val="00E54615"/>
    <w:rsid w:val="00EB2BA7"/>
    <w:rsid w:val="00EC1ED7"/>
    <w:rsid w:val="00EE5C68"/>
    <w:rsid w:val="00EF66C0"/>
    <w:rsid w:val="00F024C0"/>
    <w:rsid w:val="00F24DD1"/>
    <w:rsid w:val="00F758AB"/>
    <w:rsid w:val="00FE73C0"/>
    <w:rsid w:val="017B2F92"/>
    <w:rsid w:val="01D80157"/>
    <w:rsid w:val="064047AA"/>
    <w:rsid w:val="06B238FA"/>
    <w:rsid w:val="081D2FF5"/>
    <w:rsid w:val="089B1CFF"/>
    <w:rsid w:val="08F97134"/>
    <w:rsid w:val="0ECF9C51"/>
    <w:rsid w:val="0F6A7D43"/>
    <w:rsid w:val="14706BA3"/>
    <w:rsid w:val="16493BC9"/>
    <w:rsid w:val="1AF731FA"/>
    <w:rsid w:val="1C71170A"/>
    <w:rsid w:val="1F617814"/>
    <w:rsid w:val="25237319"/>
    <w:rsid w:val="255D282B"/>
    <w:rsid w:val="25695674"/>
    <w:rsid w:val="26C113E6"/>
    <w:rsid w:val="2AC742E9"/>
    <w:rsid w:val="2BEA293F"/>
    <w:rsid w:val="2C271DE5"/>
    <w:rsid w:val="2C931228"/>
    <w:rsid w:val="2CC47634"/>
    <w:rsid w:val="2D1C4D7A"/>
    <w:rsid w:val="318D26EA"/>
    <w:rsid w:val="32773388"/>
    <w:rsid w:val="33432D8E"/>
    <w:rsid w:val="33B47AD1"/>
    <w:rsid w:val="34F565DC"/>
    <w:rsid w:val="35CC71A7"/>
    <w:rsid w:val="37173543"/>
    <w:rsid w:val="39355B41"/>
    <w:rsid w:val="39E80634"/>
    <w:rsid w:val="3A2636DC"/>
    <w:rsid w:val="3B0A6C0E"/>
    <w:rsid w:val="3D605157"/>
    <w:rsid w:val="3F310B59"/>
    <w:rsid w:val="3F3671AD"/>
    <w:rsid w:val="3FF76880"/>
    <w:rsid w:val="40273D0A"/>
    <w:rsid w:val="41A24857"/>
    <w:rsid w:val="41E06866"/>
    <w:rsid w:val="443C0120"/>
    <w:rsid w:val="471072A6"/>
    <w:rsid w:val="4A6D6253"/>
    <w:rsid w:val="4BB5041C"/>
    <w:rsid w:val="4DB56DF9"/>
    <w:rsid w:val="4DC112FA"/>
    <w:rsid w:val="50B45F87"/>
    <w:rsid w:val="51AE7DE7"/>
    <w:rsid w:val="527162C0"/>
    <w:rsid w:val="52B15DE1"/>
    <w:rsid w:val="52BC623B"/>
    <w:rsid w:val="53F1045F"/>
    <w:rsid w:val="57F624E8"/>
    <w:rsid w:val="589E5865"/>
    <w:rsid w:val="5C043425"/>
    <w:rsid w:val="5CE209F7"/>
    <w:rsid w:val="5E785A05"/>
    <w:rsid w:val="5F9920D6"/>
    <w:rsid w:val="628E1C9B"/>
    <w:rsid w:val="62EE2739"/>
    <w:rsid w:val="663C1AD5"/>
    <w:rsid w:val="66AA4BC9"/>
    <w:rsid w:val="66F36853"/>
    <w:rsid w:val="6B985938"/>
    <w:rsid w:val="6E7F693B"/>
    <w:rsid w:val="70A1528F"/>
    <w:rsid w:val="70E9093A"/>
    <w:rsid w:val="738B18DE"/>
    <w:rsid w:val="73C6500C"/>
    <w:rsid w:val="779F004E"/>
    <w:rsid w:val="78EA4BDB"/>
    <w:rsid w:val="796B01E8"/>
    <w:rsid w:val="7A066163"/>
    <w:rsid w:val="7AB7FF50"/>
    <w:rsid w:val="7BFEB0DB"/>
    <w:rsid w:val="7FFF3306"/>
    <w:rsid w:val="C36F37B1"/>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2">
    <w:name w:val="heading 3"/>
    <w:basedOn w:val="1"/>
    <w:next w:val="1"/>
    <w:unhideWhenUsed/>
    <w:qFormat/>
    <w:uiPriority w:val="0"/>
    <w:pPr>
      <w:keepNext/>
      <w:keepLines/>
      <w:spacing w:before="260" w:after="260" w:line="416" w:lineRule="auto"/>
      <w:outlineLvl w:val="2"/>
    </w:pPr>
    <w:rPr>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next w:val="6"/>
    <w:qFormat/>
    <w:uiPriority w:val="0"/>
    <w:pPr>
      <w:widowControl w:val="0"/>
      <w:jc w:val="both"/>
    </w:pPr>
    <w:rPr>
      <w:rFonts w:ascii="Times New Roman" w:hAnsi="Times New Roman" w:eastAsia="宋体" w:cs="Times New Roman"/>
      <w:kern w:val="2"/>
      <w:sz w:val="32"/>
      <w:szCs w:val="24"/>
      <w:lang w:val="en-US" w:eastAsia="zh-CN" w:bidi="ar-SA"/>
    </w:rPr>
  </w:style>
  <w:style w:type="paragraph" w:customStyle="1" w:styleId="6">
    <w:name w:val="Default"/>
    <w:qForma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paragraph" w:styleId="7">
    <w:name w:val="footer"/>
    <w:basedOn w:val="1"/>
    <w:qFormat/>
    <w:uiPriority w:val="99"/>
    <w:pPr>
      <w:tabs>
        <w:tab w:val="center" w:pos="4153"/>
        <w:tab w:val="right" w:pos="8306"/>
      </w:tabs>
      <w:snapToGrid w:val="0"/>
      <w:jc w:val="left"/>
    </w:pPr>
    <w:rPr>
      <w:sz w:val="18"/>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1">
    <w:name w:val="page number"/>
    <w:basedOn w:val="10"/>
    <w:qFormat/>
    <w:uiPriority w:val="0"/>
  </w:style>
  <w:style w:type="paragraph" w:customStyle="1" w:styleId="12">
    <w:name w:val="列出段落1"/>
    <w:basedOn w:val="1"/>
    <w:qFormat/>
    <w:uiPriority w:val="34"/>
    <w:pPr>
      <w:ind w:firstLine="420" w:firstLineChars="200"/>
    </w:pPr>
    <w:rPr>
      <w:rFonts w:ascii="Calibri" w:hAnsi="Calibri" w:cs="黑体"/>
      <w:szCs w:val="22"/>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4AE902-9EB3-44F8-9C27-0C9C4844D97B}">
  <ds:schemaRefs/>
</ds:datastoreItem>
</file>

<file path=docProps/app.xml><?xml version="1.0" encoding="utf-8"?>
<Properties xmlns="http://schemas.openxmlformats.org/officeDocument/2006/extended-properties" xmlns:vt="http://schemas.openxmlformats.org/officeDocument/2006/docPropsVTypes">
  <Template>Normal</Template>
  <Pages>18</Pages>
  <Words>1848</Words>
  <Characters>10534</Characters>
  <Lines>87</Lines>
  <Paragraphs>24</Paragraphs>
  <TotalTime>10</TotalTime>
  <ScaleCrop>false</ScaleCrop>
  <LinksUpToDate>false</LinksUpToDate>
  <CharactersWithSpaces>12358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2022-03-10T19:16:00Z</dcterms:created>
  <dc:creator>user</dc:creator>
  <cp:lastModifiedBy>user</cp:lastModifiedBy>
  <dcterms:modified xsi:type="dcterms:W3CDTF">2024-06-11T06:54:44Z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0BF585263F0B46F29A5AC89EE9127CA5_12</vt:lpwstr>
  </property>
</Properties>
</file>