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158" w:type="dxa"/>
        <w:jc w:val="center"/>
        <w:tblLayout w:type="fixed"/>
        <w:tblCellMar>
          <w:top w:w="0" w:type="dxa"/>
          <w:left w:w="108" w:type="dxa"/>
          <w:bottom w:w="0" w:type="dxa"/>
          <w:right w:w="108" w:type="dxa"/>
        </w:tblCellMar>
      </w:tblPr>
      <w:tblGrid>
        <w:gridCol w:w="691"/>
        <w:gridCol w:w="838"/>
        <w:gridCol w:w="911"/>
        <w:gridCol w:w="1024"/>
        <w:gridCol w:w="930"/>
        <w:gridCol w:w="184"/>
        <w:gridCol w:w="1308"/>
        <w:gridCol w:w="1138"/>
        <w:gridCol w:w="62"/>
        <w:gridCol w:w="840"/>
        <w:gridCol w:w="818"/>
        <w:gridCol w:w="382"/>
        <w:gridCol w:w="1032"/>
      </w:tblGrid>
      <w:tr>
        <w:tblPrEx>
          <w:tblCellMar>
            <w:top w:w="0" w:type="dxa"/>
            <w:left w:w="108" w:type="dxa"/>
            <w:bottom w:w="0" w:type="dxa"/>
            <w:right w:w="108" w:type="dxa"/>
          </w:tblCellMar>
        </w:tblPrEx>
        <w:trPr>
          <w:trHeight w:val="549" w:hRule="exact"/>
          <w:jc w:val="center"/>
        </w:trPr>
        <w:tc>
          <w:tcPr>
            <w:tcW w:w="10158" w:type="dxa"/>
            <w:gridSpan w:val="13"/>
            <w:tcBorders>
              <w:top w:val="nil"/>
              <w:left w:val="nil"/>
              <w:bottom w:val="nil"/>
              <w:right w:val="nil"/>
            </w:tcBorders>
            <w:vAlign w:val="center"/>
          </w:tcPr>
          <w:p>
            <w:pPr>
              <w:widowControl/>
              <w:spacing w:line="320" w:lineRule="exact"/>
              <w:jc w:val="center"/>
              <w:rPr>
                <w:rFonts w:ascii="宋体" w:hAnsi="宋体" w:cs="宋体"/>
                <w:b/>
                <w:bCs/>
                <w:kern w:val="0"/>
                <w:sz w:val="32"/>
                <w:szCs w:val="32"/>
                <w:highlight w:val="none"/>
              </w:rPr>
            </w:pPr>
            <w:bookmarkStart w:id="0" w:name="_GoBack"/>
            <w:bookmarkEnd w:id="0"/>
            <w:r>
              <w:rPr>
                <w:rFonts w:hint="eastAsia" w:ascii="宋体" w:hAnsi="宋体" w:cs="宋体"/>
                <w:b/>
                <w:bCs/>
                <w:kern w:val="0"/>
                <w:sz w:val="32"/>
                <w:szCs w:val="32"/>
                <w:highlight w:val="none"/>
              </w:rPr>
              <w:t>项目支出绩效自评表</w:t>
            </w:r>
          </w:p>
        </w:tc>
      </w:tr>
      <w:tr>
        <w:tblPrEx>
          <w:tblCellMar>
            <w:top w:w="0" w:type="dxa"/>
            <w:left w:w="108" w:type="dxa"/>
            <w:bottom w:w="0" w:type="dxa"/>
            <w:right w:w="108" w:type="dxa"/>
          </w:tblCellMar>
        </w:tblPrEx>
        <w:trPr>
          <w:trHeight w:val="194" w:hRule="atLeast"/>
          <w:jc w:val="center"/>
        </w:trPr>
        <w:tc>
          <w:tcPr>
            <w:tcW w:w="10158" w:type="dxa"/>
            <w:gridSpan w:val="13"/>
            <w:tcBorders>
              <w:top w:val="nil"/>
              <w:left w:val="nil"/>
              <w:bottom w:val="nil"/>
              <w:right w:val="nil"/>
            </w:tcBorders>
          </w:tcPr>
          <w:p>
            <w:pPr>
              <w:widowControl/>
              <w:jc w:val="center"/>
              <w:rPr>
                <w:rFonts w:ascii="宋体" w:hAnsi="宋体" w:cs="宋体"/>
                <w:kern w:val="0"/>
                <w:sz w:val="24"/>
                <w:highlight w:val="none"/>
              </w:rPr>
            </w:pPr>
            <w:r>
              <w:rPr>
                <w:rFonts w:hint="eastAsia" w:ascii="宋体" w:hAnsi="宋体" w:cs="宋体"/>
                <w:kern w:val="0"/>
                <w:sz w:val="24"/>
                <w:highlight w:val="none"/>
              </w:rPr>
              <w:t>（</w:t>
            </w:r>
            <w:r>
              <w:rPr>
                <w:rFonts w:hint="eastAsia" w:ascii="宋体" w:hAnsi="宋体" w:cs="宋体"/>
                <w:kern w:val="0"/>
                <w:sz w:val="24"/>
                <w:highlight w:val="none"/>
                <w:lang w:val="en"/>
              </w:rPr>
              <w:t>202</w:t>
            </w:r>
            <w:r>
              <w:rPr>
                <w:rFonts w:hint="eastAsia" w:ascii="宋体" w:hAnsi="宋体" w:cs="宋体"/>
                <w:kern w:val="0"/>
                <w:sz w:val="24"/>
                <w:highlight w:val="none"/>
                <w:lang w:val="en-US" w:eastAsia="zh-CN"/>
              </w:rPr>
              <w:t>3</w:t>
            </w:r>
            <w:r>
              <w:rPr>
                <w:rFonts w:hint="eastAsia" w:ascii="宋体" w:hAnsi="宋体" w:cs="宋体"/>
                <w:kern w:val="0"/>
                <w:sz w:val="24"/>
                <w:highlight w:val="none"/>
              </w:rPr>
              <w:t>年度）</w:t>
            </w:r>
          </w:p>
        </w:tc>
      </w:tr>
      <w:tr>
        <w:tblPrEx>
          <w:tblCellMar>
            <w:top w:w="0" w:type="dxa"/>
            <w:left w:w="108" w:type="dxa"/>
            <w:bottom w:w="0" w:type="dxa"/>
            <w:right w:w="108" w:type="dxa"/>
          </w:tblCellMar>
        </w:tblPrEx>
        <w:trPr>
          <w:trHeight w:val="578" w:hRule="exact"/>
          <w:jc w:val="center"/>
        </w:trPr>
        <w:tc>
          <w:tcPr>
            <w:tcW w:w="15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项目名称</w:t>
            </w:r>
          </w:p>
        </w:tc>
        <w:tc>
          <w:tcPr>
            <w:tcW w:w="8629" w:type="dxa"/>
            <w:gridSpan w:val="11"/>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固定资产登记清查、社会化用工、档案及法律费用</w:t>
            </w:r>
          </w:p>
        </w:tc>
      </w:tr>
      <w:tr>
        <w:tblPrEx>
          <w:tblCellMar>
            <w:top w:w="0" w:type="dxa"/>
            <w:left w:w="108" w:type="dxa"/>
            <w:bottom w:w="0" w:type="dxa"/>
            <w:right w:w="108" w:type="dxa"/>
          </w:tblCellMar>
        </w:tblPrEx>
        <w:trPr>
          <w:trHeight w:val="561" w:hRule="exact"/>
          <w:jc w:val="center"/>
        </w:trPr>
        <w:tc>
          <w:tcPr>
            <w:tcW w:w="15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主管部门</w:t>
            </w:r>
          </w:p>
        </w:tc>
        <w:tc>
          <w:tcPr>
            <w:tcW w:w="4357"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lang w:val="en"/>
              </w:rPr>
            </w:pPr>
            <w:r>
              <w:rPr>
                <w:rFonts w:hint="eastAsia" w:ascii="宋体" w:hAnsi="宋体" w:cs="宋体"/>
                <w:kern w:val="0"/>
                <w:sz w:val="24"/>
                <w:highlight w:val="none"/>
                <w:lang w:val="en"/>
              </w:rPr>
              <w:t>北京市社会科学界联合会</w:t>
            </w: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实施单位</w:t>
            </w:r>
          </w:p>
        </w:tc>
        <w:tc>
          <w:tcPr>
            <w:tcW w:w="3072" w:type="dxa"/>
            <w:gridSpan w:val="4"/>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北京市社会科学界联合会</w:t>
            </w:r>
          </w:p>
        </w:tc>
      </w:tr>
      <w:tr>
        <w:tblPrEx>
          <w:tblCellMar>
            <w:top w:w="0" w:type="dxa"/>
            <w:left w:w="108" w:type="dxa"/>
            <w:bottom w:w="0" w:type="dxa"/>
            <w:right w:w="108" w:type="dxa"/>
          </w:tblCellMar>
        </w:tblPrEx>
        <w:trPr>
          <w:trHeight w:val="654" w:hRule="exact"/>
          <w:jc w:val="center"/>
        </w:trPr>
        <w:tc>
          <w:tcPr>
            <w:tcW w:w="15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项目负责人</w:t>
            </w:r>
          </w:p>
        </w:tc>
        <w:tc>
          <w:tcPr>
            <w:tcW w:w="4357"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肖士兵</w:t>
            </w: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联系电话</w:t>
            </w:r>
          </w:p>
        </w:tc>
        <w:tc>
          <w:tcPr>
            <w:tcW w:w="3072" w:type="dxa"/>
            <w:gridSpan w:val="4"/>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64527035</w:t>
            </w:r>
          </w:p>
        </w:tc>
      </w:tr>
      <w:tr>
        <w:tblPrEx>
          <w:tblCellMar>
            <w:top w:w="0" w:type="dxa"/>
            <w:left w:w="108" w:type="dxa"/>
            <w:bottom w:w="0" w:type="dxa"/>
            <w:right w:w="108" w:type="dxa"/>
          </w:tblCellMar>
        </w:tblPrEx>
        <w:trPr>
          <w:trHeight w:val="774" w:hRule="exact"/>
          <w:jc w:val="center"/>
        </w:trPr>
        <w:tc>
          <w:tcPr>
            <w:tcW w:w="152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项目资金</w:t>
            </w:r>
            <w:r>
              <w:rPr>
                <w:rFonts w:hint="eastAsia" w:ascii="宋体" w:hAnsi="宋体" w:cs="宋体"/>
                <w:kern w:val="0"/>
                <w:sz w:val="24"/>
                <w:highlight w:val="none"/>
              </w:rPr>
              <w:br w:type="textWrapping"/>
            </w:r>
            <w:r>
              <w:rPr>
                <w:rFonts w:hint="eastAsia" w:ascii="宋体" w:hAnsi="宋体" w:cs="宋体"/>
                <w:kern w:val="0"/>
                <w:sz w:val="24"/>
                <w:highlight w:val="none"/>
              </w:rPr>
              <w:t>（万元）</w:t>
            </w:r>
          </w:p>
        </w:tc>
        <w:tc>
          <w:tcPr>
            <w:tcW w:w="1935"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114"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年初预算数</w:t>
            </w:r>
          </w:p>
        </w:tc>
        <w:tc>
          <w:tcPr>
            <w:tcW w:w="130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全年预算数</w:t>
            </w: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全年执行数</w:t>
            </w:r>
          </w:p>
        </w:tc>
        <w:tc>
          <w:tcPr>
            <w:tcW w:w="840"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分值</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执行率</w:t>
            </w:r>
          </w:p>
        </w:tc>
        <w:tc>
          <w:tcPr>
            <w:tcW w:w="1032"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得分</w:t>
            </w:r>
          </w:p>
        </w:tc>
      </w:tr>
      <w:tr>
        <w:tblPrEx>
          <w:tblCellMar>
            <w:top w:w="0" w:type="dxa"/>
            <w:left w:w="108" w:type="dxa"/>
            <w:bottom w:w="0" w:type="dxa"/>
            <w:right w:w="108" w:type="dxa"/>
          </w:tblCellMar>
        </w:tblPrEx>
        <w:trPr>
          <w:trHeight w:val="575" w:hRule="exact"/>
          <w:jc w:val="center"/>
        </w:trPr>
        <w:tc>
          <w:tcPr>
            <w:tcW w:w="152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935" w:type="dxa"/>
            <w:gridSpan w:val="2"/>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kern w:val="0"/>
                <w:sz w:val="24"/>
                <w:highlight w:val="none"/>
              </w:rPr>
            </w:pPr>
            <w:r>
              <w:rPr>
                <w:rFonts w:hint="eastAsia" w:ascii="宋体" w:hAnsi="宋体" w:cs="宋体"/>
                <w:kern w:val="0"/>
                <w:sz w:val="24"/>
                <w:highlight w:val="none"/>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
              </w:rPr>
              <w:t>27.4712</w:t>
            </w:r>
          </w:p>
        </w:tc>
        <w:tc>
          <w:tcPr>
            <w:tcW w:w="1308"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
              </w:rPr>
              <w:t>27.4712</w:t>
            </w: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rPr>
              <w:t>24.1768</w:t>
            </w:r>
          </w:p>
        </w:tc>
        <w:tc>
          <w:tcPr>
            <w:tcW w:w="840"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10</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8</w:t>
            </w:r>
            <w:r>
              <w:rPr>
                <w:rFonts w:hint="eastAsia" w:ascii="宋体" w:hAnsi="宋体" w:cs="宋体"/>
                <w:kern w:val="0"/>
                <w:sz w:val="24"/>
                <w:highlight w:val="none"/>
                <w:lang w:val="en-US" w:eastAsia="zh-CN"/>
              </w:rPr>
              <w:t>8.01</w:t>
            </w:r>
            <w:r>
              <w:rPr>
                <w:rFonts w:hint="eastAsia" w:ascii="宋体" w:hAnsi="宋体" w:cs="宋体"/>
                <w:kern w:val="0"/>
                <w:sz w:val="24"/>
                <w:highlight w:val="none"/>
              </w:rPr>
              <w:t>%</w:t>
            </w:r>
          </w:p>
        </w:tc>
        <w:tc>
          <w:tcPr>
            <w:tcW w:w="1032" w:type="dxa"/>
            <w:tcBorders>
              <w:top w:val="nil"/>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8.8</w:t>
            </w:r>
          </w:p>
        </w:tc>
      </w:tr>
      <w:tr>
        <w:tblPrEx>
          <w:tblCellMar>
            <w:top w:w="0" w:type="dxa"/>
            <w:left w:w="108" w:type="dxa"/>
            <w:bottom w:w="0" w:type="dxa"/>
            <w:right w:w="108" w:type="dxa"/>
          </w:tblCellMar>
        </w:tblPrEx>
        <w:trPr>
          <w:trHeight w:val="614" w:hRule="exact"/>
          <w:jc w:val="center"/>
        </w:trPr>
        <w:tc>
          <w:tcPr>
            <w:tcW w:w="152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935"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其中：当年财政拨款</w:t>
            </w:r>
          </w:p>
        </w:tc>
        <w:tc>
          <w:tcPr>
            <w:tcW w:w="1114"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lang w:val="en"/>
              </w:rPr>
            </w:pPr>
            <w:r>
              <w:rPr>
                <w:rFonts w:hint="eastAsia" w:ascii="宋体" w:hAnsi="宋体" w:cs="宋体"/>
                <w:kern w:val="0"/>
                <w:sz w:val="24"/>
                <w:highlight w:val="none"/>
                <w:lang w:val="en"/>
              </w:rPr>
              <w:t>27.4712</w:t>
            </w:r>
          </w:p>
        </w:tc>
        <w:tc>
          <w:tcPr>
            <w:tcW w:w="130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lang w:val="en"/>
              </w:rPr>
              <w:t>27.4712</w:t>
            </w: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rPr>
              <w:t>24.1768</w:t>
            </w:r>
          </w:p>
        </w:tc>
        <w:tc>
          <w:tcPr>
            <w:tcW w:w="840"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8</w:t>
            </w:r>
            <w:r>
              <w:rPr>
                <w:rFonts w:hint="eastAsia" w:ascii="宋体" w:hAnsi="宋体" w:cs="宋体"/>
                <w:kern w:val="0"/>
                <w:sz w:val="24"/>
                <w:highlight w:val="none"/>
                <w:lang w:val="en-US" w:eastAsia="zh-CN"/>
              </w:rPr>
              <w:t>8.01</w:t>
            </w:r>
            <w:r>
              <w:rPr>
                <w:rFonts w:hint="eastAsia" w:ascii="宋体" w:hAnsi="宋体" w:cs="宋体"/>
                <w:kern w:val="0"/>
                <w:sz w:val="24"/>
                <w:highlight w:val="none"/>
              </w:rPr>
              <w:t>%</w:t>
            </w:r>
          </w:p>
        </w:tc>
        <w:tc>
          <w:tcPr>
            <w:tcW w:w="1032"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r>
      <w:tr>
        <w:tblPrEx>
          <w:tblCellMar>
            <w:top w:w="0" w:type="dxa"/>
            <w:left w:w="108" w:type="dxa"/>
            <w:bottom w:w="0" w:type="dxa"/>
            <w:right w:w="108" w:type="dxa"/>
          </w:tblCellMar>
        </w:tblPrEx>
        <w:trPr>
          <w:trHeight w:val="428" w:hRule="exact"/>
          <w:jc w:val="center"/>
        </w:trPr>
        <w:tc>
          <w:tcPr>
            <w:tcW w:w="152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935" w:type="dxa"/>
            <w:gridSpan w:val="2"/>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kern w:val="0"/>
                <w:sz w:val="24"/>
                <w:highlight w:val="none"/>
              </w:rPr>
            </w:pPr>
            <w:r>
              <w:rPr>
                <w:rFonts w:hint="eastAsia" w:ascii="宋体" w:hAnsi="宋体" w:cs="宋体"/>
                <w:kern w:val="0"/>
                <w:sz w:val="24"/>
                <w:highlight w:val="none"/>
              </w:rPr>
              <w:t>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30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p>
        </w:tc>
        <w:tc>
          <w:tcPr>
            <w:tcW w:w="840"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032"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r>
      <w:tr>
        <w:tblPrEx>
          <w:tblCellMar>
            <w:top w:w="0" w:type="dxa"/>
            <w:left w:w="108" w:type="dxa"/>
            <w:bottom w:w="0" w:type="dxa"/>
            <w:right w:w="108" w:type="dxa"/>
          </w:tblCellMar>
        </w:tblPrEx>
        <w:trPr>
          <w:trHeight w:val="508" w:hRule="exact"/>
          <w:jc w:val="center"/>
        </w:trPr>
        <w:tc>
          <w:tcPr>
            <w:tcW w:w="152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935" w:type="dxa"/>
            <w:gridSpan w:val="2"/>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kern w:val="0"/>
                <w:sz w:val="24"/>
                <w:highlight w:val="none"/>
              </w:rPr>
            </w:pPr>
            <w:r>
              <w:rPr>
                <w:rFonts w:hint="eastAsia" w:ascii="宋体" w:hAnsi="宋体" w:cs="宋体"/>
                <w:kern w:val="0"/>
                <w:sz w:val="24"/>
                <w:highlight w:val="none"/>
              </w:rPr>
              <w:t>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30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200" w:type="dxa"/>
            <w:gridSpan w:val="2"/>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p>
        </w:tc>
        <w:tc>
          <w:tcPr>
            <w:tcW w:w="840"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032"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p>
        </w:tc>
      </w:tr>
      <w:tr>
        <w:tblPrEx>
          <w:tblCellMar>
            <w:top w:w="0" w:type="dxa"/>
            <w:left w:w="108" w:type="dxa"/>
            <w:bottom w:w="0" w:type="dxa"/>
            <w:right w:w="108" w:type="dxa"/>
          </w:tblCellMar>
        </w:tblPrEx>
        <w:trPr>
          <w:trHeight w:val="667" w:hRule="exac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年度总体目标</w:t>
            </w:r>
          </w:p>
        </w:tc>
        <w:tc>
          <w:tcPr>
            <w:tcW w:w="5195" w:type="dxa"/>
            <w:gridSpan w:val="6"/>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预期目标</w:t>
            </w:r>
          </w:p>
        </w:tc>
        <w:tc>
          <w:tcPr>
            <w:tcW w:w="4272" w:type="dxa"/>
            <w:gridSpan w:val="6"/>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实际完成情况</w:t>
            </w:r>
          </w:p>
        </w:tc>
      </w:tr>
      <w:tr>
        <w:tblPrEx>
          <w:tblCellMar>
            <w:top w:w="0" w:type="dxa"/>
            <w:left w:w="108" w:type="dxa"/>
            <w:bottom w:w="0" w:type="dxa"/>
            <w:right w:w="108" w:type="dxa"/>
          </w:tblCellMar>
        </w:tblPrEx>
        <w:trPr>
          <w:trHeight w:val="4132"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5195" w:type="dxa"/>
            <w:gridSpan w:val="6"/>
            <w:tcBorders>
              <w:top w:val="single" w:color="auto" w:sz="4" w:space="0"/>
              <w:left w:val="nil"/>
              <w:bottom w:val="single" w:color="auto" w:sz="4" w:space="0"/>
              <w:right w:val="single" w:color="auto" w:sz="4" w:space="0"/>
            </w:tcBorders>
            <w:vAlign w:val="center"/>
          </w:tcPr>
          <w:p>
            <w:pPr>
              <w:widowControl/>
              <w:spacing w:line="240" w:lineRule="auto"/>
              <w:jc w:val="left"/>
              <w:rPr>
                <w:rFonts w:ascii="宋体" w:hAnsi="宋体" w:cs="宋体"/>
                <w:kern w:val="0"/>
                <w:sz w:val="24"/>
                <w:highlight w:val="none"/>
              </w:rPr>
            </w:pPr>
            <w:r>
              <w:rPr>
                <w:rFonts w:hint="eastAsia" w:ascii="宋体" w:hAnsi="宋体" w:cs="宋体"/>
                <w:kern w:val="0"/>
                <w:sz w:val="24"/>
                <w:highlight w:val="none"/>
              </w:rPr>
              <w:t>1.保质保量完成市财政局202</w:t>
            </w:r>
            <w:r>
              <w:rPr>
                <w:rFonts w:hint="eastAsia" w:ascii="宋体" w:hAnsi="宋体" w:cs="宋体"/>
                <w:kern w:val="0"/>
                <w:sz w:val="24"/>
                <w:highlight w:val="none"/>
                <w:lang w:val="en-US" w:eastAsia="zh-CN"/>
              </w:rPr>
              <w:t>3</w:t>
            </w:r>
            <w:r>
              <w:rPr>
                <w:rFonts w:hint="eastAsia" w:ascii="宋体" w:hAnsi="宋体" w:cs="宋体"/>
                <w:kern w:val="0"/>
                <w:sz w:val="24"/>
                <w:highlight w:val="none"/>
              </w:rPr>
              <w:t>年度产权登记的要求；2.完成社科联本级及三个二级单位的固定资产全面清查工作，做到账务相符，账实相符。3.对市社科联、市社科规划办202</w:t>
            </w:r>
            <w:r>
              <w:rPr>
                <w:rFonts w:hint="eastAsia" w:ascii="宋体" w:hAnsi="宋体" w:cs="宋体"/>
                <w:kern w:val="0"/>
                <w:sz w:val="24"/>
                <w:highlight w:val="none"/>
                <w:lang w:val="en-US" w:eastAsia="zh-CN"/>
              </w:rPr>
              <w:t>3</w:t>
            </w:r>
            <w:r>
              <w:rPr>
                <w:rFonts w:hint="eastAsia" w:ascii="宋体" w:hAnsi="宋体" w:cs="宋体"/>
                <w:kern w:val="0"/>
                <w:sz w:val="24"/>
                <w:highlight w:val="none"/>
              </w:rPr>
              <w:t>年度对外合作项目、对外签署合同协议等提供法律保障服务，对可能发生的法律纠纷提供法律支持和解决方案；4.对市社科联、市社科规划办202</w:t>
            </w:r>
            <w:r>
              <w:rPr>
                <w:rFonts w:hint="eastAsia" w:ascii="宋体" w:hAnsi="宋体" w:cs="宋体"/>
                <w:kern w:val="0"/>
                <w:sz w:val="24"/>
                <w:highlight w:val="none"/>
                <w:lang w:val="en-US" w:eastAsia="zh-CN"/>
              </w:rPr>
              <w:t>2</w:t>
            </w:r>
            <w:r>
              <w:rPr>
                <w:rFonts w:hint="eastAsia" w:ascii="宋体" w:hAnsi="宋体" w:cs="宋体"/>
                <w:kern w:val="0"/>
                <w:sz w:val="24"/>
                <w:highlight w:val="none"/>
              </w:rPr>
              <w:t>年度产生的档案进行整理并完成永久保存文书档案数字化扫描；5.满足市社科联、市社科规划办正常公车、应急用车及机要用车的使用需求；6.保障市社科联、社科规划办法律等基本办公业务的需要。</w:t>
            </w:r>
          </w:p>
        </w:tc>
        <w:tc>
          <w:tcPr>
            <w:tcW w:w="4272" w:type="dxa"/>
            <w:gridSpan w:val="6"/>
            <w:tcBorders>
              <w:top w:val="single" w:color="auto" w:sz="4" w:space="0"/>
              <w:left w:val="nil"/>
              <w:bottom w:val="single" w:color="auto" w:sz="4" w:space="0"/>
              <w:right w:val="single" w:color="auto" w:sz="4" w:space="0"/>
            </w:tcBorders>
            <w:vAlign w:val="center"/>
          </w:tcPr>
          <w:p>
            <w:pPr>
              <w:widowControl/>
              <w:spacing w:line="240" w:lineRule="auto"/>
              <w:jc w:val="left"/>
              <w:rPr>
                <w:rFonts w:ascii="宋体" w:hAnsi="宋体" w:cs="宋体"/>
                <w:kern w:val="0"/>
                <w:sz w:val="24"/>
                <w:highlight w:val="none"/>
              </w:rPr>
            </w:pPr>
            <w:r>
              <w:rPr>
                <w:rFonts w:hint="eastAsia" w:ascii="宋体" w:hAnsi="宋体" w:cs="宋体"/>
                <w:kern w:val="0"/>
                <w:sz w:val="24"/>
                <w:highlight w:val="none"/>
              </w:rPr>
              <w:t>达到预期目标。1.完成市财政局202</w:t>
            </w:r>
            <w:r>
              <w:rPr>
                <w:rFonts w:hint="eastAsia" w:ascii="宋体" w:hAnsi="宋体" w:cs="宋体"/>
                <w:kern w:val="0"/>
                <w:sz w:val="24"/>
                <w:highlight w:val="none"/>
                <w:lang w:val="en-US" w:eastAsia="zh-CN"/>
              </w:rPr>
              <w:t>3</w:t>
            </w:r>
            <w:r>
              <w:rPr>
                <w:rFonts w:hint="eastAsia" w:ascii="宋体" w:hAnsi="宋体" w:cs="宋体"/>
                <w:kern w:val="0"/>
                <w:sz w:val="24"/>
                <w:highlight w:val="none"/>
              </w:rPr>
              <w:t>年度产权登记的要求和社科联本级及三个二级单位的固定资产全面清查工作；2.对市社科联、市社科规划办202</w:t>
            </w:r>
            <w:r>
              <w:rPr>
                <w:rFonts w:hint="eastAsia" w:ascii="宋体" w:hAnsi="宋体" w:cs="宋体"/>
                <w:kern w:val="0"/>
                <w:sz w:val="24"/>
                <w:highlight w:val="none"/>
                <w:lang w:val="en-US" w:eastAsia="zh-CN"/>
              </w:rPr>
              <w:t>3</w:t>
            </w:r>
            <w:r>
              <w:rPr>
                <w:rFonts w:hint="eastAsia" w:ascii="宋体" w:hAnsi="宋体" w:cs="宋体"/>
                <w:kern w:val="0"/>
                <w:sz w:val="24"/>
                <w:highlight w:val="none"/>
              </w:rPr>
              <w:t>年度对外合作项目、对外签署合同协议等</w:t>
            </w:r>
            <w:r>
              <w:rPr>
                <w:rFonts w:hint="eastAsia" w:ascii="宋体" w:hAnsi="宋体" w:cs="宋体"/>
                <w:kern w:val="0"/>
                <w:sz w:val="24"/>
                <w:highlight w:val="none"/>
                <w:lang w:val="en-US" w:eastAsia="zh-CN"/>
              </w:rPr>
              <w:t>75</w:t>
            </w:r>
            <w:r>
              <w:rPr>
                <w:rFonts w:hint="eastAsia" w:ascii="宋体" w:hAnsi="宋体" w:cs="宋体"/>
                <w:kern w:val="0"/>
                <w:sz w:val="24"/>
                <w:highlight w:val="none"/>
              </w:rPr>
              <w:t>项提供法律保障服务；3.完成市社科联、市社科规划办202</w:t>
            </w:r>
            <w:r>
              <w:rPr>
                <w:rFonts w:hint="eastAsia" w:ascii="宋体" w:hAnsi="宋体" w:cs="宋体"/>
                <w:kern w:val="0"/>
                <w:sz w:val="24"/>
                <w:highlight w:val="none"/>
                <w:lang w:val="en-US" w:eastAsia="zh-CN"/>
              </w:rPr>
              <w:t>2</w:t>
            </w:r>
            <w:r>
              <w:rPr>
                <w:rFonts w:hint="eastAsia" w:ascii="宋体" w:hAnsi="宋体" w:cs="宋体"/>
                <w:kern w:val="0"/>
                <w:sz w:val="24"/>
                <w:highlight w:val="none"/>
              </w:rPr>
              <w:t>年度文书档案整理归档及数字化扫描；4.保障正常公车、应急用车及机要用车需求。</w:t>
            </w:r>
          </w:p>
        </w:tc>
      </w:tr>
      <w:tr>
        <w:tblPrEx>
          <w:tblCellMar>
            <w:top w:w="0" w:type="dxa"/>
            <w:left w:w="108" w:type="dxa"/>
            <w:bottom w:w="0" w:type="dxa"/>
            <w:right w:w="108" w:type="dxa"/>
          </w:tblCellMar>
        </w:tblPrEx>
        <w:trPr>
          <w:trHeight w:val="1124" w:hRule="exact"/>
          <w:jc w:val="center"/>
        </w:trPr>
        <w:tc>
          <w:tcPr>
            <w:tcW w:w="691" w:type="dxa"/>
            <w:vMerge w:val="restart"/>
            <w:tcBorders>
              <w:top w:val="nil"/>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绩</w:t>
            </w:r>
            <w:r>
              <w:rPr>
                <w:rFonts w:hint="eastAsia" w:ascii="宋体" w:hAnsi="宋体" w:cs="宋体"/>
                <w:kern w:val="0"/>
                <w:sz w:val="24"/>
                <w:highlight w:val="none"/>
              </w:rPr>
              <w:br w:type="textWrapping"/>
            </w:r>
            <w:r>
              <w:rPr>
                <w:rFonts w:hint="eastAsia" w:ascii="宋体" w:hAnsi="宋体" w:cs="宋体"/>
                <w:kern w:val="0"/>
                <w:sz w:val="24"/>
                <w:highlight w:val="none"/>
              </w:rPr>
              <w:t>效</w:t>
            </w:r>
            <w:r>
              <w:rPr>
                <w:rFonts w:hint="eastAsia" w:ascii="宋体" w:hAnsi="宋体" w:cs="宋体"/>
                <w:kern w:val="0"/>
                <w:sz w:val="24"/>
                <w:highlight w:val="none"/>
              </w:rPr>
              <w:br w:type="textWrapping"/>
            </w:r>
            <w:r>
              <w:rPr>
                <w:rFonts w:hint="eastAsia" w:ascii="宋体" w:hAnsi="宋体" w:cs="宋体"/>
                <w:kern w:val="0"/>
                <w:sz w:val="24"/>
                <w:highlight w:val="none"/>
              </w:rPr>
              <w:t>指</w:t>
            </w:r>
            <w:r>
              <w:rPr>
                <w:rFonts w:hint="eastAsia" w:ascii="宋体" w:hAnsi="宋体" w:cs="宋体"/>
                <w:kern w:val="0"/>
                <w:sz w:val="24"/>
                <w:highlight w:val="none"/>
              </w:rPr>
              <w:br w:type="textWrapping"/>
            </w:r>
            <w:r>
              <w:rPr>
                <w:rFonts w:hint="eastAsia" w:ascii="宋体" w:hAnsi="宋体" w:cs="宋体"/>
                <w:kern w:val="0"/>
                <w:sz w:val="24"/>
                <w:highlight w:val="none"/>
              </w:rPr>
              <w:t>标</w:t>
            </w:r>
          </w:p>
        </w:tc>
        <w:tc>
          <w:tcPr>
            <w:tcW w:w="83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一级指标</w:t>
            </w:r>
          </w:p>
        </w:tc>
        <w:tc>
          <w:tcPr>
            <w:tcW w:w="911"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二级指标</w:t>
            </w: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三级指标</w:t>
            </w:r>
          </w:p>
        </w:tc>
        <w:tc>
          <w:tcPr>
            <w:tcW w:w="1492"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年度</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指标值</w:t>
            </w:r>
          </w:p>
        </w:tc>
        <w:tc>
          <w:tcPr>
            <w:tcW w:w="113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实际</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完成值</w:t>
            </w:r>
          </w:p>
        </w:tc>
        <w:tc>
          <w:tcPr>
            <w:tcW w:w="902"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分值</w:t>
            </w:r>
          </w:p>
        </w:tc>
        <w:tc>
          <w:tcPr>
            <w:tcW w:w="81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得分</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偏差原因分析及改进措施</w:t>
            </w:r>
          </w:p>
        </w:tc>
      </w:tr>
      <w:tr>
        <w:tblPrEx>
          <w:tblCellMar>
            <w:top w:w="0" w:type="dxa"/>
            <w:left w:w="108" w:type="dxa"/>
            <w:bottom w:w="0" w:type="dxa"/>
            <w:right w:w="108" w:type="dxa"/>
          </w:tblCellMar>
        </w:tblPrEx>
        <w:trPr>
          <w:trHeight w:val="1606"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838" w:type="dxa"/>
            <w:vMerge w:val="restart"/>
            <w:tcBorders>
              <w:top w:val="nil"/>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产出指标</w:t>
            </w:r>
          </w:p>
        </w:tc>
        <w:tc>
          <w:tcPr>
            <w:tcW w:w="911" w:type="dxa"/>
            <w:vMerge w:val="restart"/>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数量指标</w:t>
            </w: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固定资产系统的数据录入、数据更新维护，完成固定资产盘点</w:t>
            </w:r>
          </w:p>
        </w:tc>
        <w:tc>
          <w:tcPr>
            <w:tcW w:w="1492" w:type="dxa"/>
            <w:gridSpan w:val="2"/>
            <w:tcBorders>
              <w:top w:val="nil"/>
              <w:left w:val="nil"/>
              <w:bottom w:val="single" w:color="auto" w:sz="4" w:space="0"/>
              <w:right w:val="single" w:color="auto" w:sz="4" w:space="0"/>
            </w:tcBorders>
            <w:vAlign w:val="center"/>
          </w:tcPr>
          <w:p>
            <w:pPr>
              <w:widowControl/>
              <w:spacing w:line="240" w:lineRule="auto"/>
              <w:jc w:val="center"/>
              <w:textAlignment w:val="center"/>
              <w:rPr>
                <w:rFonts w:ascii="宋体" w:hAnsi="宋体" w:cs="宋体"/>
                <w:kern w:val="0"/>
                <w:sz w:val="24"/>
                <w:highlight w:val="none"/>
              </w:rPr>
            </w:pPr>
            <w:r>
              <w:rPr>
                <w:rFonts w:hint="eastAsia" w:ascii="宋体" w:hAnsi="宋体" w:cs="宋体"/>
                <w:color w:val="000000"/>
                <w:kern w:val="0"/>
                <w:sz w:val="24"/>
                <w:highlight w:val="none"/>
                <w:lang w:val="en-US" w:eastAsia="zh-CN" w:bidi="ar"/>
              </w:rPr>
              <w:t>=100%</w:t>
            </w:r>
          </w:p>
        </w:tc>
        <w:tc>
          <w:tcPr>
            <w:tcW w:w="113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color w:val="000000"/>
                <w:kern w:val="0"/>
                <w:sz w:val="24"/>
                <w:highlight w:val="none"/>
                <w:lang w:val="en-US" w:eastAsia="zh-CN" w:bidi="ar"/>
              </w:rPr>
              <w:t>100%</w:t>
            </w:r>
          </w:p>
        </w:tc>
        <w:tc>
          <w:tcPr>
            <w:tcW w:w="902" w:type="dxa"/>
            <w:gridSpan w:val="2"/>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10</w:t>
            </w:r>
          </w:p>
        </w:tc>
        <w:tc>
          <w:tcPr>
            <w:tcW w:w="818"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10</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r>
      <w:tr>
        <w:tblPrEx>
          <w:tblCellMar>
            <w:top w:w="0" w:type="dxa"/>
            <w:left w:w="108" w:type="dxa"/>
            <w:bottom w:w="0" w:type="dxa"/>
            <w:right w:w="108" w:type="dxa"/>
          </w:tblCellMar>
        </w:tblPrEx>
        <w:trPr>
          <w:trHeight w:val="714"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838"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91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社会化用工</w:t>
            </w:r>
          </w:p>
        </w:tc>
        <w:tc>
          <w:tcPr>
            <w:tcW w:w="1492" w:type="dxa"/>
            <w:gridSpan w:val="2"/>
            <w:tcBorders>
              <w:top w:val="nil"/>
              <w:left w:val="nil"/>
              <w:bottom w:val="single" w:color="auto" w:sz="4" w:space="0"/>
              <w:right w:val="single" w:color="auto" w:sz="4" w:space="0"/>
            </w:tcBorders>
            <w:vAlign w:val="center"/>
          </w:tcPr>
          <w:p>
            <w:pPr>
              <w:widowControl/>
              <w:spacing w:line="240" w:lineRule="auto"/>
              <w:jc w:val="center"/>
              <w:textAlignment w:val="center"/>
              <w:rPr>
                <w:rFonts w:ascii="宋体" w:hAnsi="宋体" w:cs="宋体"/>
                <w:kern w:val="0"/>
                <w:sz w:val="24"/>
                <w:highlight w:val="none"/>
              </w:rPr>
            </w:pPr>
            <w:r>
              <w:rPr>
                <w:rFonts w:hint="eastAsia" w:ascii="宋体" w:hAnsi="宋体" w:cs="宋体"/>
                <w:color w:val="000000"/>
                <w:kern w:val="0"/>
                <w:sz w:val="24"/>
                <w:highlight w:val="none"/>
                <w:lang w:bidi="ar"/>
              </w:rPr>
              <w:t>≥</w:t>
            </w:r>
            <w:r>
              <w:rPr>
                <w:rFonts w:hint="eastAsia" w:ascii="宋体" w:hAnsi="宋体" w:cs="宋体"/>
                <w:color w:val="000000"/>
                <w:kern w:val="0"/>
                <w:sz w:val="24"/>
                <w:highlight w:val="none"/>
                <w:lang w:val="en-US" w:eastAsia="zh-CN" w:bidi="ar"/>
              </w:rPr>
              <w:t>3</w:t>
            </w:r>
            <w:r>
              <w:rPr>
                <w:rFonts w:hint="eastAsia" w:ascii="宋体" w:hAnsi="宋体" w:cs="宋体"/>
                <w:color w:val="000000"/>
                <w:kern w:val="0"/>
                <w:sz w:val="24"/>
                <w:highlight w:val="none"/>
                <w:lang w:bidi="ar"/>
              </w:rPr>
              <w:t>人</w:t>
            </w:r>
          </w:p>
        </w:tc>
        <w:tc>
          <w:tcPr>
            <w:tcW w:w="113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lang w:val="en-US" w:eastAsia="zh-CN"/>
              </w:rPr>
              <w:t>3</w:t>
            </w:r>
            <w:r>
              <w:rPr>
                <w:rFonts w:hint="eastAsia" w:ascii="宋体" w:hAnsi="宋体" w:cs="宋体"/>
                <w:kern w:val="0"/>
                <w:sz w:val="24"/>
                <w:highlight w:val="none"/>
              </w:rPr>
              <w:t>人</w:t>
            </w:r>
          </w:p>
        </w:tc>
        <w:tc>
          <w:tcPr>
            <w:tcW w:w="90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lang w:val="en-US" w:eastAsia="zh-CN"/>
              </w:rPr>
              <w:t>5</w:t>
            </w:r>
          </w:p>
        </w:tc>
        <w:tc>
          <w:tcPr>
            <w:tcW w:w="81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5</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r>
      <w:tr>
        <w:tblPrEx>
          <w:tblCellMar>
            <w:top w:w="0" w:type="dxa"/>
            <w:left w:w="108" w:type="dxa"/>
            <w:bottom w:w="0" w:type="dxa"/>
            <w:right w:w="108" w:type="dxa"/>
          </w:tblCellMar>
        </w:tblPrEx>
        <w:trPr>
          <w:trHeight w:val="742"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838"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91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法律服务</w:t>
            </w:r>
          </w:p>
        </w:tc>
        <w:tc>
          <w:tcPr>
            <w:tcW w:w="1492" w:type="dxa"/>
            <w:gridSpan w:val="2"/>
            <w:tcBorders>
              <w:top w:val="nil"/>
              <w:left w:val="nil"/>
              <w:bottom w:val="single" w:color="auto" w:sz="4" w:space="0"/>
              <w:right w:val="single" w:color="auto" w:sz="4" w:space="0"/>
            </w:tcBorders>
            <w:vAlign w:val="center"/>
          </w:tcPr>
          <w:p>
            <w:pPr>
              <w:widowControl/>
              <w:spacing w:line="240" w:lineRule="auto"/>
              <w:jc w:val="center"/>
              <w:textAlignment w:val="center"/>
              <w:rPr>
                <w:rFonts w:ascii="宋体" w:hAnsi="宋体" w:cs="宋体"/>
                <w:kern w:val="0"/>
                <w:sz w:val="24"/>
                <w:highlight w:val="none"/>
              </w:rPr>
            </w:pPr>
            <w:r>
              <w:rPr>
                <w:rFonts w:hint="eastAsia" w:ascii="宋体" w:hAnsi="宋体" w:cs="宋体"/>
                <w:color w:val="000000"/>
                <w:kern w:val="0"/>
                <w:sz w:val="24"/>
                <w:highlight w:val="none"/>
                <w:lang w:bidi="ar"/>
              </w:rPr>
              <w:t>≥50次</w:t>
            </w:r>
          </w:p>
        </w:tc>
        <w:tc>
          <w:tcPr>
            <w:tcW w:w="113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lang w:val="en-US" w:eastAsia="zh-CN"/>
              </w:rPr>
              <w:t>75</w:t>
            </w:r>
            <w:r>
              <w:rPr>
                <w:rFonts w:hint="eastAsia" w:ascii="宋体" w:hAnsi="宋体" w:cs="宋体"/>
                <w:kern w:val="0"/>
                <w:sz w:val="24"/>
                <w:highlight w:val="none"/>
              </w:rPr>
              <w:t>次</w:t>
            </w:r>
          </w:p>
        </w:tc>
        <w:tc>
          <w:tcPr>
            <w:tcW w:w="902"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5</w:t>
            </w:r>
          </w:p>
        </w:tc>
        <w:tc>
          <w:tcPr>
            <w:tcW w:w="81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5</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r>
      <w:tr>
        <w:tblPrEx>
          <w:tblCellMar>
            <w:top w:w="0" w:type="dxa"/>
            <w:left w:w="108" w:type="dxa"/>
            <w:bottom w:w="0" w:type="dxa"/>
            <w:right w:w="108" w:type="dxa"/>
          </w:tblCellMar>
        </w:tblPrEx>
        <w:trPr>
          <w:trHeight w:val="1542"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838"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911" w:type="dxa"/>
            <w:vMerge w:val="restart"/>
            <w:tcBorders>
              <w:top w:val="single" w:color="auto" w:sz="4" w:space="0"/>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质量指标</w:t>
            </w: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固定资产系统数据录入、数据更新维护、固定资产盘点准确率</w:t>
            </w:r>
          </w:p>
        </w:tc>
        <w:tc>
          <w:tcPr>
            <w:tcW w:w="149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color w:val="000000"/>
                <w:kern w:val="0"/>
                <w:sz w:val="24"/>
                <w:highlight w:val="none"/>
                <w:lang w:bidi="ar"/>
              </w:rPr>
              <w:t>≥90%</w:t>
            </w:r>
          </w:p>
        </w:tc>
        <w:tc>
          <w:tcPr>
            <w:tcW w:w="11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color w:val="000000"/>
                <w:kern w:val="0"/>
                <w:sz w:val="24"/>
                <w:highlight w:val="none"/>
                <w:lang w:bidi="ar"/>
              </w:rPr>
              <w:t>≥90%</w:t>
            </w:r>
          </w:p>
        </w:tc>
        <w:tc>
          <w:tcPr>
            <w:tcW w:w="90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10</w:t>
            </w:r>
          </w:p>
        </w:tc>
        <w:tc>
          <w:tcPr>
            <w:tcW w:w="81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10</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p>
        </w:tc>
      </w:tr>
      <w:tr>
        <w:tblPrEx>
          <w:tblCellMar>
            <w:top w:w="0" w:type="dxa"/>
            <w:left w:w="108" w:type="dxa"/>
            <w:bottom w:w="0" w:type="dxa"/>
            <w:right w:w="108" w:type="dxa"/>
          </w:tblCellMar>
        </w:tblPrEx>
        <w:trPr>
          <w:trHeight w:val="1467"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838"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911"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cs="宋体"/>
                <w:color w:val="000000"/>
                <w:kern w:val="0"/>
                <w:sz w:val="24"/>
                <w:highlight w:val="none"/>
              </w:rPr>
            </w:pPr>
            <w:r>
              <w:rPr>
                <w:rFonts w:hint="eastAsia" w:ascii="宋体" w:hAnsi="宋体" w:cs="宋体"/>
                <w:color w:val="000000"/>
                <w:kern w:val="0"/>
                <w:sz w:val="24"/>
                <w:highlight w:val="none"/>
              </w:rPr>
              <w:t>档案著录归档准确率</w:t>
            </w:r>
          </w:p>
        </w:tc>
        <w:tc>
          <w:tcPr>
            <w:tcW w:w="149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cs="宋体"/>
                <w:color w:val="000000"/>
                <w:kern w:val="0"/>
                <w:sz w:val="24"/>
                <w:highlight w:val="none"/>
                <w:lang w:bidi="ar"/>
              </w:rPr>
            </w:pPr>
            <w:r>
              <w:rPr>
                <w:rFonts w:hint="eastAsia" w:ascii="宋体" w:hAnsi="宋体" w:cs="宋体"/>
                <w:color w:val="000000"/>
                <w:kern w:val="0"/>
                <w:sz w:val="24"/>
                <w:highlight w:val="none"/>
                <w:lang w:bidi="ar"/>
              </w:rPr>
              <w:t>≥</w:t>
            </w:r>
            <w:r>
              <w:rPr>
                <w:rFonts w:hint="eastAsia" w:ascii="宋体" w:hAnsi="宋体" w:cs="宋体"/>
                <w:color w:val="000000"/>
                <w:kern w:val="0"/>
                <w:sz w:val="24"/>
                <w:highlight w:val="none"/>
                <w:lang w:val="en-US" w:eastAsia="zh-CN" w:bidi="ar"/>
              </w:rPr>
              <w:t>85</w:t>
            </w:r>
            <w:r>
              <w:rPr>
                <w:rFonts w:hint="eastAsia" w:ascii="宋体" w:hAnsi="宋体" w:cs="宋体"/>
                <w:color w:val="000000"/>
                <w:kern w:val="0"/>
                <w:sz w:val="24"/>
                <w:highlight w:val="none"/>
                <w:lang w:bidi="ar"/>
              </w:rPr>
              <w:t>%</w:t>
            </w:r>
          </w:p>
        </w:tc>
        <w:tc>
          <w:tcPr>
            <w:tcW w:w="11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cs="宋体"/>
                <w:color w:val="000000"/>
                <w:kern w:val="0"/>
                <w:sz w:val="24"/>
                <w:highlight w:val="none"/>
                <w:lang w:bidi="ar"/>
              </w:rPr>
            </w:pPr>
            <w:r>
              <w:rPr>
                <w:rFonts w:hint="eastAsia" w:ascii="宋体" w:hAnsi="宋体" w:cs="宋体"/>
                <w:color w:val="000000"/>
                <w:kern w:val="0"/>
                <w:sz w:val="24"/>
                <w:highlight w:val="none"/>
                <w:lang w:bidi="ar"/>
              </w:rPr>
              <w:t>≥</w:t>
            </w:r>
            <w:r>
              <w:rPr>
                <w:rFonts w:hint="eastAsia" w:ascii="宋体" w:hAnsi="宋体" w:cs="宋体"/>
                <w:color w:val="000000"/>
                <w:kern w:val="0"/>
                <w:sz w:val="24"/>
                <w:highlight w:val="none"/>
                <w:lang w:val="en-US" w:eastAsia="zh-CN" w:bidi="ar"/>
              </w:rPr>
              <w:t>85</w:t>
            </w:r>
            <w:r>
              <w:rPr>
                <w:rFonts w:hint="eastAsia" w:ascii="宋体" w:hAnsi="宋体" w:cs="宋体"/>
                <w:color w:val="000000"/>
                <w:kern w:val="0"/>
                <w:sz w:val="24"/>
                <w:highlight w:val="none"/>
                <w:lang w:bidi="ar"/>
              </w:rPr>
              <w:t>%</w:t>
            </w:r>
          </w:p>
        </w:tc>
        <w:tc>
          <w:tcPr>
            <w:tcW w:w="90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10</w:t>
            </w:r>
          </w:p>
        </w:tc>
        <w:tc>
          <w:tcPr>
            <w:tcW w:w="81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8</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cs="宋体"/>
                <w:color w:val="000000"/>
                <w:kern w:val="0"/>
                <w:sz w:val="24"/>
                <w:highlight w:val="none"/>
              </w:rPr>
            </w:pPr>
            <w:r>
              <w:rPr>
                <w:rFonts w:hint="eastAsia" w:ascii="宋体" w:hAnsi="宋体" w:cs="宋体"/>
                <w:color w:val="000000"/>
                <w:kern w:val="0"/>
                <w:sz w:val="24"/>
                <w:highlight w:val="none"/>
              </w:rPr>
              <w:t>档案著录表述的规范性需进一步提高</w:t>
            </w:r>
          </w:p>
        </w:tc>
      </w:tr>
      <w:tr>
        <w:tblPrEx>
          <w:tblCellMar>
            <w:top w:w="0" w:type="dxa"/>
            <w:left w:w="108" w:type="dxa"/>
            <w:bottom w:w="0" w:type="dxa"/>
            <w:right w:w="108" w:type="dxa"/>
          </w:tblCellMar>
        </w:tblPrEx>
        <w:trPr>
          <w:trHeight w:val="852"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838"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911" w:type="dxa"/>
            <w:vMerge w:val="restart"/>
            <w:tcBorders>
              <w:top w:val="nil"/>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时效指标</w:t>
            </w: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准时出车率</w:t>
            </w:r>
          </w:p>
        </w:tc>
        <w:tc>
          <w:tcPr>
            <w:tcW w:w="149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color w:val="000000"/>
                <w:kern w:val="0"/>
                <w:sz w:val="24"/>
                <w:highlight w:val="none"/>
                <w:lang w:bidi="ar"/>
              </w:rPr>
              <w:t>≥90%</w:t>
            </w:r>
          </w:p>
        </w:tc>
        <w:tc>
          <w:tcPr>
            <w:tcW w:w="11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color w:val="000000"/>
                <w:kern w:val="0"/>
                <w:sz w:val="24"/>
                <w:highlight w:val="none"/>
                <w:lang w:bidi="ar"/>
              </w:rPr>
              <w:t>≥90%</w:t>
            </w:r>
          </w:p>
        </w:tc>
        <w:tc>
          <w:tcPr>
            <w:tcW w:w="90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lang w:val="en-US" w:eastAsia="zh-CN"/>
              </w:rPr>
              <w:t>5</w:t>
            </w:r>
          </w:p>
        </w:tc>
        <w:tc>
          <w:tcPr>
            <w:tcW w:w="81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color w:val="000000"/>
                <w:kern w:val="0"/>
                <w:sz w:val="24"/>
                <w:highlight w:val="none"/>
                <w:lang w:eastAsia="zh-CN"/>
              </w:rPr>
            </w:pPr>
            <w:r>
              <w:rPr>
                <w:rFonts w:hint="eastAsia" w:ascii="宋体" w:hAnsi="宋体" w:cs="宋体"/>
                <w:color w:val="000000"/>
                <w:kern w:val="0"/>
                <w:sz w:val="24"/>
                <w:highlight w:val="none"/>
                <w:lang w:val="en-US" w:eastAsia="zh-CN"/>
              </w:rPr>
              <w:t>5</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p>
        </w:tc>
      </w:tr>
      <w:tr>
        <w:tblPrEx>
          <w:tblCellMar>
            <w:top w:w="0" w:type="dxa"/>
            <w:left w:w="108" w:type="dxa"/>
            <w:bottom w:w="0" w:type="dxa"/>
            <w:right w:w="108" w:type="dxa"/>
          </w:tblCellMar>
        </w:tblPrEx>
        <w:trPr>
          <w:trHeight w:val="862"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838"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911"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cs="宋体"/>
                <w:kern w:val="0"/>
                <w:sz w:val="24"/>
                <w:highlight w:val="none"/>
              </w:rPr>
            </w:pP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cs="宋体"/>
                <w:color w:val="000000"/>
                <w:kern w:val="0"/>
                <w:sz w:val="24"/>
                <w:highlight w:val="none"/>
              </w:rPr>
            </w:pPr>
            <w:r>
              <w:rPr>
                <w:rFonts w:hint="eastAsia" w:ascii="宋体" w:hAnsi="宋体" w:cs="宋体"/>
                <w:color w:val="000000"/>
                <w:kern w:val="0"/>
                <w:sz w:val="24"/>
                <w:highlight w:val="none"/>
              </w:rPr>
              <w:t>法律事务及时应答率</w:t>
            </w:r>
          </w:p>
        </w:tc>
        <w:tc>
          <w:tcPr>
            <w:tcW w:w="149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cs="宋体"/>
                <w:color w:val="000000"/>
                <w:kern w:val="0"/>
                <w:sz w:val="24"/>
                <w:highlight w:val="none"/>
                <w:lang w:bidi="ar"/>
              </w:rPr>
            </w:pPr>
            <w:r>
              <w:rPr>
                <w:rFonts w:hint="eastAsia" w:ascii="宋体" w:hAnsi="宋体" w:cs="宋体"/>
                <w:color w:val="000000"/>
                <w:kern w:val="0"/>
                <w:sz w:val="24"/>
                <w:highlight w:val="none"/>
                <w:lang w:bidi="ar"/>
              </w:rPr>
              <w:t>≥90%</w:t>
            </w:r>
          </w:p>
        </w:tc>
        <w:tc>
          <w:tcPr>
            <w:tcW w:w="11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cs="宋体"/>
                <w:color w:val="000000"/>
                <w:kern w:val="0"/>
                <w:sz w:val="24"/>
                <w:highlight w:val="none"/>
                <w:lang w:bidi="ar"/>
              </w:rPr>
            </w:pPr>
            <w:r>
              <w:rPr>
                <w:rFonts w:hint="eastAsia" w:ascii="宋体" w:hAnsi="宋体" w:cs="宋体"/>
                <w:color w:val="000000"/>
                <w:kern w:val="0"/>
                <w:sz w:val="24"/>
                <w:highlight w:val="none"/>
                <w:lang w:bidi="ar"/>
              </w:rPr>
              <w:t>≥90%</w:t>
            </w:r>
          </w:p>
        </w:tc>
        <w:tc>
          <w:tcPr>
            <w:tcW w:w="90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5</w:t>
            </w:r>
          </w:p>
        </w:tc>
        <w:tc>
          <w:tcPr>
            <w:tcW w:w="81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5</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p>
        </w:tc>
      </w:tr>
      <w:tr>
        <w:tblPrEx>
          <w:tblCellMar>
            <w:top w:w="0" w:type="dxa"/>
            <w:left w:w="108" w:type="dxa"/>
            <w:bottom w:w="0" w:type="dxa"/>
            <w:right w:w="108" w:type="dxa"/>
          </w:tblCellMar>
        </w:tblPrEx>
        <w:trPr>
          <w:trHeight w:val="1343"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838"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911" w:type="dxa"/>
            <w:tcBorders>
              <w:top w:val="nil"/>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lang w:eastAsia="zh-CN"/>
              </w:rPr>
              <w:t>成本指标</w:t>
            </w: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总成本控制数</w:t>
            </w:r>
          </w:p>
        </w:tc>
        <w:tc>
          <w:tcPr>
            <w:tcW w:w="1492"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w:t>
            </w:r>
            <w:r>
              <w:rPr>
                <w:rFonts w:hint="eastAsia" w:ascii="宋体" w:hAnsi="宋体" w:cs="宋体"/>
                <w:kern w:val="0"/>
                <w:sz w:val="24"/>
                <w:highlight w:val="none"/>
                <w:lang w:val="en"/>
              </w:rPr>
              <w:t>27.4712</w:t>
            </w:r>
            <w:r>
              <w:rPr>
                <w:rFonts w:hint="eastAsia" w:ascii="宋体" w:hAnsi="宋体" w:cs="宋体"/>
                <w:kern w:val="0"/>
                <w:sz w:val="24"/>
                <w:highlight w:val="none"/>
              </w:rPr>
              <w:t>万元</w:t>
            </w:r>
          </w:p>
        </w:tc>
        <w:tc>
          <w:tcPr>
            <w:tcW w:w="113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24.1768万元</w:t>
            </w:r>
          </w:p>
        </w:tc>
        <w:tc>
          <w:tcPr>
            <w:tcW w:w="902"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10</w:t>
            </w:r>
          </w:p>
        </w:tc>
        <w:tc>
          <w:tcPr>
            <w:tcW w:w="818" w:type="dxa"/>
            <w:tcBorders>
              <w:top w:val="nil"/>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9</w:t>
            </w:r>
          </w:p>
        </w:tc>
        <w:tc>
          <w:tcPr>
            <w:tcW w:w="1414" w:type="dxa"/>
            <w:gridSpan w:val="2"/>
            <w:tcBorders>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color w:val="000000"/>
                <w:kern w:val="0"/>
                <w:sz w:val="24"/>
                <w:highlight w:val="none"/>
                <w:lang w:eastAsia="zh-CN"/>
              </w:rPr>
            </w:pPr>
            <w:r>
              <w:rPr>
                <w:rFonts w:hint="eastAsia" w:ascii="宋体" w:hAnsi="宋体" w:cs="宋体"/>
                <w:color w:val="000000"/>
                <w:kern w:val="0"/>
                <w:sz w:val="24"/>
                <w:highlight w:val="none"/>
                <w:lang w:eastAsia="zh-CN"/>
              </w:rPr>
              <w:t>预算编制还需要更加准确</w:t>
            </w:r>
          </w:p>
        </w:tc>
      </w:tr>
      <w:tr>
        <w:tblPrEx>
          <w:tblCellMar>
            <w:top w:w="0" w:type="dxa"/>
            <w:left w:w="108" w:type="dxa"/>
            <w:bottom w:w="0" w:type="dxa"/>
            <w:right w:w="108" w:type="dxa"/>
          </w:tblCellMar>
        </w:tblPrEx>
        <w:trPr>
          <w:trHeight w:val="5564"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838" w:type="dxa"/>
            <w:tcBorders>
              <w:top w:val="nil"/>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效益指标</w:t>
            </w:r>
          </w:p>
        </w:tc>
        <w:tc>
          <w:tcPr>
            <w:tcW w:w="911"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社会效益指标</w:t>
            </w: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保证市社科联、市社科规划办相关工作的正常开展；节约成本，提高办公和管理水平和效率,进一步推进无纸化办公</w:t>
            </w:r>
          </w:p>
        </w:tc>
        <w:tc>
          <w:tcPr>
            <w:tcW w:w="1492" w:type="dxa"/>
            <w:gridSpan w:val="2"/>
            <w:tcBorders>
              <w:top w:val="nil"/>
              <w:left w:val="nil"/>
              <w:bottom w:val="single" w:color="auto" w:sz="4" w:space="0"/>
              <w:right w:val="single" w:color="auto" w:sz="4" w:space="0"/>
            </w:tcBorders>
            <w:vAlign w:val="center"/>
          </w:tcPr>
          <w:p>
            <w:pPr>
              <w:widowControl/>
              <w:spacing w:line="240" w:lineRule="auto"/>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提高固定资产系统的精细化管理；为机关用车需要和用车安全提供保障服务；加强档案管理，提升管理水平；保障合作项目的顺利实施和财政资金使用的安全；保证各项工作的顺利开展</w:t>
            </w:r>
          </w:p>
        </w:tc>
        <w:tc>
          <w:tcPr>
            <w:tcW w:w="1138"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达到要求</w:t>
            </w:r>
          </w:p>
        </w:tc>
        <w:tc>
          <w:tcPr>
            <w:tcW w:w="902"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lang w:val="en-US" w:eastAsia="zh-CN"/>
              </w:rPr>
              <w:t>2</w:t>
            </w:r>
            <w:r>
              <w:rPr>
                <w:rFonts w:hint="eastAsia" w:ascii="宋体" w:hAnsi="宋体" w:cs="宋体"/>
                <w:kern w:val="0"/>
                <w:sz w:val="24"/>
                <w:highlight w:val="none"/>
              </w:rPr>
              <w:t>0</w:t>
            </w:r>
          </w:p>
        </w:tc>
        <w:tc>
          <w:tcPr>
            <w:tcW w:w="818" w:type="dxa"/>
            <w:tcBorders>
              <w:top w:val="nil"/>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lang w:val="en-US" w:eastAsia="zh-CN"/>
              </w:rPr>
              <w:t>16</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lang w:eastAsia="zh-CN"/>
              </w:rPr>
              <w:t>效益</w:t>
            </w:r>
            <w:r>
              <w:rPr>
                <w:rFonts w:hint="eastAsia" w:ascii="宋体" w:hAnsi="宋体" w:cs="宋体"/>
                <w:kern w:val="0"/>
                <w:sz w:val="24"/>
                <w:highlight w:val="none"/>
              </w:rPr>
              <w:t>资料有待进一步归集</w:t>
            </w:r>
          </w:p>
        </w:tc>
      </w:tr>
      <w:tr>
        <w:tblPrEx>
          <w:tblCellMar>
            <w:top w:w="0" w:type="dxa"/>
            <w:left w:w="108" w:type="dxa"/>
            <w:bottom w:w="0" w:type="dxa"/>
            <w:right w:w="108" w:type="dxa"/>
          </w:tblCellMar>
        </w:tblPrEx>
        <w:trPr>
          <w:trHeight w:val="1732" w:hRule="exact"/>
          <w:jc w:val="center"/>
        </w:trPr>
        <w:tc>
          <w:tcPr>
            <w:tcW w:w="691" w:type="dxa"/>
            <w:vMerge w:val="continue"/>
            <w:tcBorders>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c>
          <w:tcPr>
            <w:tcW w:w="838" w:type="dxa"/>
            <w:tcBorders>
              <w:top w:val="single" w:color="auto" w:sz="4" w:space="0"/>
              <w:left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满意度</w:t>
            </w:r>
          </w:p>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指标</w:t>
            </w:r>
          </w:p>
        </w:tc>
        <w:tc>
          <w:tcPr>
            <w:tcW w:w="911"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服务对象满意度指标</w:t>
            </w:r>
          </w:p>
        </w:tc>
        <w:tc>
          <w:tcPr>
            <w:tcW w:w="1954" w:type="dxa"/>
            <w:gridSpan w:val="2"/>
            <w:tcBorders>
              <w:top w:val="single" w:color="auto" w:sz="4" w:space="0"/>
              <w:left w:val="nil"/>
              <w:bottom w:val="single" w:color="auto" w:sz="4" w:space="0"/>
              <w:right w:val="single" w:color="auto" w:sz="4" w:space="0"/>
            </w:tcBorders>
            <w:vAlign w:val="center"/>
          </w:tcPr>
          <w:p>
            <w:pPr>
              <w:widowControl/>
              <w:spacing w:line="240" w:lineRule="auto"/>
              <w:rPr>
                <w:rFonts w:ascii="宋体" w:hAnsi="宋体" w:cs="宋体"/>
                <w:color w:val="000000"/>
                <w:kern w:val="0"/>
                <w:sz w:val="24"/>
                <w:highlight w:val="none"/>
              </w:rPr>
            </w:pPr>
            <w:r>
              <w:rPr>
                <w:rFonts w:hint="eastAsia" w:ascii="宋体" w:hAnsi="宋体" w:cs="宋体"/>
                <w:color w:val="000000"/>
                <w:kern w:val="0"/>
                <w:sz w:val="24"/>
                <w:highlight w:val="none"/>
              </w:rPr>
              <w:t>使用用户满意度</w:t>
            </w:r>
          </w:p>
        </w:tc>
        <w:tc>
          <w:tcPr>
            <w:tcW w:w="149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color w:val="000000"/>
                <w:kern w:val="0"/>
                <w:sz w:val="24"/>
                <w:highlight w:val="none"/>
                <w:lang w:bidi="ar"/>
              </w:rPr>
              <w:t>≥90%</w:t>
            </w:r>
          </w:p>
        </w:tc>
        <w:tc>
          <w:tcPr>
            <w:tcW w:w="11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color w:val="000000"/>
                <w:kern w:val="0"/>
                <w:sz w:val="24"/>
                <w:highlight w:val="none"/>
                <w:lang w:bidi="ar"/>
              </w:rPr>
              <w:t>≥90%</w:t>
            </w:r>
          </w:p>
        </w:tc>
        <w:tc>
          <w:tcPr>
            <w:tcW w:w="90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10</w:t>
            </w:r>
          </w:p>
        </w:tc>
        <w:tc>
          <w:tcPr>
            <w:tcW w:w="81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r>
              <w:rPr>
                <w:rFonts w:hint="eastAsia" w:ascii="宋体" w:hAnsi="宋体" w:cs="宋体"/>
                <w:kern w:val="0"/>
                <w:sz w:val="24"/>
                <w:highlight w:val="none"/>
              </w:rPr>
              <w:t>8</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lang w:eastAsia="zh-CN"/>
              </w:rPr>
              <w:t>成本进一步降低，不断提升管理效率</w:t>
            </w:r>
          </w:p>
        </w:tc>
      </w:tr>
      <w:tr>
        <w:tblPrEx>
          <w:tblCellMar>
            <w:top w:w="0" w:type="dxa"/>
            <w:left w:w="108" w:type="dxa"/>
            <w:bottom w:w="0" w:type="dxa"/>
            <w:right w:w="108" w:type="dxa"/>
          </w:tblCellMar>
        </w:tblPrEx>
        <w:trPr>
          <w:trHeight w:val="691" w:hRule="exact"/>
          <w:jc w:val="center"/>
        </w:trPr>
        <w:tc>
          <w:tcPr>
            <w:tcW w:w="702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总分</w:t>
            </w:r>
          </w:p>
        </w:tc>
        <w:tc>
          <w:tcPr>
            <w:tcW w:w="902"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100</w:t>
            </w:r>
          </w:p>
        </w:tc>
        <w:tc>
          <w:tcPr>
            <w:tcW w:w="818" w:type="dxa"/>
            <w:tcBorders>
              <w:top w:val="nil"/>
              <w:left w:val="nil"/>
              <w:bottom w:val="single" w:color="auto" w:sz="4" w:space="0"/>
              <w:right w:val="single" w:color="auto" w:sz="4" w:space="0"/>
            </w:tcBorders>
            <w:vAlign w:val="center"/>
          </w:tcPr>
          <w:p>
            <w:pPr>
              <w:widowControl/>
              <w:spacing w:line="240" w:lineRule="auto"/>
              <w:jc w:val="center"/>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rPr>
              <w:t>8</w:t>
            </w:r>
            <w:r>
              <w:rPr>
                <w:rFonts w:hint="eastAsia" w:ascii="宋体" w:hAnsi="宋体" w:cs="宋体"/>
                <w:color w:val="000000"/>
                <w:kern w:val="0"/>
                <w:sz w:val="24"/>
                <w:highlight w:val="none"/>
                <w:lang w:val="en-US" w:eastAsia="zh-CN"/>
              </w:rPr>
              <w:t>9.8</w:t>
            </w:r>
          </w:p>
        </w:tc>
        <w:tc>
          <w:tcPr>
            <w:tcW w:w="1414"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cs="宋体"/>
                <w:kern w:val="0"/>
                <w:sz w:val="24"/>
                <w:highlight w:val="none"/>
              </w:rPr>
            </w:pPr>
          </w:p>
        </w:tc>
      </w:tr>
    </w:tbl>
    <w:p/>
    <w:sectPr>
      <w:pgSz w:w="11906" w:h="16838"/>
      <w:pgMar w:top="794" w:right="794" w:bottom="794"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B4F626E5"/>
    <w:rsid w:val="00126E46"/>
    <w:rsid w:val="0016717F"/>
    <w:rsid w:val="001B6459"/>
    <w:rsid w:val="002F533B"/>
    <w:rsid w:val="05777F14"/>
    <w:rsid w:val="05FB28F4"/>
    <w:rsid w:val="0EB421D9"/>
    <w:rsid w:val="0FCD3553"/>
    <w:rsid w:val="0FD7B27F"/>
    <w:rsid w:val="11743EDB"/>
    <w:rsid w:val="1A725591"/>
    <w:rsid w:val="1BD14CC5"/>
    <w:rsid w:val="200D34F7"/>
    <w:rsid w:val="238C0BD7"/>
    <w:rsid w:val="262D66A1"/>
    <w:rsid w:val="2B1F12A8"/>
    <w:rsid w:val="2F3241FE"/>
    <w:rsid w:val="346235A6"/>
    <w:rsid w:val="376B4243"/>
    <w:rsid w:val="3A4B53C5"/>
    <w:rsid w:val="3C3F552F"/>
    <w:rsid w:val="3DFF29A1"/>
    <w:rsid w:val="5257222D"/>
    <w:rsid w:val="54CF07A0"/>
    <w:rsid w:val="560A5808"/>
    <w:rsid w:val="56F20776"/>
    <w:rsid w:val="5B76D86E"/>
    <w:rsid w:val="61073B50"/>
    <w:rsid w:val="65EB4424"/>
    <w:rsid w:val="67F71876"/>
    <w:rsid w:val="6F325FA7"/>
    <w:rsid w:val="7AF901B6"/>
    <w:rsid w:val="7E5F921E"/>
    <w:rsid w:val="7E9665E6"/>
    <w:rsid w:val="AF436D14"/>
    <w:rsid w:val="B4F626E5"/>
    <w:rsid w:val="BFE76D15"/>
    <w:rsid w:val="CBF4A603"/>
    <w:rsid w:val="D7BEBAED"/>
    <w:rsid w:val="DBFA948D"/>
    <w:rsid w:val="F9818E0E"/>
    <w:rsid w:val="FBB66CFD"/>
    <w:rsid w:val="FF7FE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character" w:styleId="5">
    <w:name w:val="Emphasis"/>
    <w:basedOn w:val="4"/>
    <w:qFormat/>
    <w:uiPriority w:val="0"/>
    <w:rPr>
      <w:i/>
    </w:rPr>
  </w:style>
  <w:style w:type="paragraph" w:customStyle="1" w:styleId="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1008</Words>
  <Characters>1142</Characters>
  <Lines>9</Lines>
  <Paragraphs>2</Paragraphs>
  <TotalTime>1</TotalTime>
  <ScaleCrop>false</ScaleCrop>
  <LinksUpToDate>false</LinksUpToDate>
  <CharactersWithSpaces>1142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2023-04-26T23:48:00Z</dcterms:created>
  <dc:creator>skl</dc:creator>
  <cp:lastModifiedBy>Q</cp:lastModifiedBy>
  <dcterms:modified xsi:type="dcterms:W3CDTF">2024-04-29T05:47:22Z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58A944897EF248A5AF31EA3AB619FC8E_12</vt:lpwstr>
  </property>
</Properties>
</file>