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894"/>
        <w:gridCol w:w="841"/>
        <w:gridCol w:w="545"/>
        <w:gridCol w:w="1277"/>
        <w:gridCol w:w="1579"/>
        <w:gridCol w:w="1409"/>
        <w:gridCol w:w="502"/>
        <w:gridCol w:w="233"/>
        <w:gridCol w:w="889"/>
        <w:gridCol w:w="1049"/>
        <w:gridCol w:w="7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1043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043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（ 202</w:t>
            </w:r>
            <w:r>
              <w:rPr>
                <w:rFonts w:hint="default" w:ascii="宋体" w:hAnsi="宋体" w:cs="宋体"/>
                <w:color w:val="auto"/>
                <w:kern w:val="0"/>
                <w:sz w:val="24"/>
                <w:lang w:val="e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项目名称</w:t>
            </w:r>
          </w:p>
        </w:tc>
        <w:tc>
          <w:tcPr>
            <w:tcW w:w="906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北京市第十七届哲学社会科学优秀成果奖评审组织经费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主管部门</w:t>
            </w:r>
          </w:p>
        </w:tc>
        <w:tc>
          <w:tcPr>
            <w:tcW w:w="42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北京市社会科学界联合会</w:t>
            </w:r>
          </w:p>
        </w:tc>
        <w:tc>
          <w:tcPr>
            <w:tcW w:w="1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实施单位</w:t>
            </w:r>
          </w:p>
        </w:tc>
        <w:tc>
          <w:tcPr>
            <w:tcW w:w="29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项目负责人</w:t>
            </w:r>
          </w:p>
        </w:tc>
        <w:tc>
          <w:tcPr>
            <w:tcW w:w="42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尹岩</w:t>
            </w:r>
          </w:p>
        </w:tc>
        <w:tc>
          <w:tcPr>
            <w:tcW w:w="1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29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64527928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13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（万元）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年初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预算数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全年预算数</w:t>
            </w:r>
          </w:p>
        </w:tc>
        <w:tc>
          <w:tcPr>
            <w:tcW w:w="1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全年执行数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分值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执行率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13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66.52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66.52</w:t>
            </w:r>
          </w:p>
        </w:tc>
        <w:tc>
          <w:tcPr>
            <w:tcW w:w="1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55.1062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10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82.84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%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8.3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13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其中：当年财政拨款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66.52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66.52</w:t>
            </w:r>
          </w:p>
        </w:tc>
        <w:tc>
          <w:tcPr>
            <w:tcW w:w="1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55.1062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—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82.84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%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3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上年结转资金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—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3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其他资金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—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4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年度总体目标</w:t>
            </w:r>
          </w:p>
        </w:tc>
        <w:tc>
          <w:tcPr>
            <w:tcW w:w="51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预期目标</w:t>
            </w:r>
          </w:p>
        </w:tc>
        <w:tc>
          <w:tcPr>
            <w:tcW w:w="48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3" w:hRule="exact"/>
          <w:jc w:val="center"/>
        </w:trPr>
        <w:tc>
          <w:tcPr>
            <w:tcW w:w="4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51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“北京市哲学社会科学优秀成果奖”是由中共北京市委、北京市人民政府设立的对全市哲学社会科学优秀成果的市级奖励。该奖项的设立和评选，对繁荣发展首都哲学社会科学事业起到了重要的推动作用，已成为首都社科界的重要品牌奖项。《评奖条例》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第二十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条：评奖所需经费，由北京市社会科学界联合会编制预算，市财政拨款，专款专用。评奖两年举办一次，每届获奖成果的限额为210项。202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年开展第十七届优秀成果评选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组织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工作。</w:t>
            </w:r>
          </w:p>
        </w:tc>
        <w:tc>
          <w:tcPr>
            <w:tcW w:w="48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为落实市委关于社科评奖工作的指示精神，自第十七届起，北京市哲学社会科学优秀成果奖主办单位由中共北京市委、北京市人民政府变更为北京市人民政府。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2023年根据市人力社保局的通知，按照第十七届评奖条例和实施细则要求开展了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第十七届评奖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组织工作。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2023年12月14日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北京市第十七届哲学社会科学优秀成果奖210项拟授奖成果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完成了获奖成果公示，所有成果均无异议。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exact"/>
          <w:jc w:val="center"/>
        </w:trPr>
        <w:tc>
          <w:tcPr>
            <w:tcW w:w="4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绩效指标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一级指标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二级指标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三级指标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指标值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完成值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分值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得分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成本指标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经济成本指标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支出控制在预算范围之内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≤66.52万元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55.1062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万元</w:t>
            </w:r>
            <w:bookmarkStart w:id="0" w:name="_GoBack"/>
            <w:bookmarkEnd w:id="0"/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产出指标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数量指标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评选获奖成果数</w:t>
            </w: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24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210项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210项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20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9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质量指标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评奖标准</w:t>
            </w:r>
          </w:p>
        </w:tc>
        <w:tc>
          <w:tcPr>
            <w:tcW w:w="1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评审符合《评选条例》和《实施细则》的要求和规定</w:t>
            </w:r>
          </w:p>
        </w:tc>
        <w:tc>
          <w:tcPr>
            <w:tcW w:w="1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严格按照评选条例和实施细则规定执行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时效指标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预算支出于年底前完成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≤202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12月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部分预算支出于年底前完成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8.0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效益指标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社会效益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指标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对全市哲学社会科学优秀成果进行市级奖励，助推全市哲学社会科学发展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通过评选，提高首都学术实力，助推首都哲学社会科学发展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奖项成为首都哲学社会科学的“风向标”“助推器”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20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16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资料需进一步归集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指标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服务对象满意度指标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评选结果得到社会公众满意度</w:t>
            </w:r>
          </w:p>
        </w:tc>
        <w:tc>
          <w:tcPr>
            <w:tcW w:w="1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%</w:t>
            </w:r>
          </w:p>
        </w:tc>
        <w:tc>
          <w:tcPr>
            <w:tcW w:w="1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≥85%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10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资料需进一步归集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70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总分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100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</w:tbl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102B1D"/>
    <w:rsid w:val="003B7A6C"/>
    <w:rsid w:val="004141FB"/>
    <w:rsid w:val="00421754"/>
    <w:rsid w:val="005A5053"/>
    <w:rsid w:val="00731BBD"/>
    <w:rsid w:val="007C5F29"/>
    <w:rsid w:val="009D2009"/>
    <w:rsid w:val="00B33AE7"/>
    <w:rsid w:val="00EA5CDD"/>
    <w:rsid w:val="0A60366D"/>
    <w:rsid w:val="1015195B"/>
    <w:rsid w:val="1F6F0DDE"/>
    <w:rsid w:val="214E201A"/>
    <w:rsid w:val="28B21A35"/>
    <w:rsid w:val="39E967CD"/>
    <w:rsid w:val="3EE002FD"/>
    <w:rsid w:val="3FD78FD9"/>
    <w:rsid w:val="3FDDDD48"/>
    <w:rsid w:val="3FFA40FB"/>
    <w:rsid w:val="42427437"/>
    <w:rsid w:val="4CA53670"/>
    <w:rsid w:val="52276EEF"/>
    <w:rsid w:val="536F3237"/>
    <w:rsid w:val="538C1774"/>
    <w:rsid w:val="56795EC7"/>
    <w:rsid w:val="5798756F"/>
    <w:rsid w:val="677B19AF"/>
    <w:rsid w:val="67EF474A"/>
    <w:rsid w:val="6B301415"/>
    <w:rsid w:val="6BF7A339"/>
    <w:rsid w:val="6D7AB25C"/>
    <w:rsid w:val="6F66F82B"/>
    <w:rsid w:val="6FDE3B35"/>
    <w:rsid w:val="708B5A6B"/>
    <w:rsid w:val="77AF0F55"/>
    <w:rsid w:val="77DFB46B"/>
    <w:rsid w:val="79CF6A6C"/>
    <w:rsid w:val="7AF901B6"/>
    <w:rsid w:val="7F227317"/>
    <w:rsid w:val="83F79F89"/>
    <w:rsid w:val="B4F626E5"/>
    <w:rsid w:val="B7FE06B5"/>
    <w:rsid w:val="CBF4A603"/>
    <w:rsid w:val="E7FF7C0A"/>
    <w:rsid w:val="F7EED3C3"/>
    <w:rsid w:val="F9EA0D6B"/>
    <w:rsid w:val="FEFF2901"/>
    <w:rsid w:val="FF3FC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customStyle="1" w:styleId="5">
    <w:name w:val="Revision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1327</Words>
  <Characters>1426</Characters>
  <Lines>11</Lines>
  <Paragraphs>3</Paragraphs>
  <TotalTime>0</TotalTime>
  <ScaleCrop>false</ScaleCrop>
  <LinksUpToDate>false</LinksUpToDate>
  <CharactersWithSpaces>1429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2023-04-27T07:48:00Z</dcterms:created>
  <dc:creator>skl</dc:creator>
  <cp:lastModifiedBy>Q</cp:lastModifiedBy>
  <dcterms:modified xsi:type="dcterms:W3CDTF">2024-04-29T05:45:20Z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2BEAC6778AB441F2B3AF2CFFA5B12AEA_12</vt:lpwstr>
  </property>
</Properties>
</file>