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722" w:type="dxa"/>
        <w:jc w:val="center"/>
        <w:tblLayout w:type="fixed"/>
        <w:tblCellMar>
          <w:top w:w="0" w:type="dxa"/>
          <w:left w:w="108" w:type="dxa"/>
          <w:bottom w:w="0" w:type="dxa"/>
          <w:right w:w="108" w:type="dxa"/>
        </w:tblCellMar>
      </w:tblPr>
      <w:tblGrid>
        <w:gridCol w:w="437"/>
        <w:gridCol w:w="851"/>
        <w:gridCol w:w="834"/>
        <w:gridCol w:w="1011"/>
        <w:gridCol w:w="1233"/>
        <w:gridCol w:w="1378"/>
        <w:gridCol w:w="1711"/>
        <w:gridCol w:w="789"/>
        <w:gridCol w:w="222"/>
        <w:gridCol w:w="922"/>
        <w:gridCol w:w="1334"/>
      </w:tblGrid>
      <w:tr>
        <w:tblPrEx>
          <w:tblCellMar>
            <w:top w:w="0" w:type="dxa"/>
            <w:left w:w="108" w:type="dxa"/>
            <w:bottom w:w="0" w:type="dxa"/>
            <w:right w:w="108" w:type="dxa"/>
          </w:tblCellMar>
        </w:tblPrEx>
        <w:trPr>
          <w:trHeight w:val="680" w:hRule="atLeast"/>
          <w:jc w:val="center"/>
        </w:trPr>
        <w:tc>
          <w:tcPr>
            <w:tcW w:w="10722" w:type="dxa"/>
            <w:gridSpan w:val="11"/>
            <w:tcBorders>
              <w:top w:val="nil"/>
              <w:left w:val="nil"/>
              <w:bottom w:val="nil"/>
              <w:right w:val="nil"/>
            </w:tcBorders>
            <w:noWrap w:val="0"/>
            <w:vAlign w:val="center"/>
          </w:tcPr>
          <w:p>
            <w:pPr>
              <w:widowControl/>
              <w:spacing w:line="240" w:lineRule="auto"/>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680" w:hRule="atLeast"/>
          <w:jc w:val="center"/>
        </w:trPr>
        <w:tc>
          <w:tcPr>
            <w:tcW w:w="10722" w:type="dxa"/>
            <w:gridSpan w:val="11"/>
            <w:tcBorders>
              <w:top w:val="nil"/>
              <w:left w:val="nil"/>
              <w:bottom w:val="nil"/>
              <w:right w:val="nil"/>
            </w:tcBorders>
            <w:noWrap w:val="0"/>
            <w:vAlign w:val="top"/>
          </w:tcPr>
          <w:p>
            <w:pPr>
              <w:spacing w:line="480" w:lineRule="exact"/>
              <w:jc w:val="center"/>
              <w:rPr>
                <w:rFonts w:ascii="宋体" w:hAnsi="宋体" w:cs="宋体"/>
                <w:color w:val="auto"/>
                <w:kern w:val="0"/>
                <w:sz w:val="24"/>
                <w:szCs w:val="24"/>
              </w:rPr>
            </w:pPr>
            <w:r>
              <w:rPr>
                <w:rFonts w:hint="eastAsia" w:ascii="宋体" w:hAnsi="宋体" w:cs="宋体"/>
                <w:color w:val="auto"/>
                <w:sz w:val="24"/>
              </w:rPr>
              <w:t>（202</w:t>
            </w:r>
            <w:r>
              <w:rPr>
                <w:rFonts w:hint="eastAsia" w:ascii="宋体" w:hAnsi="宋体" w:cs="宋体"/>
                <w:color w:val="auto"/>
                <w:sz w:val="24"/>
                <w:lang w:val="en-US" w:eastAsia="zh-CN"/>
              </w:rPr>
              <w:t>3</w:t>
            </w:r>
            <w:r>
              <w:rPr>
                <w:rFonts w:hint="eastAsia" w:ascii="宋体" w:hAnsi="宋体" w:cs="宋体"/>
                <w:color w:val="auto"/>
                <w:sz w:val="24"/>
              </w:rPr>
              <w:t>年度）</w:t>
            </w:r>
          </w:p>
        </w:tc>
      </w:tr>
      <w:tr>
        <w:tblPrEx>
          <w:tblCellMar>
            <w:top w:w="0" w:type="dxa"/>
            <w:left w:w="108" w:type="dxa"/>
            <w:bottom w:w="0" w:type="dxa"/>
            <w:right w:w="108" w:type="dxa"/>
          </w:tblCellMar>
        </w:tblPrEx>
        <w:trPr>
          <w:trHeight w:val="709" w:hRule="exact"/>
          <w:jc w:val="center"/>
        </w:trPr>
        <w:tc>
          <w:tcPr>
            <w:tcW w:w="128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项目名称</w:t>
            </w:r>
          </w:p>
        </w:tc>
        <w:tc>
          <w:tcPr>
            <w:tcW w:w="9434" w:type="dxa"/>
            <w:gridSpan w:val="9"/>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北京市习近平新时代中国特色社会主义思想研究中心成果和人才工作经费</w:t>
            </w:r>
          </w:p>
        </w:tc>
      </w:tr>
      <w:tr>
        <w:tblPrEx>
          <w:tblCellMar>
            <w:top w:w="0" w:type="dxa"/>
            <w:left w:w="108" w:type="dxa"/>
            <w:bottom w:w="0" w:type="dxa"/>
            <w:right w:w="108" w:type="dxa"/>
          </w:tblCellMar>
        </w:tblPrEx>
        <w:trPr>
          <w:trHeight w:val="649" w:hRule="exact"/>
          <w:jc w:val="center"/>
        </w:trPr>
        <w:tc>
          <w:tcPr>
            <w:tcW w:w="128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主管部门</w:t>
            </w:r>
          </w:p>
        </w:tc>
        <w:tc>
          <w:tcPr>
            <w:tcW w:w="4456" w:type="dxa"/>
            <w:gridSpan w:val="4"/>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lang w:eastAsia="zh-CN"/>
              </w:rPr>
              <w:t>北京市社会科学界联合会</w:t>
            </w:r>
          </w:p>
        </w:tc>
        <w:tc>
          <w:tcPr>
            <w:tcW w:w="1711" w:type="dxa"/>
            <w:tcBorders>
              <w:top w:val="nil"/>
              <w:left w:val="nil"/>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实施单位</w:t>
            </w:r>
          </w:p>
        </w:tc>
        <w:tc>
          <w:tcPr>
            <w:tcW w:w="3267" w:type="dxa"/>
            <w:gridSpan w:val="4"/>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北京市社会科学界联合会</w:t>
            </w:r>
          </w:p>
        </w:tc>
      </w:tr>
      <w:tr>
        <w:tblPrEx>
          <w:tblCellMar>
            <w:top w:w="0" w:type="dxa"/>
            <w:left w:w="108" w:type="dxa"/>
            <w:bottom w:w="0" w:type="dxa"/>
            <w:right w:w="108" w:type="dxa"/>
          </w:tblCellMar>
        </w:tblPrEx>
        <w:trPr>
          <w:trHeight w:val="659" w:hRule="exact"/>
          <w:jc w:val="center"/>
        </w:trPr>
        <w:tc>
          <w:tcPr>
            <w:tcW w:w="128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项目</w:t>
            </w:r>
            <w:r>
              <w:rPr>
                <w:rFonts w:ascii="宋体" w:hAnsi="宋体" w:cs="宋体"/>
                <w:color w:val="auto"/>
                <w:kern w:val="0"/>
                <w:sz w:val="24"/>
                <w:szCs w:val="24"/>
              </w:rPr>
              <w:t>负责人</w:t>
            </w:r>
          </w:p>
        </w:tc>
        <w:tc>
          <w:tcPr>
            <w:tcW w:w="4456" w:type="dxa"/>
            <w:gridSpan w:val="4"/>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rPr>
              <w:t>许</w:t>
            </w:r>
            <w:r>
              <w:rPr>
                <w:rFonts w:hint="eastAsia" w:ascii="宋体" w:hAnsi="宋体" w:cs="宋体"/>
                <w:color w:val="auto"/>
                <w:kern w:val="0"/>
                <w:sz w:val="24"/>
                <w:szCs w:val="24"/>
                <w:lang w:val="en-US" w:eastAsia="zh-CN"/>
              </w:rPr>
              <w:t>星</w:t>
            </w:r>
          </w:p>
        </w:tc>
        <w:tc>
          <w:tcPr>
            <w:tcW w:w="1711" w:type="dxa"/>
            <w:tcBorders>
              <w:top w:val="nil"/>
              <w:left w:val="nil"/>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ascii="宋体" w:hAnsi="宋体" w:cs="宋体"/>
                <w:color w:val="auto"/>
                <w:kern w:val="0"/>
                <w:sz w:val="24"/>
                <w:szCs w:val="24"/>
              </w:rPr>
              <w:t>联系电话</w:t>
            </w:r>
          </w:p>
        </w:tc>
        <w:tc>
          <w:tcPr>
            <w:tcW w:w="3267" w:type="dxa"/>
            <w:gridSpan w:val="4"/>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64527183</w:t>
            </w:r>
          </w:p>
        </w:tc>
      </w:tr>
      <w:tr>
        <w:tblPrEx>
          <w:tblCellMar>
            <w:top w:w="0" w:type="dxa"/>
            <w:left w:w="108" w:type="dxa"/>
            <w:bottom w:w="0" w:type="dxa"/>
            <w:right w:w="108" w:type="dxa"/>
          </w:tblCellMar>
        </w:tblPrEx>
        <w:trPr>
          <w:trHeight w:val="680" w:hRule="atLeast"/>
          <w:jc w:val="center"/>
        </w:trPr>
        <w:tc>
          <w:tcPr>
            <w:tcW w:w="128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项目资金</w:t>
            </w:r>
            <w:r>
              <w:rPr>
                <w:rFonts w:hint="eastAsia" w:ascii="宋体" w:hAnsi="宋体" w:cs="宋体"/>
                <w:color w:val="auto"/>
                <w:kern w:val="0"/>
                <w:sz w:val="24"/>
                <w:szCs w:val="24"/>
              </w:rPr>
              <w:br w:type="textWrapping"/>
            </w:r>
            <w:r>
              <w:rPr>
                <w:rFonts w:hint="eastAsia" w:ascii="宋体" w:hAnsi="宋体" w:cs="宋体"/>
                <w:color w:val="auto"/>
                <w:kern w:val="0"/>
                <w:sz w:val="24"/>
                <w:szCs w:val="24"/>
              </w:rPr>
              <w:t>（万元）</w:t>
            </w:r>
          </w:p>
        </w:tc>
        <w:tc>
          <w:tcPr>
            <w:tcW w:w="1845"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p>
        </w:tc>
        <w:tc>
          <w:tcPr>
            <w:tcW w:w="1233"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cs="宋体"/>
                <w:color w:val="auto"/>
                <w:kern w:val="0"/>
                <w:sz w:val="24"/>
                <w:szCs w:val="24"/>
              </w:rPr>
            </w:pPr>
            <w:r>
              <w:rPr>
                <w:rFonts w:hint="eastAsia" w:ascii="宋体" w:hAnsi="宋体" w:cs="宋体"/>
                <w:color w:val="auto"/>
                <w:kern w:val="0"/>
                <w:sz w:val="24"/>
                <w:szCs w:val="24"/>
              </w:rPr>
              <w:t>年初</w:t>
            </w:r>
          </w:p>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预算数</w:t>
            </w:r>
          </w:p>
        </w:tc>
        <w:tc>
          <w:tcPr>
            <w:tcW w:w="1378"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cs="宋体"/>
                <w:color w:val="auto"/>
                <w:kern w:val="0"/>
                <w:sz w:val="24"/>
                <w:szCs w:val="24"/>
              </w:rPr>
            </w:pPr>
            <w:r>
              <w:rPr>
                <w:rFonts w:hint="eastAsia" w:ascii="宋体" w:hAnsi="宋体" w:cs="宋体"/>
                <w:color w:val="auto"/>
                <w:kern w:val="0"/>
                <w:sz w:val="24"/>
                <w:szCs w:val="24"/>
              </w:rPr>
              <w:t>全年</w:t>
            </w:r>
          </w:p>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预算数</w:t>
            </w:r>
          </w:p>
        </w:tc>
        <w:tc>
          <w:tcPr>
            <w:tcW w:w="1711" w:type="dxa"/>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cs="宋体"/>
                <w:color w:val="auto"/>
                <w:kern w:val="0"/>
                <w:sz w:val="24"/>
                <w:szCs w:val="24"/>
              </w:rPr>
            </w:pPr>
            <w:r>
              <w:rPr>
                <w:rFonts w:hint="eastAsia" w:ascii="宋体" w:hAnsi="宋体" w:cs="宋体"/>
                <w:color w:val="auto"/>
                <w:kern w:val="0"/>
                <w:sz w:val="24"/>
                <w:szCs w:val="24"/>
              </w:rPr>
              <w:t>全年</w:t>
            </w:r>
          </w:p>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执行数</w:t>
            </w:r>
          </w:p>
        </w:tc>
        <w:tc>
          <w:tcPr>
            <w:tcW w:w="789" w:type="dxa"/>
            <w:tcBorders>
              <w:top w:val="nil"/>
              <w:left w:val="nil"/>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分值</w:t>
            </w:r>
          </w:p>
        </w:tc>
        <w:tc>
          <w:tcPr>
            <w:tcW w:w="1144"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执行率</w:t>
            </w:r>
          </w:p>
        </w:tc>
        <w:tc>
          <w:tcPr>
            <w:tcW w:w="1334" w:type="dxa"/>
            <w:tcBorders>
              <w:top w:val="nil"/>
              <w:left w:val="nil"/>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得分</w:t>
            </w:r>
          </w:p>
        </w:tc>
      </w:tr>
      <w:tr>
        <w:tblPrEx>
          <w:tblCellMar>
            <w:top w:w="0" w:type="dxa"/>
            <w:left w:w="108" w:type="dxa"/>
            <w:bottom w:w="0" w:type="dxa"/>
            <w:right w:w="108" w:type="dxa"/>
          </w:tblCellMar>
        </w:tblPrEx>
        <w:trPr>
          <w:trHeight w:val="680" w:hRule="atLeast"/>
          <w:jc w:val="center"/>
        </w:trPr>
        <w:tc>
          <w:tcPr>
            <w:tcW w:w="128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p>
        </w:tc>
        <w:tc>
          <w:tcPr>
            <w:tcW w:w="1845"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rPr>
                <w:rFonts w:ascii="宋体" w:hAnsi="宋体" w:cs="宋体"/>
                <w:color w:val="auto"/>
                <w:kern w:val="0"/>
                <w:sz w:val="24"/>
                <w:szCs w:val="24"/>
              </w:rPr>
            </w:pPr>
            <w:r>
              <w:rPr>
                <w:rFonts w:hint="eastAsia" w:ascii="宋体" w:hAnsi="宋体" w:cs="宋体"/>
                <w:color w:val="auto"/>
                <w:kern w:val="0"/>
                <w:sz w:val="24"/>
                <w:szCs w:val="24"/>
              </w:rPr>
              <w:t>年度资金总额</w:t>
            </w:r>
          </w:p>
        </w:tc>
        <w:tc>
          <w:tcPr>
            <w:tcW w:w="1233"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rPr>
              <w:t>454.6</w:t>
            </w:r>
          </w:p>
        </w:tc>
        <w:tc>
          <w:tcPr>
            <w:tcW w:w="1378"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rPr>
              <w:t>454.6</w:t>
            </w:r>
          </w:p>
        </w:tc>
        <w:tc>
          <w:tcPr>
            <w:tcW w:w="1711"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rPr>
              <w:t>349.391547</w:t>
            </w:r>
          </w:p>
        </w:tc>
        <w:tc>
          <w:tcPr>
            <w:tcW w:w="789" w:type="dxa"/>
            <w:tcBorders>
              <w:top w:val="nil"/>
              <w:left w:val="nil"/>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10</w:t>
            </w:r>
          </w:p>
        </w:tc>
        <w:tc>
          <w:tcPr>
            <w:tcW w:w="1144"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76.86%</w:t>
            </w:r>
          </w:p>
        </w:tc>
        <w:tc>
          <w:tcPr>
            <w:tcW w:w="1334"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7.7</w:t>
            </w:r>
          </w:p>
        </w:tc>
      </w:tr>
      <w:tr>
        <w:tblPrEx>
          <w:tblCellMar>
            <w:top w:w="0" w:type="dxa"/>
            <w:left w:w="108" w:type="dxa"/>
            <w:bottom w:w="0" w:type="dxa"/>
            <w:right w:w="108" w:type="dxa"/>
          </w:tblCellMar>
        </w:tblPrEx>
        <w:trPr>
          <w:trHeight w:val="680" w:hRule="atLeast"/>
          <w:jc w:val="center"/>
        </w:trPr>
        <w:tc>
          <w:tcPr>
            <w:tcW w:w="128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p>
        </w:tc>
        <w:tc>
          <w:tcPr>
            <w:tcW w:w="1845"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其中：当年财政拨款</w:t>
            </w:r>
          </w:p>
        </w:tc>
        <w:tc>
          <w:tcPr>
            <w:tcW w:w="1233"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rPr>
              <w:t>454.6</w:t>
            </w:r>
          </w:p>
        </w:tc>
        <w:tc>
          <w:tcPr>
            <w:tcW w:w="1378" w:type="dxa"/>
            <w:tcBorders>
              <w:top w:val="nil"/>
              <w:left w:val="nil"/>
              <w:bottom w:val="single" w:color="auto" w:sz="4" w:space="0"/>
              <w:right w:val="single" w:color="auto" w:sz="4" w:space="0"/>
            </w:tcBorders>
            <w:noWrap w:val="0"/>
            <w:vAlign w:val="center"/>
          </w:tcPr>
          <w:p>
            <w:pPr>
              <w:widowControl/>
              <w:spacing w:line="240" w:lineRule="auto"/>
              <w:jc w:val="center"/>
              <w:rPr>
                <w:rFonts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rPr>
              <w:t>454.6</w:t>
            </w:r>
          </w:p>
        </w:tc>
        <w:tc>
          <w:tcPr>
            <w:tcW w:w="1711"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rPr>
              <w:t>349.391547</w:t>
            </w:r>
          </w:p>
        </w:tc>
        <w:tc>
          <w:tcPr>
            <w:tcW w:w="789" w:type="dxa"/>
            <w:tcBorders>
              <w:top w:val="nil"/>
              <w:left w:val="nil"/>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w:t>
            </w:r>
          </w:p>
        </w:tc>
        <w:tc>
          <w:tcPr>
            <w:tcW w:w="1144"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76.86%</w:t>
            </w:r>
          </w:p>
        </w:tc>
        <w:tc>
          <w:tcPr>
            <w:tcW w:w="1334" w:type="dxa"/>
            <w:tcBorders>
              <w:top w:val="nil"/>
              <w:left w:val="nil"/>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w:t>
            </w:r>
          </w:p>
        </w:tc>
      </w:tr>
      <w:tr>
        <w:tblPrEx>
          <w:tblCellMar>
            <w:top w:w="0" w:type="dxa"/>
            <w:left w:w="108" w:type="dxa"/>
            <w:bottom w:w="0" w:type="dxa"/>
            <w:right w:w="108" w:type="dxa"/>
          </w:tblCellMar>
        </w:tblPrEx>
        <w:trPr>
          <w:trHeight w:val="680" w:hRule="atLeast"/>
          <w:jc w:val="center"/>
        </w:trPr>
        <w:tc>
          <w:tcPr>
            <w:tcW w:w="128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p>
        </w:tc>
        <w:tc>
          <w:tcPr>
            <w:tcW w:w="1845"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 xml:space="preserve">     上年结转资金</w:t>
            </w:r>
          </w:p>
        </w:tc>
        <w:tc>
          <w:tcPr>
            <w:tcW w:w="1233"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p>
        </w:tc>
        <w:tc>
          <w:tcPr>
            <w:tcW w:w="1378"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p>
        </w:tc>
        <w:tc>
          <w:tcPr>
            <w:tcW w:w="1711"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p>
        </w:tc>
        <w:tc>
          <w:tcPr>
            <w:tcW w:w="789" w:type="dxa"/>
            <w:tcBorders>
              <w:top w:val="nil"/>
              <w:left w:val="nil"/>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w:t>
            </w:r>
          </w:p>
        </w:tc>
        <w:tc>
          <w:tcPr>
            <w:tcW w:w="1144"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p>
        </w:tc>
        <w:tc>
          <w:tcPr>
            <w:tcW w:w="1334" w:type="dxa"/>
            <w:tcBorders>
              <w:top w:val="nil"/>
              <w:left w:val="nil"/>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w:t>
            </w:r>
          </w:p>
        </w:tc>
      </w:tr>
      <w:tr>
        <w:tblPrEx>
          <w:tblCellMar>
            <w:top w:w="0" w:type="dxa"/>
            <w:left w:w="108" w:type="dxa"/>
            <w:bottom w:w="0" w:type="dxa"/>
            <w:right w:w="108" w:type="dxa"/>
          </w:tblCellMar>
        </w:tblPrEx>
        <w:trPr>
          <w:trHeight w:val="680" w:hRule="atLeast"/>
          <w:jc w:val="center"/>
        </w:trPr>
        <w:tc>
          <w:tcPr>
            <w:tcW w:w="128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p>
        </w:tc>
        <w:tc>
          <w:tcPr>
            <w:tcW w:w="1845"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 xml:space="preserve">  其他资金</w:t>
            </w:r>
          </w:p>
        </w:tc>
        <w:tc>
          <w:tcPr>
            <w:tcW w:w="1233" w:type="dxa"/>
            <w:tcBorders>
              <w:top w:val="nil"/>
              <w:left w:val="nil"/>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p>
        </w:tc>
        <w:tc>
          <w:tcPr>
            <w:tcW w:w="1378" w:type="dxa"/>
            <w:tcBorders>
              <w:top w:val="nil"/>
              <w:left w:val="nil"/>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p>
        </w:tc>
        <w:tc>
          <w:tcPr>
            <w:tcW w:w="1711" w:type="dxa"/>
            <w:tcBorders>
              <w:top w:val="nil"/>
              <w:left w:val="nil"/>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p>
        </w:tc>
        <w:tc>
          <w:tcPr>
            <w:tcW w:w="789" w:type="dxa"/>
            <w:tcBorders>
              <w:top w:val="nil"/>
              <w:left w:val="nil"/>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w:t>
            </w:r>
          </w:p>
        </w:tc>
        <w:tc>
          <w:tcPr>
            <w:tcW w:w="1144"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p>
        </w:tc>
        <w:tc>
          <w:tcPr>
            <w:tcW w:w="1334" w:type="dxa"/>
            <w:tcBorders>
              <w:top w:val="nil"/>
              <w:left w:val="nil"/>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w:t>
            </w:r>
          </w:p>
        </w:tc>
      </w:tr>
      <w:tr>
        <w:tblPrEx>
          <w:tblCellMar>
            <w:top w:w="0" w:type="dxa"/>
            <w:left w:w="108" w:type="dxa"/>
            <w:bottom w:w="0" w:type="dxa"/>
            <w:right w:w="108" w:type="dxa"/>
          </w:tblCellMar>
        </w:tblPrEx>
        <w:trPr>
          <w:trHeight w:val="648" w:hRule="exact"/>
          <w:jc w:val="center"/>
        </w:trPr>
        <w:tc>
          <w:tcPr>
            <w:tcW w:w="437" w:type="dxa"/>
            <w:vMerge w:val="restart"/>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年度总体目标</w:t>
            </w:r>
          </w:p>
        </w:tc>
        <w:tc>
          <w:tcPr>
            <w:tcW w:w="5307" w:type="dxa"/>
            <w:gridSpan w:val="5"/>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预期目标</w:t>
            </w:r>
          </w:p>
        </w:tc>
        <w:tc>
          <w:tcPr>
            <w:tcW w:w="4978" w:type="dxa"/>
            <w:gridSpan w:val="5"/>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实际完成情况</w:t>
            </w:r>
          </w:p>
        </w:tc>
      </w:tr>
      <w:tr>
        <w:tblPrEx>
          <w:tblCellMar>
            <w:top w:w="0" w:type="dxa"/>
            <w:left w:w="108" w:type="dxa"/>
            <w:bottom w:w="0" w:type="dxa"/>
            <w:right w:w="108" w:type="dxa"/>
          </w:tblCellMar>
        </w:tblPrEx>
        <w:trPr>
          <w:trHeight w:val="3086" w:hRule="exact"/>
          <w:jc w:val="center"/>
        </w:trPr>
        <w:tc>
          <w:tcPr>
            <w:tcW w:w="437"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p>
        </w:tc>
        <w:tc>
          <w:tcPr>
            <w:tcW w:w="5307" w:type="dxa"/>
            <w:gridSpan w:val="5"/>
            <w:tcBorders>
              <w:top w:val="single" w:color="auto" w:sz="4" w:space="0"/>
              <w:left w:val="nil"/>
              <w:bottom w:val="single" w:color="auto" w:sz="4" w:space="0"/>
              <w:right w:val="single" w:color="auto" w:sz="4" w:space="0"/>
            </w:tcBorders>
            <w:noWrap w:val="0"/>
            <w:vAlign w:val="center"/>
          </w:tcPr>
          <w:p>
            <w:pPr>
              <w:widowControl/>
              <w:spacing w:line="240" w:lineRule="auto"/>
              <w:jc w:val="both"/>
              <w:rPr>
                <w:rFonts w:ascii="宋体" w:hAnsi="宋体" w:cs="宋体"/>
                <w:color w:val="auto"/>
                <w:kern w:val="0"/>
                <w:sz w:val="24"/>
                <w:szCs w:val="24"/>
              </w:rPr>
            </w:pPr>
            <w:r>
              <w:rPr>
                <w:rFonts w:hint="eastAsia" w:ascii="宋体" w:hAnsi="宋体" w:cs="宋体"/>
                <w:color w:val="auto"/>
                <w:kern w:val="0"/>
                <w:sz w:val="24"/>
              </w:rPr>
              <w:t>推出一批高质量理论成果，凝聚一批优秀人才，出版理论专著，聘用高层次理论人才，更新“习近平新时代中国特色社会主义思想研究”数据库内容。</w:t>
            </w:r>
          </w:p>
        </w:tc>
        <w:tc>
          <w:tcPr>
            <w:tcW w:w="4978" w:type="dxa"/>
            <w:gridSpan w:val="5"/>
            <w:tcBorders>
              <w:top w:val="single" w:color="auto" w:sz="4" w:space="0"/>
              <w:left w:val="nil"/>
              <w:bottom w:val="single" w:color="auto" w:sz="4" w:space="0"/>
              <w:right w:val="single" w:color="auto" w:sz="4" w:space="0"/>
            </w:tcBorders>
            <w:noWrap w:val="0"/>
            <w:vAlign w:val="center"/>
          </w:tcPr>
          <w:p>
            <w:pPr>
              <w:widowControl/>
              <w:spacing w:line="240" w:lineRule="auto"/>
              <w:jc w:val="both"/>
              <w:rPr>
                <w:rFonts w:ascii="宋体" w:hAnsi="宋体" w:cs="宋体"/>
                <w:color w:val="auto"/>
                <w:kern w:val="0"/>
                <w:sz w:val="24"/>
                <w:szCs w:val="24"/>
              </w:rPr>
            </w:pPr>
            <w:r>
              <w:rPr>
                <w:rFonts w:hint="eastAsia" w:ascii="宋体" w:hAnsi="宋体" w:cs="宋体"/>
                <w:color w:val="auto"/>
                <w:kern w:val="0"/>
                <w:sz w:val="24"/>
                <w:szCs w:val="24"/>
              </w:rPr>
              <w:t>围绕党的</w:t>
            </w:r>
            <w:r>
              <w:rPr>
                <w:rFonts w:hint="eastAsia" w:ascii="宋体" w:hAnsi="宋体" w:cs="宋体"/>
                <w:color w:val="auto"/>
                <w:kern w:val="0"/>
                <w:sz w:val="24"/>
                <w:szCs w:val="24"/>
                <w:lang w:eastAsia="zh-CN"/>
              </w:rPr>
              <w:t>创新理论和重大实践问题，</w:t>
            </w:r>
            <w:r>
              <w:rPr>
                <w:rFonts w:hint="eastAsia" w:ascii="宋体" w:hAnsi="宋体" w:cs="宋体"/>
                <w:color w:val="auto"/>
                <w:kern w:val="0"/>
                <w:sz w:val="24"/>
                <w:szCs w:val="24"/>
              </w:rPr>
              <w:t>在中央“三报一刊”发表文章37</w:t>
            </w:r>
            <w:r>
              <w:rPr>
                <w:rFonts w:hint="eastAsia" w:ascii="宋体" w:hAnsi="宋体" w:cs="宋体"/>
                <w:color w:val="auto"/>
                <w:kern w:val="0"/>
                <w:sz w:val="24"/>
                <w:szCs w:val="24"/>
                <w:lang w:val="en-US" w:eastAsia="zh-CN"/>
              </w:rPr>
              <w:t>4</w:t>
            </w:r>
            <w:r>
              <w:rPr>
                <w:rFonts w:hint="eastAsia" w:ascii="宋体" w:hAnsi="宋体" w:cs="宋体"/>
                <w:color w:val="auto"/>
                <w:kern w:val="0"/>
                <w:sz w:val="24"/>
                <w:szCs w:val="24"/>
              </w:rPr>
              <w:t>篇</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出版“首都当代中国马克思主义研究巡礼文库（2023年版）”</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聘任高层次理论人才3名，慰问专家20余人次</w:t>
            </w:r>
            <w:r>
              <w:rPr>
                <w:rFonts w:hint="eastAsia" w:ascii="宋体" w:hAnsi="宋体" w:cs="宋体"/>
                <w:color w:val="auto"/>
                <w:kern w:val="0"/>
                <w:sz w:val="24"/>
                <w:szCs w:val="24"/>
                <w:lang w:eastAsia="zh-CN"/>
              </w:rPr>
              <w:t>，评选</w:t>
            </w:r>
            <w:r>
              <w:rPr>
                <w:rFonts w:hint="eastAsia" w:ascii="宋体" w:hAnsi="宋体" w:cs="宋体"/>
                <w:color w:val="auto"/>
                <w:kern w:val="0"/>
                <w:sz w:val="24"/>
                <w:szCs w:val="24"/>
              </w:rPr>
              <w:t>2023年北京市研究阐释习近平新时代中国特色社会主义思想优秀博士学位论文</w:t>
            </w:r>
            <w:r>
              <w:rPr>
                <w:rFonts w:hint="eastAsia" w:ascii="宋体" w:hAnsi="宋体" w:cs="宋体"/>
                <w:color w:val="auto"/>
                <w:kern w:val="0"/>
                <w:sz w:val="24"/>
                <w:szCs w:val="24"/>
                <w:lang w:val="en-US" w:eastAsia="zh-CN"/>
              </w:rPr>
              <w:t>6篇</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更新“习近平新时代中国特色社会主义思想研究”数据库内容。</w:t>
            </w:r>
          </w:p>
        </w:tc>
      </w:tr>
      <w:tr>
        <w:tblPrEx>
          <w:tblCellMar>
            <w:top w:w="0" w:type="dxa"/>
            <w:left w:w="108" w:type="dxa"/>
            <w:bottom w:w="0" w:type="dxa"/>
            <w:right w:w="108" w:type="dxa"/>
          </w:tblCellMar>
        </w:tblPrEx>
        <w:trPr>
          <w:trHeight w:val="1348" w:hRule="exact"/>
          <w:jc w:val="center"/>
        </w:trPr>
        <w:tc>
          <w:tcPr>
            <w:tcW w:w="43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绩</w:t>
            </w:r>
            <w:r>
              <w:rPr>
                <w:rFonts w:hint="eastAsia" w:ascii="宋体" w:hAnsi="宋体" w:cs="宋体"/>
                <w:color w:val="auto"/>
                <w:kern w:val="0"/>
                <w:sz w:val="24"/>
                <w:szCs w:val="24"/>
              </w:rPr>
              <w:br w:type="textWrapping"/>
            </w:r>
            <w:r>
              <w:rPr>
                <w:rFonts w:hint="eastAsia" w:ascii="宋体" w:hAnsi="宋体" w:cs="宋体"/>
                <w:color w:val="auto"/>
                <w:kern w:val="0"/>
                <w:sz w:val="24"/>
                <w:szCs w:val="24"/>
              </w:rPr>
              <w:t>效</w:t>
            </w:r>
            <w:r>
              <w:rPr>
                <w:rFonts w:hint="eastAsia" w:ascii="宋体" w:hAnsi="宋体" w:cs="宋体"/>
                <w:color w:val="auto"/>
                <w:kern w:val="0"/>
                <w:sz w:val="24"/>
                <w:szCs w:val="24"/>
              </w:rPr>
              <w:br w:type="textWrapping"/>
            </w:r>
            <w:r>
              <w:rPr>
                <w:rFonts w:hint="eastAsia" w:ascii="宋体" w:hAnsi="宋体" w:cs="宋体"/>
                <w:color w:val="auto"/>
                <w:kern w:val="0"/>
                <w:sz w:val="24"/>
                <w:szCs w:val="24"/>
              </w:rPr>
              <w:t>指</w:t>
            </w:r>
            <w:r>
              <w:rPr>
                <w:rFonts w:hint="eastAsia" w:ascii="宋体" w:hAnsi="宋体" w:cs="宋体"/>
                <w:color w:val="auto"/>
                <w:kern w:val="0"/>
                <w:sz w:val="24"/>
                <w:szCs w:val="24"/>
              </w:rPr>
              <w:br w:type="textWrapping"/>
            </w:r>
            <w:r>
              <w:rPr>
                <w:rFonts w:hint="eastAsia" w:ascii="宋体" w:hAnsi="宋体" w:cs="宋体"/>
                <w:color w:val="auto"/>
                <w:kern w:val="0"/>
                <w:sz w:val="24"/>
                <w:szCs w:val="24"/>
              </w:rPr>
              <w:t>标</w:t>
            </w:r>
          </w:p>
        </w:tc>
        <w:tc>
          <w:tcPr>
            <w:tcW w:w="85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一级指标</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二级指标</w:t>
            </w:r>
          </w:p>
        </w:tc>
        <w:tc>
          <w:tcPr>
            <w:tcW w:w="224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三级指标</w:t>
            </w:r>
          </w:p>
        </w:tc>
        <w:tc>
          <w:tcPr>
            <w:tcW w:w="1378" w:type="dxa"/>
            <w:tcBorders>
              <w:top w:val="nil"/>
              <w:left w:val="nil"/>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年度</w:t>
            </w:r>
          </w:p>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指标值</w:t>
            </w:r>
          </w:p>
        </w:tc>
        <w:tc>
          <w:tcPr>
            <w:tcW w:w="1711" w:type="dxa"/>
            <w:tcBorders>
              <w:top w:val="nil"/>
              <w:left w:val="nil"/>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实际</w:t>
            </w:r>
          </w:p>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完成值</w:t>
            </w:r>
          </w:p>
        </w:tc>
        <w:tc>
          <w:tcPr>
            <w:tcW w:w="1011"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分值</w:t>
            </w:r>
          </w:p>
        </w:tc>
        <w:tc>
          <w:tcPr>
            <w:tcW w:w="922" w:type="dxa"/>
            <w:tcBorders>
              <w:top w:val="nil"/>
              <w:left w:val="nil"/>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得分</w:t>
            </w:r>
          </w:p>
        </w:tc>
        <w:tc>
          <w:tcPr>
            <w:tcW w:w="1334"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偏差原因分析及改进措施</w:t>
            </w:r>
          </w:p>
        </w:tc>
      </w:tr>
      <w:tr>
        <w:tblPrEx>
          <w:tblCellMar>
            <w:top w:w="0" w:type="dxa"/>
            <w:left w:w="108" w:type="dxa"/>
            <w:bottom w:w="0" w:type="dxa"/>
            <w:right w:w="108" w:type="dxa"/>
          </w:tblCellMar>
        </w:tblPrEx>
        <w:trPr>
          <w:trHeight w:val="857" w:hRule="atLeast"/>
          <w:jc w:val="center"/>
        </w:trPr>
        <w:tc>
          <w:tcPr>
            <w:tcW w:w="43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p>
        </w:tc>
        <w:tc>
          <w:tcPr>
            <w:tcW w:w="85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产出指标</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数量指标</w:t>
            </w:r>
          </w:p>
        </w:tc>
        <w:tc>
          <w:tcPr>
            <w:tcW w:w="224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发表理论文章数量</w:t>
            </w:r>
          </w:p>
        </w:tc>
        <w:tc>
          <w:tcPr>
            <w:tcW w:w="1378"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200篇</w:t>
            </w:r>
          </w:p>
        </w:tc>
        <w:tc>
          <w:tcPr>
            <w:tcW w:w="1711"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374篇</w:t>
            </w:r>
          </w:p>
        </w:tc>
        <w:tc>
          <w:tcPr>
            <w:tcW w:w="1011"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20</w:t>
            </w:r>
          </w:p>
        </w:tc>
        <w:tc>
          <w:tcPr>
            <w:tcW w:w="922"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20</w:t>
            </w:r>
          </w:p>
        </w:tc>
        <w:tc>
          <w:tcPr>
            <w:tcW w:w="1334"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p>
        </w:tc>
      </w:tr>
      <w:tr>
        <w:tblPrEx>
          <w:tblCellMar>
            <w:top w:w="0" w:type="dxa"/>
            <w:left w:w="108" w:type="dxa"/>
            <w:bottom w:w="0" w:type="dxa"/>
            <w:right w:w="108" w:type="dxa"/>
          </w:tblCellMar>
        </w:tblPrEx>
        <w:trPr>
          <w:trHeight w:val="825" w:hRule="atLeast"/>
          <w:jc w:val="center"/>
        </w:trPr>
        <w:tc>
          <w:tcPr>
            <w:tcW w:w="43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p>
        </w:tc>
        <w:tc>
          <w:tcPr>
            <w:tcW w:w="85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p>
        </w:tc>
        <w:tc>
          <w:tcPr>
            <w:tcW w:w="8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质量指标</w:t>
            </w:r>
          </w:p>
        </w:tc>
        <w:tc>
          <w:tcPr>
            <w:tcW w:w="224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数字化加工准确率</w:t>
            </w:r>
          </w:p>
        </w:tc>
        <w:tc>
          <w:tcPr>
            <w:tcW w:w="1378"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80%</w:t>
            </w:r>
          </w:p>
        </w:tc>
        <w:tc>
          <w:tcPr>
            <w:tcW w:w="1711"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99.95%</w:t>
            </w:r>
          </w:p>
        </w:tc>
        <w:tc>
          <w:tcPr>
            <w:tcW w:w="1011"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10</w:t>
            </w:r>
          </w:p>
        </w:tc>
        <w:tc>
          <w:tcPr>
            <w:tcW w:w="922"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10</w:t>
            </w:r>
          </w:p>
        </w:tc>
        <w:tc>
          <w:tcPr>
            <w:tcW w:w="1334"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p>
        </w:tc>
      </w:tr>
      <w:tr>
        <w:tblPrEx>
          <w:tblCellMar>
            <w:top w:w="0" w:type="dxa"/>
            <w:left w:w="108" w:type="dxa"/>
            <w:bottom w:w="0" w:type="dxa"/>
            <w:right w:w="108" w:type="dxa"/>
          </w:tblCellMar>
        </w:tblPrEx>
        <w:trPr>
          <w:trHeight w:val="1087" w:hRule="atLeast"/>
          <w:jc w:val="center"/>
        </w:trPr>
        <w:tc>
          <w:tcPr>
            <w:tcW w:w="43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p>
        </w:tc>
        <w:tc>
          <w:tcPr>
            <w:tcW w:w="85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p>
        </w:tc>
        <w:tc>
          <w:tcPr>
            <w:tcW w:w="8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p>
        </w:tc>
        <w:tc>
          <w:tcPr>
            <w:tcW w:w="224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发表理论文章在重要媒体转载率</w:t>
            </w:r>
          </w:p>
        </w:tc>
        <w:tc>
          <w:tcPr>
            <w:tcW w:w="1378"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40%</w:t>
            </w:r>
          </w:p>
        </w:tc>
        <w:tc>
          <w:tcPr>
            <w:tcW w:w="1711"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56%</w:t>
            </w:r>
          </w:p>
        </w:tc>
        <w:tc>
          <w:tcPr>
            <w:tcW w:w="1011" w:type="dxa"/>
            <w:gridSpan w:val="2"/>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10</w:t>
            </w:r>
          </w:p>
        </w:tc>
        <w:tc>
          <w:tcPr>
            <w:tcW w:w="922" w:type="dxa"/>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10</w:t>
            </w:r>
          </w:p>
        </w:tc>
        <w:tc>
          <w:tcPr>
            <w:tcW w:w="1334"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p>
        </w:tc>
      </w:tr>
      <w:tr>
        <w:tblPrEx>
          <w:tblCellMar>
            <w:top w:w="0" w:type="dxa"/>
            <w:left w:w="108" w:type="dxa"/>
            <w:bottom w:w="0" w:type="dxa"/>
            <w:right w:w="108" w:type="dxa"/>
          </w:tblCellMar>
        </w:tblPrEx>
        <w:trPr>
          <w:trHeight w:val="804" w:hRule="atLeast"/>
          <w:jc w:val="center"/>
        </w:trPr>
        <w:tc>
          <w:tcPr>
            <w:tcW w:w="43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p>
        </w:tc>
        <w:tc>
          <w:tcPr>
            <w:tcW w:w="85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时效指标</w:t>
            </w:r>
          </w:p>
        </w:tc>
        <w:tc>
          <w:tcPr>
            <w:tcW w:w="224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项目完成时限</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2023年12月</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rPr>
              <w:t>2023年12月</w:t>
            </w:r>
          </w:p>
        </w:tc>
        <w:tc>
          <w:tcPr>
            <w:tcW w:w="101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10</w:t>
            </w:r>
          </w:p>
        </w:tc>
        <w:tc>
          <w:tcPr>
            <w:tcW w:w="92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10</w:t>
            </w:r>
          </w:p>
        </w:tc>
        <w:tc>
          <w:tcPr>
            <w:tcW w:w="13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p>
        </w:tc>
      </w:tr>
      <w:tr>
        <w:tblPrEx>
          <w:tblCellMar>
            <w:top w:w="0" w:type="dxa"/>
            <w:left w:w="108" w:type="dxa"/>
            <w:bottom w:w="0" w:type="dxa"/>
            <w:right w:w="108" w:type="dxa"/>
          </w:tblCellMar>
        </w:tblPrEx>
        <w:trPr>
          <w:trHeight w:val="971" w:hRule="atLeast"/>
          <w:jc w:val="center"/>
        </w:trPr>
        <w:tc>
          <w:tcPr>
            <w:tcW w:w="43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p>
        </w:tc>
        <w:tc>
          <w:tcPr>
            <w:tcW w:w="85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成本指标</w:t>
            </w:r>
          </w:p>
        </w:tc>
        <w:tc>
          <w:tcPr>
            <w:tcW w:w="224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优秀博士学位论文评选奖励</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2万元/个</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2万元/个</w:t>
            </w:r>
          </w:p>
        </w:tc>
        <w:tc>
          <w:tcPr>
            <w:tcW w:w="101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10</w:t>
            </w:r>
          </w:p>
        </w:tc>
        <w:tc>
          <w:tcPr>
            <w:tcW w:w="92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10</w:t>
            </w:r>
          </w:p>
        </w:tc>
        <w:tc>
          <w:tcPr>
            <w:tcW w:w="13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val="en-US" w:eastAsia="zh-CN"/>
              </w:rPr>
            </w:pPr>
          </w:p>
        </w:tc>
      </w:tr>
      <w:tr>
        <w:tblPrEx>
          <w:tblCellMar>
            <w:top w:w="0" w:type="dxa"/>
            <w:left w:w="108" w:type="dxa"/>
            <w:bottom w:w="0" w:type="dxa"/>
            <w:right w:w="108" w:type="dxa"/>
          </w:tblCellMar>
        </w:tblPrEx>
        <w:trPr>
          <w:trHeight w:val="4111" w:hRule="exact"/>
          <w:jc w:val="center"/>
        </w:trPr>
        <w:tc>
          <w:tcPr>
            <w:tcW w:w="437" w:type="dxa"/>
            <w:vMerge w:val="continue"/>
            <w:tcBorders>
              <w:top w:val="single" w:color="auto" w:sz="4" w:space="0"/>
              <w:left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p>
        </w:tc>
        <w:tc>
          <w:tcPr>
            <w:tcW w:w="85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效益指标</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社会效益</w:t>
            </w:r>
          </w:p>
          <w:p>
            <w:pPr>
              <w:widowControl/>
              <w:spacing w:line="240" w:lineRule="auto"/>
              <w:jc w:val="center"/>
              <w:rPr>
                <w:rFonts w:ascii="宋体" w:hAnsi="宋体" w:eastAsia="宋体" w:cs="宋体"/>
                <w:color w:val="auto"/>
                <w:kern w:val="0"/>
                <w:sz w:val="24"/>
                <w:szCs w:val="24"/>
                <w:lang w:val="en-US" w:eastAsia="zh-CN" w:bidi="ar-SA"/>
              </w:rPr>
            </w:pPr>
            <w:r>
              <w:rPr>
                <w:rFonts w:hint="eastAsia" w:ascii="宋体" w:hAnsi="宋体" w:cs="宋体"/>
                <w:color w:val="auto"/>
                <w:kern w:val="0"/>
                <w:sz w:val="24"/>
                <w:szCs w:val="24"/>
              </w:rPr>
              <w:t>指标</w:t>
            </w:r>
          </w:p>
        </w:tc>
        <w:tc>
          <w:tcPr>
            <w:tcW w:w="224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eastAsia="宋体" w:cs="宋体"/>
                <w:color w:val="auto"/>
                <w:kern w:val="0"/>
                <w:sz w:val="24"/>
                <w:szCs w:val="24"/>
                <w:lang w:val="en-US" w:eastAsia="zh-CN" w:bidi="ar-SA"/>
              </w:rPr>
            </w:pPr>
            <w:r>
              <w:rPr>
                <w:rFonts w:hint="eastAsia" w:ascii="宋体" w:hAnsi="宋体" w:cs="宋体"/>
                <w:color w:val="auto"/>
                <w:kern w:val="0"/>
                <w:sz w:val="24"/>
                <w:szCs w:val="24"/>
              </w:rPr>
              <w:t>对繁荣发</w:t>
            </w:r>
            <w:r>
              <w:rPr>
                <w:rFonts w:hint="eastAsia" w:ascii="宋体" w:hAnsi="宋体" w:cs="宋体"/>
                <w:color w:val="auto"/>
                <w:kern w:val="0"/>
                <w:sz w:val="24"/>
                <w:szCs w:val="24"/>
                <w:lang w:val="en-US" w:eastAsia="zh-CN"/>
              </w:rPr>
              <w:t>展</w:t>
            </w:r>
            <w:r>
              <w:rPr>
                <w:rFonts w:hint="eastAsia" w:ascii="宋体" w:hAnsi="宋体" w:cs="宋体"/>
                <w:color w:val="auto"/>
                <w:kern w:val="0"/>
                <w:sz w:val="24"/>
                <w:szCs w:val="24"/>
              </w:rPr>
              <w:t>首都哲学社会科学起到重要推进作用，协助促进社科基金成果转化</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不断发掘优质社科理论研究成果，扶持青年专家学者学术成长</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lang w:eastAsia="zh-CN"/>
              </w:rPr>
              <w:t>理论文章持续保持领先，影响力逐渐增强，出版理论读物产生较好社会反响。组织青年学者参加各类评选活动，使一批青年学者脱颖而出。</w:t>
            </w:r>
          </w:p>
        </w:tc>
        <w:tc>
          <w:tcPr>
            <w:tcW w:w="101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20</w:t>
            </w:r>
          </w:p>
        </w:tc>
        <w:tc>
          <w:tcPr>
            <w:tcW w:w="92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15</w:t>
            </w:r>
          </w:p>
        </w:tc>
        <w:tc>
          <w:tcPr>
            <w:tcW w:w="13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both"/>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lang w:eastAsia="zh-CN"/>
              </w:rPr>
              <w:t>可进一步提升成果质量。</w:t>
            </w:r>
          </w:p>
        </w:tc>
      </w:tr>
      <w:tr>
        <w:tblPrEx>
          <w:tblCellMar>
            <w:top w:w="0" w:type="dxa"/>
            <w:left w:w="108" w:type="dxa"/>
            <w:bottom w:w="0" w:type="dxa"/>
            <w:right w:w="108" w:type="dxa"/>
          </w:tblCellMar>
        </w:tblPrEx>
        <w:trPr>
          <w:trHeight w:val="1712" w:hRule="exact"/>
          <w:jc w:val="center"/>
        </w:trPr>
        <w:tc>
          <w:tcPr>
            <w:tcW w:w="437" w:type="dxa"/>
            <w:vMerge w:val="continue"/>
            <w:tcBorders>
              <w:left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p>
        </w:tc>
        <w:tc>
          <w:tcPr>
            <w:tcW w:w="851" w:type="dxa"/>
            <w:tcBorders>
              <w:top w:val="single" w:color="auto" w:sz="4" w:space="0"/>
              <w:left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满意度</w:t>
            </w:r>
          </w:p>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指标</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服务对象满意度指标</w:t>
            </w:r>
          </w:p>
        </w:tc>
        <w:tc>
          <w:tcPr>
            <w:tcW w:w="2244"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ascii="宋体" w:hAnsi="宋体" w:cs="宋体"/>
                <w:color w:val="auto"/>
                <w:kern w:val="0"/>
                <w:sz w:val="24"/>
                <w:szCs w:val="24"/>
              </w:rPr>
            </w:pPr>
            <w:r>
              <w:rPr>
                <w:rFonts w:hint="eastAsia" w:ascii="宋体" w:hAnsi="宋体" w:cs="宋体"/>
                <w:color w:val="auto"/>
                <w:kern w:val="0"/>
                <w:sz w:val="24"/>
                <w:szCs w:val="24"/>
              </w:rPr>
              <w:t>中宣部、市委满意度</w:t>
            </w:r>
          </w:p>
        </w:tc>
        <w:tc>
          <w:tcPr>
            <w:tcW w:w="1378"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 w:eastAsia="zh-CN"/>
              </w:rPr>
            </w:pPr>
            <w:r>
              <w:rPr>
                <w:rFonts w:hint="eastAsia" w:ascii="宋体" w:hAnsi="宋体" w:cs="宋体"/>
                <w:color w:val="auto"/>
                <w:kern w:val="0"/>
                <w:sz w:val="24"/>
                <w:szCs w:val="24"/>
                <w:lang w:val="en-US" w:eastAsia="zh-CN"/>
              </w:rPr>
              <w:t>85</w:t>
            </w:r>
            <w:r>
              <w:rPr>
                <w:rFonts w:hint="default" w:ascii="宋体" w:hAnsi="宋体" w:cs="宋体"/>
                <w:color w:val="auto"/>
                <w:kern w:val="0"/>
                <w:sz w:val="24"/>
                <w:szCs w:val="24"/>
                <w:lang w:val="en" w:eastAsia="zh-CN"/>
              </w:rPr>
              <w:t>%</w:t>
            </w:r>
          </w:p>
        </w:tc>
        <w:tc>
          <w:tcPr>
            <w:tcW w:w="1711"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 w:eastAsia="zh-CN"/>
              </w:rPr>
            </w:pPr>
            <w:r>
              <w:rPr>
                <w:rFonts w:hint="eastAsia" w:ascii="宋体" w:hAnsi="宋体" w:cs="宋体"/>
                <w:color w:val="auto"/>
                <w:kern w:val="0"/>
                <w:sz w:val="24"/>
                <w:szCs w:val="24"/>
                <w:lang w:val="en-US" w:eastAsia="zh-CN"/>
              </w:rPr>
              <w:t>90</w:t>
            </w:r>
            <w:r>
              <w:rPr>
                <w:rFonts w:hint="default" w:ascii="宋体" w:hAnsi="宋体" w:cs="宋体"/>
                <w:color w:val="auto"/>
                <w:kern w:val="0"/>
                <w:sz w:val="24"/>
                <w:szCs w:val="24"/>
                <w:lang w:val="en" w:eastAsia="zh-CN"/>
              </w:rPr>
              <w:t>%</w:t>
            </w:r>
          </w:p>
        </w:tc>
        <w:tc>
          <w:tcPr>
            <w:tcW w:w="1011"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10</w:t>
            </w:r>
          </w:p>
        </w:tc>
        <w:tc>
          <w:tcPr>
            <w:tcW w:w="922"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8</w:t>
            </w:r>
          </w:p>
        </w:tc>
        <w:tc>
          <w:tcPr>
            <w:tcW w:w="1334"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color w:val="auto"/>
                <w:kern w:val="0"/>
                <w:sz w:val="24"/>
                <w:szCs w:val="24"/>
                <w:lang w:eastAsia="zh-CN"/>
              </w:rPr>
            </w:pPr>
            <w:r>
              <w:rPr>
                <w:rFonts w:hint="eastAsia" w:ascii="宋体" w:hAnsi="宋体" w:cs="宋体"/>
                <w:color w:val="auto"/>
                <w:kern w:val="0"/>
                <w:sz w:val="24"/>
              </w:rPr>
              <w:t>资料可进一步归集</w:t>
            </w:r>
          </w:p>
        </w:tc>
      </w:tr>
      <w:tr>
        <w:tblPrEx>
          <w:tblCellMar>
            <w:top w:w="0" w:type="dxa"/>
            <w:left w:w="108" w:type="dxa"/>
            <w:bottom w:w="0" w:type="dxa"/>
            <w:right w:w="108" w:type="dxa"/>
          </w:tblCellMar>
        </w:tblPrEx>
        <w:trPr>
          <w:trHeight w:val="691" w:hRule="exact"/>
          <w:jc w:val="center"/>
        </w:trPr>
        <w:tc>
          <w:tcPr>
            <w:tcW w:w="7455" w:type="dxa"/>
            <w:gridSpan w:val="7"/>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rPr>
              <w:t>总分</w:t>
            </w:r>
          </w:p>
        </w:tc>
        <w:tc>
          <w:tcPr>
            <w:tcW w:w="1011"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100</w:t>
            </w:r>
          </w:p>
        </w:tc>
        <w:tc>
          <w:tcPr>
            <w:tcW w:w="922"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90.7</w:t>
            </w:r>
          </w:p>
        </w:tc>
        <w:tc>
          <w:tcPr>
            <w:tcW w:w="1334" w:type="dxa"/>
            <w:tcBorders>
              <w:top w:val="single" w:color="auto" w:sz="4" w:space="0"/>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color w:val="auto"/>
                <w:kern w:val="0"/>
                <w:sz w:val="24"/>
                <w:szCs w:val="24"/>
                <w:lang w:val="en-US" w:eastAsia="zh-CN"/>
              </w:rPr>
            </w:pPr>
          </w:p>
        </w:tc>
      </w:tr>
    </w:tbl>
    <w:p>
      <w:bookmarkStart w:id="0" w:name="_GoBack"/>
      <w:bookmarkEnd w:id="0"/>
    </w:p>
    <w:sectPr>
      <w:pgSz w:w="11906" w:h="16838"/>
      <w:pgMar w:top="794" w:right="794" w:bottom="794" w:left="79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mNGU3YTgyZDFiNWYzNGY0Mzc2ODdhYWM2OGQ3MGYifQ=="/>
  </w:docVars>
  <w:rsids>
    <w:rsidRoot w:val="B4F626E5"/>
    <w:rsid w:val="08CC67C9"/>
    <w:rsid w:val="08F71A98"/>
    <w:rsid w:val="0FB3423F"/>
    <w:rsid w:val="1072CA53"/>
    <w:rsid w:val="1A954C6D"/>
    <w:rsid w:val="1ABA5EDF"/>
    <w:rsid w:val="1D7B1B1D"/>
    <w:rsid w:val="1FC3402A"/>
    <w:rsid w:val="208E21B3"/>
    <w:rsid w:val="218B47BF"/>
    <w:rsid w:val="25B83F05"/>
    <w:rsid w:val="27C941A8"/>
    <w:rsid w:val="291F738B"/>
    <w:rsid w:val="29C410CB"/>
    <w:rsid w:val="2ABC1DA2"/>
    <w:rsid w:val="2BEB3DAD"/>
    <w:rsid w:val="2C3818FC"/>
    <w:rsid w:val="2C5D1F69"/>
    <w:rsid w:val="345163DC"/>
    <w:rsid w:val="356A0501"/>
    <w:rsid w:val="38FB7E88"/>
    <w:rsid w:val="3E9B6085"/>
    <w:rsid w:val="438F40A0"/>
    <w:rsid w:val="48B63E7D"/>
    <w:rsid w:val="55067F3A"/>
    <w:rsid w:val="5BDE67B1"/>
    <w:rsid w:val="5FFD9372"/>
    <w:rsid w:val="60844B35"/>
    <w:rsid w:val="623C6124"/>
    <w:rsid w:val="645C6BAC"/>
    <w:rsid w:val="677B33EA"/>
    <w:rsid w:val="69FD14B4"/>
    <w:rsid w:val="71834994"/>
    <w:rsid w:val="71D27DD7"/>
    <w:rsid w:val="766BF779"/>
    <w:rsid w:val="7AF901B6"/>
    <w:rsid w:val="7C4E5B9F"/>
    <w:rsid w:val="7D7998A2"/>
    <w:rsid w:val="7FA04FB5"/>
    <w:rsid w:val="7FAF81CF"/>
    <w:rsid w:val="96FF68B4"/>
    <w:rsid w:val="A590AD2D"/>
    <w:rsid w:val="A7E9E4D5"/>
    <w:rsid w:val="ABFE52A8"/>
    <w:rsid w:val="B4F626E5"/>
    <w:rsid w:val="B7F8B20D"/>
    <w:rsid w:val="BE552187"/>
    <w:rsid w:val="CBF4A603"/>
    <w:rsid w:val="DFEF541B"/>
    <w:rsid w:val="E7BD30A1"/>
    <w:rsid w:val="EEFF3877"/>
    <w:rsid w:val="FB7E71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1"/>
    <w:autoRedefine/>
    <w:qFormat/>
    <w:uiPriority w:val="0"/>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116</TotalTime>
  <ScaleCrop>false</ScaleCrop>
  <LinksUpToDate>false</LinksUpToDate>
  <CharactersWithSpaces>0</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2023-04-27T15:48:00Z</dcterms:created>
  <dc:creator>skl</dc:creator>
  <cp:lastModifiedBy>Q</cp:lastModifiedBy>
  <dcterms:modified xsi:type="dcterms:W3CDTF">2024-04-29T02:48:22Z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1B58736EA41B44CFBC8F6A7944B79193_12</vt:lpwstr>
  </property>
</Properties>
</file>