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exact"/>
      </w:pPr>
      <w:r>
        <w:rPr>
          <w:rFonts w:hint="eastAsia"/>
        </w:rPr>
        <w:t>附件1</w:t>
      </w:r>
    </w:p>
    <w:p>
      <w:pPr>
        <w:spacing w:line="240" w:lineRule="exact"/>
        <w:jc w:val="center"/>
      </w:pPr>
      <w:r>
        <w:rPr>
          <w:rFonts w:hint="eastAsia"/>
        </w:rPr>
        <w:t>项目支出绩效自评表</w:t>
      </w:r>
    </w:p>
    <w:p>
      <w:pPr>
        <w:spacing w:line="240" w:lineRule="exact"/>
        <w:jc w:val="center"/>
      </w:pPr>
      <w:r>
        <w:rPr>
          <w:rFonts w:hint="eastAsia"/>
        </w:rPr>
        <w:t>（2023年度）</w:t>
      </w:r>
    </w:p>
    <w:p>
      <w:pPr>
        <w:spacing w:line="240" w:lineRule="exact"/>
      </w:pPr>
    </w:p>
    <w:tbl>
      <w:tblPr>
        <w:tblStyle w:val="6"/>
        <w:tblW w:w="5239" w:type="pct"/>
        <w:jc w:val="center"/>
        <w:tblLayout w:type="autofit"/>
        <w:tblCellMar>
          <w:top w:w="0" w:type="dxa"/>
          <w:left w:w="108" w:type="dxa"/>
          <w:bottom w:w="0" w:type="dxa"/>
          <w:right w:w="108" w:type="dxa"/>
        </w:tblCellMar>
      </w:tblPr>
      <w:tblGrid>
        <w:gridCol w:w="823"/>
        <w:gridCol w:w="1366"/>
        <w:gridCol w:w="1265"/>
        <w:gridCol w:w="1215"/>
        <w:gridCol w:w="1577"/>
        <w:gridCol w:w="374"/>
        <w:gridCol w:w="1227"/>
        <w:gridCol w:w="291"/>
        <w:gridCol w:w="2394"/>
        <w:gridCol w:w="134"/>
        <w:gridCol w:w="867"/>
        <w:gridCol w:w="166"/>
        <w:gridCol w:w="734"/>
        <w:gridCol w:w="556"/>
        <w:gridCol w:w="1863"/>
      </w:tblGrid>
      <w:tr>
        <w:tblPrEx>
          <w:tblCellMar>
            <w:top w:w="0" w:type="dxa"/>
            <w:left w:w="108" w:type="dxa"/>
            <w:bottom w:w="0" w:type="dxa"/>
            <w:right w:w="108" w:type="dxa"/>
          </w:tblCellMar>
        </w:tblPrEx>
        <w:trPr>
          <w:trHeight w:val="514" w:hRule="exact"/>
          <w:jc w:val="center"/>
        </w:trPr>
        <w:tc>
          <w:tcPr>
            <w:tcW w:w="737" w:type="pct"/>
            <w:gridSpan w:val="2"/>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项目名称</w:t>
            </w:r>
          </w:p>
        </w:tc>
        <w:tc>
          <w:tcPr>
            <w:tcW w:w="4262" w:type="pct"/>
            <w:gridSpan w:val="1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11000023T000002069156-基于冗余理论的基坑工程内支撑体系优化设计方法研究</w:t>
            </w:r>
          </w:p>
        </w:tc>
      </w:tr>
      <w:tr>
        <w:tblPrEx>
          <w:tblCellMar>
            <w:top w:w="0" w:type="dxa"/>
            <w:left w:w="108" w:type="dxa"/>
            <w:bottom w:w="0" w:type="dxa"/>
            <w:right w:w="108" w:type="dxa"/>
          </w:tblCellMar>
        </w:tblPrEx>
        <w:trPr>
          <w:trHeight w:val="478" w:hRule="exact"/>
          <w:jc w:val="center"/>
        </w:trPr>
        <w:tc>
          <w:tcPr>
            <w:tcW w:w="737" w:type="pct"/>
            <w:gridSpan w:val="2"/>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主管部门</w:t>
            </w:r>
          </w:p>
        </w:tc>
        <w:tc>
          <w:tcPr>
            <w:tcW w:w="2002" w:type="pct"/>
            <w:gridSpan w:val="6"/>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199001-北京市市政工程研究院</w:t>
            </w:r>
          </w:p>
        </w:tc>
        <w:tc>
          <w:tcPr>
            <w:tcW w:w="806"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实施单位</w:t>
            </w:r>
          </w:p>
        </w:tc>
        <w:tc>
          <w:tcPr>
            <w:tcW w:w="1452" w:type="pct"/>
            <w:gridSpan w:val="6"/>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199001-北京市市政工程研究院</w:t>
            </w:r>
          </w:p>
        </w:tc>
      </w:tr>
      <w:tr>
        <w:tblPrEx>
          <w:tblCellMar>
            <w:top w:w="0" w:type="dxa"/>
            <w:left w:w="108" w:type="dxa"/>
            <w:bottom w:w="0" w:type="dxa"/>
            <w:right w:w="108" w:type="dxa"/>
          </w:tblCellMar>
        </w:tblPrEx>
        <w:trPr>
          <w:trHeight w:val="492" w:hRule="exact"/>
          <w:jc w:val="center"/>
        </w:trPr>
        <w:tc>
          <w:tcPr>
            <w:tcW w:w="737"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line="240" w:lineRule="exact"/>
              <w:jc w:val="center"/>
            </w:pPr>
            <w:r>
              <w:rPr>
                <w:rFonts w:hint="eastAsia"/>
              </w:rPr>
              <w:t>项目负责人</w:t>
            </w:r>
          </w:p>
        </w:tc>
        <w:tc>
          <w:tcPr>
            <w:tcW w:w="2002" w:type="pct"/>
            <w:gridSpan w:val="6"/>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牛晓凯</w:t>
            </w:r>
          </w:p>
        </w:tc>
        <w:tc>
          <w:tcPr>
            <w:tcW w:w="806" w:type="pct"/>
            <w:tcBorders>
              <w:top w:val="nil"/>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联系电话</w:t>
            </w:r>
          </w:p>
        </w:tc>
        <w:tc>
          <w:tcPr>
            <w:tcW w:w="1452" w:type="pct"/>
            <w:gridSpan w:val="6"/>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18810327133</w:t>
            </w:r>
          </w:p>
        </w:tc>
      </w:tr>
      <w:tr>
        <w:tblPrEx>
          <w:tblCellMar>
            <w:top w:w="0" w:type="dxa"/>
            <w:left w:w="108" w:type="dxa"/>
            <w:bottom w:w="0" w:type="dxa"/>
            <w:right w:w="108" w:type="dxa"/>
          </w:tblCellMar>
        </w:tblPrEx>
        <w:trPr>
          <w:trHeight w:val="465" w:hRule="exact"/>
          <w:jc w:val="center"/>
        </w:trPr>
        <w:tc>
          <w:tcPr>
            <w:tcW w:w="737"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项目资金</w:t>
            </w:r>
            <w:r>
              <w:rPr>
                <w:rFonts w:hint="eastAsia"/>
              </w:rPr>
              <w:br w:type="textWrapping"/>
            </w:r>
            <w:r>
              <w:rPr>
                <w:rFonts w:hint="eastAsia"/>
              </w:rPr>
              <w:t>（万元）</w:t>
            </w:r>
          </w:p>
        </w:tc>
        <w:tc>
          <w:tcPr>
            <w:tcW w:w="835" w:type="pct"/>
            <w:gridSpan w:val="2"/>
            <w:tcBorders>
              <w:top w:val="single" w:color="auto" w:sz="4" w:space="0"/>
              <w:left w:val="nil"/>
              <w:bottom w:val="single" w:color="auto" w:sz="4" w:space="0"/>
              <w:right w:val="single" w:color="auto" w:sz="4" w:space="0"/>
            </w:tcBorders>
            <w:vAlign w:val="center"/>
          </w:tcPr>
          <w:p>
            <w:pPr>
              <w:widowControl w:val="0"/>
              <w:spacing w:line="240" w:lineRule="exact"/>
              <w:jc w:val="center"/>
            </w:pPr>
          </w:p>
        </w:tc>
        <w:tc>
          <w:tcPr>
            <w:tcW w:w="531"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年初预算数</w:t>
            </w:r>
          </w:p>
        </w:tc>
        <w:tc>
          <w:tcPr>
            <w:tcW w:w="634" w:type="pct"/>
            <w:gridSpan w:val="3"/>
            <w:tcBorders>
              <w:top w:val="nil"/>
              <w:left w:val="nil"/>
              <w:bottom w:val="single" w:color="auto" w:sz="4" w:space="0"/>
              <w:right w:val="single" w:color="auto" w:sz="4" w:space="0"/>
            </w:tcBorders>
            <w:vAlign w:val="center"/>
          </w:tcPr>
          <w:p>
            <w:pPr>
              <w:widowControl w:val="0"/>
              <w:spacing w:line="240" w:lineRule="exact"/>
              <w:jc w:val="center"/>
            </w:pPr>
            <w:r>
              <w:rPr>
                <w:rFonts w:hint="eastAsia"/>
              </w:rPr>
              <w:t>全年预算数</w:t>
            </w:r>
          </w:p>
        </w:tc>
        <w:tc>
          <w:tcPr>
            <w:tcW w:w="806"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全年执行数</w:t>
            </w:r>
          </w:p>
        </w:tc>
        <w:tc>
          <w:tcPr>
            <w:tcW w:w="390" w:type="pct"/>
            <w:gridSpan w:val="3"/>
            <w:tcBorders>
              <w:top w:val="nil"/>
              <w:left w:val="nil"/>
              <w:bottom w:val="single" w:color="auto" w:sz="4" w:space="0"/>
              <w:right w:val="single" w:color="auto" w:sz="4" w:space="0"/>
            </w:tcBorders>
            <w:vAlign w:val="center"/>
          </w:tcPr>
          <w:p>
            <w:pPr>
              <w:widowControl w:val="0"/>
              <w:spacing w:line="240" w:lineRule="exact"/>
              <w:jc w:val="center"/>
            </w:pPr>
            <w:r>
              <w:rPr>
                <w:rFonts w:hint="eastAsia"/>
              </w:rPr>
              <w:t>分值</w:t>
            </w:r>
          </w:p>
        </w:tc>
        <w:tc>
          <w:tcPr>
            <w:tcW w:w="434" w:type="pct"/>
            <w:gridSpan w:val="2"/>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执行率</w:t>
            </w:r>
          </w:p>
        </w:tc>
        <w:tc>
          <w:tcPr>
            <w:tcW w:w="627"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得分</w:t>
            </w:r>
          </w:p>
        </w:tc>
      </w:tr>
      <w:tr>
        <w:tblPrEx>
          <w:tblCellMar>
            <w:top w:w="0" w:type="dxa"/>
            <w:left w:w="108" w:type="dxa"/>
            <w:bottom w:w="0" w:type="dxa"/>
            <w:right w:w="108" w:type="dxa"/>
          </w:tblCellMar>
        </w:tblPrEx>
        <w:trPr>
          <w:trHeight w:val="470" w:hRule="exact"/>
          <w:jc w:val="center"/>
        </w:trPr>
        <w:tc>
          <w:tcPr>
            <w:tcW w:w="73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835" w:type="pct"/>
            <w:gridSpan w:val="2"/>
            <w:tcBorders>
              <w:top w:val="single" w:color="auto" w:sz="4" w:space="0"/>
              <w:left w:val="nil"/>
              <w:bottom w:val="single" w:color="auto" w:sz="4" w:space="0"/>
              <w:right w:val="single" w:color="auto" w:sz="4" w:space="0"/>
            </w:tcBorders>
            <w:vAlign w:val="center"/>
          </w:tcPr>
          <w:p>
            <w:pPr>
              <w:widowControl w:val="0"/>
              <w:spacing w:line="240" w:lineRule="exact"/>
            </w:pPr>
            <w:r>
              <w:rPr>
                <w:rFonts w:hint="eastAsia"/>
              </w:rPr>
              <w:t>年度资金总额</w:t>
            </w:r>
          </w:p>
        </w:tc>
        <w:tc>
          <w:tcPr>
            <w:tcW w:w="531"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85.00</w:t>
            </w:r>
          </w:p>
        </w:tc>
        <w:tc>
          <w:tcPr>
            <w:tcW w:w="634" w:type="pct"/>
            <w:gridSpan w:val="3"/>
            <w:tcBorders>
              <w:top w:val="nil"/>
              <w:left w:val="nil"/>
              <w:bottom w:val="single" w:color="auto" w:sz="4" w:space="0"/>
              <w:right w:val="single" w:color="auto" w:sz="4" w:space="0"/>
            </w:tcBorders>
            <w:vAlign w:val="center"/>
          </w:tcPr>
          <w:p>
            <w:pPr>
              <w:widowControl w:val="0"/>
              <w:spacing w:line="240" w:lineRule="exact"/>
              <w:jc w:val="center"/>
            </w:pPr>
            <w:r>
              <w:rPr>
                <w:rFonts w:hint="eastAsia"/>
              </w:rPr>
              <w:t>85.00</w:t>
            </w:r>
          </w:p>
        </w:tc>
        <w:tc>
          <w:tcPr>
            <w:tcW w:w="806"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85.00</w:t>
            </w:r>
          </w:p>
        </w:tc>
        <w:tc>
          <w:tcPr>
            <w:tcW w:w="390" w:type="pct"/>
            <w:gridSpan w:val="3"/>
            <w:tcBorders>
              <w:top w:val="nil"/>
              <w:left w:val="nil"/>
              <w:bottom w:val="single" w:color="auto" w:sz="4" w:space="0"/>
              <w:right w:val="single" w:color="auto" w:sz="4" w:space="0"/>
            </w:tcBorders>
            <w:vAlign w:val="center"/>
          </w:tcPr>
          <w:p>
            <w:pPr>
              <w:widowControl w:val="0"/>
              <w:spacing w:line="240" w:lineRule="exact"/>
              <w:jc w:val="center"/>
            </w:pPr>
            <w:r>
              <w:rPr>
                <w:rFonts w:hint="eastAsia"/>
              </w:rPr>
              <w:t>10</w:t>
            </w:r>
          </w:p>
        </w:tc>
        <w:tc>
          <w:tcPr>
            <w:tcW w:w="434" w:type="pct"/>
            <w:gridSpan w:val="2"/>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100%</w:t>
            </w:r>
          </w:p>
        </w:tc>
        <w:tc>
          <w:tcPr>
            <w:tcW w:w="627"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10</w:t>
            </w:r>
          </w:p>
        </w:tc>
      </w:tr>
      <w:tr>
        <w:tblPrEx>
          <w:tblCellMar>
            <w:top w:w="0" w:type="dxa"/>
            <w:left w:w="108" w:type="dxa"/>
            <w:bottom w:w="0" w:type="dxa"/>
            <w:right w:w="108" w:type="dxa"/>
          </w:tblCellMar>
        </w:tblPrEx>
        <w:trPr>
          <w:trHeight w:val="473" w:hRule="exact"/>
          <w:jc w:val="center"/>
        </w:trPr>
        <w:tc>
          <w:tcPr>
            <w:tcW w:w="73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835" w:type="pct"/>
            <w:gridSpan w:val="2"/>
            <w:tcBorders>
              <w:top w:val="single" w:color="auto" w:sz="4" w:space="0"/>
              <w:left w:val="nil"/>
              <w:bottom w:val="single" w:color="auto" w:sz="4" w:space="0"/>
              <w:right w:val="single" w:color="auto" w:sz="4" w:space="0"/>
            </w:tcBorders>
            <w:vAlign w:val="center"/>
          </w:tcPr>
          <w:p>
            <w:pPr>
              <w:widowControl w:val="0"/>
              <w:spacing w:line="240" w:lineRule="exact"/>
            </w:pPr>
            <w:r>
              <w:rPr>
                <w:rFonts w:hint="eastAsia"/>
              </w:rPr>
              <w:t>其中：当年财政拨款</w:t>
            </w:r>
          </w:p>
        </w:tc>
        <w:tc>
          <w:tcPr>
            <w:tcW w:w="531"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85.00</w:t>
            </w:r>
          </w:p>
        </w:tc>
        <w:tc>
          <w:tcPr>
            <w:tcW w:w="634" w:type="pct"/>
            <w:gridSpan w:val="3"/>
            <w:tcBorders>
              <w:top w:val="nil"/>
              <w:left w:val="nil"/>
              <w:bottom w:val="single" w:color="auto" w:sz="4" w:space="0"/>
              <w:right w:val="single" w:color="auto" w:sz="4" w:space="0"/>
            </w:tcBorders>
            <w:vAlign w:val="center"/>
          </w:tcPr>
          <w:p>
            <w:pPr>
              <w:widowControl w:val="0"/>
              <w:spacing w:line="240" w:lineRule="exact"/>
              <w:jc w:val="center"/>
            </w:pPr>
            <w:r>
              <w:rPr>
                <w:rFonts w:hint="eastAsia"/>
              </w:rPr>
              <w:t>85.00</w:t>
            </w:r>
          </w:p>
        </w:tc>
        <w:tc>
          <w:tcPr>
            <w:tcW w:w="806"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85.00</w:t>
            </w:r>
          </w:p>
        </w:tc>
        <w:tc>
          <w:tcPr>
            <w:tcW w:w="390" w:type="pct"/>
            <w:gridSpan w:val="3"/>
            <w:tcBorders>
              <w:top w:val="nil"/>
              <w:left w:val="nil"/>
              <w:bottom w:val="single" w:color="auto" w:sz="4" w:space="0"/>
              <w:right w:val="single" w:color="auto" w:sz="4" w:space="0"/>
            </w:tcBorders>
            <w:vAlign w:val="center"/>
          </w:tcPr>
          <w:p>
            <w:pPr>
              <w:widowControl w:val="0"/>
              <w:spacing w:line="240" w:lineRule="exact"/>
              <w:jc w:val="center"/>
            </w:pPr>
            <w:r>
              <w:rPr>
                <w:rFonts w:hint="eastAsia"/>
              </w:rPr>
              <w:t>—</w:t>
            </w:r>
          </w:p>
        </w:tc>
        <w:tc>
          <w:tcPr>
            <w:tcW w:w="434" w:type="pct"/>
            <w:gridSpan w:val="2"/>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100%</w:t>
            </w:r>
          </w:p>
        </w:tc>
        <w:tc>
          <w:tcPr>
            <w:tcW w:w="627"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w:t>
            </w:r>
          </w:p>
        </w:tc>
      </w:tr>
      <w:tr>
        <w:tblPrEx>
          <w:tblCellMar>
            <w:top w:w="0" w:type="dxa"/>
            <w:left w:w="108" w:type="dxa"/>
            <w:bottom w:w="0" w:type="dxa"/>
            <w:right w:w="108" w:type="dxa"/>
          </w:tblCellMar>
        </w:tblPrEx>
        <w:trPr>
          <w:trHeight w:val="511" w:hRule="exact"/>
          <w:jc w:val="center"/>
        </w:trPr>
        <w:tc>
          <w:tcPr>
            <w:tcW w:w="73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835" w:type="pct"/>
            <w:gridSpan w:val="2"/>
            <w:tcBorders>
              <w:top w:val="single" w:color="auto" w:sz="4" w:space="0"/>
              <w:left w:val="nil"/>
              <w:bottom w:val="single" w:color="auto" w:sz="4" w:space="0"/>
              <w:right w:val="single" w:color="auto" w:sz="4" w:space="0"/>
            </w:tcBorders>
            <w:vAlign w:val="center"/>
          </w:tcPr>
          <w:p>
            <w:pPr>
              <w:widowControl w:val="0"/>
              <w:spacing w:line="240" w:lineRule="exact"/>
            </w:pPr>
            <w:r>
              <w:rPr>
                <w:rFonts w:hint="eastAsia"/>
              </w:rPr>
              <w:t>上年结转资金</w:t>
            </w:r>
          </w:p>
        </w:tc>
        <w:tc>
          <w:tcPr>
            <w:tcW w:w="531" w:type="pct"/>
            <w:tcBorders>
              <w:top w:val="nil"/>
              <w:left w:val="nil"/>
              <w:bottom w:val="single" w:color="auto" w:sz="4" w:space="0"/>
              <w:right w:val="single" w:color="auto" w:sz="4" w:space="0"/>
            </w:tcBorders>
            <w:vAlign w:val="center"/>
          </w:tcPr>
          <w:p>
            <w:pPr>
              <w:widowControl w:val="0"/>
              <w:spacing w:line="240" w:lineRule="exact"/>
              <w:jc w:val="center"/>
            </w:pPr>
          </w:p>
        </w:tc>
        <w:tc>
          <w:tcPr>
            <w:tcW w:w="634" w:type="pct"/>
            <w:gridSpan w:val="3"/>
            <w:tcBorders>
              <w:top w:val="nil"/>
              <w:left w:val="nil"/>
              <w:bottom w:val="single" w:color="auto" w:sz="4" w:space="0"/>
              <w:right w:val="single" w:color="auto" w:sz="4" w:space="0"/>
            </w:tcBorders>
            <w:vAlign w:val="center"/>
          </w:tcPr>
          <w:p>
            <w:pPr>
              <w:widowControl w:val="0"/>
              <w:spacing w:line="240" w:lineRule="exact"/>
              <w:jc w:val="center"/>
            </w:pPr>
          </w:p>
        </w:tc>
        <w:tc>
          <w:tcPr>
            <w:tcW w:w="806" w:type="pct"/>
            <w:tcBorders>
              <w:top w:val="nil"/>
              <w:left w:val="nil"/>
              <w:bottom w:val="single" w:color="auto" w:sz="4" w:space="0"/>
              <w:right w:val="single" w:color="auto" w:sz="4" w:space="0"/>
            </w:tcBorders>
            <w:vAlign w:val="center"/>
          </w:tcPr>
          <w:p>
            <w:pPr>
              <w:widowControl w:val="0"/>
              <w:spacing w:line="240" w:lineRule="exact"/>
              <w:jc w:val="center"/>
            </w:pPr>
          </w:p>
        </w:tc>
        <w:tc>
          <w:tcPr>
            <w:tcW w:w="390" w:type="pct"/>
            <w:gridSpan w:val="3"/>
            <w:tcBorders>
              <w:top w:val="nil"/>
              <w:left w:val="nil"/>
              <w:bottom w:val="single" w:color="auto" w:sz="4" w:space="0"/>
              <w:right w:val="single" w:color="auto" w:sz="4" w:space="0"/>
            </w:tcBorders>
            <w:vAlign w:val="center"/>
          </w:tcPr>
          <w:p>
            <w:pPr>
              <w:widowControl w:val="0"/>
              <w:spacing w:line="240" w:lineRule="exact"/>
              <w:jc w:val="center"/>
            </w:pPr>
            <w:r>
              <w:rPr>
                <w:rFonts w:hint="eastAsia"/>
              </w:rPr>
              <w:t>—</w:t>
            </w:r>
          </w:p>
        </w:tc>
        <w:tc>
          <w:tcPr>
            <w:tcW w:w="434" w:type="pct"/>
            <w:gridSpan w:val="2"/>
            <w:tcBorders>
              <w:top w:val="single" w:color="auto" w:sz="4" w:space="0"/>
              <w:left w:val="nil"/>
              <w:bottom w:val="single" w:color="auto" w:sz="4" w:space="0"/>
              <w:right w:val="single" w:color="auto" w:sz="4" w:space="0"/>
            </w:tcBorders>
            <w:vAlign w:val="center"/>
          </w:tcPr>
          <w:p>
            <w:pPr>
              <w:widowControl w:val="0"/>
              <w:spacing w:line="240" w:lineRule="exact"/>
              <w:jc w:val="center"/>
            </w:pPr>
          </w:p>
        </w:tc>
        <w:tc>
          <w:tcPr>
            <w:tcW w:w="627"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w:t>
            </w:r>
          </w:p>
        </w:tc>
      </w:tr>
      <w:tr>
        <w:tblPrEx>
          <w:tblCellMar>
            <w:top w:w="0" w:type="dxa"/>
            <w:left w:w="108" w:type="dxa"/>
            <w:bottom w:w="0" w:type="dxa"/>
            <w:right w:w="108" w:type="dxa"/>
          </w:tblCellMar>
        </w:tblPrEx>
        <w:trPr>
          <w:trHeight w:val="466" w:hRule="exact"/>
          <w:jc w:val="center"/>
        </w:trPr>
        <w:tc>
          <w:tcPr>
            <w:tcW w:w="73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835" w:type="pct"/>
            <w:gridSpan w:val="2"/>
            <w:tcBorders>
              <w:top w:val="single" w:color="auto" w:sz="4" w:space="0"/>
              <w:left w:val="nil"/>
              <w:bottom w:val="single" w:color="auto" w:sz="4" w:space="0"/>
              <w:right w:val="single" w:color="auto" w:sz="4" w:space="0"/>
            </w:tcBorders>
            <w:vAlign w:val="center"/>
          </w:tcPr>
          <w:p>
            <w:pPr>
              <w:widowControl w:val="0"/>
              <w:spacing w:line="240" w:lineRule="exact"/>
            </w:pPr>
            <w:r>
              <w:rPr>
                <w:rFonts w:hint="eastAsia"/>
              </w:rPr>
              <w:t>其他资金</w:t>
            </w:r>
          </w:p>
        </w:tc>
        <w:tc>
          <w:tcPr>
            <w:tcW w:w="531" w:type="pct"/>
            <w:tcBorders>
              <w:top w:val="nil"/>
              <w:left w:val="nil"/>
              <w:bottom w:val="single" w:color="auto" w:sz="4" w:space="0"/>
              <w:right w:val="single" w:color="auto" w:sz="4" w:space="0"/>
            </w:tcBorders>
            <w:vAlign w:val="center"/>
          </w:tcPr>
          <w:p>
            <w:pPr>
              <w:widowControl w:val="0"/>
              <w:spacing w:line="240" w:lineRule="exact"/>
              <w:jc w:val="center"/>
            </w:pPr>
          </w:p>
        </w:tc>
        <w:tc>
          <w:tcPr>
            <w:tcW w:w="634" w:type="pct"/>
            <w:gridSpan w:val="3"/>
            <w:tcBorders>
              <w:top w:val="nil"/>
              <w:left w:val="nil"/>
              <w:bottom w:val="single" w:color="auto" w:sz="4" w:space="0"/>
              <w:right w:val="single" w:color="auto" w:sz="4" w:space="0"/>
            </w:tcBorders>
            <w:vAlign w:val="center"/>
          </w:tcPr>
          <w:p>
            <w:pPr>
              <w:widowControl w:val="0"/>
              <w:spacing w:line="240" w:lineRule="exact"/>
              <w:jc w:val="center"/>
            </w:pPr>
          </w:p>
        </w:tc>
        <w:tc>
          <w:tcPr>
            <w:tcW w:w="806" w:type="pct"/>
            <w:tcBorders>
              <w:top w:val="nil"/>
              <w:left w:val="nil"/>
              <w:bottom w:val="single" w:color="auto" w:sz="4" w:space="0"/>
              <w:right w:val="single" w:color="auto" w:sz="4" w:space="0"/>
            </w:tcBorders>
            <w:vAlign w:val="center"/>
          </w:tcPr>
          <w:p>
            <w:pPr>
              <w:widowControl w:val="0"/>
              <w:spacing w:line="240" w:lineRule="exact"/>
              <w:jc w:val="center"/>
            </w:pPr>
          </w:p>
        </w:tc>
        <w:tc>
          <w:tcPr>
            <w:tcW w:w="390" w:type="pct"/>
            <w:gridSpan w:val="3"/>
            <w:tcBorders>
              <w:top w:val="nil"/>
              <w:left w:val="nil"/>
              <w:bottom w:val="single" w:color="auto" w:sz="4" w:space="0"/>
              <w:right w:val="single" w:color="auto" w:sz="4" w:space="0"/>
            </w:tcBorders>
            <w:vAlign w:val="center"/>
          </w:tcPr>
          <w:p>
            <w:pPr>
              <w:widowControl w:val="0"/>
              <w:spacing w:line="240" w:lineRule="exact"/>
              <w:jc w:val="center"/>
            </w:pPr>
            <w:r>
              <w:rPr>
                <w:rFonts w:hint="eastAsia"/>
              </w:rPr>
              <w:t>—</w:t>
            </w:r>
          </w:p>
        </w:tc>
        <w:tc>
          <w:tcPr>
            <w:tcW w:w="434" w:type="pct"/>
            <w:gridSpan w:val="2"/>
            <w:tcBorders>
              <w:top w:val="single" w:color="auto" w:sz="4" w:space="0"/>
              <w:left w:val="nil"/>
              <w:bottom w:val="single" w:color="auto" w:sz="4" w:space="0"/>
              <w:right w:val="single" w:color="auto" w:sz="4" w:space="0"/>
            </w:tcBorders>
            <w:vAlign w:val="center"/>
          </w:tcPr>
          <w:p>
            <w:pPr>
              <w:widowControl w:val="0"/>
              <w:spacing w:line="240" w:lineRule="exact"/>
              <w:jc w:val="center"/>
            </w:pPr>
          </w:p>
        </w:tc>
        <w:tc>
          <w:tcPr>
            <w:tcW w:w="627" w:type="pct"/>
            <w:tcBorders>
              <w:top w:val="nil"/>
              <w:left w:val="nil"/>
              <w:bottom w:val="single" w:color="auto" w:sz="4" w:space="0"/>
              <w:right w:val="single" w:color="auto" w:sz="4" w:space="0"/>
            </w:tcBorders>
            <w:vAlign w:val="center"/>
          </w:tcPr>
          <w:p>
            <w:pPr>
              <w:widowControl w:val="0"/>
              <w:spacing w:line="240" w:lineRule="exact"/>
              <w:jc w:val="center"/>
            </w:pPr>
            <w:r>
              <w:rPr>
                <w:rFonts w:hint="eastAsia"/>
              </w:rPr>
              <w:t>—</w:t>
            </w:r>
          </w:p>
        </w:tc>
      </w:tr>
      <w:tr>
        <w:tblPrEx>
          <w:tblCellMar>
            <w:top w:w="0" w:type="dxa"/>
            <w:left w:w="108" w:type="dxa"/>
            <w:bottom w:w="0" w:type="dxa"/>
            <w:right w:w="108" w:type="dxa"/>
          </w:tblCellMar>
        </w:tblPrEx>
        <w:trPr>
          <w:trHeight w:val="563" w:hRule="exact"/>
          <w:jc w:val="center"/>
        </w:trPr>
        <w:tc>
          <w:tcPr>
            <w:tcW w:w="277" w:type="pct"/>
            <w:vMerge w:val="restart"/>
            <w:tcBorders>
              <w:top w:val="nil"/>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年度总体目标</w:t>
            </w:r>
          </w:p>
        </w:tc>
        <w:tc>
          <w:tcPr>
            <w:tcW w:w="2463" w:type="pct"/>
            <w:gridSpan w:val="7"/>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预期目标</w:t>
            </w:r>
          </w:p>
        </w:tc>
        <w:tc>
          <w:tcPr>
            <w:tcW w:w="2259" w:type="pct"/>
            <w:gridSpan w:val="7"/>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实际完成情况</w:t>
            </w:r>
          </w:p>
        </w:tc>
      </w:tr>
      <w:tr>
        <w:tblPrEx>
          <w:tblCellMar>
            <w:top w:w="0" w:type="dxa"/>
            <w:left w:w="108" w:type="dxa"/>
            <w:bottom w:w="0" w:type="dxa"/>
            <w:right w:w="108" w:type="dxa"/>
          </w:tblCellMar>
        </w:tblPrEx>
        <w:trPr>
          <w:trHeight w:val="2398" w:hRule="exact"/>
          <w:jc w:val="center"/>
        </w:trPr>
        <w:tc>
          <w:tcPr>
            <w:tcW w:w="277" w:type="pct"/>
            <w:vMerge w:val="continue"/>
            <w:tcBorders>
              <w:top w:val="nil"/>
              <w:left w:val="single" w:color="auto" w:sz="4" w:space="0"/>
              <w:bottom w:val="single" w:color="auto" w:sz="4" w:space="0"/>
              <w:right w:val="single" w:color="auto" w:sz="4" w:space="0"/>
            </w:tcBorders>
            <w:vAlign w:val="center"/>
          </w:tcPr>
          <w:p>
            <w:pPr>
              <w:widowControl w:val="0"/>
              <w:spacing w:line="240" w:lineRule="exact"/>
              <w:jc w:val="center"/>
            </w:pPr>
          </w:p>
        </w:tc>
        <w:tc>
          <w:tcPr>
            <w:tcW w:w="2463" w:type="pct"/>
            <w:gridSpan w:val="7"/>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 xml:space="preserve">项目期目标：(1)研究目标:①验证本项目提出的考虑内支撑体系应变能的冗余度计算方法的合理性；②建立适用于内支撑体系的拓扑优化方法考虑极限强度的支撑截面几何信息约束的遗传算法目标函数；③提出内支撑节点优化方法——研发新型活络节点。④明确优化后节点——螺纹套管式活络端在轴压和偏压下的力学性能。 (2)成果目标:①依托研究项目申请国家发明专利1项；②依托研究项目撰写2篇论文；③编制螺纹套管式活络端设计计算书1套；④参加学术会议1-2次，并作学术报告。 </w:t>
            </w:r>
          </w:p>
        </w:tc>
        <w:tc>
          <w:tcPr>
            <w:tcW w:w="2259" w:type="pct"/>
            <w:gridSpan w:val="7"/>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1）通过试验验证了新型活络节点的性能提升；（2）通过工程验证，优化后的内支撑体系较其他内支撑方法节约投资20%；（3）通过本项目研究，其成果提升了内支撑体系的安全性能和冗余度，并降低了其造价，对保证城市人民的正常生产生活和推动社会发展都具有现实意义；（4）通过室内加载试验与现场试验验证，内支撑优化方法及新型活络节点就传统方法和节点有明显性能和经济上的提升，应用前景较好；（5）已完成对螺纹套管式活络端的试验验证，已受理1项专利授权，已完成1篇论文刊出，1篇论文已录用。</w:t>
            </w:r>
          </w:p>
        </w:tc>
      </w:tr>
      <w:tr>
        <w:tblPrEx>
          <w:tblCellMar>
            <w:top w:w="0" w:type="dxa"/>
            <w:left w:w="108" w:type="dxa"/>
            <w:bottom w:w="0" w:type="dxa"/>
            <w:right w:w="108" w:type="dxa"/>
          </w:tblCellMar>
        </w:tblPrEx>
        <w:trPr>
          <w:trHeight w:val="666" w:hRule="exact"/>
          <w:jc w:val="center"/>
        </w:trPr>
        <w:tc>
          <w:tcPr>
            <w:tcW w:w="277" w:type="pct"/>
            <w:vMerge w:val="restar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绩</w:t>
            </w:r>
            <w:r>
              <w:rPr>
                <w:rFonts w:hint="eastAsia"/>
              </w:rPr>
              <w:br w:type="textWrapping"/>
            </w:r>
            <w:r>
              <w:rPr>
                <w:rFonts w:hint="eastAsia"/>
              </w:rPr>
              <w:t>效</w:t>
            </w:r>
            <w:r>
              <w:rPr>
                <w:rFonts w:hint="eastAsia"/>
              </w:rPr>
              <w:br w:type="textWrapping"/>
            </w:r>
            <w:r>
              <w:rPr>
                <w:rFonts w:hint="eastAsia"/>
              </w:rPr>
              <w:t>指</w:t>
            </w:r>
            <w:r>
              <w:rPr>
                <w:rFonts w:hint="eastAsia"/>
              </w:rPr>
              <w:br w:type="textWrapping"/>
            </w:r>
            <w:r>
              <w:rPr>
                <w:rFonts w:hint="eastAsia"/>
              </w:rPr>
              <w:t>标</w:t>
            </w:r>
          </w:p>
        </w:tc>
        <w:tc>
          <w:tcPr>
            <w:tcW w:w="460" w:type="pct"/>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一级指标</w:t>
            </w:r>
          </w:p>
        </w:tc>
        <w:tc>
          <w:tcPr>
            <w:tcW w:w="426" w:type="pct"/>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二级指标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三级指标</w:t>
            </w:r>
          </w:p>
        </w:tc>
        <w:tc>
          <w:tcPr>
            <w:tcW w:w="413" w:type="pct"/>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年度</w:t>
            </w:r>
          </w:p>
          <w:p>
            <w:pPr>
              <w:widowControl w:val="0"/>
              <w:spacing w:line="240" w:lineRule="exact"/>
              <w:jc w:val="center"/>
            </w:pPr>
            <w:r>
              <w:rPr>
                <w:rFonts w:hint="eastAsia"/>
              </w:rPr>
              <w:t>指标值</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实际完成值</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分值</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得分</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偏差原因分析及改进措施</w:t>
            </w:r>
          </w:p>
        </w:tc>
      </w:tr>
      <w:tr>
        <w:tblPrEx>
          <w:tblCellMar>
            <w:top w:w="0" w:type="dxa"/>
            <w:left w:w="108" w:type="dxa"/>
            <w:bottom w:w="0" w:type="dxa"/>
            <w:right w:w="108" w:type="dxa"/>
          </w:tblCellMar>
        </w:tblPrEx>
        <w:trPr>
          <w:trHeight w:val="690"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restar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产出指标</w:t>
            </w:r>
          </w:p>
        </w:tc>
        <w:tc>
          <w:tcPr>
            <w:tcW w:w="426" w:type="pct"/>
            <w:vMerge w:val="restar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数量指标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试验验证数量</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Style w:val="10"/>
                <w:rFonts w:hint="default"/>
                <w:lang w:bidi="ar"/>
              </w:rPr>
              <w:t>≥</w:t>
            </w:r>
            <w:r>
              <w:rPr>
                <w:rFonts w:hint="eastAsia"/>
                <w:lang w:bidi="ar"/>
              </w:rPr>
              <w:t>3项</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已完成对螺纹套管式活络端的试验验证</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rPr>
                <w:rFonts w:hint="eastAsia" w:eastAsia="宋体"/>
                <w:kern w:val="2"/>
                <w:sz w:val="21"/>
                <w:szCs w:val="24"/>
                <w:lang w:val="en-US" w:eastAsia="zh-CN" w:bidi="ar-SA"/>
              </w:rPr>
            </w:pPr>
            <w:r>
              <w:rPr>
                <w:rFonts w:hint="eastAsia" w:eastAsia="宋体"/>
                <w:kern w:val="2"/>
                <w:sz w:val="21"/>
                <w:szCs w:val="24"/>
                <w:lang w:val="en-US" w:eastAsia="zh-CN" w:bidi="ar-SA"/>
              </w:rPr>
              <w:t>10</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rPr>
                <w:rFonts w:hint="eastAsia" w:eastAsia="宋体"/>
                <w:kern w:val="2"/>
                <w:sz w:val="21"/>
                <w:szCs w:val="24"/>
                <w:lang w:val="en-US" w:eastAsia="zh-CN" w:bidi="ar-SA"/>
              </w:rPr>
            </w:pPr>
            <w:r>
              <w:rPr>
                <w:rFonts w:hint="eastAsia" w:eastAsia="宋体"/>
                <w:kern w:val="2"/>
                <w:sz w:val="21"/>
                <w:szCs w:val="24"/>
                <w:lang w:val="en-US" w:eastAsia="zh-CN" w:bidi="ar-SA"/>
              </w:rPr>
              <w:t>10</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r>
        <w:tblPrEx>
          <w:tblCellMar>
            <w:top w:w="0" w:type="dxa"/>
            <w:left w:w="108" w:type="dxa"/>
            <w:bottom w:w="0" w:type="dxa"/>
            <w:right w:w="108" w:type="dxa"/>
          </w:tblCellMar>
        </w:tblPrEx>
        <w:trPr>
          <w:trHeight w:val="502"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专利</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Style w:val="10"/>
                <w:rFonts w:hint="default"/>
                <w:lang w:bidi="ar"/>
              </w:rPr>
              <w:t>≥</w:t>
            </w:r>
            <w:r>
              <w:rPr>
                <w:rFonts w:hint="eastAsia"/>
                <w:lang w:bidi="ar"/>
              </w:rPr>
              <w:t>1项</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已受理1项专利授权</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r>
        <w:tblPrEx>
          <w:tblCellMar>
            <w:top w:w="0" w:type="dxa"/>
            <w:left w:w="108" w:type="dxa"/>
            <w:bottom w:w="0" w:type="dxa"/>
            <w:right w:w="108" w:type="dxa"/>
          </w:tblCellMar>
        </w:tblPrEx>
        <w:trPr>
          <w:trHeight w:val="638"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论文</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Style w:val="10"/>
                <w:rFonts w:hint="default"/>
                <w:lang w:bidi="ar"/>
              </w:rPr>
              <w:t>≥</w:t>
            </w:r>
            <w:r>
              <w:rPr>
                <w:rFonts w:hint="eastAsia"/>
                <w:lang w:bidi="ar"/>
              </w:rPr>
              <w:t>2篇</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已完成1篇论文刊出，1篇论文已录用</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r>
        <w:tblPrEx>
          <w:tblCellMar>
            <w:top w:w="0" w:type="dxa"/>
            <w:left w:w="108" w:type="dxa"/>
            <w:bottom w:w="0" w:type="dxa"/>
            <w:right w:w="108" w:type="dxa"/>
          </w:tblCellMar>
        </w:tblPrEx>
        <w:trPr>
          <w:trHeight w:val="578"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vMerge w:val="restar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质量指标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建立基于冗余度的内支撑杆件优化方法</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Fonts w:hint="eastAsia"/>
                <w:lang w:bidi="ar"/>
              </w:rPr>
              <w:t>好/坏</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建立了基于冗余度的内支撑杆件优化方法</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r>
        <w:tblPrEx>
          <w:tblCellMar>
            <w:top w:w="0" w:type="dxa"/>
            <w:left w:w="108" w:type="dxa"/>
            <w:bottom w:w="0" w:type="dxa"/>
            <w:right w:w="108" w:type="dxa"/>
          </w:tblCellMar>
        </w:tblPrEx>
        <w:trPr>
          <w:trHeight w:val="694"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提出一种新型内支撑活络节点，承载性能提升</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Style w:val="10"/>
                <w:rFonts w:hint="default"/>
                <w:lang w:bidi="ar"/>
              </w:rPr>
              <w:t>≥</w:t>
            </w:r>
            <w:r>
              <w:rPr>
                <w:rFonts w:hint="eastAsia"/>
                <w:lang w:bidi="ar"/>
              </w:rPr>
              <w:t>20%</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通过试验验证了新型活络节点的性能提升</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r>
        <w:tblPrEx>
          <w:tblCellMar>
            <w:top w:w="0" w:type="dxa"/>
            <w:left w:w="108" w:type="dxa"/>
            <w:bottom w:w="0" w:type="dxa"/>
            <w:right w:w="108" w:type="dxa"/>
          </w:tblCellMar>
        </w:tblPrEx>
        <w:trPr>
          <w:trHeight w:val="546"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时效指标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项目完成时间</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Fonts w:hint="eastAsia"/>
                <w:lang w:bidi="ar"/>
              </w:rPr>
              <w:t>≤12月</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在计划时间内完成</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rPr>
                <w:lang w:eastAsia="zh"/>
              </w:rPr>
            </w:pPr>
            <w:r>
              <w:rPr>
                <w:rFonts w:hint="eastAsia"/>
                <w:lang w:eastAsia="zh"/>
              </w:rPr>
              <w:t>10</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rPr>
                <w:lang w:eastAsia="zh"/>
              </w:rPr>
            </w:pPr>
          </w:p>
        </w:tc>
      </w:tr>
      <w:tr>
        <w:tblPrEx>
          <w:tblCellMar>
            <w:top w:w="0" w:type="dxa"/>
            <w:left w:w="108" w:type="dxa"/>
            <w:bottom w:w="0" w:type="dxa"/>
            <w:right w:w="108" w:type="dxa"/>
          </w:tblCellMar>
        </w:tblPrEx>
        <w:trPr>
          <w:trHeight w:val="578"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成本指标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pP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r>
        <w:tblPrEx>
          <w:tblCellMar>
            <w:top w:w="0" w:type="dxa"/>
            <w:left w:w="108" w:type="dxa"/>
            <w:bottom w:w="0" w:type="dxa"/>
            <w:right w:w="108" w:type="dxa"/>
          </w:tblCellMar>
        </w:tblPrEx>
        <w:trPr>
          <w:trHeight w:val="3032"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restar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效益指标</w:t>
            </w:r>
          </w:p>
        </w:tc>
        <w:tc>
          <w:tcPr>
            <w:tcW w:w="426" w:type="pct"/>
            <w:vMerge w:val="restar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经济效益指标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rPr>
                <w:color w:val="000000"/>
              </w:rPr>
            </w:pPr>
            <w:r>
              <w:rPr>
                <w:rFonts w:hint="eastAsia"/>
              </w:rPr>
              <w:t>在满足内支撑安全储备的前提下进行合理优化，探究内支撑优化的安全性与经济性的平衡点，经济效益前景广阔。</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Fonts w:hint="eastAsia"/>
                <w:lang w:bidi="ar"/>
              </w:rPr>
              <w:t>1项</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rPr>
                <w:lang w:eastAsia="zh"/>
              </w:rPr>
            </w:pPr>
            <w:r>
              <w:rPr>
                <w:rFonts w:hint="eastAsia"/>
                <w:lang w:eastAsia="zh"/>
              </w:rPr>
              <w:t>在满足内支撑安全储备的前提下提出了内支撑体系优化方法，该方法具有安全性与经济性，经济效益前景广阔。</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rPr>
                <w:lang w:eastAsia="zh"/>
              </w:rPr>
            </w:pPr>
            <w:r>
              <w:rPr>
                <w:rFonts w:hint="eastAsia"/>
                <w:lang w:eastAsia="zh"/>
              </w:rPr>
              <w:t>5</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3</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rPr>
                <w:lang w:eastAsia="zh"/>
              </w:rPr>
            </w:pPr>
            <w:r>
              <w:rPr>
                <w:rFonts w:hint="eastAsia"/>
                <w:lang w:eastAsia="zh"/>
              </w:rPr>
              <w:t>由于项目时间原因，内支撑体系优化方法是基于传统活络节点提出的优化方法。若结合本项目所提出的螺纹套管式活络端仍有进一步提升空间成本略高于目前的刚性生活络端，但对于内支撑体系性能增强。因此支撑数量可以用的更少，整体上减少了开支。</w:t>
            </w:r>
          </w:p>
        </w:tc>
      </w:tr>
      <w:tr>
        <w:tblPrEx>
          <w:tblCellMar>
            <w:top w:w="0" w:type="dxa"/>
            <w:left w:w="108" w:type="dxa"/>
            <w:bottom w:w="0" w:type="dxa"/>
            <w:right w:w="108" w:type="dxa"/>
          </w:tblCellMar>
        </w:tblPrEx>
        <w:trPr>
          <w:trHeight w:val="1066"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对比其它内支撑设计方法节约投资</w:t>
            </w:r>
          </w:p>
        </w:tc>
        <w:tc>
          <w:tcPr>
            <w:tcW w:w="413" w:type="pct"/>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≥20%</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通过工程验证，优化后的内支撑体系较其他内支撑方法节约投资20%</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5</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rPr>
                <w:lang w:eastAsia="zh"/>
              </w:rPr>
            </w:pPr>
            <w:r>
              <w:rPr>
                <w:rFonts w:hint="eastAsia"/>
                <w:lang w:eastAsia="zh"/>
              </w:rPr>
              <w:t>5</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r>
        <w:tblPrEx>
          <w:tblCellMar>
            <w:top w:w="0" w:type="dxa"/>
            <w:left w:w="108" w:type="dxa"/>
            <w:bottom w:w="0" w:type="dxa"/>
            <w:right w:w="108" w:type="dxa"/>
          </w:tblCellMar>
        </w:tblPrEx>
        <w:trPr>
          <w:trHeight w:val="2174"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社会效益指标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①大幅节省内支撑的造价，减少内支撑材料的用量，降低了碳排放，契合城市更新的发展思路。②通过本项目的研究实施，其研究成果对提升内支撑体系的安全性能和和冗余度、保证城市人民的正常生产生活和推动社会发展都具有重大的现实意义。</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Fonts w:hint="eastAsia"/>
                <w:lang w:bidi="ar"/>
              </w:rPr>
              <w:t>2项</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通过本项目的研究实施，其研究成果对提升内支撑体系的安全性能、保证城市人民的正常生产生活、推动</w:t>
            </w:r>
            <w:r>
              <w:rPr>
                <w:rFonts w:hint="eastAsia"/>
                <w:lang w:eastAsia="zh"/>
              </w:rPr>
              <w:t>绿色低碳生产</w:t>
            </w:r>
            <w:r>
              <w:rPr>
                <w:rFonts w:hint="eastAsia"/>
              </w:rPr>
              <w:t>和社会发展具有一定的现实意义</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5</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rPr>
                <w:lang w:eastAsia="zh"/>
              </w:rPr>
            </w:pPr>
            <w:r>
              <w:rPr>
                <w:rFonts w:hint="eastAsia"/>
                <w:lang w:eastAsia="zh"/>
              </w:rPr>
              <w:t>3</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lang w:eastAsia="zh"/>
              </w:rPr>
              <w:t>由于缺少相关的使用规范，导致螺纹套管式活络端使用率较低，产生</w:t>
            </w:r>
            <w:r>
              <w:rPr>
                <w:rFonts w:hint="eastAsia"/>
              </w:rPr>
              <w:t>的</w:t>
            </w:r>
            <w:r>
              <w:rPr>
                <w:rFonts w:hint="eastAsia"/>
                <w:lang w:eastAsia="zh"/>
              </w:rPr>
              <w:t>社会效益</w:t>
            </w:r>
            <w:r>
              <w:rPr>
                <w:rFonts w:hint="eastAsia"/>
              </w:rPr>
              <w:t>还需进一步提升</w:t>
            </w:r>
          </w:p>
        </w:tc>
      </w:tr>
      <w:tr>
        <w:tblPrEx>
          <w:tblCellMar>
            <w:top w:w="0" w:type="dxa"/>
            <w:left w:w="108" w:type="dxa"/>
            <w:bottom w:w="0" w:type="dxa"/>
            <w:right w:w="108" w:type="dxa"/>
          </w:tblCellMar>
        </w:tblPrEx>
        <w:trPr>
          <w:trHeight w:val="598"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生态效益指标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left"/>
            </w:pPr>
            <w:r>
              <w:rPr>
                <w:rFonts w:hint="eastAsia"/>
              </w:rPr>
              <w:t>指标1：</w:t>
            </w:r>
          </w:p>
        </w:tc>
        <w:tc>
          <w:tcPr>
            <w:tcW w:w="413" w:type="pct"/>
            <w:tcBorders>
              <w:top w:val="single" w:color="auto" w:sz="4" w:space="0"/>
              <w:left w:val="nil"/>
              <w:bottom w:val="single" w:color="auto" w:sz="4" w:space="0"/>
              <w:right w:val="single" w:color="auto" w:sz="4" w:space="0"/>
            </w:tcBorders>
            <w:vAlign w:val="center"/>
          </w:tcPr>
          <w:p>
            <w:pPr>
              <w:widowControl w:val="0"/>
              <w:spacing w:line="240" w:lineRule="exact"/>
              <w:jc w:val="center"/>
            </w:pP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r>
        <w:tblPrEx>
          <w:tblCellMar>
            <w:top w:w="0" w:type="dxa"/>
            <w:left w:w="108" w:type="dxa"/>
            <w:bottom w:w="0" w:type="dxa"/>
            <w:right w:w="108" w:type="dxa"/>
          </w:tblCellMar>
        </w:tblPrEx>
        <w:trPr>
          <w:trHeight w:val="1762"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26" w:type="pc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可持续影响指标</w:t>
            </w:r>
          </w:p>
        </w:tc>
        <w:tc>
          <w:tcPr>
            <w:tcW w:w="1066"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本项目具有巨大的行业示范效应，项目应用前景广阔，同时优化设计的考虑因素较多，后期可继续考虑不同的影响因素，进行进一步地优化方法研究，因此本项目具有较强的可持续性</w:t>
            </w:r>
          </w:p>
        </w:tc>
        <w:tc>
          <w:tcPr>
            <w:tcW w:w="413"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rPr>
                <w:rFonts w:ascii="仿宋_GB2312" w:eastAsia="仿宋_GB2312"/>
                <w:szCs w:val="21"/>
              </w:rPr>
            </w:pPr>
            <w:r>
              <w:rPr>
                <w:rFonts w:hint="eastAsia"/>
                <w:lang w:bidi="ar"/>
              </w:rPr>
              <w:t>2项</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应用前景广阔，具有一定的可持续性</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rPr>
                <w:lang w:eastAsia="zh"/>
              </w:rPr>
            </w:pPr>
            <w:r>
              <w:rPr>
                <w:rFonts w:hint="eastAsia"/>
                <w:lang w:eastAsia="zh"/>
              </w:rPr>
              <w:t>5</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rPr>
                <w:lang w:eastAsia="zh"/>
              </w:rPr>
            </w:pPr>
            <w:r>
              <w:rPr>
                <w:rFonts w:hint="eastAsia"/>
                <w:lang w:eastAsia="zh"/>
              </w:rPr>
              <w:t>3</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rPr>
                <w:lang w:eastAsia="zh"/>
              </w:rPr>
            </w:pPr>
            <w:r>
              <w:rPr>
                <w:rFonts w:hint="eastAsia"/>
                <w:lang w:eastAsia="zh"/>
              </w:rPr>
              <w:t>螺纹套管式活络端在使用上，仍可以针对特殊环境提出规范</w:t>
            </w:r>
          </w:p>
        </w:tc>
      </w:tr>
      <w:tr>
        <w:tblPrEx>
          <w:tblCellMar>
            <w:top w:w="0" w:type="dxa"/>
            <w:left w:w="108" w:type="dxa"/>
            <w:bottom w:w="0" w:type="dxa"/>
            <w:right w:w="108" w:type="dxa"/>
          </w:tblCellMar>
        </w:tblPrEx>
        <w:trPr>
          <w:trHeight w:val="834" w:hRule="exact"/>
          <w:jc w:val="center"/>
        </w:trPr>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p>
        </w:tc>
        <w:tc>
          <w:tcPr>
            <w:tcW w:w="460" w:type="pc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满意度</w:t>
            </w:r>
          </w:p>
          <w:p>
            <w:pPr>
              <w:widowControl w:val="0"/>
              <w:spacing w:line="240" w:lineRule="exact"/>
              <w:jc w:val="center"/>
            </w:pPr>
            <w:r>
              <w:rPr>
                <w:rFonts w:hint="eastAsia"/>
              </w:rPr>
              <w:t>指标</w:t>
            </w:r>
          </w:p>
        </w:tc>
        <w:tc>
          <w:tcPr>
            <w:tcW w:w="426" w:type="pct"/>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服务对象满意度标</w:t>
            </w:r>
          </w:p>
        </w:tc>
        <w:tc>
          <w:tcPr>
            <w:tcW w:w="1066" w:type="pct"/>
            <w:gridSpan w:val="3"/>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应用单位总体满意度</w:t>
            </w:r>
          </w:p>
        </w:tc>
        <w:tc>
          <w:tcPr>
            <w:tcW w:w="413" w:type="pct"/>
            <w:tcBorders>
              <w:top w:val="single" w:color="auto" w:sz="4" w:space="0"/>
              <w:left w:val="nil"/>
              <w:bottom w:val="single" w:color="auto" w:sz="4" w:space="0"/>
              <w:right w:val="single" w:color="auto" w:sz="4" w:space="0"/>
            </w:tcBorders>
            <w:vAlign w:val="center"/>
          </w:tcPr>
          <w:p>
            <w:pPr>
              <w:widowControl w:val="0"/>
              <w:jc w:val="center"/>
              <w:textAlignment w:val="auto"/>
              <w:rPr>
                <w:rFonts w:ascii="仿宋_GB2312" w:eastAsia="仿宋_GB2312"/>
                <w:szCs w:val="21"/>
              </w:rPr>
            </w:pPr>
            <w:r>
              <w:rPr>
                <w:rFonts w:hint="eastAsia"/>
                <w:lang w:bidi="ar"/>
              </w:rPr>
              <w:t>≥95%</w:t>
            </w:r>
          </w:p>
        </w:tc>
        <w:tc>
          <w:tcPr>
            <w:tcW w:w="943" w:type="pct"/>
            <w:gridSpan w:val="3"/>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满意</w:t>
            </w:r>
          </w:p>
        </w:tc>
        <w:tc>
          <w:tcPr>
            <w:tcW w:w="292" w:type="pct"/>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10</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jc w:val="center"/>
              <w:textAlignment w:val="auto"/>
            </w:pPr>
            <w:r>
              <w:rPr>
                <w:rFonts w:hint="eastAsia"/>
              </w:rPr>
              <w:t>8</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rPr>
              <w:t>项目研究成果应用率还需进一步提高</w:t>
            </w:r>
          </w:p>
        </w:tc>
      </w:tr>
      <w:tr>
        <w:tblPrEx>
          <w:tblCellMar>
            <w:top w:w="0" w:type="dxa"/>
            <w:left w:w="108" w:type="dxa"/>
            <w:bottom w:w="0" w:type="dxa"/>
            <w:right w:w="108" w:type="dxa"/>
          </w:tblCellMar>
        </w:tblPrEx>
        <w:trPr>
          <w:trHeight w:val="551" w:hRule="exact"/>
          <w:jc w:val="center"/>
        </w:trPr>
        <w:tc>
          <w:tcPr>
            <w:tcW w:w="3588" w:type="pct"/>
            <w:gridSpan w:val="10"/>
            <w:tcBorders>
              <w:top w:val="single" w:color="auto" w:sz="4" w:space="0"/>
              <w:left w:val="single" w:color="auto" w:sz="4" w:space="0"/>
              <w:bottom w:val="single" w:color="auto" w:sz="4" w:space="0"/>
              <w:right w:val="single" w:color="auto" w:sz="4" w:space="0"/>
            </w:tcBorders>
            <w:vAlign w:val="center"/>
          </w:tcPr>
          <w:p>
            <w:pPr>
              <w:widowControl w:val="0"/>
              <w:spacing w:line="240" w:lineRule="exact"/>
              <w:jc w:val="center"/>
            </w:pPr>
            <w:r>
              <w:rPr>
                <w:rFonts w:hint="eastAsia"/>
              </w:rPr>
              <w:t>总分</w:t>
            </w:r>
          </w:p>
        </w:tc>
        <w:tc>
          <w:tcPr>
            <w:tcW w:w="292" w:type="pct"/>
            <w:tcBorders>
              <w:top w:val="single" w:color="auto" w:sz="4" w:space="0"/>
              <w:left w:val="nil"/>
              <w:bottom w:val="single" w:color="auto" w:sz="4" w:space="0"/>
              <w:right w:val="single" w:color="auto" w:sz="4" w:space="0"/>
            </w:tcBorders>
            <w:vAlign w:val="center"/>
          </w:tcPr>
          <w:p>
            <w:pPr>
              <w:widowControl w:val="0"/>
              <w:spacing w:line="240" w:lineRule="exact"/>
              <w:jc w:val="center"/>
            </w:pPr>
            <w:r>
              <w:rPr>
                <w:rFonts w:hint="eastAsia"/>
              </w:rPr>
              <w:t>100</w:t>
            </w:r>
          </w:p>
        </w:tc>
        <w:tc>
          <w:tcPr>
            <w:tcW w:w="303"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r>
              <w:rPr>
                <w:rFonts w:hint="eastAsia"/>
                <w:lang w:eastAsia="zh"/>
              </w:rPr>
              <w:t>9</w:t>
            </w:r>
            <w:r>
              <w:rPr>
                <w:rFonts w:hint="eastAsia"/>
              </w:rPr>
              <w:t>2</w:t>
            </w:r>
          </w:p>
        </w:tc>
        <w:tc>
          <w:tcPr>
            <w:tcW w:w="814" w:type="pct"/>
            <w:gridSpan w:val="2"/>
            <w:tcBorders>
              <w:top w:val="single" w:color="auto" w:sz="4" w:space="0"/>
              <w:left w:val="nil"/>
              <w:bottom w:val="single" w:color="auto" w:sz="4" w:space="0"/>
              <w:right w:val="single" w:color="auto" w:sz="4" w:space="0"/>
            </w:tcBorders>
            <w:shd w:val="clear" w:color="auto" w:fill="auto"/>
            <w:vAlign w:val="center"/>
          </w:tcPr>
          <w:p>
            <w:pPr>
              <w:widowControl w:val="0"/>
              <w:spacing w:line="240" w:lineRule="exact"/>
              <w:jc w:val="center"/>
            </w:pPr>
          </w:p>
        </w:tc>
      </w:tr>
    </w:tbl>
    <w:p/>
    <w:p>
      <w:pPr>
        <w:spacing w:line="240" w:lineRule="exact"/>
        <w:ind w:firstLine="0" w:firstLineChars="0"/>
      </w:pPr>
      <w:bookmarkStart w:id="0" w:name="_GoBack"/>
      <w:bookmarkEnd w:id="0"/>
    </w:p>
    <w:sectPr>
      <w:footerReference r:id="rId5" w:type="default"/>
      <w:pgSz w:w="16838" w:h="11906" w:orient="landscape"/>
      <w:pgMar w:top="1800" w:right="1440" w:bottom="1800" w:left="144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rPr>
        <w:rFonts w:ascii="宋体" w:hAnsi="宋体"/>
        <w:szCs w:val="28"/>
      </w:rPr>
    </w:pP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F77F09F4"/>
    <w:rsid w:val="00396D12"/>
    <w:rsid w:val="00533981"/>
    <w:rsid w:val="0061366A"/>
    <w:rsid w:val="00BF55A5"/>
    <w:rsid w:val="00ED036C"/>
    <w:rsid w:val="00FA7215"/>
    <w:rsid w:val="02350C0E"/>
    <w:rsid w:val="0341645D"/>
    <w:rsid w:val="040354C1"/>
    <w:rsid w:val="06A718C1"/>
    <w:rsid w:val="06DA4BFF"/>
    <w:rsid w:val="08D51B22"/>
    <w:rsid w:val="0A0855DF"/>
    <w:rsid w:val="10246EEB"/>
    <w:rsid w:val="118828DE"/>
    <w:rsid w:val="127C300E"/>
    <w:rsid w:val="13AE244C"/>
    <w:rsid w:val="14234CB5"/>
    <w:rsid w:val="14D507B4"/>
    <w:rsid w:val="16585B40"/>
    <w:rsid w:val="16E330ED"/>
    <w:rsid w:val="18AE3A9D"/>
    <w:rsid w:val="1C9D605B"/>
    <w:rsid w:val="1EAB042A"/>
    <w:rsid w:val="1F882FF2"/>
    <w:rsid w:val="20C358BC"/>
    <w:rsid w:val="20FD17BE"/>
    <w:rsid w:val="210C1A01"/>
    <w:rsid w:val="23DA5DE6"/>
    <w:rsid w:val="248360DC"/>
    <w:rsid w:val="24843748"/>
    <w:rsid w:val="270A69E3"/>
    <w:rsid w:val="27985D9D"/>
    <w:rsid w:val="2A810D6A"/>
    <w:rsid w:val="2C5D75B5"/>
    <w:rsid w:val="2D327C27"/>
    <w:rsid w:val="2D46629B"/>
    <w:rsid w:val="2E821554"/>
    <w:rsid w:val="2F705B03"/>
    <w:rsid w:val="2FB71E3E"/>
    <w:rsid w:val="307072CD"/>
    <w:rsid w:val="30E3277E"/>
    <w:rsid w:val="31175F84"/>
    <w:rsid w:val="334868C9"/>
    <w:rsid w:val="37173543"/>
    <w:rsid w:val="38CF5396"/>
    <w:rsid w:val="39243934"/>
    <w:rsid w:val="3A693227"/>
    <w:rsid w:val="3D7B41D5"/>
    <w:rsid w:val="3E9A6446"/>
    <w:rsid w:val="3F850EA5"/>
    <w:rsid w:val="3FAF1A7E"/>
    <w:rsid w:val="3FF76880"/>
    <w:rsid w:val="401D732F"/>
    <w:rsid w:val="41967399"/>
    <w:rsid w:val="44FF34A7"/>
    <w:rsid w:val="451231DA"/>
    <w:rsid w:val="454274BA"/>
    <w:rsid w:val="483416BA"/>
    <w:rsid w:val="49B455E9"/>
    <w:rsid w:val="4B1B446B"/>
    <w:rsid w:val="4CCA7EF7"/>
    <w:rsid w:val="4FDD3B02"/>
    <w:rsid w:val="538232D9"/>
    <w:rsid w:val="55A91672"/>
    <w:rsid w:val="57414808"/>
    <w:rsid w:val="5FCC6E13"/>
    <w:rsid w:val="61693D2A"/>
    <w:rsid w:val="638B61DA"/>
    <w:rsid w:val="65FF3B2C"/>
    <w:rsid w:val="66C1171F"/>
    <w:rsid w:val="673C6903"/>
    <w:rsid w:val="68C06926"/>
    <w:rsid w:val="68D45F2D"/>
    <w:rsid w:val="6BA6DBE7"/>
    <w:rsid w:val="6CF03552"/>
    <w:rsid w:val="6E612A2C"/>
    <w:rsid w:val="71044B32"/>
    <w:rsid w:val="727B566C"/>
    <w:rsid w:val="76BE09CB"/>
    <w:rsid w:val="78A771BA"/>
    <w:rsid w:val="7AB7FF50"/>
    <w:rsid w:val="7AC346E2"/>
    <w:rsid w:val="7BFEB0DB"/>
    <w:rsid w:val="7E4FF23D"/>
    <w:rsid w:val="7F7F6055"/>
    <w:rsid w:val="BAC61933"/>
    <w:rsid w:val="BCDEFDD2"/>
    <w:rsid w:val="CEFD3F3D"/>
    <w:rsid w:val="EA3F77F2"/>
    <w:rsid w:val="EEFE5989"/>
    <w:rsid w:val="EFCF3EAE"/>
    <w:rsid w:val="F5B764A2"/>
    <w:rsid w:val="F6FB2252"/>
    <w:rsid w:val="F77F09F4"/>
    <w:rsid w:val="F7FF9423"/>
    <w:rsid w:val="FFD7BFFC"/>
    <w:rsid w:val="FFED1487"/>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240" w:lineRule="exact"/>
      <w:jc w:val="center"/>
      <w:pPrChange w:id="0" w:author="8613161766657" w:date="2024-04-23T15:12:00Z">
        <w:pPr>
          <w:widowControl w:val="0"/>
          <w:jc w:val="both"/>
        </w:pPr>
      </w:pPrChange>
    </w:pPr>
    <w:rPr>
      <w:rFonts w:ascii="Times New Roman" w:hAnsi="Times New Roman" w:eastAsia="宋体" w:cs="Times New Roman"/>
      <w:kern w:val="2"/>
      <w:sz w:val="21"/>
      <w:szCs w:val="24"/>
      <w:lang w:val="en-US" w:eastAsia="zh-CN" w:bidi="ar-SA"/>
      <w:rPrChange w:id="1" w:author="8613161766657" w:date="2024-04-23T15:12:00Z">
        <w:rPr>
          <w:rFonts w:eastAsia="宋体"/>
          <w:kern w:val="2"/>
          <w:sz w:val="21"/>
          <w:szCs w:val="24"/>
          <w:lang w:val="en-US" w:eastAsia="zh-CN" w:bidi="ar-SA"/>
        </w:rPr>
      </w:rPrChange>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Change w:id="2" w:author="8613161766657" w:date="2024-04-23T15:01:00Z">
        <w:pPr>
          <w:widowControl w:val="0"/>
        </w:pPr>
      </w:pPrChange>
    </w:pPr>
    <w:rPr>
      <w:rPrChange w:id="3" w:author="8613161766657" w:date="2024-04-23T15:01:00Z">
        <w:rPr>
          <w:rFonts w:eastAsia="宋体"/>
          <w:kern w:val="2"/>
          <w:sz w:val="21"/>
          <w:szCs w:val="24"/>
          <w:lang w:val="en-US" w:eastAsia="zh-CN" w:bidi="ar-SA"/>
        </w:rPr>
      </w:rPrChange>
    </w:rPr>
  </w:style>
  <w:style w:type="paragraph" w:styleId="4">
    <w:name w:val="footer"/>
    <w:basedOn w:val="1"/>
    <w:autoRedefine/>
    <w:qFormat/>
    <w:uiPriority w:val="99"/>
    <w:pPr>
      <w:tabs>
        <w:tab w:val="center" w:pos="4153"/>
        <w:tab w:val="right" w:pos="8306"/>
      </w:tabs>
      <w:snapToGrid w:val="0"/>
      <w:jc w:val="left"/>
    </w:pPr>
    <w:rPr>
      <w:sz w:val="18"/>
      <w:szCs w:val="20"/>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annotation reference"/>
    <w:basedOn w:val="7"/>
    <w:autoRedefine/>
    <w:qFormat/>
    <w:uiPriority w:val="0"/>
    <w:rPr>
      <w:sz w:val="21"/>
      <w:szCs w:val="21"/>
    </w:rPr>
  </w:style>
  <w:style w:type="paragraph" w:customStyle="1" w:styleId="9">
    <w:name w:val="列出段落1"/>
    <w:basedOn w:val="1"/>
    <w:autoRedefine/>
    <w:qFormat/>
    <w:uiPriority w:val="34"/>
    <w:pPr>
      <w:ind w:firstLine="420" w:firstLineChars="200"/>
    </w:pPr>
    <w:rPr>
      <w:rFonts w:ascii="Calibri" w:hAnsi="Calibri" w:cs="黑体"/>
      <w:szCs w:val="22"/>
    </w:rPr>
  </w:style>
  <w:style w:type="character" w:customStyle="1" w:styleId="10">
    <w:name w:val="font21"/>
    <w:basedOn w:val="7"/>
    <w:autoRedefine/>
    <w:qFormat/>
    <w:uiPriority w:val="0"/>
    <w:rPr>
      <w:rFonts w:hint="eastAsia" w:ascii="宋体" w:hAnsi="宋体" w:eastAsia="宋体" w:cs="宋体"/>
      <w:color w:val="000000"/>
      <w:sz w:val="18"/>
      <w:szCs w:val="18"/>
      <w:u w:val="none"/>
    </w:rPr>
  </w:style>
  <w:style w:type="paragraph" w:customStyle="1" w:styleId="11">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284</Words>
  <Characters>1621</Characters>
  <Lines>13</Lines>
  <Paragraphs>3</Paragraphs>
  <TotalTime>5</TotalTime>
  <ScaleCrop>false</ScaleCrop>
  <LinksUpToDate>false</LinksUpToDate>
  <CharactersWithSpaces>1902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随遇♛侕安</cp:lastModifiedBy>
  <cp:lastPrinted>2022-03-25T10:01:00Z</cp:lastPrinted>
  <dcterms:modified xsi:type="dcterms:W3CDTF">2024-05-04T09:09:06Z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80E5C7C4E39E4E148C964D838D7C73E5_12</vt:lpwstr>
  </property>
</Properties>
</file>