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5433" w:type="pct"/>
        <w:tblInd w:w="-6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36"/>
        <w:gridCol w:w="1025"/>
        <w:gridCol w:w="1615"/>
        <w:gridCol w:w="1920"/>
        <w:gridCol w:w="1953"/>
        <w:gridCol w:w="687"/>
        <w:gridCol w:w="709"/>
        <w:gridCol w:w="3644"/>
        <w:gridCol w:w="28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000" w:type="pct"/>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b/>
                <w:bCs/>
                <w:i w:val="0"/>
                <w:iCs w:val="0"/>
                <w:color w:val="000000"/>
                <w:sz w:val="26"/>
                <w:szCs w:val="26"/>
                <w:u w:val="none"/>
              </w:rPr>
            </w:pPr>
            <w:r>
              <w:rPr>
                <w:rFonts w:hint="default" w:ascii="方正小标宋简体" w:hAnsi="方正小标宋简体" w:eastAsia="方正小标宋简体" w:cs="方正小标宋简体"/>
                <w:b/>
                <w:bCs/>
                <w:i w:val="0"/>
                <w:iCs w:val="0"/>
                <w:color w:val="000000"/>
                <w:kern w:val="0"/>
                <w:sz w:val="26"/>
                <w:szCs w:val="26"/>
                <w:u w:val="none"/>
                <w:lang w:val="en-US" w:eastAsia="zh-CN" w:bidi="ar"/>
              </w:rPr>
              <w:t>2023年部门整体绩效评价指标体系评分表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000" w:type="pct"/>
            <w:gridSpan w:val="9"/>
            <w:tcBorders>
              <w:top w:val="nil"/>
              <w:left w:val="nil"/>
              <w:bottom w:val="nil"/>
              <w:right w:val="nil"/>
            </w:tcBorders>
            <w:shd w:val="clear" w:color="auto" w:fill="auto"/>
            <w:noWrap/>
            <w:vAlign w:val="bottom"/>
          </w:tcPr>
          <w:p>
            <w:pPr>
              <w:jc w:val="left"/>
              <w:rPr>
                <w:rFonts w:hint="default" w:ascii="方正小标宋简体" w:hAnsi="方正小标宋简体" w:eastAsia="方正小标宋简体" w:cs="方正小标宋简体"/>
                <w:i w:val="0"/>
                <w:iCs w:val="0"/>
                <w:color w:val="000000"/>
                <w:sz w:val="26"/>
                <w:szCs w:val="26"/>
                <w:u w:val="none"/>
              </w:rPr>
            </w:pPr>
            <w:r>
              <w:rPr>
                <w:rFonts w:hint="default" w:ascii="方正小标宋简体" w:hAnsi="方正小标宋简体" w:eastAsia="方正小标宋简体" w:cs="方正小标宋简体"/>
                <w:i w:val="0"/>
                <w:iCs w:val="0"/>
                <w:color w:val="000000"/>
                <w:kern w:val="0"/>
                <w:sz w:val="24"/>
                <w:szCs w:val="24"/>
                <w:u w:val="none"/>
                <w:lang w:val="en-US" w:eastAsia="zh-CN" w:bidi="ar"/>
              </w:rPr>
              <w:t>部门名称:北京市市政工程研究院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一、当年预算执行情况（20分）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一级指标　</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二级指标　</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预算数（万元）</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执行数（万元）</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预算执行率</w:t>
            </w:r>
          </w:p>
        </w:tc>
        <w:tc>
          <w:tcPr>
            <w:tcW w:w="2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分值</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得分</w:t>
            </w:r>
          </w:p>
        </w:tc>
        <w:tc>
          <w:tcPr>
            <w:tcW w:w="1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指标解释</w:t>
            </w:r>
          </w:p>
        </w:tc>
        <w:tc>
          <w:tcPr>
            <w:tcW w:w="9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3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当年预算执行情况（20）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资金总体</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7,264.182897 </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6,448.950098 </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88.78%</w:t>
            </w:r>
          </w:p>
        </w:tc>
        <w:tc>
          <w:tcPr>
            <w:tcW w:w="22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w:t>
            </w:r>
          </w:p>
        </w:tc>
        <w:tc>
          <w:tcPr>
            <w:tcW w:w="23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17.76 </w:t>
            </w:r>
          </w:p>
        </w:tc>
        <w:tc>
          <w:tcPr>
            <w:tcW w:w="118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部门全年执行数与全年预算数的比率。资金总体=基本支出+项目支出+其他</w:t>
            </w:r>
          </w:p>
        </w:tc>
        <w:tc>
          <w:tcPr>
            <w:tcW w:w="9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①得分一档最高不能超过该指标分值上限（20分）。</w:t>
            </w:r>
            <w:r>
              <w:rPr>
                <w:rFonts w:hint="eastAsia" w:ascii="仿宋" w:hAnsi="仿宋" w:eastAsia="仿宋" w:cs="仿宋"/>
                <w:i w:val="0"/>
                <w:iCs w:val="0"/>
                <w:color w:val="000000"/>
                <w:kern w:val="0"/>
                <w:sz w:val="18"/>
                <w:szCs w:val="18"/>
                <w:u w:val="none"/>
                <w:lang w:val="en-US" w:eastAsia="zh-CN" w:bidi="ar"/>
              </w:rPr>
              <w:br w:type="textWrapping"/>
            </w:r>
            <w:r>
              <w:rPr>
                <w:rFonts w:hint="eastAsia" w:ascii="仿宋" w:hAnsi="仿宋" w:eastAsia="仿宋" w:cs="仿宋"/>
                <w:i w:val="0"/>
                <w:iCs w:val="0"/>
                <w:color w:val="000000"/>
                <w:kern w:val="0"/>
                <w:sz w:val="18"/>
                <w:szCs w:val="18"/>
                <w:u w:val="none"/>
                <w:lang w:val="en-US" w:eastAsia="zh-CN" w:bidi="ar"/>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基本支出</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4,789.089659 </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4,789.089659 </w:t>
            </w:r>
          </w:p>
        </w:tc>
        <w:tc>
          <w:tcPr>
            <w:tcW w:w="6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w:t>
            </w:r>
          </w:p>
        </w:tc>
        <w:tc>
          <w:tcPr>
            <w:tcW w:w="2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18"/>
                <w:szCs w:val="18"/>
                <w:u w:val="none"/>
              </w:rPr>
            </w:pPr>
          </w:p>
        </w:tc>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18"/>
                <w:szCs w:val="18"/>
                <w:u w:val="none"/>
              </w:rPr>
            </w:pPr>
          </w:p>
        </w:tc>
        <w:tc>
          <w:tcPr>
            <w:tcW w:w="11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18"/>
                <w:szCs w:val="18"/>
                <w:u w:val="none"/>
              </w:rPr>
            </w:pPr>
          </w:p>
        </w:tc>
        <w:tc>
          <w:tcPr>
            <w:tcW w:w="9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项目支出</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2,475.093238 </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1,659.860439 </w:t>
            </w:r>
          </w:p>
        </w:tc>
        <w:tc>
          <w:tcPr>
            <w:tcW w:w="6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2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18"/>
                <w:szCs w:val="18"/>
                <w:u w:val="none"/>
              </w:rPr>
            </w:pPr>
          </w:p>
        </w:tc>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18"/>
                <w:szCs w:val="18"/>
                <w:u w:val="none"/>
              </w:rPr>
            </w:pPr>
          </w:p>
        </w:tc>
        <w:tc>
          <w:tcPr>
            <w:tcW w:w="11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18"/>
                <w:szCs w:val="18"/>
                <w:u w:val="none"/>
              </w:rPr>
            </w:pPr>
          </w:p>
        </w:tc>
        <w:tc>
          <w:tcPr>
            <w:tcW w:w="9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其他</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6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2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18"/>
                <w:szCs w:val="18"/>
                <w:u w:val="none"/>
              </w:rPr>
            </w:pPr>
          </w:p>
        </w:tc>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18"/>
                <w:szCs w:val="18"/>
                <w:u w:val="none"/>
              </w:rPr>
            </w:pPr>
          </w:p>
        </w:tc>
        <w:tc>
          <w:tcPr>
            <w:tcW w:w="11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18"/>
                <w:szCs w:val="18"/>
                <w:u w:val="none"/>
              </w:rPr>
            </w:pPr>
          </w:p>
        </w:tc>
        <w:tc>
          <w:tcPr>
            <w:tcW w:w="9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二、整体绩效目标实现情况（60分）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8"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一级指标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二级指标　</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三级指标　</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指标值</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完成值</w:t>
            </w:r>
          </w:p>
        </w:tc>
        <w:tc>
          <w:tcPr>
            <w:tcW w:w="2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分值</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得分</w:t>
            </w:r>
          </w:p>
        </w:tc>
        <w:tc>
          <w:tcPr>
            <w:tcW w:w="1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指标解释</w:t>
            </w:r>
          </w:p>
        </w:tc>
        <w:tc>
          <w:tcPr>
            <w:tcW w:w="9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atLeast"/>
        </w:trPr>
        <w:tc>
          <w:tcPr>
            <w:tcW w:w="3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整体绩效目标实现情况（60）</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产出（30）</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购置专业设备</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4套</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4套</w:t>
            </w:r>
          </w:p>
        </w:tc>
        <w:tc>
          <w:tcPr>
            <w:tcW w:w="2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30</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10 </w:t>
            </w:r>
          </w:p>
        </w:tc>
        <w:tc>
          <w:tcPr>
            <w:tcW w:w="118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产出数量</w:t>
            </w:r>
            <w:r>
              <w:rPr>
                <w:rStyle w:val="6"/>
                <w:lang w:val="en-US" w:eastAsia="zh-CN" w:bidi="ar"/>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仿宋" w:hAnsi="仿宋" w:eastAsia="仿宋" w:cs="仿宋"/>
                <w:b/>
                <w:bCs/>
                <w:i w:val="0"/>
                <w:iCs w:val="0"/>
                <w:color w:val="000000"/>
                <w:kern w:val="0"/>
                <w:sz w:val="18"/>
                <w:szCs w:val="18"/>
                <w:u w:val="none"/>
                <w:lang w:val="en-US" w:eastAsia="zh-CN" w:bidi="ar"/>
              </w:rPr>
              <w:t>产出质量</w:t>
            </w:r>
            <w:r>
              <w:rPr>
                <w:rStyle w:val="6"/>
                <w:lang w:val="en-US" w:eastAsia="zh-CN" w:bidi="ar"/>
              </w:rPr>
              <w:t>：质量达标率=质量达标工作数/实际完成工作数×100%。质量达标工作数：一定时期（年度或规划期）内部门（单位）实际完成工作数中达到部门绩效目标要求（绩效标准值）的工作任务数量。</w:t>
            </w:r>
            <w:r>
              <w:rPr>
                <w:rFonts w:hint="eastAsia" w:ascii="仿宋" w:hAnsi="仿宋" w:eastAsia="仿宋" w:cs="仿宋"/>
                <w:b/>
                <w:bCs/>
                <w:i w:val="0"/>
                <w:iCs w:val="0"/>
                <w:color w:val="000000"/>
                <w:kern w:val="0"/>
                <w:sz w:val="18"/>
                <w:szCs w:val="18"/>
                <w:u w:val="none"/>
                <w:lang w:val="en-US" w:eastAsia="zh-CN" w:bidi="ar"/>
              </w:rPr>
              <w:t>产出进度：</w:t>
            </w:r>
            <w:r>
              <w:rPr>
                <w:rStyle w:val="6"/>
                <w:lang w:val="en-US" w:eastAsia="zh-CN" w:bidi="ar"/>
              </w:rPr>
              <w:t>按时完成率=（按时完成工作数/实际完成工作数）×100%。按时完成工作数：部门（单位）按照整体绩效目标确定的时限实际完成的工作任务数量。</w:t>
            </w:r>
            <w:r>
              <w:rPr>
                <w:rFonts w:hint="eastAsia" w:ascii="仿宋" w:hAnsi="仿宋" w:eastAsia="仿宋" w:cs="仿宋"/>
                <w:b/>
                <w:bCs/>
                <w:i w:val="0"/>
                <w:iCs w:val="0"/>
                <w:color w:val="000000"/>
                <w:kern w:val="0"/>
                <w:sz w:val="18"/>
                <w:szCs w:val="18"/>
                <w:u w:val="none"/>
                <w:lang w:val="en-US" w:eastAsia="zh-CN" w:bidi="ar"/>
              </w:rPr>
              <w:t>产出成本</w:t>
            </w:r>
            <w:r>
              <w:rPr>
                <w:rStyle w:val="6"/>
                <w:lang w:val="en-US" w:eastAsia="zh-CN" w:bidi="ar"/>
              </w:rPr>
              <w:t>：单位产出相对于上一年度的节约额；②单位产出相对于市场同类产出的节约额；③部门公用经费的控制情况。</w:t>
            </w:r>
          </w:p>
        </w:tc>
        <w:tc>
          <w:tcPr>
            <w:tcW w:w="9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部门根据本单位情况自行确定并选择产出指标，合理确定各项指标权重。可量化的指标按照比率*单项指标分值即为该指标得分。如果不能定量评价，则以定性的方式进行自评。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科技创新研究项目</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不少于4项</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实际完成5项</w:t>
            </w:r>
          </w:p>
        </w:tc>
        <w:tc>
          <w:tcPr>
            <w:tcW w:w="2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10 </w:t>
            </w:r>
          </w:p>
        </w:tc>
        <w:tc>
          <w:tcPr>
            <w:tcW w:w="11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bCs/>
                <w:i w:val="0"/>
                <w:iCs w:val="0"/>
                <w:color w:val="000000"/>
                <w:sz w:val="18"/>
                <w:szCs w:val="18"/>
                <w:u w:val="none"/>
              </w:rPr>
            </w:pPr>
          </w:p>
        </w:tc>
        <w:tc>
          <w:tcPr>
            <w:tcW w:w="9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9" w:hRule="atLeast"/>
        </w:trPr>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开展复杂荷载作用下整环盾构管片力学特性研究</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整环盾构管片加载实验是研究隧道特性不可缺少的手段，该系统后期可承接管道、管廊等方面的实验</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通过持续性开展系列实验，对盾构隧道结构进行深度系统性研究，为隧道结构设计、病害治理与运营维保提供了科学依据</w:t>
            </w:r>
          </w:p>
        </w:tc>
        <w:tc>
          <w:tcPr>
            <w:tcW w:w="2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10 </w:t>
            </w:r>
          </w:p>
        </w:tc>
        <w:tc>
          <w:tcPr>
            <w:tcW w:w="11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bCs/>
                <w:i w:val="0"/>
                <w:iCs w:val="0"/>
                <w:color w:val="000000"/>
                <w:sz w:val="18"/>
                <w:szCs w:val="18"/>
                <w:u w:val="none"/>
              </w:rPr>
            </w:pPr>
          </w:p>
        </w:tc>
        <w:tc>
          <w:tcPr>
            <w:tcW w:w="9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97" w:hRule="atLeast"/>
        </w:trPr>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效果（30）</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社会效益1</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结合研究院硕士培养点及博士后创新实践基地，为研究院及市政工程行业培育硕士研究生及博士后，培养专业性青年创新人才</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培养了一批专业性青年创新人才；进一步激发了科研人员的创新创业积极性</w:t>
            </w:r>
          </w:p>
        </w:tc>
        <w:tc>
          <w:tcPr>
            <w:tcW w:w="22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30</w:t>
            </w: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7 </w:t>
            </w:r>
          </w:p>
        </w:tc>
        <w:tc>
          <w:tcPr>
            <w:tcW w:w="118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经济效益</w:t>
            </w:r>
            <w:r>
              <w:rPr>
                <w:rStyle w:val="6"/>
                <w:lang w:val="en-US" w:eastAsia="zh-CN" w:bidi="ar"/>
              </w:rPr>
              <w:t>：部门（单位）履行职责对经济发展所带来的直接或间接影响。</w:t>
            </w:r>
            <w:r>
              <w:rPr>
                <w:rFonts w:hint="eastAsia" w:ascii="仿宋" w:hAnsi="仿宋" w:eastAsia="仿宋" w:cs="仿宋"/>
                <w:b/>
                <w:bCs/>
                <w:i w:val="0"/>
                <w:iCs w:val="0"/>
                <w:color w:val="000000"/>
                <w:kern w:val="0"/>
                <w:sz w:val="18"/>
                <w:szCs w:val="18"/>
                <w:u w:val="none"/>
                <w:lang w:val="en-US" w:eastAsia="zh-CN" w:bidi="ar"/>
              </w:rPr>
              <w:t>社会效益</w:t>
            </w:r>
            <w:r>
              <w:rPr>
                <w:rStyle w:val="6"/>
                <w:lang w:val="en-US" w:eastAsia="zh-CN" w:bidi="ar"/>
              </w:rPr>
              <w:t>：部门（单位）履行职责对社会发展所带来的直接或间接影响。</w:t>
            </w:r>
            <w:r>
              <w:rPr>
                <w:rFonts w:hint="eastAsia" w:ascii="仿宋" w:hAnsi="仿宋" w:eastAsia="仿宋" w:cs="仿宋"/>
                <w:b/>
                <w:bCs/>
                <w:i w:val="0"/>
                <w:iCs w:val="0"/>
                <w:color w:val="000000"/>
                <w:kern w:val="0"/>
                <w:sz w:val="18"/>
                <w:szCs w:val="18"/>
                <w:u w:val="none"/>
                <w:lang w:val="en-US" w:eastAsia="zh-CN" w:bidi="ar"/>
              </w:rPr>
              <w:t>环境效益</w:t>
            </w:r>
            <w:r>
              <w:rPr>
                <w:rStyle w:val="6"/>
                <w:lang w:val="en-US" w:eastAsia="zh-CN" w:bidi="ar"/>
              </w:rPr>
              <w:t>：部门（单位）履行职责对环境所带来的直接或间接影响。</w:t>
            </w:r>
            <w:r>
              <w:rPr>
                <w:rFonts w:hint="eastAsia" w:ascii="仿宋" w:hAnsi="仿宋" w:eastAsia="仿宋" w:cs="仿宋"/>
                <w:b/>
                <w:bCs/>
                <w:i w:val="0"/>
                <w:iCs w:val="0"/>
                <w:color w:val="000000"/>
                <w:kern w:val="0"/>
                <w:sz w:val="18"/>
                <w:szCs w:val="18"/>
                <w:u w:val="none"/>
                <w:lang w:val="en-US" w:eastAsia="zh-CN" w:bidi="ar"/>
              </w:rPr>
              <w:t>可持续性影响：</w:t>
            </w:r>
            <w:r>
              <w:rPr>
                <w:rStyle w:val="6"/>
                <w:lang w:val="en-US" w:eastAsia="zh-CN" w:bidi="ar"/>
              </w:rPr>
              <w:t>部门绩效目标实现的长效机制建设情况，部门工作效率提升措施的创新。</w:t>
            </w:r>
            <w:r>
              <w:rPr>
                <w:rFonts w:hint="eastAsia" w:ascii="仿宋" w:hAnsi="仿宋" w:eastAsia="仿宋" w:cs="仿宋"/>
                <w:b/>
                <w:bCs/>
                <w:i w:val="0"/>
                <w:iCs w:val="0"/>
                <w:color w:val="000000"/>
                <w:kern w:val="0"/>
                <w:sz w:val="18"/>
                <w:szCs w:val="18"/>
                <w:u w:val="none"/>
                <w:lang w:val="en-US" w:eastAsia="zh-CN" w:bidi="ar"/>
              </w:rPr>
              <w:t>服务对象满意度</w:t>
            </w:r>
            <w:r>
              <w:rPr>
                <w:rStyle w:val="6"/>
                <w:lang w:val="en-US" w:eastAsia="zh-CN" w:bidi="ar"/>
              </w:rPr>
              <w:t>：部门（单位）的服务对象对部门履职效果的满意程度。</w:t>
            </w:r>
          </w:p>
        </w:tc>
        <w:tc>
          <w:tcPr>
            <w:tcW w:w="9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部门根据实际情况选择指标进行填写，并将其细化为相应的个性化指标。对于效益类指标可从受益对象瞄准度、受益广度和受益深度上进行设计分析。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社会效益2</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开展前瞻性研究，为研究院可持续发展提供支撑</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推进了科技创新工作，促进了科技研发和技术改进，提升了核心竞争力，引起广泛的社会反响，进一步提高了我单位科研检测知名度。</w:t>
            </w:r>
          </w:p>
        </w:tc>
        <w:tc>
          <w:tcPr>
            <w:tcW w:w="2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18"/>
                <w:szCs w:val="18"/>
                <w:u w:val="none"/>
              </w:rPr>
            </w:pP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7 </w:t>
            </w:r>
          </w:p>
        </w:tc>
        <w:tc>
          <w:tcPr>
            <w:tcW w:w="11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bCs/>
                <w:i w:val="0"/>
                <w:iCs w:val="0"/>
                <w:color w:val="000000"/>
                <w:sz w:val="18"/>
                <w:szCs w:val="18"/>
                <w:u w:val="none"/>
              </w:rPr>
            </w:pPr>
          </w:p>
        </w:tc>
        <w:tc>
          <w:tcPr>
            <w:tcW w:w="9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社会效益3</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开展应用型研究，为解决行业内的技术难题提供技术支持为标准制定、行业主管部门管理措施的出台提供依据，为实现研究院的成果转化奠定基础通过科技项目研发。</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通过新技术、新产品的开发，为实现服务和产品转化以及我院的可持续发展提供了保障。</w:t>
            </w:r>
          </w:p>
        </w:tc>
        <w:tc>
          <w:tcPr>
            <w:tcW w:w="2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18"/>
                <w:szCs w:val="18"/>
                <w:u w:val="none"/>
              </w:rPr>
            </w:pP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7 </w:t>
            </w:r>
          </w:p>
        </w:tc>
        <w:tc>
          <w:tcPr>
            <w:tcW w:w="11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bCs/>
                <w:i w:val="0"/>
                <w:iCs w:val="0"/>
                <w:color w:val="000000"/>
                <w:sz w:val="18"/>
                <w:szCs w:val="18"/>
                <w:u w:val="none"/>
              </w:rPr>
            </w:pPr>
          </w:p>
        </w:tc>
        <w:tc>
          <w:tcPr>
            <w:tcW w:w="9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0" w:hRule="atLeast"/>
        </w:trPr>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经济效益</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开展市政工程过程技术咨询、技术服务、产品产业化及研究院公益技术服务；通过理论积累，扩大技术服务领域，实现技术咨询转化；通过新技术、新产品开发，实现服务和产品的转化。</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2023年我院继续深入实施创新驱动发展战略、全面深化科技体制改革，通过新技术开发，为实现技术服务转化提供了保障。</w:t>
            </w:r>
          </w:p>
        </w:tc>
        <w:tc>
          <w:tcPr>
            <w:tcW w:w="2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18"/>
                <w:szCs w:val="18"/>
                <w:u w:val="none"/>
              </w:rPr>
            </w:pP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6 </w:t>
            </w:r>
          </w:p>
        </w:tc>
        <w:tc>
          <w:tcPr>
            <w:tcW w:w="11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b/>
                <w:bCs/>
                <w:i w:val="0"/>
                <w:iCs w:val="0"/>
                <w:color w:val="000000"/>
                <w:sz w:val="18"/>
                <w:szCs w:val="18"/>
                <w:u w:val="none"/>
              </w:rPr>
            </w:pPr>
          </w:p>
        </w:tc>
        <w:tc>
          <w:tcPr>
            <w:tcW w:w="9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6" w:hRule="atLeast"/>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三、预算管理情况（20分）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6" w:hRule="atLeast"/>
        </w:trPr>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一级指标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二级指标</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三级指标</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指标值</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完成值</w:t>
            </w:r>
          </w:p>
        </w:tc>
        <w:tc>
          <w:tcPr>
            <w:tcW w:w="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分值</w:t>
            </w: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得分</w:t>
            </w:r>
          </w:p>
        </w:tc>
        <w:tc>
          <w:tcPr>
            <w:tcW w:w="1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指标解释</w:t>
            </w:r>
          </w:p>
        </w:tc>
        <w:tc>
          <w:tcPr>
            <w:tcW w:w="9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0" w:hRule="atLeast"/>
        </w:trPr>
        <w:tc>
          <w:tcPr>
            <w:tcW w:w="3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预算管理情况（20）</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财务管理（4）</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财务管理制度健全性</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财务管理制度健全</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财务管理制度健全，执行有效</w:t>
            </w:r>
          </w:p>
        </w:tc>
        <w:tc>
          <w:tcPr>
            <w:tcW w:w="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1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财务管理制度健全性:</w:t>
            </w:r>
            <w:r>
              <w:rPr>
                <w:rStyle w:val="6"/>
                <w:lang w:val="en-US" w:eastAsia="zh-CN" w:bidi="ar"/>
              </w:rPr>
              <w:t>部门（单位）为加强财务管理、规范财务行为而制定的管理制度。</w:t>
            </w:r>
          </w:p>
        </w:tc>
        <w:tc>
          <w:tcPr>
            <w:tcW w:w="9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①预算资金管理办法、绩效跟踪管理办法、资产管理办法等各项制度是否健全；②部门内部财务管理制度是否完整、合规；③会计核算制度是否完整、合规。每有一项不合格扣0.5分，扣完为止。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0" w:hRule="atLeast"/>
        </w:trPr>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资金使用合规性和安全性</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资金使用合规安全</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基本合规</w:t>
            </w:r>
          </w:p>
        </w:tc>
        <w:tc>
          <w:tcPr>
            <w:tcW w:w="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2</w:t>
            </w: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sz w:val="18"/>
                <w:szCs w:val="18"/>
                <w:u w:val="none"/>
                <w:lang w:val="en-US" w:eastAsia="zh-CN"/>
              </w:rPr>
            </w:pPr>
            <w:r>
              <w:rPr>
                <w:rFonts w:hint="eastAsia" w:ascii="仿宋" w:hAnsi="仿宋" w:eastAsia="仿宋" w:cs="仿宋"/>
                <w:i w:val="0"/>
                <w:iCs w:val="0"/>
                <w:color w:val="000000"/>
                <w:sz w:val="18"/>
                <w:szCs w:val="18"/>
                <w:u w:val="none"/>
                <w:lang w:val="en-US" w:eastAsia="zh-CN"/>
              </w:rPr>
              <w:t>1.5</w:t>
            </w:r>
          </w:p>
        </w:tc>
        <w:tc>
          <w:tcPr>
            <w:tcW w:w="1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资金使用合规性和安全性:</w:t>
            </w:r>
            <w:r>
              <w:rPr>
                <w:rStyle w:val="6"/>
                <w:lang w:val="en-US" w:eastAsia="zh-CN" w:bidi="ar"/>
              </w:rPr>
              <w:t>部门（单位）使用预算资金是否符合相关的预算财务管理制度的规定，是否符合相关规定的开支范围，用以反映考核部门（单位）预算资金的规范运行和安全运行情况。</w:t>
            </w:r>
          </w:p>
        </w:tc>
        <w:tc>
          <w:tcPr>
            <w:tcW w:w="9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trPr>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会计基础信息完善性</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会计基础信息完善</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完善</w:t>
            </w:r>
          </w:p>
        </w:tc>
        <w:tc>
          <w:tcPr>
            <w:tcW w:w="2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w:t>
            </w:r>
          </w:p>
        </w:tc>
        <w:tc>
          <w:tcPr>
            <w:tcW w:w="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1 </w:t>
            </w:r>
          </w:p>
        </w:tc>
        <w:tc>
          <w:tcPr>
            <w:tcW w:w="1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会计基础信息完善性:</w:t>
            </w:r>
            <w:r>
              <w:rPr>
                <w:rStyle w:val="6"/>
                <w:lang w:val="en-US" w:eastAsia="zh-CN" w:bidi="ar"/>
              </w:rPr>
              <w:t>部门（单位）会计基础信息情况。</w:t>
            </w:r>
          </w:p>
        </w:tc>
        <w:tc>
          <w:tcPr>
            <w:tcW w:w="9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①基础数据信息和会计信息资料是否真实；②基础数据信息和会计信息资料是否完整；③基础数据信息和会计信息资料是否准确。每有一项不合格扣0.5分，扣完为止。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2" w:hRule="atLeast"/>
        </w:trPr>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资产管理（4）</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资产管理规范性</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严格按照资产管理制度执行</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能够严格按照资产管理制度的规定资产进行管理</w:t>
            </w:r>
          </w:p>
        </w:tc>
        <w:tc>
          <w:tcPr>
            <w:tcW w:w="2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4</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4 </w:t>
            </w:r>
          </w:p>
        </w:tc>
        <w:tc>
          <w:tcPr>
            <w:tcW w:w="1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资产管理规范性:</w:t>
            </w:r>
            <w:r>
              <w:rPr>
                <w:rStyle w:val="6"/>
                <w:lang w:val="en-US" w:eastAsia="zh-CN" w:bidi="ar"/>
              </w:rPr>
              <w:t>部门（单位）的资产是否保持安全完整，资产配置是否合理，资产使用和资产处理是否规范，用以反映和考核部门（单位）资产管理的整体水平。</w:t>
            </w:r>
          </w:p>
        </w:tc>
        <w:tc>
          <w:tcPr>
            <w:tcW w:w="9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绩效管理（4）</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绩效管理情况</w:t>
            </w:r>
          </w:p>
        </w:tc>
        <w:tc>
          <w:tcPr>
            <w:tcW w:w="6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全年进行绩效监控</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全年按时完成绩效监控及绩效评价工作</w:t>
            </w:r>
          </w:p>
        </w:tc>
        <w:tc>
          <w:tcPr>
            <w:tcW w:w="2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4</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4 </w:t>
            </w:r>
          </w:p>
        </w:tc>
        <w:tc>
          <w:tcPr>
            <w:tcW w:w="1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绩效管理情况:</w:t>
            </w:r>
            <w:r>
              <w:rPr>
                <w:rStyle w:val="6"/>
                <w:lang w:val="en-US" w:eastAsia="zh-CN" w:bidi="ar"/>
              </w:rPr>
              <w:t>考核部门（单位）在绩效管理信息的汇总和应用情况。</w:t>
            </w:r>
          </w:p>
        </w:tc>
        <w:tc>
          <w:tcPr>
            <w:tcW w:w="9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①部门（单位）是否及时对绩效信息进行汇总分析整理；②部门（单位）是否对绩效目标偏离情况及时进行矫正。每有一项不合格扣2分。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指标　</w:t>
            </w:r>
          </w:p>
        </w:tc>
        <w:tc>
          <w:tcPr>
            <w:tcW w:w="114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2022年</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2023年</w:t>
            </w:r>
          </w:p>
        </w:tc>
        <w:tc>
          <w:tcPr>
            <w:tcW w:w="2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分值</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得分</w:t>
            </w:r>
          </w:p>
        </w:tc>
        <w:tc>
          <w:tcPr>
            <w:tcW w:w="1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指标解释</w:t>
            </w:r>
          </w:p>
        </w:tc>
        <w:tc>
          <w:tcPr>
            <w:tcW w:w="9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0" w:hRule="atLeast"/>
        </w:trPr>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结转结余率（4）</w:t>
            </w:r>
          </w:p>
        </w:tc>
        <w:tc>
          <w:tcPr>
            <w:tcW w:w="114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13.19%</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11.22%</w:t>
            </w:r>
          </w:p>
        </w:tc>
        <w:tc>
          <w:tcPr>
            <w:tcW w:w="2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4</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4 </w:t>
            </w:r>
          </w:p>
        </w:tc>
        <w:tc>
          <w:tcPr>
            <w:tcW w:w="1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结转结余率=结转结余总额/支出预算数×100%。</w:t>
            </w:r>
            <w:r>
              <w:rPr>
                <w:rFonts w:hint="eastAsia" w:ascii="仿宋" w:hAnsi="仿宋" w:eastAsia="仿宋" w:cs="仿宋"/>
                <w:i w:val="0"/>
                <w:iCs w:val="0"/>
                <w:color w:val="000000"/>
                <w:kern w:val="0"/>
                <w:sz w:val="18"/>
                <w:szCs w:val="18"/>
                <w:u w:val="none"/>
                <w:lang w:val="en-US" w:eastAsia="zh-CN" w:bidi="ar"/>
              </w:rPr>
              <w:br w:type="textWrapping"/>
            </w:r>
            <w:r>
              <w:rPr>
                <w:rFonts w:hint="eastAsia" w:ascii="仿宋" w:hAnsi="仿宋" w:eastAsia="仿宋" w:cs="仿宋"/>
                <w:i w:val="0"/>
                <w:iCs w:val="0"/>
                <w:color w:val="000000"/>
                <w:kern w:val="0"/>
                <w:sz w:val="18"/>
                <w:szCs w:val="18"/>
                <w:u w:val="none"/>
                <w:lang w:val="en-US" w:eastAsia="zh-CN" w:bidi="ar"/>
              </w:rPr>
              <w:t>结转结余总额：部门（单位）本年度的结转资金与结余资金之和。</w:t>
            </w:r>
          </w:p>
        </w:tc>
        <w:tc>
          <w:tcPr>
            <w:tcW w:w="9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部门预决算差异率（4）</w:t>
            </w:r>
          </w:p>
        </w:tc>
        <w:tc>
          <w:tcPr>
            <w:tcW w:w="114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4.71%</w:t>
            </w:r>
          </w:p>
        </w:tc>
        <w:tc>
          <w:tcPr>
            <w:tcW w:w="6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9.02%</w:t>
            </w:r>
          </w:p>
        </w:tc>
        <w:tc>
          <w:tcPr>
            <w:tcW w:w="2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4</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 xml:space="preserve">4 </w:t>
            </w:r>
          </w:p>
        </w:tc>
        <w:tc>
          <w:tcPr>
            <w:tcW w:w="1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通过年度部门决算与年初部门预算对比，对部门的年度支出情况进行考核，衡量部门预算的约束力。</w:t>
            </w:r>
          </w:p>
        </w:tc>
        <w:tc>
          <w:tcPr>
            <w:tcW w:w="9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部门预决算差异率高于市级平均差异率（28.3%）的，每高出10%（含），扣0.4分，扣完为止。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245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合计</w:t>
            </w:r>
          </w:p>
        </w:tc>
        <w:tc>
          <w:tcPr>
            <w:tcW w:w="2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100</w:t>
            </w:r>
          </w:p>
        </w:tc>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18"/>
                <w:szCs w:val="18"/>
                <w:u w:val="none"/>
              </w:rPr>
            </w:pPr>
            <w:r>
              <w:rPr>
                <w:rFonts w:hint="eastAsia" w:ascii="仿宋" w:hAnsi="仿宋" w:eastAsia="仿宋" w:cs="仿宋"/>
                <w:b/>
                <w:bCs/>
                <w:i w:val="0"/>
                <w:iCs w:val="0"/>
                <w:color w:val="000000"/>
                <w:kern w:val="0"/>
                <w:sz w:val="18"/>
                <w:szCs w:val="18"/>
                <w:u w:val="none"/>
                <w:lang w:val="en-US" w:eastAsia="zh-CN" w:bidi="ar"/>
              </w:rPr>
              <w:t>94.26</w:t>
            </w:r>
            <w:bookmarkStart w:id="0" w:name="_GoBack"/>
            <w:bookmarkEnd w:id="0"/>
            <w:r>
              <w:rPr>
                <w:rFonts w:hint="eastAsia" w:ascii="仿宋" w:hAnsi="仿宋" w:eastAsia="仿宋" w:cs="仿宋"/>
                <w:b/>
                <w:bCs/>
                <w:i w:val="0"/>
                <w:iCs w:val="0"/>
                <w:color w:val="000000"/>
                <w:kern w:val="0"/>
                <w:sz w:val="18"/>
                <w:szCs w:val="18"/>
                <w:u w:val="none"/>
                <w:lang w:val="en-US" w:eastAsia="zh-CN" w:bidi="ar"/>
              </w:rPr>
              <w:t xml:space="preserve"> </w:t>
            </w:r>
          </w:p>
        </w:tc>
        <w:tc>
          <w:tcPr>
            <w:tcW w:w="209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18"/>
                <w:szCs w:val="18"/>
                <w:u w:val="none"/>
              </w:rPr>
            </w:pPr>
          </w:p>
        </w:tc>
      </w:tr>
    </w:tbl>
    <w:p/>
    <w:sectPr>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xOTVkN2ZmMjVjM2EzNTY4MWNhM2I2OGZkMjAyOTMifQ=="/>
  </w:docVars>
  <w:rsids>
    <w:rsidRoot w:val="00000000"/>
    <w:rsid w:val="04325719"/>
    <w:rsid w:val="0C01709F"/>
    <w:rsid w:val="412D35A2"/>
    <w:rsid w:val="45C276B3"/>
    <w:rsid w:val="525356A3"/>
    <w:rsid w:val="5A094754"/>
    <w:rsid w:val="5D944335"/>
    <w:rsid w:val="6014175D"/>
    <w:rsid w:val="7A126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font21"/>
    <w:basedOn w:val="3"/>
    <w:autoRedefine/>
    <w:qFormat/>
    <w:uiPriority w:val="0"/>
    <w:rPr>
      <w:rFonts w:hint="eastAsia" w:ascii="仿宋" w:hAnsi="仿宋" w:eastAsia="仿宋" w:cs="仿宋"/>
      <w:b/>
      <w:bCs/>
      <w:color w:val="000000"/>
      <w:sz w:val="18"/>
      <w:szCs w:val="18"/>
      <w:u w:val="none"/>
    </w:rPr>
  </w:style>
  <w:style w:type="character" w:customStyle="1" w:styleId="5">
    <w:name w:val="font61"/>
    <w:basedOn w:val="3"/>
    <w:autoRedefine/>
    <w:qFormat/>
    <w:uiPriority w:val="0"/>
    <w:rPr>
      <w:rFonts w:hint="eastAsia" w:ascii="仿宋" w:hAnsi="仿宋" w:eastAsia="仿宋" w:cs="仿宋"/>
      <w:color w:val="000000"/>
      <w:sz w:val="18"/>
      <w:szCs w:val="18"/>
      <w:u w:val="none"/>
    </w:rPr>
  </w:style>
  <w:style w:type="character" w:customStyle="1" w:styleId="6">
    <w:name w:val="font31"/>
    <w:basedOn w:val="3"/>
    <w:uiPriority w:val="0"/>
    <w:rPr>
      <w:rFonts w:hint="eastAsia" w:ascii="仿宋" w:hAnsi="仿宋" w:eastAsia="仿宋" w:cs="仿宋"/>
      <w:color w:val="000000"/>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51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fkf</dc:creator>
  <cp:lastModifiedBy>随遇♛侕安</cp:lastModifiedBy>
  <dcterms:modified xsi:type="dcterms:W3CDTF">2024-05-15T02:05:49Z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9BCAFFA8638342658FB1C0E9FEDC4B8C_12</vt:lpwstr>
  </property>
</Properties>
</file>