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ascii="方正小标宋简体" w:hAnsi="方正小标宋简体" w:eastAsia="方正小标宋简体" w:cs="方正小标宋简体"/>
          <w:color w:val="000000"/>
          <w:kern w:val="0"/>
          <w:sz w:val="52"/>
          <w:szCs w:val="52"/>
          <w:lang w:val="en-US" w:eastAsia="zh-CN" w:bidi="ar"/>
        </w:rPr>
      </w:pPr>
    </w:p>
    <w:p>
      <w:pPr>
        <w:keepNext w:val="0"/>
        <w:keepLines w:val="0"/>
        <w:widowControl/>
        <w:suppressLineNumbers w:val="0"/>
        <w:jc w:val="left"/>
        <w:rPr>
          <w:rFonts w:ascii="方正小标宋简体" w:hAnsi="方正小标宋简体" w:eastAsia="方正小标宋简体" w:cs="方正小标宋简体"/>
          <w:color w:val="000000"/>
          <w:kern w:val="0"/>
          <w:sz w:val="52"/>
          <w:szCs w:val="52"/>
          <w:lang w:val="en-US" w:eastAsia="zh-CN" w:bidi="ar"/>
        </w:rPr>
      </w:pPr>
    </w:p>
    <w:p>
      <w:pPr>
        <w:keepNext w:val="0"/>
        <w:keepLines w:val="0"/>
        <w:widowControl/>
        <w:suppressLineNumbers w:val="0"/>
        <w:jc w:val="left"/>
        <w:rPr>
          <w:rFonts w:ascii="方正小标宋简体" w:hAnsi="方正小标宋简体" w:eastAsia="方正小标宋简体" w:cs="方正小标宋简体"/>
          <w:color w:val="000000"/>
          <w:kern w:val="0"/>
          <w:sz w:val="52"/>
          <w:szCs w:val="52"/>
          <w:lang w:val="en-US" w:eastAsia="zh-CN" w:bidi="ar"/>
        </w:rPr>
      </w:pPr>
    </w:p>
    <w:p>
      <w:pPr>
        <w:keepNext w:val="0"/>
        <w:keepLines w:val="0"/>
        <w:widowControl/>
        <w:suppressLineNumbers w:val="0"/>
        <w:jc w:val="left"/>
        <w:rPr>
          <w:rFonts w:ascii="方正小标宋简体" w:hAnsi="方正小标宋简体" w:eastAsia="方正小标宋简体" w:cs="方正小标宋简体"/>
          <w:color w:val="000000"/>
          <w:kern w:val="0"/>
          <w:sz w:val="52"/>
          <w:szCs w:val="52"/>
          <w:lang w:val="en-US" w:eastAsia="zh-CN" w:bidi="ar"/>
        </w:rPr>
      </w:pPr>
    </w:p>
    <w:p>
      <w:pPr>
        <w:keepNext w:val="0"/>
        <w:keepLines w:val="0"/>
        <w:widowControl/>
        <w:suppressLineNumbers w:val="0"/>
        <w:ind w:left="0" w:leftChars="0" w:firstLine="0" w:firstLineChars="0"/>
        <w:jc w:val="center"/>
        <w:outlineLvl w:val="0"/>
      </w:pPr>
      <w:bookmarkStart w:id="0" w:name="_Toc21172"/>
      <w:r>
        <w:rPr>
          <w:rFonts w:ascii="方正小标宋简体" w:hAnsi="方正小标宋简体" w:eastAsia="方正小标宋简体" w:cs="方正小标宋简体"/>
          <w:color w:val="000000"/>
          <w:kern w:val="0"/>
          <w:sz w:val="52"/>
          <w:szCs w:val="52"/>
          <w:lang w:val="en-US" w:eastAsia="zh-CN" w:bidi="ar"/>
        </w:rPr>
        <w:t>北京市医院管理中心财政支出项目</w:t>
      </w:r>
      <w:bookmarkEnd w:id="0"/>
    </w:p>
    <w:p>
      <w:pPr>
        <w:keepNext w:val="0"/>
        <w:keepLines w:val="0"/>
        <w:widowControl/>
        <w:suppressLineNumbers w:val="0"/>
        <w:ind w:left="0" w:leftChars="0" w:firstLine="0" w:firstLineChars="0"/>
        <w:jc w:val="center"/>
      </w:pPr>
      <w:r>
        <w:rPr>
          <w:rFonts w:hint="eastAsia" w:ascii="方正小标宋简体" w:hAnsi="方正小标宋简体" w:eastAsia="方正小标宋简体" w:cs="方正小标宋简体"/>
          <w:color w:val="000000"/>
          <w:kern w:val="0"/>
          <w:sz w:val="52"/>
          <w:szCs w:val="52"/>
          <w:lang w:val="en-US" w:eastAsia="zh-CN" w:bidi="ar"/>
        </w:rPr>
        <w:t>绩效评价报告</w:t>
      </w:r>
    </w:p>
    <w:p>
      <w:pPr>
        <w:ind w:left="0" w:leftChars="0" w:firstLine="0" w:firstLineChars="0"/>
        <w:jc w:val="center"/>
        <w:rPr>
          <w:rFonts w:hint="eastAsia" w:ascii="宋体" w:hAnsi="宋体" w:cs="Arial"/>
          <w:b/>
          <w:bCs/>
          <w:sz w:val="36"/>
          <w:szCs w:val="36"/>
          <w:lang w:val="en-US" w:eastAsia="zh-CN"/>
        </w:rPr>
      </w:pPr>
    </w:p>
    <w:p>
      <w:pPr>
        <w:ind w:left="0" w:leftChars="0" w:firstLine="0" w:firstLineChars="0"/>
        <w:jc w:val="center"/>
        <w:rPr>
          <w:rFonts w:hint="eastAsia" w:ascii="宋体" w:hAnsi="宋体" w:cs="Arial"/>
          <w:b/>
          <w:bCs/>
          <w:sz w:val="36"/>
          <w:szCs w:val="36"/>
          <w:lang w:val="en-US" w:eastAsia="zh-CN"/>
        </w:rPr>
      </w:pPr>
    </w:p>
    <w:p>
      <w:pPr>
        <w:ind w:left="0" w:leftChars="0" w:firstLine="0" w:firstLineChars="0"/>
        <w:jc w:val="center"/>
        <w:rPr>
          <w:rFonts w:hint="eastAsia" w:ascii="宋体" w:hAnsi="宋体" w:cs="Arial"/>
          <w:b/>
          <w:bCs/>
          <w:sz w:val="36"/>
          <w:szCs w:val="36"/>
          <w:lang w:val="en-US" w:eastAsia="zh-CN"/>
        </w:rPr>
      </w:pPr>
    </w:p>
    <w:p>
      <w:pPr>
        <w:ind w:left="0" w:leftChars="0" w:firstLine="0" w:firstLineChars="0"/>
        <w:jc w:val="center"/>
        <w:rPr>
          <w:rFonts w:hint="eastAsia" w:ascii="宋体" w:hAnsi="宋体" w:cs="Arial"/>
          <w:b/>
          <w:bCs/>
          <w:sz w:val="36"/>
          <w:szCs w:val="36"/>
          <w:lang w:val="en-US" w:eastAsia="zh-CN"/>
        </w:rPr>
      </w:pPr>
    </w:p>
    <w:p>
      <w:pPr>
        <w:ind w:left="0" w:leftChars="0" w:firstLine="0" w:firstLineChars="0"/>
        <w:jc w:val="center"/>
        <w:rPr>
          <w:rFonts w:hint="eastAsia" w:ascii="宋体" w:hAnsi="宋体" w:cs="Arial"/>
          <w:b/>
          <w:bCs/>
          <w:sz w:val="36"/>
          <w:szCs w:val="36"/>
          <w:lang w:val="en-US" w:eastAsia="zh-CN"/>
        </w:rPr>
      </w:pPr>
    </w:p>
    <w:p>
      <w:pPr>
        <w:ind w:left="0" w:leftChars="0" w:firstLine="0" w:firstLineChars="0"/>
        <w:jc w:val="center"/>
        <w:rPr>
          <w:rFonts w:hint="eastAsia" w:ascii="宋体" w:hAnsi="宋体" w:cs="Arial"/>
          <w:b/>
          <w:bCs/>
          <w:sz w:val="36"/>
          <w:szCs w:val="36"/>
          <w:lang w:val="en-US" w:eastAsia="zh-CN"/>
        </w:rPr>
      </w:pPr>
    </w:p>
    <w:p>
      <w:pPr>
        <w:ind w:left="0" w:leftChars="0" w:firstLine="0" w:firstLineChars="0"/>
        <w:jc w:val="center"/>
        <w:rPr>
          <w:rFonts w:hint="eastAsia" w:ascii="宋体" w:hAnsi="宋体" w:cs="Arial"/>
          <w:b/>
          <w:bCs/>
          <w:sz w:val="36"/>
          <w:szCs w:val="36"/>
          <w:lang w:val="en-US" w:eastAsia="zh-CN"/>
        </w:rPr>
      </w:pPr>
    </w:p>
    <w:p>
      <w:pPr>
        <w:ind w:left="0" w:leftChars="0" w:firstLine="0" w:firstLineChars="0"/>
        <w:jc w:val="left"/>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主管部门：</w:t>
      </w:r>
      <w:r>
        <w:rPr>
          <w:rFonts w:hint="eastAsia" w:ascii="仿宋_GB2312" w:hAnsi="仿宋_GB2312" w:eastAsia="仿宋_GB2312" w:cs="仿宋_GB2312"/>
          <w:b w:val="0"/>
          <w:bCs w:val="0"/>
          <w:sz w:val="32"/>
          <w:szCs w:val="32"/>
          <w:u w:val="single"/>
          <w:lang w:val="en-US" w:eastAsia="zh-CN"/>
        </w:rPr>
        <w:t xml:space="preserve">           北京市医院管理中心          </w:t>
      </w:r>
    </w:p>
    <w:p>
      <w:pPr>
        <w:ind w:left="0" w:leftChars="0" w:firstLine="0" w:firstLineChars="0"/>
        <w:jc w:val="left"/>
        <w:rPr>
          <w:rFonts w:hint="default" w:ascii="仿宋_GB2312" w:hAnsi="仿宋_GB2312" w:eastAsia="仿宋_GB2312" w:cs="仿宋_GB2312"/>
          <w:b w:val="0"/>
          <w:bCs w:val="0"/>
          <w:sz w:val="32"/>
          <w:szCs w:val="32"/>
          <w:u w:val="single"/>
          <w:lang w:val="en-US" w:eastAsia="zh-CN"/>
        </w:rPr>
      </w:pPr>
      <w:r>
        <w:rPr>
          <w:rFonts w:hint="eastAsia" w:ascii="仿宋_GB2312" w:hAnsi="仿宋_GB2312" w:eastAsia="仿宋_GB2312" w:cs="仿宋_GB2312"/>
          <w:b/>
          <w:bCs/>
          <w:sz w:val="32"/>
          <w:szCs w:val="32"/>
          <w:lang w:val="en-US" w:eastAsia="zh-CN"/>
        </w:rPr>
        <w:t>项目单位：</w:t>
      </w:r>
      <w:r>
        <w:rPr>
          <w:rFonts w:hint="eastAsia" w:ascii="仿宋_GB2312" w:hAnsi="仿宋_GB2312" w:eastAsia="仿宋_GB2312" w:cs="仿宋_GB2312"/>
          <w:b w:val="0"/>
          <w:bCs w:val="0"/>
          <w:sz w:val="32"/>
          <w:szCs w:val="32"/>
          <w:u w:val="single"/>
          <w:lang w:val="en-US" w:eastAsia="zh-CN"/>
        </w:rPr>
        <w:t xml:space="preserve">     首都医科大学附属北京友谊医院      </w:t>
      </w:r>
    </w:p>
    <w:p>
      <w:pPr>
        <w:ind w:left="0" w:leftChars="0" w:firstLine="0" w:firstLineChars="0"/>
        <w:jc w:val="left"/>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b w:val="0"/>
          <w:bCs w:val="0"/>
          <w:sz w:val="32"/>
          <w:szCs w:val="32"/>
          <w:u w:val="single"/>
          <w:lang w:val="en-US" w:eastAsia="zh-CN"/>
        </w:rPr>
        <w:t xml:space="preserve">          友谊医院医用设备购置         </w:t>
      </w:r>
    </w:p>
    <w:p>
      <w:pPr>
        <w:ind w:left="0" w:leftChars="0" w:firstLine="0" w:firstLineChars="0"/>
        <w:jc w:val="left"/>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评价部门：</w:t>
      </w:r>
      <w:r>
        <w:rPr>
          <w:rFonts w:hint="eastAsia" w:ascii="仿宋_GB2312" w:hAnsi="仿宋_GB2312" w:eastAsia="仿宋_GB2312" w:cs="仿宋_GB2312"/>
          <w:b w:val="0"/>
          <w:bCs w:val="0"/>
          <w:sz w:val="32"/>
          <w:szCs w:val="32"/>
          <w:u w:val="single"/>
          <w:lang w:val="en-US" w:eastAsia="zh-CN"/>
        </w:rPr>
        <w:t xml:space="preserve">           北京市医院管理中心          </w:t>
      </w:r>
    </w:p>
    <w:p>
      <w:pPr>
        <w:jc w:val="center"/>
        <w:rPr>
          <w:rFonts w:hint="eastAsia" w:ascii="宋体" w:hAnsi="宋体" w:cs="Arial"/>
          <w:b/>
          <w:bCs/>
          <w:sz w:val="36"/>
          <w:szCs w:val="36"/>
          <w:lang w:val="en-US" w:eastAsia="zh-CN"/>
        </w:rPr>
      </w:pPr>
    </w:p>
    <w:p>
      <w:pPr>
        <w:jc w:val="center"/>
        <w:rPr>
          <w:rFonts w:hint="eastAsia" w:ascii="仿宋_GB2312" w:hAnsi="仿宋_GB2312" w:eastAsia="仿宋_GB2312" w:cs="仿宋_GB2312"/>
          <w:b/>
          <w:bCs/>
          <w:sz w:val="36"/>
          <w:szCs w:val="36"/>
          <w:lang w:val="en-US" w:eastAsia="zh-CN"/>
        </w:rPr>
      </w:pPr>
      <w:r>
        <w:rPr>
          <w:rFonts w:hint="eastAsia" w:ascii="仿宋_GB2312" w:hAnsi="仿宋_GB2312" w:eastAsia="仿宋_GB2312" w:cs="仿宋_GB2312"/>
          <w:b/>
          <w:bCs/>
          <w:sz w:val="36"/>
          <w:szCs w:val="36"/>
          <w:lang w:val="en-US" w:eastAsia="zh-CN"/>
        </w:rPr>
        <w:t>2024年5月</w:t>
      </w:r>
    </w:p>
    <w:p>
      <w:pPr>
        <w:jc w:val="center"/>
        <w:rPr>
          <w:rFonts w:hint="eastAsia" w:ascii="仿宋_GB2312" w:hAnsi="仿宋_GB2312" w:eastAsia="仿宋_GB2312" w:cs="仿宋_GB2312"/>
          <w:b/>
          <w:bCs/>
          <w:sz w:val="36"/>
          <w:szCs w:val="36"/>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sdt>
      <w:sdtPr>
        <w:rPr>
          <w:rFonts w:ascii="宋体" w:hAnsi="宋体" w:eastAsia="宋体" w:cs="Times New Roman"/>
          <w:kern w:val="2"/>
          <w:sz w:val="21"/>
          <w:szCs w:val="24"/>
          <w:lang w:val="en-US" w:eastAsia="zh-CN" w:bidi="ar-SA"/>
        </w:rPr>
        <w:id w:val="147478268"/>
        <w15:color w:val="DBDBDB"/>
        <w:docPartObj>
          <w:docPartGallery w:val="Table of Contents"/>
          <w:docPartUnique/>
        </w:docPartObj>
      </w:sdtPr>
      <w:sdtEndPr>
        <w:rPr>
          <w:rFonts w:hint="eastAsia" w:ascii="方正小标宋简体" w:hAnsi="方正小标宋简体" w:eastAsia="方正小标宋简体" w:cs="方正小标宋简体"/>
          <w:b/>
          <w:bCs w:val="0"/>
          <w:kern w:val="2"/>
          <w:sz w:val="21"/>
          <w:szCs w:val="36"/>
          <w:lang w:val="en-US" w:eastAsia="zh-CN" w:bidi="ar-SA"/>
        </w:rPr>
      </w:sdtEndPr>
      <w:sdtContent>
        <w:p>
          <w:pPr>
            <w:spacing w:before="0" w:beforeLines="0" w:after="0" w:afterLines="0" w:line="240" w:lineRule="auto"/>
            <w:ind w:left="0" w:leftChars="0" w:right="0" w:rightChars="0" w:firstLine="0" w:firstLineChars="0"/>
            <w:jc w:val="center"/>
            <w:rPr>
              <w:rFonts w:hint="eastAsia" w:ascii="仿宋_GB2312" w:hAnsi="仿宋_GB2312" w:eastAsia="仿宋_GB2312" w:cs="仿宋_GB2312"/>
              <w:sz w:val="32"/>
              <w:szCs w:val="32"/>
            </w:rPr>
          </w:pPr>
          <w:r>
            <w:rPr>
              <w:rFonts w:hint="eastAsia" w:ascii="黑体" w:hAnsi="黑体" w:eastAsia="黑体" w:cs="黑体"/>
              <w:b w:val="0"/>
              <w:bCs w:val="0"/>
              <w:sz w:val="32"/>
              <w:szCs w:val="32"/>
            </w:rPr>
            <w:t>目</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录</w:t>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TOC \o "1-2" \h \u </w:instrText>
          </w:r>
          <w:r>
            <w:rPr>
              <w:rFonts w:hint="eastAsia" w:ascii="仿宋_GB2312" w:hAnsi="仿宋_GB2312" w:eastAsia="仿宋_GB2312" w:cs="仿宋_GB2312"/>
              <w:b w:val="0"/>
              <w:bCs w:val="0"/>
              <w:sz w:val="32"/>
              <w:szCs w:val="32"/>
            </w:rPr>
            <w:fldChar w:fldCharType="separate"/>
          </w:r>
        </w:p>
        <w:p>
          <w:pPr>
            <w:pStyle w:val="7"/>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bCs w:val="0"/>
              <w:sz w:val="32"/>
              <w:szCs w:val="32"/>
            </w:rPr>
            <w:fldChar w:fldCharType="begin"/>
          </w:r>
          <w:r>
            <w:rPr>
              <w:rFonts w:hint="eastAsia" w:ascii="仿宋_GB2312" w:hAnsi="仿宋_GB2312" w:eastAsia="仿宋_GB2312" w:cs="仿宋_GB2312"/>
              <w:bCs w:val="0"/>
              <w:sz w:val="32"/>
              <w:szCs w:val="32"/>
            </w:rPr>
            <w:instrText xml:space="preserve"> HYPERLINK \l _Toc4028 </w:instrText>
          </w:r>
          <w:r>
            <w:rPr>
              <w:rFonts w:hint="eastAsia" w:ascii="仿宋_GB2312" w:hAnsi="仿宋_GB2312" w:eastAsia="仿宋_GB2312" w:cs="仿宋_GB2312"/>
              <w:bCs w:val="0"/>
              <w:sz w:val="32"/>
              <w:szCs w:val="32"/>
            </w:rPr>
            <w:fldChar w:fldCharType="separate"/>
          </w:r>
          <w:r>
            <w:rPr>
              <w:rFonts w:hint="eastAsia" w:ascii="仿宋_GB2312" w:hAnsi="仿宋_GB2312" w:eastAsia="仿宋_GB2312" w:cs="仿宋_GB2312"/>
              <w:sz w:val="32"/>
              <w:szCs w:val="32"/>
            </w:rPr>
            <w:t>一、基本情况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_Toc4028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val="0"/>
              <w:sz w:val="32"/>
              <w:szCs w:val="32"/>
            </w:rPr>
            <w:fldChar w:fldCharType="end"/>
          </w:r>
        </w:p>
        <w:p>
          <w:pPr>
            <w:pStyle w:val="8"/>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bCs w:val="0"/>
              <w:sz w:val="32"/>
              <w:szCs w:val="32"/>
            </w:rPr>
            <w:fldChar w:fldCharType="begin"/>
          </w:r>
          <w:r>
            <w:rPr>
              <w:rFonts w:hint="eastAsia" w:ascii="仿宋_GB2312" w:hAnsi="仿宋_GB2312" w:eastAsia="仿宋_GB2312" w:cs="仿宋_GB2312"/>
              <w:bCs w:val="0"/>
              <w:sz w:val="32"/>
              <w:szCs w:val="32"/>
            </w:rPr>
            <w:instrText xml:space="preserve"> HYPERLINK \l _Toc13515 </w:instrText>
          </w:r>
          <w:r>
            <w:rPr>
              <w:rFonts w:hint="eastAsia" w:ascii="仿宋_GB2312" w:hAnsi="仿宋_GB2312" w:eastAsia="仿宋_GB2312" w:cs="仿宋_GB2312"/>
              <w:bCs w:val="0"/>
              <w:sz w:val="32"/>
              <w:szCs w:val="32"/>
            </w:rPr>
            <w:fldChar w:fldCharType="separate"/>
          </w:r>
          <w:r>
            <w:rPr>
              <w:rFonts w:hint="eastAsia" w:ascii="仿宋_GB2312" w:hAnsi="仿宋_GB2312" w:eastAsia="仿宋_GB2312" w:cs="仿宋_GB2312"/>
              <w:sz w:val="32"/>
              <w:szCs w:val="32"/>
            </w:rPr>
            <w:t>（一）项目概况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_Toc13515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val="0"/>
              <w:sz w:val="32"/>
              <w:szCs w:val="32"/>
            </w:rPr>
            <w:fldChar w:fldCharType="end"/>
          </w:r>
        </w:p>
        <w:p>
          <w:pPr>
            <w:pStyle w:val="8"/>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bCs w:val="0"/>
              <w:sz w:val="32"/>
              <w:szCs w:val="32"/>
            </w:rPr>
            <w:fldChar w:fldCharType="begin"/>
          </w:r>
          <w:r>
            <w:rPr>
              <w:rFonts w:hint="eastAsia" w:ascii="仿宋_GB2312" w:hAnsi="仿宋_GB2312" w:eastAsia="仿宋_GB2312" w:cs="仿宋_GB2312"/>
              <w:bCs w:val="0"/>
              <w:sz w:val="32"/>
              <w:szCs w:val="32"/>
            </w:rPr>
            <w:instrText xml:space="preserve"> HYPERLINK \l _Toc14188 </w:instrText>
          </w:r>
          <w:r>
            <w:rPr>
              <w:rFonts w:hint="eastAsia" w:ascii="仿宋_GB2312" w:hAnsi="仿宋_GB2312" w:eastAsia="仿宋_GB2312" w:cs="仿宋_GB2312"/>
              <w:bCs w:val="0"/>
              <w:sz w:val="32"/>
              <w:szCs w:val="32"/>
            </w:rPr>
            <w:fldChar w:fldCharType="separate"/>
          </w:r>
          <w:r>
            <w:rPr>
              <w:rFonts w:hint="eastAsia" w:ascii="仿宋_GB2312" w:hAnsi="仿宋_GB2312" w:eastAsia="仿宋_GB2312" w:cs="仿宋_GB2312"/>
              <w:sz w:val="32"/>
              <w:szCs w:val="32"/>
            </w:rPr>
            <w:t>（二）项目绩效目标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_Toc14188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val="0"/>
              <w:sz w:val="32"/>
              <w:szCs w:val="32"/>
            </w:rPr>
            <w:fldChar w:fldCharType="end"/>
          </w:r>
        </w:p>
        <w:p>
          <w:pPr>
            <w:pStyle w:val="7"/>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bCs w:val="0"/>
              <w:sz w:val="32"/>
              <w:szCs w:val="32"/>
            </w:rPr>
            <w:fldChar w:fldCharType="begin"/>
          </w:r>
          <w:r>
            <w:rPr>
              <w:rFonts w:hint="eastAsia" w:ascii="仿宋_GB2312" w:hAnsi="仿宋_GB2312" w:eastAsia="仿宋_GB2312" w:cs="仿宋_GB2312"/>
              <w:bCs w:val="0"/>
              <w:sz w:val="32"/>
              <w:szCs w:val="32"/>
            </w:rPr>
            <w:instrText xml:space="preserve"> HYPERLINK \l _Toc14672 </w:instrText>
          </w:r>
          <w:r>
            <w:rPr>
              <w:rFonts w:hint="eastAsia" w:ascii="仿宋_GB2312" w:hAnsi="仿宋_GB2312" w:eastAsia="仿宋_GB2312" w:cs="仿宋_GB2312"/>
              <w:bCs w:val="0"/>
              <w:sz w:val="32"/>
              <w:szCs w:val="32"/>
            </w:rPr>
            <w:fldChar w:fldCharType="separate"/>
          </w:r>
          <w:r>
            <w:rPr>
              <w:rFonts w:hint="eastAsia" w:ascii="仿宋_GB2312" w:hAnsi="仿宋_GB2312" w:eastAsia="仿宋_GB2312" w:cs="仿宋_GB2312"/>
              <w:sz w:val="32"/>
              <w:szCs w:val="32"/>
            </w:rPr>
            <w:t>二、绩效评价工作开展情况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_Toc14672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val="0"/>
              <w:sz w:val="32"/>
              <w:szCs w:val="32"/>
            </w:rPr>
            <w:fldChar w:fldCharType="end"/>
          </w:r>
        </w:p>
        <w:p>
          <w:pPr>
            <w:pStyle w:val="7"/>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bCs w:val="0"/>
              <w:sz w:val="32"/>
              <w:szCs w:val="32"/>
            </w:rPr>
            <w:fldChar w:fldCharType="begin"/>
          </w:r>
          <w:r>
            <w:rPr>
              <w:rFonts w:hint="eastAsia" w:ascii="仿宋_GB2312" w:hAnsi="仿宋_GB2312" w:eastAsia="仿宋_GB2312" w:cs="仿宋_GB2312"/>
              <w:bCs w:val="0"/>
              <w:sz w:val="32"/>
              <w:szCs w:val="32"/>
            </w:rPr>
            <w:instrText xml:space="preserve"> HYPERLINK \l _Toc8742 </w:instrText>
          </w:r>
          <w:r>
            <w:rPr>
              <w:rFonts w:hint="eastAsia" w:ascii="仿宋_GB2312" w:hAnsi="仿宋_GB2312" w:eastAsia="仿宋_GB2312" w:cs="仿宋_GB2312"/>
              <w:bCs w:val="0"/>
              <w:sz w:val="32"/>
              <w:szCs w:val="32"/>
            </w:rPr>
            <w:fldChar w:fldCharType="separate"/>
          </w:r>
          <w:r>
            <w:rPr>
              <w:rFonts w:hint="eastAsia" w:ascii="仿宋_GB2312" w:hAnsi="仿宋_GB2312" w:eastAsia="仿宋_GB2312" w:cs="仿宋_GB2312"/>
              <w:sz w:val="32"/>
              <w:szCs w:val="32"/>
            </w:rPr>
            <w:t>三、综合评价情况及评价结论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_Toc8742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val="0"/>
              <w:sz w:val="32"/>
              <w:szCs w:val="32"/>
            </w:rPr>
            <w:fldChar w:fldCharType="end"/>
          </w:r>
        </w:p>
        <w:p>
          <w:pPr>
            <w:pStyle w:val="7"/>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bCs w:val="0"/>
              <w:sz w:val="32"/>
              <w:szCs w:val="32"/>
            </w:rPr>
            <w:fldChar w:fldCharType="begin"/>
          </w:r>
          <w:r>
            <w:rPr>
              <w:rFonts w:hint="eastAsia" w:ascii="仿宋_GB2312" w:hAnsi="仿宋_GB2312" w:eastAsia="仿宋_GB2312" w:cs="仿宋_GB2312"/>
              <w:bCs w:val="0"/>
              <w:sz w:val="32"/>
              <w:szCs w:val="32"/>
            </w:rPr>
            <w:instrText xml:space="preserve"> HYPERLINK \l _Toc26175 </w:instrText>
          </w:r>
          <w:r>
            <w:rPr>
              <w:rFonts w:hint="eastAsia" w:ascii="仿宋_GB2312" w:hAnsi="仿宋_GB2312" w:eastAsia="仿宋_GB2312" w:cs="仿宋_GB2312"/>
              <w:bCs w:val="0"/>
              <w:sz w:val="32"/>
              <w:szCs w:val="32"/>
            </w:rPr>
            <w:fldChar w:fldCharType="separate"/>
          </w:r>
          <w:r>
            <w:rPr>
              <w:rFonts w:hint="eastAsia" w:ascii="仿宋_GB2312" w:hAnsi="仿宋_GB2312" w:eastAsia="仿宋_GB2312" w:cs="仿宋_GB2312"/>
              <w:sz w:val="32"/>
              <w:szCs w:val="32"/>
            </w:rPr>
            <w:t>四、绩效评价指标分析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_Toc26175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val="0"/>
              <w:sz w:val="32"/>
              <w:szCs w:val="32"/>
            </w:rPr>
            <w:fldChar w:fldCharType="end"/>
          </w:r>
        </w:p>
        <w:p>
          <w:pPr>
            <w:pStyle w:val="8"/>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bCs w:val="0"/>
              <w:sz w:val="32"/>
              <w:szCs w:val="32"/>
            </w:rPr>
            <w:fldChar w:fldCharType="begin"/>
          </w:r>
          <w:r>
            <w:rPr>
              <w:rFonts w:hint="eastAsia" w:ascii="仿宋_GB2312" w:hAnsi="仿宋_GB2312" w:eastAsia="仿宋_GB2312" w:cs="仿宋_GB2312"/>
              <w:bCs w:val="0"/>
              <w:sz w:val="32"/>
              <w:szCs w:val="32"/>
            </w:rPr>
            <w:instrText xml:space="preserve"> HYPERLINK \l _Toc3206 </w:instrText>
          </w:r>
          <w:r>
            <w:rPr>
              <w:rFonts w:hint="eastAsia" w:ascii="仿宋_GB2312" w:hAnsi="仿宋_GB2312" w:eastAsia="仿宋_GB2312" w:cs="仿宋_GB2312"/>
              <w:bCs w:val="0"/>
              <w:sz w:val="32"/>
              <w:szCs w:val="32"/>
            </w:rPr>
            <w:fldChar w:fldCharType="separate"/>
          </w:r>
          <w:r>
            <w:rPr>
              <w:rFonts w:hint="eastAsia" w:ascii="仿宋_GB2312" w:hAnsi="仿宋_GB2312" w:eastAsia="仿宋_GB2312" w:cs="仿宋_GB2312"/>
              <w:sz w:val="32"/>
              <w:szCs w:val="32"/>
            </w:rPr>
            <w:t>（一）项目决策情况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_Toc3206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val="0"/>
              <w:sz w:val="32"/>
              <w:szCs w:val="32"/>
            </w:rPr>
            <w:fldChar w:fldCharType="end"/>
          </w:r>
        </w:p>
        <w:p>
          <w:pPr>
            <w:pStyle w:val="8"/>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bCs w:val="0"/>
              <w:sz w:val="32"/>
              <w:szCs w:val="32"/>
            </w:rPr>
            <w:fldChar w:fldCharType="begin"/>
          </w:r>
          <w:r>
            <w:rPr>
              <w:rFonts w:hint="eastAsia" w:ascii="仿宋_GB2312" w:hAnsi="仿宋_GB2312" w:eastAsia="仿宋_GB2312" w:cs="仿宋_GB2312"/>
              <w:bCs w:val="0"/>
              <w:sz w:val="32"/>
              <w:szCs w:val="32"/>
            </w:rPr>
            <w:instrText xml:space="preserve"> HYPERLINK \l _Toc21233 </w:instrText>
          </w:r>
          <w:r>
            <w:rPr>
              <w:rFonts w:hint="eastAsia" w:ascii="仿宋_GB2312" w:hAnsi="仿宋_GB2312" w:eastAsia="仿宋_GB2312" w:cs="仿宋_GB2312"/>
              <w:bCs w:val="0"/>
              <w:sz w:val="32"/>
              <w:szCs w:val="32"/>
            </w:rPr>
            <w:fldChar w:fldCharType="separate"/>
          </w:r>
          <w:r>
            <w:rPr>
              <w:rFonts w:hint="eastAsia" w:ascii="仿宋_GB2312" w:hAnsi="仿宋_GB2312" w:eastAsia="仿宋_GB2312" w:cs="仿宋_GB2312"/>
              <w:sz w:val="32"/>
              <w:szCs w:val="32"/>
            </w:rPr>
            <w:t>（二）项目过程情况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_Toc21233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val="0"/>
              <w:sz w:val="32"/>
              <w:szCs w:val="32"/>
            </w:rPr>
            <w:fldChar w:fldCharType="end"/>
          </w:r>
        </w:p>
        <w:p>
          <w:pPr>
            <w:pStyle w:val="8"/>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bCs w:val="0"/>
              <w:sz w:val="32"/>
              <w:szCs w:val="32"/>
            </w:rPr>
            <w:fldChar w:fldCharType="begin"/>
          </w:r>
          <w:r>
            <w:rPr>
              <w:rFonts w:hint="eastAsia" w:ascii="仿宋_GB2312" w:hAnsi="仿宋_GB2312" w:eastAsia="仿宋_GB2312" w:cs="仿宋_GB2312"/>
              <w:bCs w:val="0"/>
              <w:sz w:val="32"/>
              <w:szCs w:val="32"/>
            </w:rPr>
            <w:instrText xml:space="preserve"> HYPERLINK \l _Toc24859 </w:instrText>
          </w:r>
          <w:r>
            <w:rPr>
              <w:rFonts w:hint="eastAsia" w:ascii="仿宋_GB2312" w:hAnsi="仿宋_GB2312" w:eastAsia="仿宋_GB2312" w:cs="仿宋_GB2312"/>
              <w:bCs w:val="0"/>
              <w:sz w:val="32"/>
              <w:szCs w:val="32"/>
            </w:rPr>
            <w:fldChar w:fldCharType="separate"/>
          </w:r>
          <w:r>
            <w:rPr>
              <w:rFonts w:hint="eastAsia" w:ascii="仿宋_GB2312" w:hAnsi="仿宋_GB2312" w:eastAsia="仿宋_GB2312" w:cs="仿宋_GB2312"/>
              <w:sz w:val="32"/>
              <w:szCs w:val="32"/>
            </w:rPr>
            <w:t>（三）项目产出情况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_Toc24859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val="0"/>
              <w:sz w:val="32"/>
              <w:szCs w:val="32"/>
            </w:rPr>
            <w:fldChar w:fldCharType="end"/>
          </w:r>
        </w:p>
        <w:p>
          <w:pPr>
            <w:pStyle w:val="8"/>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bCs w:val="0"/>
              <w:sz w:val="32"/>
              <w:szCs w:val="32"/>
            </w:rPr>
            <w:fldChar w:fldCharType="begin"/>
          </w:r>
          <w:r>
            <w:rPr>
              <w:rFonts w:hint="eastAsia" w:ascii="仿宋_GB2312" w:hAnsi="仿宋_GB2312" w:eastAsia="仿宋_GB2312" w:cs="仿宋_GB2312"/>
              <w:bCs w:val="0"/>
              <w:sz w:val="32"/>
              <w:szCs w:val="32"/>
            </w:rPr>
            <w:instrText xml:space="preserve"> HYPERLINK \l _Toc10956 </w:instrText>
          </w:r>
          <w:r>
            <w:rPr>
              <w:rFonts w:hint="eastAsia" w:ascii="仿宋_GB2312" w:hAnsi="仿宋_GB2312" w:eastAsia="仿宋_GB2312" w:cs="仿宋_GB2312"/>
              <w:bCs w:val="0"/>
              <w:sz w:val="32"/>
              <w:szCs w:val="32"/>
            </w:rPr>
            <w:fldChar w:fldCharType="separate"/>
          </w:r>
          <w:r>
            <w:rPr>
              <w:rFonts w:hint="eastAsia" w:ascii="仿宋_GB2312" w:hAnsi="仿宋_GB2312" w:eastAsia="仿宋_GB2312" w:cs="仿宋_GB2312"/>
              <w:sz w:val="32"/>
              <w:szCs w:val="32"/>
            </w:rPr>
            <w:t>（四）项目效益情况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_Toc10956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val="0"/>
              <w:sz w:val="32"/>
              <w:szCs w:val="32"/>
            </w:rPr>
            <w:fldChar w:fldCharType="end"/>
          </w:r>
        </w:p>
        <w:p>
          <w:pPr>
            <w:pStyle w:val="7"/>
            <w:tabs>
              <w:tab w:val="right" w:leader="dot" w:pos="8306"/>
            </w:tabs>
            <w:rPr>
              <w:rFonts w:hint="eastAsia" w:ascii="仿宋_GB2312" w:hAnsi="仿宋_GB2312" w:eastAsia="仿宋_GB2312" w:cs="仿宋_GB2312"/>
              <w:sz w:val="32"/>
              <w:szCs w:val="32"/>
              <w:highlight w:val="none"/>
            </w:rPr>
          </w:pPr>
          <w:r>
            <w:rPr>
              <w:rFonts w:hint="eastAsia" w:ascii="仿宋_GB2312" w:hAnsi="仿宋_GB2312" w:eastAsia="仿宋_GB2312" w:cs="仿宋_GB2312"/>
              <w:bCs w:val="0"/>
              <w:sz w:val="32"/>
              <w:szCs w:val="32"/>
              <w:highlight w:val="none"/>
            </w:rPr>
            <w:fldChar w:fldCharType="begin"/>
          </w:r>
          <w:r>
            <w:rPr>
              <w:rFonts w:hint="eastAsia" w:ascii="仿宋_GB2312" w:hAnsi="仿宋_GB2312" w:eastAsia="仿宋_GB2312" w:cs="仿宋_GB2312"/>
              <w:bCs w:val="0"/>
              <w:sz w:val="32"/>
              <w:szCs w:val="32"/>
              <w:highlight w:val="none"/>
            </w:rPr>
            <w:instrText xml:space="preserve"> HYPERLINK \l _Toc26590 </w:instrText>
          </w:r>
          <w:r>
            <w:rPr>
              <w:rFonts w:hint="eastAsia" w:ascii="仿宋_GB2312" w:hAnsi="仿宋_GB2312" w:eastAsia="仿宋_GB2312" w:cs="仿宋_GB2312"/>
              <w:bCs w:val="0"/>
              <w:sz w:val="32"/>
              <w:szCs w:val="32"/>
              <w:highlight w:val="none"/>
            </w:rPr>
            <w:fldChar w:fldCharType="separate"/>
          </w:r>
          <w:r>
            <w:rPr>
              <w:rFonts w:hint="eastAsia" w:ascii="仿宋_GB2312" w:hAnsi="仿宋_GB2312" w:eastAsia="仿宋_GB2312" w:cs="仿宋_GB2312"/>
              <w:sz w:val="32"/>
              <w:szCs w:val="32"/>
              <w:highlight w:val="none"/>
            </w:rPr>
            <w:t>五、主要经验及做法、存在的问题及原因分析</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_Toc26590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9</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bCs w:val="0"/>
              <w:sz w:val="32"/>
              <w:szCs w:val="32"/>
              <w:highlight w:val="none"/>
            </w:rPr>
            <w:fldChar w:fldCharType="end"/>
          </w:r>
        </w:p>
        <w:p>
          <w:pPr>
            <w:pStyle w:val="7"/>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bCs w:val="0"/>
              <w:sz w:val="32"/>
              <w:szCs w:val="32"/>
            </w:rPr>
            <w:fldChar w:fldCharType="begin"/>
          </w:r>
          <w:r>
            <w:rPr>
              <w:rFonts w:hint="eastAsia" w:ascii="仿宋_GB2312" w:hAnsi="仿宋_GB2312" w:eastAsia="仿宋_GB2312" w:cs="仿宋_GB2312"/>
              <w:bCs w:val="0"/>
              <w:sz w:val="32"/>
              <w:szCs w:val="32"/>
            </w:rPr>
            <w:instrText xml:space="preserve"> HYPERLINK \l _Toc27821 </w:instrText>
          </w:r>
          <w:r>
            <w:rPr>
              <w:rFonts w:hint="eastAsia" w:ascii="仿宋_GB2312" w:hAnsi="仿宋_GB2312" w:eastAsia="仿宋_GB2312" w:cs="仿宋_GB2312"/>
              <w:bCs w:val="0"/>
              <w:sz w:val="32"/>
              <w:szCs w:val="32"/>
            </w:rPr>
            <w:fldChar w:fldCharType="separate"/>
          </w:r>
          <w:r>
            <w:rPr>
              <w:rFonts w:hint="eastAsia" w:ascii="仿宋_GB2312" w:hAnsi="仿宋_GB2312" w:eastAsia="仿宋_GB2312" w:cs="仿宋_GB2312"/>
              <w:sz w:val="32"/>
              <w:szCs w:val="32"/>
            </w:rPr>
            <w:t>六、有关建议</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_Toc27821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val="0"/>
              <w:sz w:val="32"/>
              <w:szCs w:val="32"/>
            </w:rPr>
            <w:fldChar w:fldCharType="end"/>
          </w:r>
        </w:p>
        <w:p>
          <w:pPr>
            <w:pStyle w:val="7"/>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bCs w:val="0"/>
              <w:sz w:val="32"/>
              <w:szCs w:val="32"/>
            </w:rPr>
            <w:fldChar w:fldCharType="begin"/>
          </w:r>
          <w:r>
            <w:rPr>
              <w:rFonts w:hint="eastAsia" w:ascii="仿宋_GB2312" w:hAnsi="仿宋_GB2312" w:eastAsia="仿宋_GB2312" w:cs="仿宋_GB2312"/>
              <w:bCs w:val="0"/>
              <w:sz w:val="32"/>
              <w:szCs w:val="32"/>
            </w:rPr>
            <w:instrText xml:space="preserve"> HYPERLINK \l _Toc3599 </w:instrText>
          </w:r>
          <w:r>
            <w:rPr>
              <w:rFonts w:hint="eastAsia" w:ascii="仿宋_GB2312" w:hAnsi="仿宋_GB2312" w:eastAsia="仿宋_GB2312" w:cs="仿宋_GB2312"/>
              <w:bCs w:val="0"/>
              <w:sz w:val="32"/>
              <w:szCs w:val="32"/>
            </w:rPr>
            <w:fldChar w:fldCharType="separate"/>
          </w:r>
          <w:r>
            <w:rPr>
              <w:rFonts w:hint="eastAsia" w:ascii="仿宋_GB2312" w:hAnsi="仿宋_GB2312" w:eastAsia="仿宋_GB2312" w:cs="仿宋_GB2312"/>
              <w:sz w:val="32"/>
              <w:szCs w:val="32"/>
            </w:rPr>
            <w:t>七、其他需要说明的问题</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_Toc3599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val="0"/>
              <w:sz w:val="32"/>
              <w:szCs w:val="32"/>
            </w:rPr>
            <w:fldChar w:fldCharType="end"/>
          </w:r>
        </w:p>
        <w:p>
          <w:pPr>
            <w:jc w:val="center"/>
            <w:rPr>
              <w:rFonts w:hint="eastAsia" w:ascii="方正小标宋简体" w:hAnsi="方正小标宋简体" w:eastAsia="方正小标宋简体" w:cs="方正小标宋简体"/>
              <w:b w:val="0"/>
              <w:bCs w:val="0"/>
              <w:sz w:val="36"/>
              <w:szCs w:val="36"/>
            </w:rPr>
          </w:pPr>
          <w:r>
            <w:rPr>
              <w:rFonts w:hint="eastAsia" w:ascii="仿宋_GB2312" w:hAnsi="仿宋_GB2312" w:eastAsia="仿宋_GB2312" w:cs="仿宋_GB2312"/>
              <w:bCs w:val="0"/>
              <w:sz w:val="32"/>
              <w:szCs w:val="32"/>
            </w:rPr>
            <w:fldChar w:fldCharType="end"/>
          </w:r>
        </w:p>
      </w:sdtContent>
    </w:sdt>
    <w:p>
      <w:pPr>
        <w:jc w:val="center"/>
        <w:rPr>
          <w:rFonts w:hint="eastAsia" w:ascii="方正小标宋简体" w:hAnsi="方正小标宋简体" w:eastAsia="方正小标宋简体" w:cs="方正小标宋简体"/>
          <w:b w:val="0"/>
          <w:bCs w:val="0"/>
          <w:sz w:val="36"/>
          <w:szCs w:val="36"/>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ind w:left="0" w:leftChars="0" w:firstLine="0" w:firstLineChars="0"/>
        <w:jc w:val="center"/>
        <w:outlineLvl w:val="0"/>
        <w:rPr>
          <w:rFonts w:hint="eastAsia" w:ascii="方正小标宋简体" w:hAnsi="方正小标宋简体" w:eastAsia="方正小标宋简体" w:cs="方正小标宋简体"/>
          <w:b w:val="0"/>
          <w:bCs w:val="0"/>
          <w:sz w:val="36"/>
          <w:szCs w:val="36"/>
        </w:rPr>
      </w:pPr>
      <w:bookmarkStart w:id="1" w:name="_Toc26500"/>
      <w:r>
        <w:rPr>
          <w:rFonts w:hint="eastAsia" w:ascii="方正小标宋简体" w:hAnsi="方正小标宋简体" w:eastAsia="方正小标宋简体" w:cs="方正小标宋简体"/>
          <w:b w:val="0"/>
          <w:bCs w:val="0"/>
          <w:sz w:val="36"/>
          <w:szCs w:val="36"/>
        </w:rPr>
        <w:t>友谊医院医用设备购置项目支出绩效评价报告</w:t>
      </w:r>
      <w:bookmarkEnd w:id="1"/>
    </w:p>
    <w:p>
      <w:pPr>
        <w:jc w:val="center"/>
        <w:rPr>
          <w:rFonts w:ascii="仿宋_GB2312"/>
          <w:szCs w:val="30"/>
        </w:rPr>
      </w:pPr>
    </w:p>
    <w:p>
      <w:pPr>
        <w:pStyle w:val="3"/>
        <w:bidi w:val="0"/>
        <w:rPr>
          <w:rFonts w:hint="eastAsia"/>
        </w:rPr>
      </w:pPr>
      <w:bookmarkStart w:id="2" w:name="_Toc4028"/>
      <w:r>
        <w:rPr>
          <w:rFonts w:hint="eastAsia"/>
        </w:rPr>
        <w:t>一、基本情况</w:t>
      </w:r>
      <w:bookmarkEnd w:id="2"/>
    </w:p>
    <w:p>
      <w:pPr>
        <w:pStyle w:val="4"/>
        <w:bidi w:val="0"/>
        <w:rPr>
          <w:rFonts w:hint="eastAsia"/>
        </w:rPr>
      </w:pPr>
      <w:bookmarkStart w:id="3" w:name="_Toc13515"/>
      <w:r>
        <w:rPr>
          <w:rFonts w:hint="eastAsia"/>
        </w:rPr>
        <w:t>（一）项目概况</w:t>
      </w:r>
      <w:bookmarkEnd w:id="3"/>
    </w:p>
    <w:p>
      <w:pPr>
        <w:bidi w:val="0"/>
        <w:rPr>
          <w:rFonts w:hint="eastAsia"/>
          <w:lang w:val="en-US" w:eastAsia="zh-CN"/>
        </w:rPr>
      </w:pPr>
      <w:r>
        <w:rPr>
          <w:rFonts w:hint="eastAsia"/>
          <w:lang w:val="en-US" w:eastAsia="zh-CN"/>
        </w:rPr>
        <w:t>1.项目背景</w:t>
      </w:r>
    </w:p>
    <w:p>
      <w:pPr>
        <w:bidi w:val="0"/>
        <w:rPr>
          <w:rFonts w:hint="default"/>
          <w:lang w:val="en-US" w:eastAsia="zh-CN"/>
        </w:rPr>
      </w:pPr>
      <w:r>
        <w:rPr>
          <w:rFonts w:hint="eastAsia"/>
        </w:rPr>
        <w:t>首都医科大学附属北京友谊医院</w:t>
      </w:r>
      <w:r>
        <w:rPr>
          <w:rFonts w:hint="eastAsia"/>
          <w:lang w:eastAsia="zh-CN"/>
        </w:rPr>
        <w:t>（</w:t>
      </w:r>
      <w:r>
        <w:rPr>
          <w:rFonts w:hint="eastAsia"/>
          <w:lang w:val="en-US" w:eastAsia="zh-CN"/>
        </w:rPr>
        <w:t>以下简称“北京友谊医院”</w:t>
      </w:r>
      <w:r>
        <w:rPr>
          <w:rFonts w:hint="eastAsia"/>
          <w:lang w:eastAsia="zh-CN"/>
        </w:rPr>
        <w:t>）</w:t>
      </w:r>
      <w:r>
        <w:rPr>
          <w:rFonts w:hint="eastAsia"/>
        </w:rPr>
        <w:t>医疗服务对象包括北京市医疗保险患者、公疗患者以及大量外地患者</w:t>
      </w:r>
      <w:r>
        <w:rPr>
          <w:rFonts w:hint="eastAsia"/>
          <w:lang w:eastAsia="zh-CN"/>
        </w:rPr>
        <w:t>。</w:t>
      </w:r>
      <w:r>
        <w:rPr>
          <w:rFonts w:hint="eastAsia"/>
        </w:rPr>
        <w:t>随着人民生活水平的不断提高和健康意识的逐渐增强，医疗资源的短缺日渐凸显，目前</w:t>
      </w:r>
      <w:r>
        <w:rPr>
          <w:rFonts w:hint="eastAsia"/>
          <w:lang w:val="en-US" w:eastAsia="zh-CN"/>
        </w:rPr>
        <w:t>北京友谊医院</w:t>
      </w:r>
      <w:r>
        <w:rPr>
          <w:rFonts w:hint="eastAsia"/>
        </w:rPr>
        <w:t>医疗设备不能满足大量临床诊治需求，更新部分老旧设备有利于正常医疗工作的开展，保障医疗质量和医疗安全，有利于广大患者的疾病诊治</w:t>
      </w:r>
      <w:r>
        <w:rPr>
          <w:rFonts w:hint="eastAsia"/>
          <w:lang w:eastAsia="zh-CN"/>
        </w:rPr>
        <w:t>，</w:t>
      </w:r>
      <w:r>
        <w:rPr>
          <w:rFonts w:hint="eastAsia"/>
        </w:rPr>
        <w:t>新增部分医疗设备有利于开展新技术、新疗法，增强</w:t>
      </w:r>
      <w:r>
        <w:rPr>
          <w:rFonts w:hint="eastAsia"/>
          <w:lang w:val="en-US" w:eastAsia="zh-CN"/>
        </w:rPr>
        <w:t>医院</w:t>
      </w:r>
      <w:r>
        <w:rPr>
          <w:rFonts w:hint="eastAsia"/>
        </w:rPr>
        <w:t>接诊能力，降低广大患者的候诊检查时间，改善平均住院日、病床周转率等指标，从而使</w:t>
      </w:r>
      <w:r>
        <w:rPr>
          <w:rFonts w:hint="eastAsia"/>
          <w:lang w:val="en-US" w:eastAsia="zh-CN"/>
        </w:rPr>
        <w:t>医院</w:t>
      </w:r>
      <w:r>
        <w:rPr>
          <w:rFonts w:hint="eastAsia"/>
        </w:rPr>
        <w:t>能更好地为广大患者提供医疗服务。</w:t>
      </w:r>
      <w:r>
        <w:rPr>
          <w:rFonts w:hint="eastAsia"/>
          <w:lang w:val="en-US" w:eastAsia="zh-CN"/>
        </w:rPr>
        <w:t>综上，北京友谊医院申请设立“友谊医院医用设备购置”项目（以下简称“本项目”）。</w:t>
      </w:r>
    </w:p>
    <w:p>
      <w:pPr>
        <w:bidi w:val="0"/>
        <w:rPr>
          <w:rFonts w:hint="eastAsia"/>
          <w:lang w:val="en-US" w:eastAsia="zh-CN"/>
        </w:rPr>
      </w:pPr>
      <w:r>
        <w:rPr>
          <w:rFonts w:hint="eastAsia"/>
          <w:lang w:val="en-US" w:eastAsia="zh-CN"/>
        </w:rPr>
        <w:t>2.项目主要内容及实施情况</w:t>
      </w:r>
    </w:p>
    <w:p>
      <w:pPr>
        <w:bidi w:val="0"/>
        <w:rPr>
          <w:rFonts w:hint="default"/>
          <w:lang w:val="en-US" w:eastAsia="zh-CN"/>
        </w:rPr>
      </w:pPr>
      <w:r>
        <w:rPr>
          <w:rFonts w:hint="eastAsia"/>
          <w:lang w:val="en-US" w:eastAsia="zh-CN"/>
        </w:rPr>
        <w:t>2023年本项目拟为北京友谊医院采购66台套医疗设备，实际于2023年采购65台套医疗设备，截至2024年5月采购设备已全部到货，多数设备已完成调试验收工作。</w:t>
      </w:r>
    </w:p>
    <w:p>
      <w:pPr>
        <w:bidi w:val="0"/>
        <w:rPr>
          <w:rFonts w:hint="eastAsia"/>
          <w:lang w:val="en-US" w:eastAsia="zh-CN"/>
        </w:rPr>
      </w:pPr>
      <w:r>
        <w:rPr>
          <w:rFonts w:hint="eastAsia"/>
          <w:lang w:val="en-US" w:eastAsia="zh-CN"/>
        </w:rPr>
        <w:t>3.资金投入和使用情况</w:t>
      </w:r>
    </w:p>
    <w:p>
      <w:pPr>
        <w:bidi w:val="0"/>
        <w:rPr>
          <w:rFonts w:hint="eastAsia"/>
          <w:lang w:val="en-US" w:eastAsia="zh-CN"/>
        </w:rPr>
      </w:pPr>
      <w:r>
        <w:rPr>
          <w:rFonts w:hint="eastAsia"/>
          <w:lang w:val="en-US" w:eastAsia="zh-CN"/>
        </w:rPr>
        <w:t>2023年本项目申请市级财政资金预算2722万元，实际支出2722万元。</w:t>
      </w:r>
    </w:p>
    <w:p>
      <w:pPr>
        <w:pStyle w:val="4"/>
        <w:numPr>
          <w:ilvl w:val="0"/>
          <w:numId w:val="1"/>
        </w:numPr>
        <w:bidi w:val="0"/>
        <w:rPr>
          <w:rFonts w:hint="eastAsia"/>
        </w:rPr>
      </w:pPr>
      <w:bookmarkStart w:id="4" w:name="_Toc14188"/>
      <w:r>
        <w:rPr>
          <w:rFonts w:hint="eastAsia"/>
        </w:rPr>
        <w:t>项目绩效目标</w:t>
      </w:r>
      <w:bookmarkEnd w:id="4"/>
    </w:p>
    <w:p>
      <w:pPr>
        <w:bidi w:val="0"/>
        <w:rPr>
          <w:rFonts w:hint="eastAsia"/>
          <w:lang w:eastAsia="zh-CN"/>
        </w:rPr>
      </w:pPr>
      <w:r>
        <w:rPr>
          <w:rFonts w:hint="eastAsia"/>
          <w:lang w:val="en-US" w:eastAsia="zh-CN"/>
        </w:rPr>
        <w:t>1.年度总体</w:t>
      </w:r>
      <w:r>
        <w:rPr>
          <w:rFonts w:hint="eastAsia"/>
        </w:rPr>
        <w:t>目标</w:t>
      </w:r>
      <w:r>
        <w:rPr>
          <w:rFonts w:hint="eastAsia"/>
          <w:lang w:eastAsia="zh-CN"/>
        </w:rPr>
        <w:t>：</w:t>
      </w:r>
    </w:p>
    <w:p>
      <w:pPr>
        <w:bidi w:val="0"/>
        <w:rPr>
          <w:rFonts w:hint="eastAsia"/>
          <w:lang w:eastAsia="zh-CN"/>
        </w:rPr>
      </w:pPr>
      <w:r>
        <w:rPr>
          <w:rFonts w:hint="eastAsia"/>
          <w:lang w:eastAsia="zh-CN"/>
        </w:rPr>
        <w:t>更新部分老旧设备有利于正常医疗工作的开展，保障医疗质量和医疗安全，有利于广大患者的疾病诊治。新增部分医疗设备有利于开展新技术、新疗法，增强我院的接诊能力，降低广大患者的候诊检查时间，改善平均住院日、病床周转率等指标，从而使</w:t>
      </w:r>
      <w:r>
        <w:rPr>
          <w:rFonts w:hint="eastAsia"/>
          <w:lang w:val="en-US" w:eastAsia="zh-CN"/>
        </w:rPr>
        <w:t>医院</w:t>
      </w:r>
      <w:r>
        <w:rPr>
          <w:rFonts w:hint="eastAsia"/>
          <w:lang w:eastAsia="zh-CN"/>
        </w:rPr>
        <w:t>能更好地为广大患者提供医疗服务。</w:t>
      </w:r>
    </w:p>
    <w:p>
      <w:pPr>
        <w:bidi w:val="0"/>
        <w:rPr>
          <w:rFonts w:hint="eastAsia"/>
          <w:lang w:val="en-US" w:eastAsia="zh-CN"/>
        </w:rPr>
      </w:pPr>
      <w:r>
        <w:rPr>
          <w:rFonts w:hint="eastAsia"/>
          <w:lang w:val="en-US" w:eastAsia="zh-CN"/>
        </w:rPr>
        <w:t>2.绩效指标</w:t>
      </w:r>
    </w:p>
    <w:p>
      <w:pPr>
        <w:bidi w:val="0"/>
        <w:rPr>
          <w:rFonts w:hint="default"/>
          <w:lang w:val="en-US" w:eastAsia="zh-CN"/>
        </w:rPr>
      </w:pPr>
      <w:r>
        <w:rPr>
          <w:rFonts w:hint="eastAsia"/>
          <w:lang w:eastAsia="zh-CN"/>
        </w:rPr>
        <w:t>（</w:t>
      </w:r>
      <w:r>
        <w:rPr>
          <w:rFonts w:hint="eastAsia"/>
          <w:lang w:val="en-US" w:eastAsia="zh-CN"/>
        </w:rPr>
        <w:t>1</w:t>
      </w:r>
      <w:r>
        <w:rPr>
          <w:rFonts w:hint="eastAsia"/>
          <w:lang w:eastAsia="zh-CN"/>
        </w:rPr>
        <w:t>）</w:t>
      </w:r>
      <w:r>
        <w:rPr>
          <w:rFonts w:hint="eastAsia"/>
          <w:lang w:val="en-US" w:eastAsia="zh-CN"/>
        </w:rPr>
        <w:t>产出数量指标：购置医疗设备数量66台套</w:t>
      </w:r>
    </w:p>
    <w:p>
      <w:pPr>
        <w:bidi w:val="0"/>
        <w:rPr>
          <w:rFonts w:hint="default"/>
          <w:lang w:val="en-US" w:eastAsia="zh-CN"/>
        </w:rPr>
      </w:pPr>
      <w:r>
        <w:rPr>
          <w:rFonts w:hint="eastAsia"/>
          <w:lang w:val="en-US" w:eastAsia="zh-CN"/>
        </w:rPr>
        <w:t>（2）产出质量指标：完成医疗设备验收安装率≥20%</w:t>
      </w:r>
    </w:p>
    <w:p>
      <w:pPr>
        <w:bidi w:val="0"/>
        <w:rPr>
          <w:rFonts w:hint="default"/>
          <w:lang w:val="en-US" w:eastAsia="zh-CN"/>
        </w:rPr>
      </w:pPr>
      <w:r>
        <w:rPr>
          <w:rFonts w:hint="eastAsia"/>
          <w:lang w:val="en-US" w:eastAsia="zh-CN"/>
        </w:rPr>
        <w:t>（3）产出时效指标：7月前完成意向公开及采购立项，12月前完成前期招标采购、合同签订及首付款支付</w:t>
      </w:r>
    </w:p>
    <w:p>
      <w:pPr>
        <w:bidi w:val="0"/>
        <w:rPr>
          <w:rFonts w:hint="default"/>
          <w:lang w:val="en-US" w:eastAsia="zh-CN"/>
        </w:rPr>
      </w:pPr>
      <w:r>
        <w:rPr>
          <w:rFonts w:hint="eastAsia"/>
          <w:lang w:val="en-US" w:eastAsia="zh-CN"/>
        </w:rPr>
        <w:t>（4）成本指标：项目预算控制数2722万元</w:t>
      </w:r>
    </w:p>
    <w:p>
      <w:pPr>
        <w:bidi w:val="0"/>
        <w:rPr>
          <w:rFonts w:hint="default"/>
          <w:lang w:val="en-US" w:eastAsia="zh-CN"/>
        </w:rPr>
      </w:pPr>
      <w:r>
        <w:rPr>
          <w:rFonts w:hint="eastAsia"/>
          <w:lang w:val="en-US" w:eastAsia="zh-CN"/>
        </w:rPr>
        <w:t>（5）可持续性影响指标：较长时间内发挥作用</w:t>
      </w:r>
    </w:p>
    <w:p>
      <w:pPr>
        <w:bidi w:val="0"/>
        <w:rPr>
          <w:rFonts w:hint="default"/>
          <w:lang w:val="en-US" w:eastAsia="zh-CN"/>
        </w:rPr>
      </w:pPr>
      <w:r>
        <w:rPr>
          <w:rFonts w:hint="eastAsia"/>
          <w:lang w:val="en-US" w:eastAsia="zh-CN"/>
        </w:rPr>
        <w:t>（6）服务对象满意度指标：职工满意度≥95%</w:t>
      </w:r>
    </w:p>
    <w:p>
      <w:pPr>
        <w:pStyle w:val="3"/>
        <w:bidi w:val="0"/>
        <w:rPr>
          <w:rFonts w:hint="eastAsia"/>
        </w:rPr>
      </w:pPr>
      <w:bookmarkStart w:id="5" w:name="_Toc14672"/>
      <w:r>
        <w:rPr>
          <w:rFonts w:hint="eastAsia"/>
        </w:rPr>
        <w:t>二、绩效评价工作开展情况</w:t>
      </w:r>
      <w:bookmarkEnd w:id="5"/>
    </w:p>
    <w:p>
      <w:pPr>
        <w:pStyle w:val="4"/>
        <w:bidi w:val="0"/>
        <w:rPr>
          <w:rFonts w:hint="eastAsia"/>
        </w:rPr>
      </w:pPr>
      <w:bookmarkStart w:id="6" w:name="_Toc14530"/>
      <w:r>
        <w:rPr>
          <w:rFonts w:hint="eastAsia"/>
        </w:rPr>
        <w:t>（一）绩效评价目的、对象和范围</w:t>
      </w:r>
      <w:bookmarkEnd w:id="6"/>
    </w:p>
    <w:p>
      <w:pPr>
        <w:bidi w:val="0"/>
        <w:rPr>
          <w:rFonts w:hint="eastAsia"/>
          <w:lang w:val="en-US" w:eastAsia="zh-CN"/>
        </w:rPr>
      </w:pPr>
      <w:r>
        <w:rPr>
          <w:rFonts w:hint="eastAsia"/>
          <w:lang w:val="en-US" w:eastAsia="zh-CN"/>
        </w:rPr>
        <w:t>1.评价目的：考核资金支出效率及综合效果，及时总结经验，分析存在的问题和原因，切实采取有效措施进一步改进和加强财政资金管理，不断提高资金使用效率，为后续财政资金预算及使用提供依据。通过绩效评价，树立绩效管理理念，做好预算绩效管理，提高财政资金效益，优化财政支出结构。</w:t>
      </w:r>
    </w:p>
    <w:p>
      <w:pPr>
        <w:bidi w:val="0"/>
        <w:rPr>
          <w:rFonts w:hint="eastAsia"/>
          <w:lang w:val="en-US" w:eastAsia="zh-CN"/>
        </w:rPr>
      </w:pPr>
      <w:r>
        <w:rPr>
          <w:rFonts w:hint="eastAsia"/>
          <w:lang w:val="en-US" w:eastAsia="zh-CN"/>
        </w:rPr>
        <w:t>2、评价对象：友谊医院医用设备购置项目资金2722万元。</w:t>
      </w:r>
    </w:p>
    <w:p>
      <w:pPr>
        <w:bidi w:val="0"/>
        <w:rPr>
          <w:rFonts w:hint="eastAsia"/>
          <w:lang w:val="en-US" w:eastAsia="zh-CN"/>
        </w:rPr>
      </w:pPr>
      <w:r>
        <w:rPr>
          <w:rFonts w:hint="eastAsia"/>
          <w:lang w:val="en-US" w:eastAsia="zh-CN"/>
        </w:rPr>
        <w:t>3、范围：涵盖友谊医院医用设备购置项目设备购置等所有工作内容，主要是年度资金项目各项计划指标完成情况和年度资金使用情况。</w:t>
      </w:r>
    </w:p>
    <w:p>
      <w:pPr>
        <w:pStyle w:val="4"/>
        <w:bidi w:val="0"/>
        <w:rPr>
          <w:rFonts w:hint="eastAsia"/>
        </w:rPr>
      </w:pPr>
      <w:bookmarkStart w:id="7" w:name="_Toc959"/>
      <w:r>
        <w:rPr>
          <w:rFonts w:hint="eastAsia"/>
          <w:lang w:eastAsia="zh-CN"/>
        </w:rPr>
        <w:t>（</w:t>
      </w:r>
      <w:r>
        <w:rPr>
          <w:rFonts w:hint="eastAsia"/>
          <w:lang w:val="en-US" w:eastAsia="zh-CN"/>
        </w:rPr>
        <w:t>二</w:t>
      </w:r>
      <w:r>
        <w:rPr>
          <w:rFonts w:hint="eastAsia"/>
          <w:lang w:eastAsia="zh-CN"/>
        </w:rPr>
        <w:t>）</w:t>
      </w:r>
      <w:r>
        <w:rPr>
          <w:rFonts w:hint="eastAsia"/>
        </w:rPr>
        <w:t>绩效评价原则、评价指标体系、评价方法、评价标准</w:t>
      </w:r>
      <w:bookmarkEnd w:id="7"/>
    </w:p>
    <w:p>
      <w:pPr>
        <w:bidi w:val="0"/>
        <w:rPr>
          <w:rFonts w:hint="eastAsia"/>
          <w:lang w:val="en-US" w:eastAsia="zh-CN"/>
        </w:rPr>
      </w:pPr>
      <w:r>
        <w:rPr>
          <w:rFonts w:hint="eastAsia"/>
          <w:lang w:val="en-US" w:eastAsia="zh-CN"/>
        </w:rPr>
        <w:t>1.评价原则：</w:t>
      </w:r>
    </w:p>
    <w:p>
      <w:pPr>
        <w:bidi w:val="0"/>
        <w:rPr>
          <w:rFonts w:hint="eastAsia"/>
          <w:lang w:val="en-US" w:eastAsia="zh-CN"/>
        </w:rPr>
      </w:pPr>
      <w:r>
        <w:rPr>
          <w:rFonts w:hint="eastAsia"/>
          <w:lang w:val="en-US" w:eastAsia="zh-CN"/>
        </w:rPr>
        <w:t>（1）科学规范原则。绩效评价应当严格执行规定的程序，按照科学可行的要求，采用定量与定性分析相结合的方法。</w:t>
      </w:r>
    </w:p>
    <w:p>
      <w:pPr>
        <w:bidi w:val="0"/>
        <w:rPr>
          <w:rFonts w:hint="eastAsia"/>
          <w:lang w:val="en-US" w:eastAsia="zh-CN"/>
        </w:rPr>
      </w:pPr>
      <w:r>
        <w:rPr>
          <w:rFonts w:hint="eastAsia"/>
          <w:lang w:val="en-US" w:eastAsia="zh-CN"/>
        </w:rPr>
        <w:t>（2）公正公开原则。绩效评价应当符合真实、客观、公正的要求，依法公开并接受监督。</w:t>
      </w:r>
    </w:p>
    <w:p>
      <w:pPr>
        <w:bidi w:val="0"/>
        <w:rPr>
          <w:rFonts w:hint="eastAsia"/>
          <w:lang w:val="en-US" w:eastAsia="zh-CN"/>
        </w:rPr>
      </w:pPr>
      <w:r>
        <w:rPr>
          <w:rFonts w:hint="eastAsia"/>
          <w:lang w:val="en-US" w:eastAsia="zh-CN"/>
        </w:rPr>
        <w:t>（3）绩效相关原则。绩效评价应当针对具体支出及其产出绩效进行，评价结果应当清晰反映支出和产出绩效之间的紧密对应关系。</w:t>
      </w:r>
    </w:p>
    <w:p>
      <w:pPr>
        <w:bidi w:val="0"/>
        <w:rPr>
          <w:rFonts w:hint="eastAsia"/>
          <w:lang w:val="en-US" w:eastAsia="zh-CN"/>
        </w:rPr>
      </w:pPr>
      <w:r>
        <w:rPr>
          <w:rFonts w:hint="eastAsia"/>
          <w:lang w:val="en-US" w:eastAsia="zh-CN"/>
        </w:rPr>
        <w:t>2.评价指标体系：详见附件《友谊医院医用设备购置项目绩效评价评分表》</w:t>
      </w:r>
    </w:p>
    <w:p>
      <w:pPr>
        <w:bidi w:val="0"/>
        <w:rPr>
          <w:rFonts w:hint="eastAsia"/>
          <w:lang w:val="en-US" w:eastAsia="zh-CN"/>
        </w:rPr>
      </w:pPr>
      <w:r>
        <w:rPr>
          <w:rFonts w:hint="eastAsia"/>
          <w:lang w:val="en-US" w:eastAsia="zh-CN"/>
        </w:rPr>
        <w:t>3.评价方法、评价标准：</w:t>
      </w:r>
    </w:p>
    <w:p>
      <w:pPr>
        <w:bidi w:val="0"/>
        <w:rPr>
          <w:rFonts w:hint="eastAsia"/>
          <w:lang w:val="en-US" w:eastAsia="zh-CN"/>
        </w:rPr>
      </w:pPr>
      <w:r>
        <w:rPr>
          <w:rFonts w:hint="eastAsia"/>
          <w:lang w:val="en-US" w:eastAsia="zh-CN"/>
        </w:rPr>
        <w:t>评价方法采用数据分析、座谈、询问查证等，结合《北京市项目支出绩效管理办法》（京财绩效〔2020〕2146号）、《北京市财政局关于开展2024年预算绩效管理相关工作的函》等文件要求以及项目支出绩效评价表的年度指标值为评价标准。</w:t>
      </w:r>
    </w:p>
    <w:p>
      <w:pPr>
        <w:pStyle w:val="4"/>
        <w:bidi w:val="0"/>
        <w:rPr>
          <w:rFonts w:hint="eastAsia"/>
        </w:rPr>
      </w:pPr>
      <w:bookmarkStart w:id="8" w:name="_Toc31929"/>
      <w:r>
        <w:rPr>
          <w:rFonts w:hint="eastAsia"/>
          <w:lang w:eastAsia="zh-CN"/>
        </w:rPr>
        <w:t>（</w:t>
      </w:r>
      <w:r>
        <w:rPr>
          <w:rFonts w:hint="eastAsia"/>
          <w:lang w:val="en-US" w:eastAsia="zh-CN"/>
        </w:rPr>
        <w:t>三</w:t>
      </w:r>
      <w:r>
        <w:rPr>
          <w:rFonts w:hint="eastAsia"/>
          <w:lang w:eastAsia="zh-CN"/>
        </w:rPr>
        <w:t>）</w:t>
      </w:r>
      <w:r>
        <w:rPr>
          <w:rFonts w:hint="eastAsia"/>
        </w:rPr>
        <w:t>绩效评价工作过程</w:t>
      </w:r>
      <w:bookmarkEnd w:id="8"/>
    </w:p>
    <w:p>
      <w:pPr>
        <w:bidi w:val="0"/>
        <w:rPr>
          <w:rFonts w:hint="eastAsia"/>
          <w:lang w:val="en-US" w:eastAsia="zh-CN"/>
        </w:rPr>
      </w:pPr>
      <w:r>
        <w:rPr>
          <w:rFonts w:hint="eastAsia"/>
          <w:lang w:val="en-US" w:eastAsia="zh-CN"/>
        </w:rPr>
        <w:t>1.第一阶段：成立项目评价工作小组，制定项目工作计划；参与项目评价工作协调会议，组织本次绩效评价的培训。</w:t>
      </w:r>
    </w:p>
    <w:p>
      <w:pPr>
        <w:bidi w:val="0"/>
        <w:rPr>
          <w:rFonts w:hint="eastAsia"/>
          <w:lang w:val="en-US" w:eastAsia="zh-CN"/>
        </w:rPr>
      </w:pPr>
      <w:r>
        <w:rPr>
          <w:rFonts w:hint="eastAsia"/>
          <w:lang w:val="en-US" w:eastAsia="zh-CN"/>
        </w:rPr>
        <w:t>2.第二阶段：项目评价小组联合相关部门参与人员，设计项目评价指标体系。</w:t>
      </w:r>
    </w:p>
    <w:p>
      <w:pPr>
        <w:bidi w:val="0"/>
        <w:rPr>
          <w:rFonts w:hint="eastAsia"/>
          <w:lang w:val="en-US" w:eastAsia="zh-CN"/>
        </w:rPr>
      </w:pPr>
      <w:r>
        <w:rPr>
          <w:rFonts w:hint="eastAsia"/>
          <w:lang w:val="en-US" w:eastAsia="zh-CN"/>
        </w:rPr>
        <w:t>3.第三阶段：依据评价指标体系收集相关数据。</w:t>
      </w:r>
      <w:bookmarkStart w:id="29" w:name="_GoBack"/>
      <w:bookmarkEnd w:id="29"/>
    </w:p>
    <w:p>
      <w:pPr>
        <w:bidi w:val="0"/>
        <w:rPr>
          <w:rFonts w:hint="eastAsia"/>
          <w:lang w:val="en-US" w:eastAsia="zh-CN"/>
        </w:rPr>
      </w:pPr>
      <w:r>
        <w:rPr>
          <w:rFonts w:hint="eastAsia"/>
          <w:lang w:val="en-US" w:eastAsia="zh-CN"/>
        </w:rPr>
        <w:t>4.第四阶段：项目评价小组根据采购、合同、资产管理等相关资料，撰写项目评价报告。</w:t>
      </w:r>
    </w:p>
    <w:p>
      <w:pPr>
        <w:pStyle w:val="3"/>
        <w:bidi w:val="0"/>
        <w:rPr>
          <w:rFonts w:hint="eastAsia"/>
        </w:rPr>
      </w:pPr>
      <w:bookmarkStart w:id="9" w:name="_Toc8742"/>
      <w:r>
        <w:rPr>
          <w:rFonts w:hint="eastAsia"/>
        </w:rPr>
        <w:t>三、综合评价情况及评价结论</w:t>
      </w:r>
      <w:bookmarkEnd w:id="9"/>
    </w:p>
    <w:p>
      <w:pPr>
        <w:bidi w:val="0"/>
        <w:rPr>
          <w:rFonts w:hint="eastAsia"/>
          <w:lang w:val="en-US" w:eastAsia="zh-CN"/>
        </w:rPr>
      </w:pPr>
      <w:r>
        <w:rPr>
          <w:rFonts w:hint="eastAsia"/>
          <w:lang w:val="en-US" w:eastAsia="zh-CN"/>
        </w:rPr>
        <w:t>本项目绩效评价综合得分89.05分，评价等级为“良”。其中，项目决策指标，满分10分，评价得分为8.2分；项目过程指标，满分20分，评价得分为19分；项目产出指标，满分40分，评价得分为35.85分；项目效益指标，满分30分，评价得分为26分。具体评分见附件。</w:t>
      </w:r>
    </w:p>
    <w:p>
      <w:pPr>
        <w:bidi w:val="0"/>
        <w:rPr>
          <w:rFonts w:hint="eastAsia"/>
          <w:lang w:val="en-US" w:eastAsia="zh-CN"/>
        </w:rPr>
      </w:pPr>
      <w:r>
        <w:rPr>
          <w:rFonts w:hint="eastAsia"/>
          <w:lang w:val="en-US" w:eastAsia="zh-CN"/>
        </w:rPr>
        <w:t>项目立项依据充分，立项程序较为规范，预算编制依据较为充分，资金分配合理性、使用合规性较好，预算执行进度较好，产出指标、社会效益、可持续影响完成情况良好；但指标设置、设备验收及满意度调查工作有待提升，产出数量指标未完成，项目执行期较长，少部分医用设备利用率较低，社会效益不够显著。</w:t>
      </w:r>
    </w:p>
    <w:p>
      <w:pPr>
        <w:pStyle w:val="3"/>
        <w:bidi w:val="0"/>
        <w:rPr>
          <w:rFonts w:hint="eastAsia"/>
        </w:rPr>
      </w:pPr>
      <w:bookmarkStart w:id="10" w:name="_Toc26175"/>
      <w:r>
        <w:rPr>
          <w:rFonts w:hint="eastAsia"/>
        </w:rPr>
        <w:t>四、绩效评价指标分析</w:t>
      </w:r>
      <w:bookmarkEnd w:id="10"/>
    </w:p>
    <w:p>
      <w:pPr>
        <w:pStyle w:val="4"/>
        <w:bidi w:val="0"/>
        <w:rPr>
          <w:rFonts w:hint="eastAsia"/>
        </w:rPr>
      </w:pPr>
      <w:bookmarkStart w:id="11" w:name="_Toc3206"/>
      <w:r>
        <w:rPr>
          <w:rFonts w:hint="eastAsia"/>
        </w:rPr>
        <w:t>（一）项目决策情况</w:t>
      </w:r>
      <w:bookmarkEnd w:id="11"/>
    </w:p>
    <w:p>
      <w:pPr>
        <w:bidi w:val="0"/>
        <w:rPr>
          <w:rFonts w:hint="eastAsia"/>
          <w:lang w:val="en-US" w:eastAsia="zh-CN"/>
        </w:rPr>
      </w:pPr>
      <w:r>
        <w:rPr>
          <w:rFonts w:hint="eastAsia"/>
          <w:lang w:val="en-US" w:eastAsia="zh-CN"/>
        </w:rPr>
        <w:t>1.项目立项情况</w:t>
      </w:r>
    </w:p>
    <w:p>
      <w:pPr>
        <w:bidi w:val="0"/>
        <w:rPr>
          <w:rFonts w:hint="eastAsia"/>
          <w:lang w:val="en-US" w:eastAsia="zh-CN"/>
        </w:rPr>
      </w:pPr>
      <w:r>
        <w:rPr>
          <w:rFonts w:hint="eastAsia"/>
          <w:lang w:val="en-US" w:eastAsia="zh-CN"/>
        </w:rPr>
        <w:t>2021年、2022年，北京友谊医院临床科室核心组对医院开放床位、日均门诊量、年出院患者以及原有医用设备使用情况等进行统计分析，发现部分医用设备使用年限较长，参数老旧，不足以满足现有诊疗功能需求，在通过院医用设备管理委员会、医院办公会、党委常委会审议通过后，分别于2021年5月、2022年5月向北京市医院管理中心提交申报医用设备配置请示，申请采购一批医用设备，更迭老旧设备。2023年北京友谊医院将经北京市医院管理中心评审调整后的医疗设备立项进行采购，立项程序较为规范。同时北京友谊医院邀请北京市其他医院专家对单价200万元以上的医用设备，从医疗服务需求、现有同类设备情况、教学科研效益、社会效益、设备使用条件（人员配备、水电配置等）、技术先进性情况、配置需求等方面进行了可行性论证，论证内容比较充实，立项依据较为充分。</w:t>
      </w:r>
    </w:p>
    <w:p>
      <w:pPr>
        <w:bidi w:val="0"/>
        <w:rPr>
          <w:rFonts w:hint="eastAsia"/>
          <w:lang w:val="en-US" w:eastAsia="zh-CN"/>
        </w:rPr>
      </w:pPr>
      <w:r>
        <w:rPr>
          <w:rFonts w:hint="eastAsia"/>
          <w:lang w:val="en-US" w:eastAsia="zh-CN"/>
        </w:rPr>
        <w:t>2.项目绩效目标设置情况</w:t>
      </w:r>
    </w:p>
    <w:p>
      <w:pPr>
        <w:bidi w:val="0"/>
        <w:rPr>
          <w:rFonts w:hint="default"/>
          <w:lang w:val="en-US" w:eastAsia="zh-CN"/>
        </w:rPr>
      </w:pPr>
      <w:r>
        <w:rPr>
          <w:rFonts w:hint="eastAsia"/>
          <w:lang w:val="en-US" w:eastAsia="zh-CN"/>
        </w:rPr>
        <w:t>本项目产出指标、满意度指标设置较为明确、合理，但产出质量指标仅设置了验收安装率，未设置质量合格率100%、设备故障率≤X%等对于设备运行状态的指标。产出时效指标未设置设备整体完成验收时间不够合理。效益指标设置了可持续性影响指标“较长时间内发挥作用”不够明确，可设置“设备利用率≥X%”作为社会效益指标，可设置“设备使用年限≥X年”作为可持续性影响指标。</w:t>
      </w:r>
    </w:p>
    <w:p>
      <w:pPr>
        <w:bidi w:val="0"/>
        <w:rPr>
          <w:rFonts w:hint="default"/>
          <w:lang w:val="en-US" w:eastAsia="zh-CN"/>
        </w:rPr>
      </w:pPr>
      <w:r>
        <w:rPr>
          <w:rFonts w:hint="eastAsia"/>
          <w:lang w:val="en-US" w:eastAsia="zh-CN"/>
        </w:rPr>
        <w:t>3.资金投入情况</w:t>
      </w:r>
    </w:p>
    <w:p>
      <w:pPr>
        <w:bidi w:val="0"/>
        <w:rPr>
          <w:rFonts w:hint="default"/>
          <w:lang w:val="en-US" w:eastAsia="zh-CN"/>
        </w:rPr>
      </w:pPr>
      <w:r>
        <w:rPr>
          <w:rFonts w:hint="eastAsia"/>
          <w:lang w:val="en-US" w:eastAsia="zh-CN"/>
        </w:rPr>
        <w:t>北京友谊医院对单价200万元以上的医用设备市场占有率、市场价格情况进行了调研，预算编制依据较为充分。项目资金主要倾向于医院老旧设备更新换代，分配较为合理。</w:t>
      </w:r>
    </w:p>
    <w:p>
      <w:pPr>
        <w:pStyle w:val="4"/>
        <w:numPr>
          <w:ilvl w:val="0"/>
          <w:numId w:val="2"/>
        </w:numPr>
        <w:bidi w:val="0"/>
        <w:rPr>
          <w:rFonts w:hint="eastAsia"/>
        </w:rPr>
      </w:pPr>
      <w:bookmarkStart w:id="12" w:name="_Toc21233"/>
      <w:r>
        <w:rPr>
          <w:rFonts w:hint="eastAsia"/>
        </w:rPr>
        <w:t>项目过程情况</w:t>
      </w:r>
      <w:bookmarkEnd w:id="12"/>
    </w:p>
    <w:p>
      <w:pPr>
        <w:bidi w:val="0"/>
        <w:rPr>
          <w:rFonts w:hint="eastAsia"/>
          <w:lang w:val="en-US" w:eastAsia="zh-CN"/>
        </w:rPr>
      </w:pPr>
      <w:r>
        <w:rPr>
          <w:rFonts w:hint="eastAsia"/>
          <w:lang w:val="en-US" w:eastAsia="zh-CN"/>
        </w:rPr>
        <w:t>1.资金管理</w:t>
      </w:r>
    </w:p>
    <w:p>
      <w:pPr>
        <w:bidi w:val="0"/>
        <w:rPr>
          <w:rFonts w:hint="eastAsia"/>
          <w:lang w:val="en-US" w:eastAsia="zh-CN"/>
        </w:rPr>
      </w:pPr>
      <w:r>
        <w:rPr>
          <w:rFonts w:hint="eastAsia"/>
          <w:lang w:val="en-US" w:eastAsia="zh-CN"/>
        </w:rPr>
        <w:t>2023年本项目申请市级财政资金2722万元，资金到位2722万元，实际支出2722万元，资金到位率100%，预算执行率100%。</w:t>
      </w:r>
    </w:p>
    <w:p>
      <w:pPr>
        <w:bidi w:val="0"/>
        <w:rPr>
          <w:rFonts w:hint="default"/>
          <w:lang w:val="en-US" w:eastAsia="zh-CN"/>
        </w:rPr>
      </w:pPr>
      <w:r>
        <w:rPr>
          <w:rFonts w:hint="eastAsia"/>
          <w:lang w:val="en-US" w:eastAsia="zh-CN"/>
        </w:rPr>
        <w:t>本项目根据《北京友谊医院全面预算管理制度》《支出管理办法》等制度管理项目资金，截至2023年末，本项目预算资金2722万元为采购医用设备的首付款，已全部支出，资金支出有完整的审批程序和手续，符合项目预算批复或合同规定的用途，未发现有截留、挤占、挪用、虚列支出的情况。</w:t>
      </w:r>
    </w:p>
    <w:p>
      <w:pPr>
        <w:bidi w:val="0"/>
        <w:rPr>
          <w:rFonts w:hint="default"/>
          <w:lang w:val="en-US" w:eastAsia="zh-CN"/>
        </w:rPr>
      </w:pPr>
      <w:r>
        <w:rPr>
          <w:rFonts w:hint="eastAsia"/>
          <w:lang w:val="en-US" w:eastAsia="zh-CN"/>
        </w:rPr>
        <w:t>2.组织实施</w:t>
      </w:r>
    </w:p>
    <w:p>
      <w:pPr>
        <w:bidi w:val="0"/>
        <w:rPr>
          <w:rFonts w:hint="eastAsia"/>
          <w:lang w:val="en-US" w:eastAsia="zh-CN"/>
        </w:rPr>
      </w:pPr>
      <w:r>
        <w:rPr>
          <w:rFonts w:hint="eastAsia"/>
          <w:lang w:val="en-US" w:eastAsia="zh-CN"/>
        </w:rPr>
        <w:t>北京友谊医院财务处、采购中心、医工处相关主管院领导共同协调牵头，建立项目专班制。医工处负责项目整体协调，财务处、采购中心、基建处、总务处、疾病预防控制与感染管理处、医疗业务主管部门等分别负责各自分管领域相关工作。由院领导、各职能处室领导及临床医技科室专家代表担任院医用设备管理委员会成员，对各科所申报医用设备进行评审。</w:t>
      </w:r>
    </w:p>
    <w:p>
      <w:pPr>
        <w:bidi w:val="0"/>
        <w:rPr>
          <w:rFonts w:hint="default"/>
          <w:lang w:val="en-US" w:eastAsia="zh-CN"/>
        </w:rPr>
      </w:pPr>
      <w:r>
        <w:rPr>
          <w:rFonts w:hint="eastAsia"/>
          <w:lang w:val="en-US" w:eastAsia="zh-CN"/>
        </w:rPr>
        <w:t>本项目根据《北京友谊医院医用设备采购制度》《北京友谊医院采购中心招标制度》《北京友谊医院合同管理办法》《北京友谊医院设备验收制度》《北京友谊医院固定资产管理办法》《北京友谊医院医疗设备库出入库制度》等制度规范采购、合同、资产管理流程。2023年8月北京友谊医院通过公开招标采购方式确定医用设备采购供应商，于2023年9月与供应商签订采购合同，部分医用设备陆续于2023年9至2024年3月到货，北</w:t>
      </w:r>
      <w:r>
        <w:rPr>
          <w:rFonts w:hint="eastAsia"/>
          <w:highlight w:val="none"/>
          <w:lang w:val="en-US" w:eastAsia="zh-CN"/>
        </w:rPr>
        <w:t>京友谊医院执行了验收工作，但部分验收单未标明验收日期，验收要素不完整</w:t>
      </w:r>
      <w:r>
        <w:rPr>
          <w:rFonts w:hint="eastAsia"/>
          <w:lang w:val="en-US" w:eastAsia="zh-CN"/>
        </w:rPr>
        <w:t>。</w:t>
      </w:r>
    </w:p>
    <w:p>
      <w:pPr>
        <w:pStyle w:val="4"/>
        <w:numPr>
          <w:ilvl w:val="0"/>
          <w:numId w:val="2"/>
        </w:numPr>
        <w:bidi w:val="0"/>
        <w:rPr>
          <w:rFonts w:hint="eastAsia"/>
        </w:rPr>
      </w:pPr>
      <w:bookmarkStart w:id="13" w:name="_Toc24859"/>
      <w:r>
        <w:rPr>
          <w:rFonts w:hint="eastAsia"/>
        </w:rPr>
        <w:t>项目产出情况</w:t>
      </w:r>
      <w:bookmarkEnd w:id="13"/>
    </w:p>
    <w:p>
      <w:pPr>
        <w:bidi w:val="0"/>
        <w:rPr>
          <w:rFonts w:hint="eastAsia"/>
          <w:lang w:val="en-US" w:eastAsia="zh-CN"/>
        </w:rPr>
      </w:pPr>
      <w:r>
        <w:rPr>
          <w:rFonts w:hint="eastAsia"/>
          <w:lang w:val="en-US" w:eastAsia="zh-CN"/>
        </w:rPr>
        <w:t>1.产出数量：</w:t>
      </w:r>
      <w:r>
        <w:rPr>
          <w:rFonts w:hint="eastAsia"/>
          <w:lang w:eastAsia="zh-CN"/>
        </w:rPr>
        <w:t>本项目</w:t>
      </w:r>
      <w:r>
        <w:rPr>
          <w:rFonts w:hint="eastAsia"/>
          <w:lang w:val="en-US" w:eastAsia="zh-CN"/>
        </w:rPr>
        <w:t>拟采购</w:t>
      </w:r>
      <w:r>
        <w:rPr>
          <w:rFonts w:hint="eastAsia"/>
          <w:lang w:eastAsia="zh-CN"/>
        </w:rPr>
        <w:t>医用设备</w:t>
      </w:r>
      <w:r>
        <w:rPr>
          <w:rFonts w:hint="eastAsia"/>
          <w:lang w:val="en-US" w:eastAsia="zh-CN"/>
        </w:rPr>
        <w:t>66台套，实际采购65台套，较指标设置少采购一台套设备，主要因主动脉内球囊反搏泵预算较低，无供应商应标，项目废标。</w:t>
      </w:r>
    </w:p>
    <w:p>
      <w:pPr>
        <w:bidi w:val="0"/>
        <w:rPr>
          <w:rFonts w:hint="eastAsia"/>
          <w:lang w:val="en-US" w:eastAsia="zh-CN"/>
        </w:rPr>
      </w:pPr>
      <w:r>
        <w:rPr>
          <w:rFonts w:hint="eastAsia"/>
          <w:lang w:val="en-US" w:eastAsia="zh-CN"/>
        </w:rPr>
        <w:t>2.产出质量</w:t>
      </w:r>
    </w:p>
    <w:p>
      <w:pPr>
        <w:bidi w:val="0"/>
        <w:rPr>
          <w:rFonts w:hint="default"/>
          <w:lang w:val="en-US" w:eastAsia="zh-CN"/>
        </w:rPr>
      </w:pPr>
      <w:r>
        <w:rPr>
          <w:rFonts w:hint="eastAsia"/>
          <w:lang w:val="en-US" w:eastAsia="zh-CN"/>
        </w:rPr>
        <w:t>截至2023年12月，医用设备验收安装率为75.75%，完成了产出质量指标。截至2024年5月，有15台中心透析室门诊血液透析机正在安装，尚未完成验收。验收过程中发现部分设备（X射线计算机体层摄影设备）无维修资料、密码，无法进入维修界面。</w:t>
      </w:r>
    </w:p>
    <w:p>
      <w:pPr>
        <w:bidi w:val="0"/>
        <w:rPr>
          <w:rFonts w:hint="default"/>
          <w:lang w:val="en-US" w:eastAsia="zh-CN"/>
        </w:rPr>
      </w:pPr>
      <w:r>
        <w:rPr>
          <w:rFonts w:hint="eastAsia"/>
          <w:lang w:val="en-US" w:eastAsia="zh-CN"/>
        </w:rPr>
        <w:t>3.产出时效</w:t>
      </w:r>
    </w:p>
    <w:p>
      <w:pPr>
        <w:bidi w:val="0"/>
        <w:rPr>
          <w:rFonts w:hint="eastAsia"/>
          <w:lang w:val="en-US" w:eastAsia="zh-CN"/>
        </w:rPr>
      </w:pPr>
      <w:r>
        <w:rPr>
          <w:rFonts w:hint="eastAsia"/>
          <w:lang w:val="en-US" w:eastAsia="zh-CN"/>
        </w:rPr>
        <w:t>2023年7月执行公开招标流程，8月评标，9月签订合同，12月支付项目资金，完成了产出时效指标。但项目执行期较长，未设置项目整体验收时限。</w:t>
      </w:r>
    </w:p>
    <w:p>
      <w:pPr>
        <w:bidi w:val="0"/>
        <w:rPr>
          <w:rFonts w:hint="eastAsia"/>
          <w:lang w:val="en-US" w:eastAsia="zh-CN"/>
        </w:rPr>
      </w:pPr>
      <w:r>
        <w:rPr>
          <w:rFonts w:hint="eastAsia"/>
          <w:lang w:val="en-US" w:eastAsia="zh-CN"/>
        </w:rPr>
        <w:t>4.成本指标</w:t>
      </w:r>
    </w:p>
    <w:p>
      <w:pPr>
        <w:bidi w:val="0"/>
        <w:rPr>
          <w:rFonts w:hint="default"/>
          <w:lang w:val="en-US" w:eastAsia="zh-CN"/>
        </w:rPr>
      </w:pPr>
      <w:r>
        <w:rPr>
          <w:rFonts w:hint="eastAsia"/>
          <w:lang w:val="en-US" w:eastAsia="zh-CN"/>
        </w:rPr>
        <w:t>北京友谊医院通过公开招投标的市场竞争方式控制成本，项目支出控制在预算金额2722万元以内，完成了成本指标。</w:t>
      </w:r>
    </w:p>
    <w:p>
      <w:pPr>
        <w:pStyle w:val="4"/>
        <w:numPr>
          <w:ilvl w:val="0"/>
          <w:numId w:val="2"/>
        </w:numPr>
        <w:bidi w:val="0"/>
        <w:rPr>
          <w:rFonts w:hint="eastAsia"/>
        </w:rPr>
      </w:pPr>
      <w:bookmarkStart w:id="14" w:name="_Toc10956"/>
      <w:r>
        <w:rPr>
          <w:rFonts w:hint="eastAsia"/>
        </w:rPr>
        <w:t>项目效益情况</w:t>
      </w:r>
      <w:bookmarkEnd w:id="14"/>
    </w:p>
    <w:p>
      <w:pPr>
        <w:bidi w:val="0"/>
        <w:rPr>
          <w:rFonts w:hint="eastAsia"/>
          <w:lang w:val="en-US" w:eastAsia="zh-CN"/>
        </w:rPr>
      </w:pPr>
      <w:r>
        <w:rPr>
          <w:rFonts w:hint="eastAsia"/>
          <w:lang w:val="en-US" w:eastAsia="zh-CN"/>
        </w:rPr>
        <w:t>1.可持续性影响指标</w:t>
      </w:r>
    </w:p>
    <w:p>
      <w:pPr>
        <w:bidi w:val="0"/>
        <w:rPr>
          <w:rFonts w:hint="default"/>
          <w:lang w:val="en-US" w:eastAsia="zh-CN"/>
        </w:rPr>
      </w:pPr>
      <w:r>
        <w:rPr>
          <w:rFonts w:hint="eastAsia"/>
          <w:lang w:val="en-US" w:eastAsia="zh-CN"/>
        </w:rPr>
        <w:t>采购的设备均可持续使用3年以上，具有一定的可持续性影响。</w:t>
      </w:r>
    </w:p>
    <w:p>
      <w:pPr>
        <w:bidi w:val="0"/>
        <w:rPr>
          <w:rFonts w:hint="default"/>
          <w:lang w:val="en-US" w:eastAsia="zh-CN"/>
        </w:rPr>
      </w:pPr>
      <w:r>
        <w:rPr>
          <w:rFonts w:hint="eastAsia"/>
          <w:lang w:val="en-US" w:eastAsia="zh-CN"/>
        </w:rPr>
        <w:t>2.服务对象满意度指标</w:t>
      </w:r>
    </w:p>
    <w:p>
      <w:pPr>
        <w:bidi w:val="0"/>
        <w:rPr>
          <w:rFonts w:hint="eastAsia"/>
          <w:lang w:val="en-US" w:eastAsia="zh-CN"/>
        </w:rPr>
      </w:pPr>
      <w:r>
        <w:rPr>
          <w:rFonts w:hint="eastAsia"/>
          <w:lang w:val="en-US" w:eastAsia="zh-CN"/>
        </w:rPr>
        <w:t>北京友谊医院向16位医工技师发放了采购设备满意度调查表，多数医工技师对本项目采购的医用设备比较满意，但满意度调查问卷统计分析结果为100%不准确，实际满意度为99.22%（127个问题满意/128个问题），部分医工技师对设备质量稳定性存在不满意的情况，涉及的设备、具体问题、改善措施不明确，服务对象满意度调查工作和结果应用工作有待进一步提升。</w:t>
      </w:r>
    </w:p>
    <w:p>
      <w:pPr>
        <w:bidi w:val="0"/>
        <w:rPr>
          <w:rFonts w:hint="eastAsia"/>
          <w:lang w:val="en-US" w:eastAsia="zh-CN"/>
        </w:rPr>
      </w:pPr>
      <w:r>
        <w:rPr>
          <w:rFonts w:hint="eastAsia"/>
          <w:lang w:val="en-US" w:eastAsia="zh-CN"/>
        </w:rPr>
        <w:t>3.其他</w:t>
      </w:r>
    </w:p>
    <w:p>
      <w:pPr>
        <w:bidi w:val="0"/>
        <w:rPr>
          <w:rFonts w:hint="eastAsia"/>
          <w:lang w:val="en-US" w:eastAsia="zh-CN"/>
        </w:rPr>
      </w:pPr>
      <w:r>
        <w:rPr>
          <w:rFonts w:hint="eastAsia"/>
          <w:lang w:val="en-US" w:eastAsia="zh-CN"/>
        </w:rPr>
        <w:t>北京友谊医院提供了《重点项目设备实际使用数据调研表》，调研表显示本项目多数设备处于正常运行中，并且使用率较高，但也存在部分设备使用率较低的情况，此部分设备的社会效益不够显著，如：</w:t>
      </w:r>
    </w:p>
    <w:p>
      <w:pPr>
        <w:bidi w:val="0"/>
        <w:rPr>
          <w:rFonts w:hint="eastAsia"/>
          <w:lang w:val="en-US" w:eastAsia="zh-CN"/>
        </w:rPr>
      </w:pPr>
      <w:r>
        <w:rPr>
          <w:rFonts w:hint="eastAsia"/>
          <w:lang w:val="en-US" w:eastAsia="zh-CN"/>
        </w:rPr>
        <w:t>骨科关节镜系统于2023年11月完成验收，但截至2024年5月配套的专机专用耗材仍未完成入院程序，因此一直未投入使用；</w:t>
      </w:r>
    </w:p>
    <w:p>
      <w:pPr>
        <w:bidi w:val="0"/>
        <w:rPr>
          <w:rFonts w:hint="default"/>
          <w:lang w:val="en-US" w:eastAsia="zh-CN"/>
        </w:rPr>
      </w:pPr>
      <w:r>
        <w:rPr>
          <w:rFonts w:hint="default"/>
          <w:lang w:val="en-US" w:eastAsia="zh-CN"/>
        </w:rPr>
        <w:t>耳鼻喉科骨动力系统</w:t>
      </w:r>
      <w:r>
        <w:rPr>
          <w:rFonts w:hint="eastAsia"/>
          <w:lang w:val="en-US" w:eastAsia="zh-CN"/>
        </w:rPr>
        <w:t>于2024年1月完成验收，但截至2024年5月使用次数仅为5次，使用量较少；</w:t>
      </w:r>
    </w:p>
    <w:p>
      <w:pPr>
        <w:bidi w:val="0"/>
        <w:rPr>
          <w:rFonts w:hint="default"/>
          <w:lang w:val="en-US" w:eastAsia="zh-CN"/>
        </w:rPr>
      </w:pPr>
      <w:r>
        <w:rPr>
          <w:rFonts w:hint="default"/>
          <w:lang w:val="en-US" w:eastAsia="zh-CN"/>
        </w:rPr>
        <w:t>呼吸内科成人硬质支气管镜</w:t>
      </w:r>
      <w:r>
        <w:rPr>
          <w:rFonts w:hint="eastAsia"/>
          <w:lang w:val="en-US" w:eastAsia="zh-CN"/>
        </w:rPr>
        <w:t>于2023年11月完成验收，但截至2024年5月使用次数仅为4人次，使用量较少；</w:t>
      </w:r>
    </w:p>
    <w:p>
      <w:pPr>
        <w:bidi w:val="0"/>
        <w:rPr>
          <w:rFonts w:hint="default"/>
          <w:lang w:val="en-US" w:eastAsia="zh-CN"/>
        </w:rPr>
      </w:pPr>
      <w:r>
        <w:rPr>
          <w:rFonts w:hint="default"/>
          <w:lang w:val="en-US" w:eastAsia="zh-CN"/>
        </w:rPr>
        <w:t>普外科体腔热灌注治疗系统</w:t>
      </w:r>
      <w:r>
        <w:rPr>
          <w:rFonts w:hint="eastAsia"/>
          <w:lang w:val="en-US" w:eastAsia="zh-CN"/>
        </w:rPr>
        <w:t>于2023年9月完成验收，但截至2024年5月使用次数仅为3次，使用量较少。</w:t>
      </w:r>
    </w:p>
    <w:p>
      <w:pPr>
        <w:pStyle w:val="3"/>
        <w:bidi w:val="0"/>
        <w:rPr>
          <w:rFonts w:hint="eastAsia"/>
          <w:highlight w:val="none"/>
        </w:rPr>
      </w:pPr>
      <w:bookmarkStart w:id="15" w:name="_Toc26590"/>
      <w:r>
        <w:rPr>
          <w:rFonts w:hint="eastAsia"/>
          <w:highlight w:val="none"/>
        </w:rPr>
        <w:t>五、主要经验及做法、存在的问题及原因分析</w:t>
      </w:r>
      <w:bookmarkEnd w:id="15"/>
    </w:p>
    <w:p>
      <w:pPr>
        <w:pStyle w:val="4"/>
        <w:bidi w:val="0"/>
        <w:rPr>
          <w:rFonts w:hint="eastAsia"/>
          <w:lang w:val="en-US" w:eastAsia="zh-CN"/>
        </w:rPr>
      </w:pPr>
      <w:bookmarkStart w:id="16" w:name="_Toc15910"/>
      <w:r>
        <w:rPr>
          <w:rFonts w:hint="eastAsia"/>
          <w:lang w:val="en-US" w:eastAsia="zh-CN"/>
        </w:rPr>
        <w:t>（一）主要经验及做法</w:t>
      </w:r>
      <w:bookmarkEnd w:id="16"/>
    </w:p>
    <w:p>
      <w:pPr>
        <w:adjustRightInd w:val="0"/>
        <w:snapToGrid w:val="0"/>
        <w:spacing w:line="580" w:lineRule="exact"/>
        <w:ind w:firstLine="640" w:firstLineChars="200"/>
        <w:jc w:val="left"/>
        <w:rPr>
          <w:rFonts w:hint="default" w:ascii="仿宋_GB2312" w:hAnsi="宋体" w:eastAsia="仿宋_GB2312" w:cs="Times New Roman"/>
          <w:kern w:val="0"/>
          <w:sz w:val="32"/>
          <w:szCs w:val="32"/>
          <w:highlight w:val="none"/>
          <w:lang w:val="en-US" w:eastAsia="zh-CN"/>
        </w:rPr>
      </w:pPr>
      <w:r>
        <w:rPr>
          <w:rFonts w:hint="eastAsia" w:hAnsi="宋体" w:cs="Times New Roman"/>
          <w:kern w:val="0"/>
          <w:sz w:val="32"/>
          <w:szCs w:val="32"/>
          <w:highlight w:val="none"/>
          <w:lang w:val="en-US" w:eastAsia="zh-CN"/>
        </w:rPr>
        <w:t>北京友谊医院的采购、合同、资产管理制度较为完善，组织机构健全、职责分工明确，对于医用设备采购前期调研论证较为充分，验收工作记录较为完整，设备实际使用情况记录真实，有利于项目的组织实施和效益的呈现。</w:t>
      </w:r>
    </w:p>
    <w:p>
      <w:pPr>
        <w:pStyle w:val="4"/>
        <w:bidi w:val="0"/>
        <w:rPr>
          <w:rFonts w:hint="eastAsia"/>
          <w:lang w:val="en-US" w:eastAsia="zh-CN"/>
        </w:rPr>
      </w:pPr>
      <w:bookmarkStart w:id="17" w:name="_Toc16134"/>
      <w:r>
        <w:rPr>
          <w:rFonts w:hint="eastAsia"/>
          <w:lang w:val="en-US" w:eastAsia="zh-CN"/>
        </w:rPr>
        <w:t>（二）存在的问题及原因分析</w:t>
      </w:r>
      <w:bookmarkEnd w:id="17"/>
    </w:p>
    <w:p>
      <w:pPr>
        <w:adjustRightInd w:val="0"/>
        <w:snapToGrid w:val="0"/>
        <w:spacing w:line="580" w:lineRule="exact"/>
        <w:ind w:left="0" w:leftChars="0" w:firstLine="640" w:firstLineChars="200"/>
        <w:jc w:val="left"/>
        <w:rPr>
          <w:rFonts w:hint="eastAsia" w:hAnsi="宋体" w:cs="Times New Roman"/>
          <w:kern w:val="0"/>
          <w:sz w:val="32"/>
          <w:szCs w:val="32"/>
          <w:highlight w:val="none"/>
          <w:lang w:val="en-US" w:eastAsia="zh-CN"/>
        </w:rPr>
      </w:pPr>
      <w:r>
        <w:rPr>
          <w:rFonts w:hint="eastAsia" w:hAnsi="宋体" w:cs="Times New Roman"/>
          <w:kern w:val="0"/>
          <w:sz w:val="32"/>
          <w:szCs w:val="32"/>
          <w:highlight w:val="none"/>
          <w:lang w:val="en-US" w:eastAsia="zh-CN"/>
        </w:rPr>
        <w:t>1.绩效指标设置精准度有待提高</w:t>
      </w:r>
    </w:p>
    <w:p>
      <w:pPr>
        <w:pStyle w:val="2"/>
        <w:rPr>
          <w:rFonts w:hint="default" w:hAnsi="宋体" w:cs="Times New Roman"/>
          <w:kern w:val="0"/>
          <w:sz w:val="32"/>
          <w:szCs w:val="32"/>
          <w:highlight w:val="none"/>
          <w:lang w:val="en-US" w:eastAsia="zh-CN"/>
        </w:rPr>
      </w:pPr>
      <w:r>
        <w:rPr>
          <w:rFonts w:hint="eastAsia" w:hAnsi="宋体" w:cs="Times New Roman"/>
          <w:kern w:val="0"/>
          <w:sz w:val="32"/>
          <w:szCs w:val="32"/>
          <w:highlight w:val="none"/>
          <w:lang w:val="en-US" w:eastAsia="zh-CN"/>
        </w:rPr>
        <w:t>产出质量指标缺少衡量设备合格率的指标；产出时效指标未设置设备整体完成验收时间；未设置社会效益指标；可持续性影响指标设置不够明确。对于指标设置的理解不够到位，项目预期不够明确、细化。</w:t>
      </w:r>
    </w:p>
    <w:p>
      <w:pPr>
        <w:pStyle w:val="2"/>
        <w:rPr>
          <w:rFonts w:hint="eastAsia" w:hAnsi="宋体" w:cs="Times New Roman"/>
          <w:kern w:val="0"/>
          <w:sz w:val="32"/>
          <w:szCs w:val="32"/>
          <w:highlight w:val="none"/>
          <w:lang w:val="en-US" w:eastAsia="zh-CN"/>
        </w:rPr>
      </w:pPr>
      <w:r>
        <w:rPr>
          <w:rFonts w:hint="eastAsia" w:hAnsi="宋体" w:cs="Times New Roman"/>
          <w:kern w:val="0"/>
          <w:sz w:val="32"/>
          <w:szCs w:val="32"/>
          <w:highlight w:val="none"/>
          <w:lang w:val="en-US" w:eastAsia="zh-CN"/>
        </w:rPr>
        <w:t>2.设备验收工作有待规范</w:t>
      </w:r>
    </w:p>
    <w:p>
      <w:pPr>
        <w:rPr>
          <w:rFonts w:hint="default" w:hAnsi="宋体" w:cs="Times New Roman"/>
          <w:kern w:val="0"/>
          <w:sz w:val="32"/>
          <w:szCs w:val="32"/>
          <w:highlight w:val="none"/>
          <w:lang w:val="en-US" w:eastAsia="zh-CN"/>
        </w:rPr>
      </w:pPr>
      <w:r>
        <w:rPr>
          <w:rFonts w:hint="eastAsia" w:hAnsi="宋体" w:cs="Times New Roman"/>
          <w:kern w:val="0"/>
          <w:sz w:val="32"/>
          <w:szCs w:val="32"/>
          <w:highlight w:val="none"/>
          <w:lang w:val="en-US" w:eastAsia="zh-CN"/>
        </w:rPr>
        <w:t>验收单信息要素不全，部分缺少验收日期。本项目涉及的验收处室及人员范围多而广，缺少系统性培训，要素填写不完整。</w:t>
      </w:r>
    </w:p>
    <w:p>
      <w:pPr>
        <w:rPr>
          <w:rFonts w:hint="eastAsia" w:hAnsi="宋体" w:cs="Times New Roman"/>
          <w:kern w:val="0"/>
          <w:sz w:val="32"/>
          <w:szCs w:val="32"/>
          <w:highlight w:val="none"/>
          <w:lang w:val="en-US" w:eastAsia="zh-CN"/>
        </w:rPr>
      </w:pPr>
      <w:r>
        <w:rPr>
          <w:rFonts w:hint="eastAsia" w:hAnsi="宋体" w:cs="Times New Roman"/>
          <w:kern w:val="0"/>
          <w:sz w:val="32"/>
          <w:szCs w:val="32"/>
          <w:highlight w:val="none"/>
          <w:lang w:val="en-US" w:eastAsia="zh-CN"/>
        </w:rPr>
        <w:t>3.项目效益呈现不足</w:t>
      </w:r>
    </w:p>
    <w:p>
      <w:pPr>
        <w:pStyle w:val="2"/>
        <w:rPr>
          <w:rFonts w:hint="eastAsia" w:hAnsi="宋体" w:cs="Times New Roman"/>
          <w:kern w:val="0"/>
          <w:sz w:val="32"/>
          <w:szCs w:val="32"/>
          <w:highlight w:val="none"/>
          <w:lang w:val="en-US" w:eastAsia="zh-CN"/>
        </w:rPr>
      </w:pPr>
      <w:r>
        <w:rPr>
          <w:rFonts w:hint="eastAsia" w:hAnsi="宋体" w:cs="Times New Roman"/>
          <w:kern w:val="0"/>
          <w:sz w:val="32"/>
          <w:szCs w:val="32"/>
          <w:highlight w:val="none"/>
          <w:lang w:val="en-US" w:eastAsia="zh-CN"/>
        </w:rPr>
        <w:t>（1）项目自2023年初申报，截至2024年5月尚未完成整体验收，项目执行期较长，时间计划紧密程度不足。</w:t>
      </w:r>
    </w:p>
    <w:p>
      <w:pPr>
        <w:rPr>
          <w:rFonts w:hint="default"/>
          <w:highlight w:val="none"/>
          <w:lang w:val="en-US" w:eastAsia="zh-CN"/>
        </w:rPr>
      </w:pPr>
      <w:r>
        <w:rPr>
          <w:rFonts w:hint="eastAsia" w:hAnsi="宋体" w:cs="Times New Roman"/>
          <w:kern w:val="0"/>
          <w:sz w:val="32"/>
          <w:szCs w:val="32"/>
          <w:highlight w:val="none"/>
          <w:lang w:val="en-US" w:eastAsia="zh-CN"/>
        </w:rPr>
        <w:t>（2）</w:t>
      </w:r>
      <w:r>
        <w:rPr>
          <w:rFonts w:hint="eastAsia"/>
          <w:highlight w:val="none"/>
          <w:lang w:val="en-US" w:eastAsia="zh-CN"/>
        </w:rPr>
        <w:t>骨科关节镜系统配套的专机专用耗材入院程序</w:t>
      </w:r>
      <w:r>
        <w:rPr>
          <w:rFonts w:hint="eastAsia" w:hAnsi="宋体" w:cs="Times New Roman"/>
          <w:kern w:val="0"/>
          <w:sz w:val="32"/>
          <w:szCs w:val="32"/>
          <w:highlight w:val="none"/>
          <w:lang w:val="en-US" w:eastAsia="zh-CN"/>
        </w:rPr>
        <w:t>较长，导致部分设备无法及时投入使用，造成了设备一定程度上的闲置；少部分设备使用率较低。以上导致项目社会效益不够显著。</w:t>
      </w:r>
    </w:p>
    <w:p>
      <w:pPr>
        <w:pStyle w:val="2"/>
        <w:rPr>
          <w:rFonts w:hint="default" w:hAnsi="宋体" w:cs="Times New Roman"/>
          <w:kern w:val="0"/>
          <w:sz w:val="32"/>
          <w:szCs w:val="32"/>
          <w:highlight w:val="none"/>
          <w:lang w:val="en-US" w:eastAsia="zh-CN"/>
        </w:rPr>
      </w:pPr>
      <w:r>
        <w:rPr>
          <w:rFonts w:hint="eastAsia" w:hAnsi="宋体" w:cs="Times New Roman"/>
          <w:kern w:val="0"/>
          <w:sz w:val="32"/>
          <w:szCs w:val="32"/>
          <w:highlight w:val="none"/>
          <w:lang w:val="en-US" w:eastAsia="zh-CN"/>
        </w:rPr>
        <w:t>4.满意度调查工作有待提高</w:t>
      </w:r>
    </w:p>
    <w:p>
      <w:pPr>
        <w:rPr>
          <w:rFonts w:hint="default"/>
          <w:highlight w:val="none"/>
          <w:lang w:val="en-US" w:eastAsia="zh-CN"/>
        </w:rPr>
      </w:pPr>
      <w:r>
        <w:rPr>
          <w:rFonts w:hint="eastAsia"/>
          <w:highlight w:val="none"/>
          <w:lang w:val="en-US" w:eastAsia="zh-CN"/>
        </w:rPr>
        <w:t>满意度调查数据统计不精准，对于发现的问题尚需深入剖析原因并制定改善措施。</w:t>
      </w:r>
    </w:p>
    <w:p>
      <w:pPr>
        <w:pStyle w:val="3"/>
        <w:bidi w:val="0"/>
        <w:rPr>
          <w:rFonts w:hint="eastAsia"/>
        </w:rPr>
      </w:pPr>
      <w:bookmarkStart w:id="18" w:name="_Toc27821"/>
      <w:r>
        <w:rPr>
          <w:rFonts w:hint="eastAsia"/>
        </w:rPr>
        <w:t>六、有关建议</w:t>
      </w:r>
      <w:bookmarkEnd w:id="18"/>
    </w:p>
    <w:p>
      <w:pPr>
        <w:pStyle w:val="4"/>
        <w:bidi w:val="0"/>
        <w:rPr>
          <w:rFonts w:hint="default"/>
          <w:lang w:val="en-US" w:eastAsia="zh-CN"/>
        </w:rPr>
      </w:pPr>
      <w:bookmarkStart w:id="19" w:name="_Toc24721"/>
      <w:r>
        <w:rPr>
          <w:rFonts w:hint="eastAsia"/>
          <w:lang w:val="en-US" w:eastAsia="zh-CN"/>
        </w:rPr>
        <w:t>（一）</w:t>
      </w:r>
      <w:bookmarkEnd w:id="19"/>
      <w:r>
        <w:rPr>
          <w:rFonts w:hint="eastAsia"/>
        </w:rPr>
        <w:t>强化绩效管理意识</w:t>
      </w:r>
      <w:r>
        <w:rPr>
          <w:rFonts w:hint="eastAsia"/>
          <w:lang w:eastAsia="zh-CN"/>
        </w:rPr>
        <w:t>，</w:t>
      </w:r>
      <w:r>
        <w:rPr>
          <w:rFonts w:hint="eastAsia"/>
          <w:lang w:val="en-US" w:eastAsia="zh-CN"/>
        </w:rPr>
        <w:t>提升绩效目标表填报水平</w:t>
      </w:r>
    </w:p>
    <w:p>
      <w:pPr>
        <w:bidi w:val="0"/>
        <w:rPr>
          <w:rFonts w:hint="default"/>
          <w:lang w:val="en-US" w:eastAsia="zh-CN"/>
        </w:rPr>
      </w:pPr>
      <w:r>
        <w:rPr>
          <w:rFonts w:hint="eastAsia"/>
          <w:lang w:val="en-US" w:eastAsia="zh-CN"/>
        </w:rPr>
        <w:t>医院应根据市财政局共性指标体系和年度绩效目标表填报说明，定期组织具体项目负责人参加填报培训，深入理解各项指标的含义，建立健全医院内部共性指标体系，防止因各处室人员流动性强而导致填报效率降低的情况。</w:t>
      </w:r>
    </w:p>
    <w:p>
      <w:pPr>
        <w:pStyle w:val="4"/>
        <w:bidi w:val="0"/>
        <w:rPr>
          <w:rFonts w:hint="default"/>
          <w:lang w:val="en-US" w:eastAsia="zh-CN"/>
        </w:rPr>
      </w:pPr>
      <w:bookmarkStart w:id="20" w:name="_Toc9546"/>
      <w:r>
        <w:rPr>
          <w:rFonts w:hint="eastAsia"/>
          <w:lang w:val="en-US" w:eastAsia="zh-CN"/>
        </w:rPr>
        <w:t>（二）</w:t>
      </w:r>
      <w:bookmarkEnd w:id="20"/>
      <w:r>
        <w:rPr>
          <w:rFonts w:hint="eastAsia"/>
          <w:lang w:val="en-US" w:eastAsia="zh-CN"/>
        </w:rPr>
        <w:t>强化院内内部控制制度要求</w:t>
      </w:r>
    </w:p>
    <w:p>
      <w:pPr>
        <w:bidi w:val="0"/>
        <w:rPr>
          <w:rFonts w:hint="default" w:eastAsia="仿宋_GB2312"/>
          <w:lang w:val="en-US" w:eastAsia="zh-CN"/>
        </w:rPr>
      </w:pPr>
      <w:r>
        <w:rPr>
          <w:rFonts w:hint="eastAsia"/>
          <w:lang w:val="en-US" w:eastAsia="zh-CN"/>
        </w:rPr>
        <w:t>对于涉及处室、人员较多的项目，应在完成采购后及时对验收工作要求进行培训，落实验收单的重点要素信息填报，规范相关工作流程。</w:t>
      </w:r>
    </w:p>
    <w:p>
      <w:pPr>
        <w:pStyle w:val="4"/>
        <w:bidi w:val="0"/>
        <w:rPr>
          <w:rFonts w:hint="default"/>
          <w:lang w:val="en-US" w:eastAsia="zh-CN"/>
        </w:rPr>
      </w:pPr>
      <w:bookmarkStart w:id="21" w:name="_Toc28959"/>
      <w:r>
        <w:rPr>
          <w:rFonts w:hint="eastAsia"/>
          <w:lang w:val="en-US" w:eastAsia="zh-CN"/>
        </w:rPr>
        <w:t>（三）</w:t>
      </w:r>
      <w:bookmarkEnd w:id="21"/>
      <w:r>
        <w:rPr>
          <w:rFonts w:hint="eastAsia"/>
          <w:lang w:val="en-US" w:eastAsia="zh-CN"/>
        </w:rPr>
        <w:t>加强项目规划工作，细化项目实施方案</w:t>
      </w:r>
    </w:p>
    <w:p>
      <w:pPr>
        <w:bidi w:val="0"/>
        <w:rPr>
          <w:rFonts w:hint="default"/>
          <w:highlight w:val="none"/>
          <w:lang w:val="en-US" w:eastAsia="zh-CN"/>
        </w:rPr>
      </w:pPr>
      <w:r>
        <w:rPr>
          <w:rFonts w:hint="eastAsia"/>
          <w:highlight w:val="none"/>
          <w:lang w:val="en-US" w:eastAsia="zh-CN"/>
        </w:rPr>
        <w:t>合理规划项目实施周期，细化分解实施工作步骤，制定风险防控措施，加强项目实施方案的可操作性，及时纠正偏离项目目标的工作环节，保质保量完成项目任务。</w:t>
      </w:r>
    </w:p>
    <w:p>
      <w:pPr>
        <w:pStyle w:val="4"/>
        <w:bidi w:val="0"/>
        <w:rPr>
          <w:rFonts w:hint="default"/>
          <w:lang w:val="en-US" w:eastAsia="zh-CN"/>
        </w:rPr>
      </w:pPr>
      <w:r>
        <w:rPr>
          <w:rFonts w:hint="eastAsia"/>
          <w:lang w:val="en-US" w:eastAsia="zh-CN"/>
        </w:rPr>
        <w:t>（四）完善满意度调查工作</w:t>
      </w:r>
    </w:p>
    <w:p>
      <w:pPr>
        <w:bidi w:val="0"/>
        <w:rPr>
          <w:rFonts w:hint="default" w:eastAsia="仿宋_GB2312"/>
          <w:lang w:val="en-US" w:eastAsia="zh-CN"/>
        </w:rPr>
      </w:pPr>
      <w:bookmarkStart w:id="22" w:name="_Toc3599"/>
      <w:r>
        <w:rPr>
          <w:rFonts w:hint="eastAsia"/>
          <w:lang w:val="en-US" w:eastAsia="zh-CN"/>
        </w:rPr>
        <w:t>加强对医工技师设备使用反馈情况的调研工作，合理运用满意度调查数据，深入挖掘服务对象需求和存在问题的根源，及时联系第三方供应商对医用设备进行维护维修，充分呈现项目效益。</w:t>
      </w:r>
    </w:p>
    <w:p>
      <w:pPr>
        <w:pStyle w:val="3"/>
        <w:bidi w:val="0"/>
        <w:rPr>
          <w:rFonts w:hint="eastAsia"/>
        </w:rPr>
      </w:pPr>
      <w:r>
        <w:rPr>
          <w:rFonts w:hint="eastAsia"/>
        </w:rPr>
        <w:t>七、其他需要说明的问题</w:t>
      </w:r>
      <w:bookmarkEnd w:id="22"/>
    </w:p>
    <w:p>
      <w:pPr>
        <w:pStyle w:val="4"/>
        <w:bidi w:val="0"/>
      </w:pPr>
      <w:bookmarkStart w:id="23" w:name="_Toc2727"/>
      <w:bookmarkStart w:id="24" w:name="_Toc11410"/>
      <w:bookmarkStart w:id="25" w:name="_Toc11683"/>
      <w:r>
        <w:t>（一）评价工作依据</w:t>
      </w:r>
      <w:bookmarkEnd w:id="23"/>
      <w:bookmarkEnd w:id="24"/>
      <w:bookmarkEnd w:id="25"/>
    </w:p>
    <w:p>
      <w:pPr>
        <w:bidi w:val="0"/>
      </w:pPr>
      <w:r>
        <w:rPr>
          <w:rFonts w:hint="eastAsia"/>
          <w:lang w:val="en-US" w:eastAsia="zh-CN"/>
        </w:rPr>
        <w:t>本次评价</w:t>
      </w:r>
      <w:r>
        <w:t>以</w:t>
      </w:r>
      <w:r>
        <w:rPr>
          <w:rFonts w:hint="eastAsia"/>
        </w:rPr>
        <w:t>北京</w:t>
      </w:r>
      <w:r>
        <w:rPr>
          <w:rFonts w:hint="eastAsia"/>
          <w:lang w:val="en-US" w:eastAsia="zh-CN"/>
        </w:rPr>
        <w:t>友谊</w:t>
      </w:r>
      <w:r>
        <w:rPr>
          <w:rFonts w:hint="eastAsia"/>
        </w:rPr>
        <w:t>医院</w:t>
      </w:r>
      <w:r>
        <w:t>提供的评价材料为基础，对项目进行综合分析和专业评价，在此基础上形成</w:t>
      </w:r>
      <w:r>
        <w:rPr>
          <w:rFonts w:hint="eastAsia"/>
        </w:rPr>
        <w:t>“友谊医院医用设备购置项目”</w:t>
      </w:r>
      <w:r>
        <w:t>绩效评价报告。</w:t>
      </w:r>
    </w:p>
    <w:p>
      <w:pPr>
        <w:pStyle w:val="4"/>
        <w:bidi w:val="0"/>
      </w:pPr>
      <w:bookmarkStart w:id="26" w:name="_Toc13460"/>
      <w:bookmarkStart w:id="27" w:name="_Toc23703"/>
      <w:bookmarkStart w:id="28" w:name="_Toc17637"/>
      <w:r>
        <w:t>（二）评价报告适用范围</w:t>
      </w:r>
      <w:bookmarkEnd w:id="26"/>
      <w:bookmarkEnd w:id="27"/>
      <w:bookmarkEnd w:id="28"/>
    </w:p>
    <w:p>
      <w:pPr>
        <w:bidi w:val="0"/>
        <w:rPr>
          <w:rFonts w:hint="eastAsia"/>
          <w:lang w:val="en-US" w:eastAsia="zh-CN"/>
        </w:rPr>
      </w:pPr>
      <w:r>
        <w:t>本评价报告所作的评价结论仅为</w:t>
      </w:r>
      <w:r>
        <w:rPr>
          <w:rFonts w:hint="eastAsia"/>
        </w:rPr>
        <w:t>北京市医院管理中心</w:t>
      </w:r>
      <w:r>
        <w:t>提供参考依据，不</w:t>
      </w:r>
      <w:r>
        <w:rPr>
          <w:rFonts w:hint="eastAsia"/>
          <w:lang w:eastAsia="zh-CN"/>
        </w:rPr>
        <w:t>做其他用途</w:t>
      </w:r>
      <w:r>
        <w:t>。</w:t>
      </w:r>
    </w:p>
    <w:p>
      <w:pPr>
        <w:bidi w:val="0"/>
        <w:rPr>
          <w:rFonts w:hint="eastAsia"/>
          <w:lang w:val="en-US" w:eastAsia="zh-CN"/>
        </w:rPr>
      </w:pPr>
    </w:p>
    <w:p>
      <w:pPr>
        <w:bidi w:val="0"/>
        <w:rPr>
          <w:rFonts w:hint="eastAsia"/>
          <w:lang w:val="en-US" w:eastAsia="zh-CN"/>
        </w:rPr>
        <w:sectPr>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r>
        <w:rPr>
          <w:rFonts w:hint="eastAsia"/>
          <w:lang w:val="en-US" w:eastAsia="zh-CN"/>
        </w:rPr>
        <w:t>附件：《友谊医院医用设备购置项目绩效评价评分表》</w:t>
      </w:r>
    </w:p>
    <w:p>
      <w:pPr>
        <w:ind w:left="0" w:leftChars="0" w:firstLine="0" w:firstLineChars="0"/>
        <w:rPr>
          <w:rFonts w:hint="eastAsia"/>
          <w:lang w:val="en-US" w:eastAsia="zh-CN"/>
        </w:rPr>
      </w:pPr>
      <w:r>
        <w:rPr>
          <w:rFonts w:hint="eastAsia"/>
          <w:lang w:val="en-US" w:eastAsia="zh-CN"/>
        </w:rPr>
        <w:t>附件</w:t>
      </w:r>
    </w:p>
    <w:p>
      <w:pPr>
        <w:ind w:left="0" w:leftChars="0" w:firstLine="0" w:firstLineChars="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友谊医院医用设备购置项目绩效评价评分表</w:t>
      </w:r>
    </w:p>
    <w:tbl>
      <w:tblPr>
        <w:tblStyle w:val="9"/>
        <w:tblW w:w="499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654"/>
        <w:gridCol w:w="663"/>
        <w:gridCol w:w="1420"/>
        <w:gridCol w:w="1667"/>
        <w:gridCol w:w="2999"/>
        <w:gridCol w:w="3189"/>
        <w:gridCol w:w="760"/>
        <w:gridCol w:w="813"/>
        <w:gridCol w:w="19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76" w:hRule="atLeast"/>
          <w:tblHeader/>
        </w:trPr>
        <w:tc>
          <w:tcPr>
            <w:tcW w:w="23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一级指标</w:t>
            </w:r>
          </w:p>
        </w:tc>
        <w:tc>
          <w:tcPr>
            <w:tcW w:w="23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二级指标</w:t>
            </w:r>
          </w:p>
        </w:tc>
        <w:tc>
          <w:tcPr>
            <w:tcW w:w="50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三级指标</w:t>
            </w:r>
          </w:p>
        </w:tc>
        <w:tc>
          <w:tcPr>
            <w:tcW w:w="58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指标解释</w:t>
            </w:r>
          </w:p>
        </w:tc>
        <w:tc>
          <w:tcPr>
            <w:tcW w:w="105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评价要点</w:t>
            </w:r>
          </w:p>
        </w:tc>
        <w:tc>
          <w:tcPr>
            <w:tcW w:w="1124" w:type="pct"/>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评价标准和计分方式</w:t>
            </w:r>
          </w:p>
        </w:tc>
        <w:tc>
          <w:tcPr>
            <w:tcW w:w="268" w:type="pct"/>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分值</w:t>
            </w:r>
          </w:p>
        </w:tc>
        <w:tc>
          <w:tcPr>
            <w:tcW w:w="28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得分</w:t>
            </w:r>
          </w:p>
        </w:tc>
        <w:tc>
          <w:tcPr>
            <w:tcW w:w="705"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扣分理由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0" w:hRule="atLeast"/>
        </w:trPr>
        <w:tc>
          <w:tcPr>
            <w:tcW w:w="231" w:type="pct"/>
            <w:vMerge w:val="restar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决策</w:t>
            </w:r>
          </w:p>
        </w:tc>
        <w:tc>
          <w:tcPr>
            <w:tcW w:w="234" w:type="pct"/>
            <w:vMerge w:val="restar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项目立项　</w:t>
            </w:r>
          </w:p>
        </w:tc>
        <w:tc>
          <w:tcPr>
            <w:tcW w:w="50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立项依据</w:t>
            </w:r>
          </w:p>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充分性</w:t>
            </w:r>
          </w:p>
        </w:tc>
        <w:tc>
          <w:tcPr>
            <w:tcW w:w="58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项目立项是否符合法律法规、相关政策、发展规划以及部门职责，用以反映和考核项目立项依据情况。</w:t>
            </w:r>
          </w:p>
        </w:tc>
        <w:tc>
          <w:tcPr>
            <w:tcW w:w="105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①项目立项是否符合国家法律法规、国民经济发展规划和相关政策；</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②项目立项是否符合行业发展规划和政策要求；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③项目立项是否与部门职责范围相符，属于部门履职所需；</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④项目是否属于公共财政支持范围，是否符合中央、地方事权支出责任划分原则；</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⑤项目是否与相关部门同类项目或部门内部相关项目重复。</w:t>
            </w:r>
          </w:p>
        </w:tc>
        <w:tc>
          <w:tcPr>
            <w:tcW w:w="112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Style w:val="13"/>
                <w:rFonts w:hint="eastAsia" w:asciiTheme="minorEastAsia" w:hAnsiTheme="minorEastAsia" w:eastAsiaTheme="minorEastAsia" w:cstheme="minorEastAsia"/>
                <w:sz w:val="20"/>
                <w:szCs w:val="20"/>
                <w:lang w:val="en-US" w:eastAsia="zh-CN" w:bidi="ar"/>
              </w:rPr>
              <w:t>层差法，该项分值2分。</w:t>
            </w:r>
            <w:r>
              <w:rPr>
                <w:rStyle w:val="14"/>
                <w:rFonts w:hint="eastAsia" w:asciiTheme="minorEastAsia" w:hAnsiTheme="minorEastAsia" w:eastAsiaTheme="minorEastAsia" w:cstheme="minorEastAsia"/>
                <w:sz w:val="20"/>
                <w:szCs w:val="20"/>
                <w:lang w:val="en-US" w:eastAsia="zh-CN" w:bidi="ar"/>
              </w:rPr>
              <w:br w:type="textWrapping"/>
            </w:r>
            <w:r>
              <w:rPr>
                <w:rStyle w:val="14"/>
                <w:rFonts w:hint="eastAsia" w:asciiTheme="minorEastAsia" w:hAnsiTheme="minorEastAsia" w:eastAsiaTheme="minorEastAsia" w:cstheme="minorEastAsia"/>
                <w:sz w:val="20"/>
                <w:szCs w:val="20"/>
                <w:lang w:val="en-US" w:eastAsia="zh-CN" w:bidi="ar"/>
              </w:rPr>
              <w:t>①立项依据充分性好，得1.8（含）～2分；</w:t>
            </w:r>
            <w:r>
              <w:rPr>
                <w:rStyle w:val="14"/>
                <w:rFonts w:hint="eastAsia" w:asciiTheme="minorEastAsia" w:hAnsiTheme="minorEastAsia" w:eastAsiaTheme="minorEastAsia" w:cstheme="minorEastAsia"/>
                <w:sz w:val="20"/>
                <w:szCs w:val="20"/>
                <w:lang w:val="en-US" w:eastAsia="zh-CN" w:bidi="ar"/>
              </w:rPr>
              <w:br w:type="textWrapping"/>
            </w:r>
            <w:r>
              <w:rPr>
                <w:rStyle w:val="14"/>
                <w:rFonts w:hint="eastAsia" w:asciiTheme="minorEastAsia" w:hAnsiTheme="minorEastAsia" w:eastAsiaTheme="minorEastAsia" w:cstheme="minorEastAsia"/>
                <w:sz w:val="20"/>
                <w:szCs w:val="20"/>
                <w:lang w:val="en-US" w:eastAsia="zh-CN" w:bidi="ar"/>
              </w:rPr>
              <w:t>②立项依据充分性较好，得1.6（含）～1.8分；</w:t>
            </w:r>
            <w:r>
              <w:rPr>
                <w:rStyle w:val="14"/>
                <w:rFonts w:hint="eastAsia" w:asciiTheme="minorEastAsia" w:hAnsiTheme="minorEastAsia" w:eastAsiaTheme="minorEastAsia" w:cstheme="minorEastAsia"/>
                <w:sz w:val="20"/>
                <w:szCs w:val="20"/>
                <w:lang w:val="en-US" w:eastAsia="zh-CN" w:bidi="ar"/>
              </w:rPr>
              <w:br w:type="textWrapping"/>
            </w:r>
            <w:r>
              <w:rPr>
                <w:rStyle w:val="14"/>
                <w:rFonts w:hint="eastAsia" w:asciiTheme="minorEastAsia" w:hAnsiTheme="minorEastAsia" w:eastAsiaTheme="minorEastAsia" w:cstheme="minorEastAsia"/>
                <w:sz w:val="20"/>
                <w:szCs w:val="20"/>
                <w:lang w:val="en-US" w:eastAsia="zh-CN" w:bidi="ar"/>
              </w:rPr>
              <w:t>③立项依据充分性一般，得1.2（含）～1.6分；</w:t>
            </w:r>
            <w:r>
              <w:rPr>
                <w:rStyle w:val="14"/>
                <w:rFonts w:hint="eastAsia" w:asciiTheme="minorEastAsia" w:hAnsiTheme="minorEastAsia" w:eastAsiaTheme="minorEastAsia" w:cstheme="minorEastAsia"/>
                <w:sz w:val="20"/>
                <w:szCs w:val="20"/>
                <w:lang w:val="en-US" w:eastAsia="zh-CN" w:bidi="ar"/>
              </w:rPr>
              <w:br w:type="textWrapping"/>
            </w:r>
            <w:r>
              <w:rPr>
                <w:rStyle w:val="14"/>
                <w:rFonts w:hint="eastAsia" w:asciiTheme="minorEastAsia" w:hAnsiTheme="minorEastAsia" w:eastAsiaTheme="minorEastAsia" w:cstheme="minorEastAsia"/>
                <w:sz w:val="20"/>
                <w:szCs w:val="20"/>
                <w:lang w:val="en-US" w:eastAsia="zh-CN" w:bidi="ar"/>
              </w:rPr>
              <w:t>④立项依据充分性较差，得0～1.2分。</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28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705"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0" w:hRule="atLeast"/>
        </w:trPr>
        <w:tc>
          <w:tcPr>
            <w:tcW w:w="231"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c>
          <w:tcPr>
            <w:tcW w:w="234"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c>
          <w:tcPr>
            <w:tcW w:w="50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立项程序</w:t>
            </w:r>
          </w:p>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规范性</w:t>
            </w:r>
          </w:p>
        </w:tc>
        <w:tc>
          <w:tcPr>
            <w:tcW w:w="58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项目申请、设立过程是否符合相关要求，用以反映和考核项目立项的规范情况。</w:t>
            </w:r>
          </w:p>
        </w:tc>
        <w:tc>
          <w:tcPr>
            <w:tcW w:w="105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①项目是否按照规定的程序申请设立；</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②审批文件、材料是否符合相关要求；</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③事前是否已经过必要的可行性研究、专家论证、风险评估、绩效评估、集体决策。</w:t>
            </w:r>
          </w:p>
        </w:tc>
        <w:tc>
          <w:tcPr>
            <w:tcW w:w="112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层差法，该项分值1分。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①立项程序规范性好，得0.9（含）～1分；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②立项程序规范性较好，得0.8（含）～0.9分；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③立项程序规范性一般，得0.6（含）～0.8分；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④立项程序规范性较差，得0～0.6分。</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28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705"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92" w:hRule="atLeast"/>
        </w:trPr>
        <w:tc>
          <w:tcPr>
            <w:tcW w:w="231"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c>
          <w:tcPr>
            <w:tcW w:w="234" w:type="pct"/>
            <w:vMerge w:val="restar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绩效目标　</w:t>
            </w:r>
          </w:p>
        </w:tc>
        <w:tc>
          <w:tcPr>
            <w:tcW w:w="50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绩效目标</w:t>
            </w:r>
          </w:p>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合理性</w:t>
            </w:r>
          </w:p>
        </w:tc>
        <w:tc>
          <w:tcPr>
            <w:tcW w:w="58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项目所设定的绩效目标是否依据充分，是否符合客观实际，用以反映和考核项目绩效目标与项目实施的相符情况。</w:t>
            </w:r>
          </w:p>
        </w:tc>
        <w:tc>
          <w:tcPr>
            <w:tcW w:w="105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（如未设定预算绩效目标，也可考核其他工作任务目标）</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①项目是否有绩效目标；</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②项目绩效目标与实际工作内容是否具有相关性；</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③项目预期产出效益和效果是否符合正常的业绩水平；</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④是否与预算确定的项目投资额或资金量相匹配。</w:t>
            </w:r>
          </w:p>
        </w:tc>
        <w:tc>
          <w:tcPr>
            <w:tcW w:w="112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层差法，该项分值2分。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①绩效目标合理性好，得1.8（含）～2分；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②绩效目标合理性较好，得1.6（含）～1.8分；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③绩效目标合理性一般，得1.2（含）～1.6分；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④绩效目标合理性较差，得0～1.2分。</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28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705"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产出质量指标缺少衡量合格率的指标；产出时效指标未设置设备整体完成验收时间；未设置社会效益指标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trPr>
        <w:tc>
          <w:tcPr>
            <w:tcW w:w="231"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c>
          <w:tcPr>
            <w:tcW w:w="234"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c>
          <w:tcPr>
            <w:tcW w:w="50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绩效指标</w:t>
            </w:r>
          </w:p>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明确性</w:t>
            </w:r>
          </w:p>
        </w:tc>
        <w:tc>
          <w:tcPr>
            <w:tcW w:w="58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依据绩效目标设定的绩效指标是否清晰、细化、可衡量等，用以反映和考核项目绩效目标的明细化情况。</w:t>
            </w:r>
          </w:p>
        </w:tc>
        <w:tc>
          <w:tcPr>
            <w:tcW w:w="105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①是否将项目绩效目标细化分解为具体的绩效指标；</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②是否通过清晰、可衡量的指标值予以体现；</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③是否与项目目标任务数或计划数相对应。</w:t>
            </w:r>
          </w:p>
        </w:tc>
        <w:tc>
          <w:tcPr>
            <w:tcW w:w="112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层差法，该项分值2分。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①绩效指标明确性好，得1.8（含）～2分；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②绩效指标明确性较好，得1.6（含）～1.8分；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③绩效指标明确性一般，得1.2（含）～1.6分；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④绩效指标明确性较差，得0～1.2分。</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28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705"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可持续性影响指标设置不够明确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16" w:hRule="atLeast"/>
        </w:trPr>
        <w:tc>
          <w:tcPr>
            <w:tcW w:w="231"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c>
          <w:tcPr>
            <w:tcW w:w="234" w:type="pct"/>
            <w:vMerge w:val="restar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资金投入</w:t>
            </w:r>
          </w:p>
        </w:tc>
        <w:tc>
          <w:tcPr>
            <w:tcW w:w="50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预算编制</w:t>
            </w:r>
          </w:p>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科学性</w:t>
            </w:r>
          </w:p>
        </w:tc>
        <w:tc>
          <w:tcPr>
            <w:tcW w:w="58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项目预算编制是否经过科学论证、有明确标准，资金额度与年度目标是否相适应，用以反映和考核项目预算编制的科学性、合理性情况。</w:t>
            </w:r>
          </w:p>
        </w:tc>
        <w:tc>
          <w:tcPr>
            <w:tcW w:w="105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①预算编制是否经过科学论证；</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②预算内容与项目内容是否匹配；</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③预算额度测算依据是否充分，是否按照标准编制；</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④预算确定的项目投资额或资金量是否与工作任务相匹配。</w:t>
            </w:r>
          </w:p>
        </w:tc>
        <w:tc>
          <w:tcPr>
            <w:tcW w:w="112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层差法，该项分值2分。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①预算编制科学性好，得1.8（含）～2分；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②预算编制科学性较好，得1.6（含）～1.8分；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③预算编制科学性一般，得1.2（含）～1.6分；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④预算编制科学性较差，得0～1.2分。</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28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705"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28" w:hRule="atLeast"/>
        </w:trPr>
        <w:tc>
          <w:tcPr>
            <w:tcW w:w="231"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c>
          <w:tcPr>
            <w:tcW w:w="234"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c>
          <w:tcPr>
            <w:tcW w:w="50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资金分配</w:t>
            </w:r>
          </w:p>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合理性</w:t>
            </w:r>
          </w:p>
        </w:tc>
        <w:tc>
          <w:tcPr>
            <w:tcW w:w="58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项目预算资金分配是否有测算依据，与补助单位或地方实际是否相适应，用以反映和考核项目预算资金分配的科学性、合理性情况。</w:t>
            </w:r>
          </w:p>
        </w:tc>
        <w:tc>
          <w:tcPr>
            <w:tcW w:w="105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①预算资金分配依据是否充分；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②资金分配额度是否合理，与项目单位或地方实际是否相适应。</w:t>
            </w:r>
          </w:p>
        </w:tc>
        <w:tc>
          <w:tcPr>
            <w:tcW w:w="112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层差法，该项分值1分。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①资金分配合理性好，得0.9（含）～1分；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②资金分配合理性较好，得0.8（含）～0.9分；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③资金分配合理性一般，得0.6（含）～0.8分；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④资金分配合理性较差，得0～0.6分。</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28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705"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28" w:hRule="atLeast"/>
        </w:trPr>
        <w:tc>
          <w:tcPr>
            <w:tcW w:w="231" w:type="pct"/>
            <w:vMerge w:val="restar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过程</w:t>
            </w:r>
          </w:p>
        </w:tc>
        <w:tc>
          <w:tcPr>
            <w:tcW w:w="234" w:type="pct"/>
            <w:vMerge w:val="restar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资金管理</w:t>
            </w:r>
          </w:p>
        </w:tc>
        <w:tc>
          <w:tcPr>
            <w:tcW w:w="50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资金到位率</w:t>
            </w:r>
          </w:p>
        </w:tc>
        <w:tc>
          <w:tcPr>
            <w:tcW w:w="58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实际到位资金与预算资金的比率，用以反映和考核资金落实情况对项目实施的总体保障程度。</w:t>
            </w:r>
          </w:p>
        </w:tc>
        <w:tc>
          <w:tcPr>
            <w:tcW w:w="105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资金到位率=（实际到位资金/预算资金）×100%。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实际到位资金：一定时期（本年度或项目期）内落实到具体项目的资金。</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预算资金：一定时期（本年度或项目期）内预算安排到具体项目的资金。</w:t>
            </w:r>
          </w:p>
        </w:tc>
        <w:tc>
          <w:tcPr>
            <w:tcW w:w="112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该项分值2分。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得分=资金到位率*2分。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资金到位率=（实际到位资金/预算资金）×100%。</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28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705"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2" w:hRule="atLeast"/>
        </w:trPr>
        <w:tc>
          <w:tcPr>
            <w:tcW w:w="231"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c>
          <w:tcPr>
            <w:tcW w:w="234"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c>
          <w:tcPr>
            <w:tcW w:w="50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预算执行率</w:t>
            </w:r>
          </w:p>
        </w:tc>
        <w:tc>
          <w:tcPr>
            <w:tcW w:w="58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项目预算资金是否按照计划执行，用以反映或考核项目预算执行情况。</w:t>
            </w:r>
          </w:p>
        </w:tc>
        <w:tc>
          <w:tcPr>
            <w:tcW w:w="105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预算执行率=（实际支出资金/实际到位资金）×100%。</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实际支出资金：一定时期（本年度或项目期）内项目实际拨付的资金。</w:t>
            </w:r>
          </w:p>
        </w:tc>
        <w:tc>
          <w:tcPr>
            <w:tcW w:w="112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该项分值4分。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得分=预算执行率*4分。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预算执行率=（实际支出资金/实际到位资金）×100%。</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28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705"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04" w:hRule="atLeast"/>
        </w:trPr>
        <w:tc>
          <w:tcPr>
            <w:tcW w:w="231"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c>
          <w:tcPr>
            <w:tcW w:w="234"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c>
          <w:tcPr>
            <w:tcW w:w="50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资金使用</w:t>
            </w:r>
          </w:p>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合规性</w:t>
            </w:r>
          </w:p>
        </w:tc>
        <w:tc>
          <w:tcPr>
            <w:tcW w:w="58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项目资金使用是否符合相关的财务管理制度规定，用以反映和考核项目资金的规范运行情况。</w:t>
            </w:r>
          </w:p>
        </w:tc>
        <w:tc>
          <w:tcPr>
            <w:tcW w:w="105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①是否符合国家财经法规和财务管理制度以及有关专项资金管理办法的规定；</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②资金的拨付是否有完整的审批程序和手续；</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③是否符合项目预算批复或合同规定的用途；</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④是否存在截留、挤占、挪用、虚列支出等情况。</w:t>
            </w:r>
          </w:p>
        </w:tc>
        <w:tc>
          <w:tcPr>
            <w:tcW w:w="112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层差法，该项分值4分。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①资金使用合规性好，得3.6（含）～4分；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②资金使用合规性较好，得3.2（含）～3.6分；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③资金使用合规性一般，得2.4（含）～3.2分；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④资金使用合规性较差，得0～2.4分。</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28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705"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28" w:hRule="atLeast"/>
        </w:trPr>
        <w:tc>
          <w:tcPr>
            <w:tcW w:w="231"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c>
          <w:tcPr>
            <w:tcW w:w="234" w:type="pct"/>
            <w:vMerge w:val="restar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组织实施</w:t>
            </w:r>
          </w:p>
        </w:tc>
        <w:tc>
          <w:tcPr>
            <w:tcW w:w="50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管理制度</w:t>
            </w:r>
          </w:p>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健全性</w:t>
            </w:r>
          </w:p>
        </w:tc>
        <w:tc>
          <w:tcPr>
            <w:tcW w:w="58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项目实施单位的财务和业务管理制度是否健全，用以反映和考核财务和业务管理制度对项目顺利实施的保障情况。</w:t>
            </w:r>
          </w:p>
        </w:tc>
        <w:tc>
          <w:tcPr>
            <w:tcW w:w="105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①是否已制定或具有相应的财务和业务管理制度；</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②财务和业务管理制度是否合法、合规、完整。</w:t>
            </w:r>
          </w:p>
        </w:tc>
        <w:tc>
          <w:tcPr>
            <w:tcW w:w="112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层差法，该项分值5分。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①管理制度健全性好，得4.5（含）～5分；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②管理制度健全性较好，得4（含）～4.5分；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③管理制度健全性一般，得3（含）～4分；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④管理制度健全性较差，得0～3分。</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28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705"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28" w:hRule="atLeast"/>
        </w:trPr>
        <w:tc>
          <w:tcPr>
            <w:tcW w:w="231"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c>
          <w:tcPr>
            <w:tcW w:w="234"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c>
          <w:tcPr>
            <w:tcW w:w="50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制度执行</w:t>
            </w:r>
          </w:p>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有效性</w:t>
            </w:r>
          </w:p>
        </w:tc>
        <w:tc>
          <w:tcPr>
            <w:tcW w:w="58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项目实施是否符合相关管理规定，用以反映和考核相关管理制度的有效执行情况。</w:t>
            </w:r>
          </w:p>
        </w:tc>
        <w:tc>
          <w:tcPr>
            <w:tcW w:w="105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①是否遵守相关法律法规和相关管理规定；</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②项目调整及支出调整手续是否完备；</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③项目合同书、验收报告、技术鉴定等资料是否齐全并及时归档；</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④项目实施的人员条件、场地设备、信息支撑等是否落实到位。</w:t>
            </w:r>
          </w:p>
        </w:tc>
        <w:tc>
          <w:tcPr>
            <w:tcW w:w="112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层差法，该项分值5分。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①制度执行有效性好，得4.5（含）～5分；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②制度执行有效性较好，得4（含）～4.5分；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③制度执行有效性一般，得3（含）～4分；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④制度执行有效性较差，得0～3分。</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28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705"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部分验收单无验收日期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2" w:hRule="atLeast"/>
        </w:trPr>
        <w:tc>
          <w:tcPr>
            <w:tcW w:w="231" w:type="pct"/>
            <w:vMerge w:val="restar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产出</w:t>
            </w:r>
          </w:p>
        </w:tc>
        <w:tc>
          <w:tcPr>
            <w:tcW w:w="23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产出数量</w:t>
            </w:r>
          </w:p>
        </w:tc>
        <w:tc>
          <w:tcPr>
            <w:tcW w:w="50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购置医疗</w:t>
            </w:r>
          </w:p>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设备数量</w:t>
            </w:r>
          </w:p>
        </w:tc>
        <w:tc>
          <w:tcPr>
            <w:tcW w:w="58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购置设备情况实际完成情况与计划完成情况的比较，用以反映和考核项目产出数量目标的实现程度。</w:t>
            </w:r>
          </w:p>
        </w:tc>
        <w:tc>
          <w:tcPr>
            <w:tcW w:w="105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实际采购数量是否符合计划采购数量</w:t>
            </w:r>
          </w:p>
        </w:tc>
        <w:tc>
          <w:tcPr>
            <w:tcW w:w="112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层差法，该项分值10分。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①产出数量完成情况好，得9（含）～10分；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②产出数量完成情况较好，得8（含）～9分；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③产出数量完成情况一般，得6（含）～8分；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④产出数量完成情况较差，得0～6分。</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28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9.85</w:t>
            </w:r>
          </w:p>
        </w:tc>
        <w:tc>
          <w:tcPr>
            <w:tcW w:w="705"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主动脉内球囊反搏泵预算较低，无供应商应标，项目废标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trPr>
        <w:tc>
          <w:tcPr>
            <w:tcW w:w="231"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c>
          <w:tcPr>
            <w:tcW w:w="23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产出质量</w:t>
            </w:r>
          </w:p>
        </w:tc>
        <w:tc>
          <w:tcPr>
            <w:tcW w:w="50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项目质量</w:t>
            </w:r>
          </w:p>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达标情况</w:t>
            </w:r>
          </w:p>
        </w:tc>
        <w:tc>
          <w:tcPr>
            <w:tcW w:w="58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项目完成质量与计划完成质量要求的比较，用以反映和考核项目产出质量目标的实现程度。</w:t>
            </w:r>
          </w:p>
        </w:tc>
        <w:tc>
          <w:tcPr>
            <w:tcW w:w="105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购买的仪器设备是否达到相关验收要求</w:t>
            </w:r>
          </w:p>
        </w:tc>
        <w:tc>
          <w:tcPr>
            <w:tcW w:w="112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层差法，该项分值10分。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①质量达标情况好，得9（含）～10分；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②质量达标情况较好，得8（含）～9分；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③质量达标情况一般，得6（含）～8分；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④质量达标情况较差，得0～6分。</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28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705"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部分设备验收时发现无维修资料、密码，无法进入维修界面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trPr>
        <w:tc>
          <w:tcPr>
            <w:tcW w:w="231"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c>
          <w:tcPr>
            <w:tcW w:w="23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产出时效</w:t>
            </w:r>
          </w:p>
        </w:tc>
        <w:tc>
          <w:tcPr>
            <w:tcW w:w="50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完成及时性</w:t>
            </w:r>
          </w:p>
        </w:tc>
        <w:tc>
          <w:tcPr>
            <w:tcW w:w="58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项目实际完成时间与计划完成时间的比较，用以反映和考核项目产出时效目标的实现程度。</w:t>
            </w:r>
          </w:p>
        </w:tc>
        <w:tc>
          <w:tcPr>
            <w:tcW w:w="105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实际完成时间：项目实施单位完成该项目实际所耗用的时间。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计划完成时间：按照项目实施计划或相关规定完成该项目所需的时间。</w:t>
            </w:r>
          </w:p>
        </w:tc>
        <w:tc>
          <w:tcPr>
            <w:tcW w:w="112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层差法，该项分值10分。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①工作完成及时，得9（含）～10分；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②工作完成较为及时，得8（含）～9分；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③工作完成及时性一般，得6（含）～8分；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④工作完成不够及时，得0～6分。</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28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705"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项目执行期较长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16" w:hRule="atLeast"/>
        </w:trPr>
        <w:tc>
          <w:tcPr>
            <w:tcW w:w="231"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c>
          <w:tcPr>
            <w:tcW w:w="23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产出成本</w:t>
            </w:r>
          </w:p>
        </w:tc>
        <w:tc>
          <w:tcPr>
            <w:tcW w:w="50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成本控制情况</w:t>
            </w:r>
          </w:p>
        </w:tc>
        <w:tc>
          <w:tcPr>
            <w:tcW w:w="58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完成该项目实际支出的的资金是否超出预算申报金额，预算各项构成内容之间是否存在较大调整，项目是否采取了成本控制措施节约成本。</w:t>
            </w:r>
          </w:p>
        </w:tc>
        <w:tc>
          <w:tcPr>
            <w:tcW w:w="105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①项目实际支出金额是否超出预算申报总额；</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②项目预算构成内容之间是否存在较大调整；</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③项目是否采取了成本控制措施。</w:t>
            </w:r>
          </w:p>
        </w:tc>
        <w:tc>
          <w:tcPr>
            <w:tcW w:w="112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层差法，该项分值10分。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①成本控制情况好，得9（含）～10分；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②成本控制情况较好，得8（含）～9分；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③成本控制情况一般，得6（含）～8分；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④成本控制情况较差，得0～6分。</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28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705"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trPr>
        <w:tc>
          <w:tcPr>
            <w:tcW w:w="231" w:type="pct"/>
            <w:vMerge w:val="restar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效益</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p>
        </w:tc>
        <w:tc>
          <w:tcPr>
            <w:tcW w:w="23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社会效益</w:t>
            </w:r>
          </w:p>
        </w:tc>
        <w:tc>
          <w:tcPr>
            <w:tcW w:w="50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医用设备使用率</w:t>
            </w:r>
          </w:p>
        </w:tc>
        <w:tc>
          <w:tcPr>
            <w:tcW w:w="58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医用设备使用情况。</w:t>
            </w:r>
          </w:p>
        </w:tc>
        <w:tc>
          <w:tcPr>
            <w:tcW w:w="105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医用设备使用率是否符合成本效益原则。</w:t>
            </w:r>
          </w:p>
        </w:tc>
        <w:tc>
          <w:tcPr>
            <w:tcW w:w="112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层差法，该项分值10分。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①效果显著，得9（含）～10分；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②效果较为显著，得8（含）～9分；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③效果一般，得6（含）～8分；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④效果不够明显，得0～6分。</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28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705"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少部分设备使用率较低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trPr>
        <w:tc>
          <w:tcPr>
            <w:tcW w:w="231"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c>
          <w:tcPr>
            <w:tcW w:w="23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可持续影响</w:t>
            </w:r>
          </w:p>
        </w:tc>
        <w:tc>
          <w:tcPr>
            <w:tcW w:w="50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较长时间内发挥作用</w:t>
            </w:r>
          </w:p>
        </w:tc>
        <w:tc>
          <w:tcPr>
            <w:tcW w:w="58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医用设备在较长时间内发挥作用</w:t>
            </w:r>
          </w:p>
        </w:tc>
        <w:tc>
          <w:tcPr>
            <w:tcW w:w="105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医用设备使用期限长短</w:t>
            </w:r>
          </w:p>
        </w:tc>
        <w:tc>
          <w:tcPr>
            <w:tcW w:w="112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层差法，该项分值10分。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①可持续影响明显，得9（含）～10分；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②可持续影响较为明显，得8（含）～9分；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③可持续影响一般，得6（含）～8分；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④可持续影响不够明显，得0～6分。</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28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705"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trPr>
        <w:tc>
          <w:tcPr>
            <w:tcW w:w="231"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c>
          <w:tcPr>
            <w:tcW w:w="23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满意度指标</w:t>
            </w:r>
          </w:p>
        </w:tc>
        <w:tc>
          <w:tcPr>
            <w:tcW w:w="50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职工满意度</w:t>
            </w:r>
          </w:p>
        </w:tc>
        <w:tc>
          <w:tcPr>
            <w:tcW w:w="58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医工技师对采购的医用设备的满意度</w:t>
            </w:r>
          </w:p>
        </w:tc>
        <w:tc>
          <w:tcPr>
            <w:tcW w:w="105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医工技师对采购的医用设备的满意度</w:t>
            </w:r>
          </w:p>
        </w:tc>
        <w:tc>
          <w:tcPr>
            <w:tcW w:w="1124"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层差法，该项分值10分。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①服务对象满意度非常高，得9（含）～10分；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②服务对象满意度比较高，得8（含）～9分；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③服务对象满意度一般，得6（含）～8分；</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④服务对象满意度较差，得0～6分。</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287" w:type="pct"/>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705"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满意度调查数据统计不精准，对于发现的问题尚需深入剖析原因并制定改善措施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465" w:type="pct"/>
            <w:gridSpan w:val="2"/>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合计</w:t>
            </w:r>
          </w:p>
        </w:tc>
        <w:tc>
          <w:tcPr>
            <w:tcW w:w="501" w:type="pct"/>
            <w:tcBorders>
              <w:tl2br w:val="nil"/>
              <w:tr2bl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c>
          <w:tcPr>
            <w:tcW w:w="2771" w:type="pct"/>
            <w:gridSpan w:val="3"/>
            <w:tcBorders>
              <w:tl2br w:val="nil"/>
              <w:tr2bl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c>
          <w:tcPr>
            <w:tcW w:w="268" w:type="pct"/>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100</w:t>
            </w:r>
          </w:p>
        </w:tc>
        <w:tc>
          <w:tcPr>
            <w:tcW w:w="287" w:type="pct"/>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89.05</w:t>
            </w:r>
          </w:p>
        </w:tc>
        <w:tc>
          <w:tcPr>
            <w:tcW w:w="705"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inorEastAsia" w:hAnsiTheme="minorEastAsia" w:eastAsiaTheme="minorEastAsia" w:cstheme="minorEastAsia"/>
                <w:i w:val="0"/>
                <w:iCs w:val="0"/>
                <w:color w:val="000000"/>
                <w:sz w:val="20"/>
                <w:szCs w:val="20"/>
                <w:u w:val="none"/>
              </w:rPr>
            </w:pPr>
          </w:p>
        </w:tc>
      </w:tr>
    </w:tbl>
    <w:p>
      <w:pPr>
        <w:pStyle w:val="2"/>
        <w:ind w:left="0" w:leftChars="0" w:firstLine="0" w:firstLineChars="0"/>
        <w:rPr>
          <w:rFonts w:hint="eastAsia"/>
        </w:rPr>
      </w:pPr>
    </w:p>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keepNext w:val="0"/>
                            <w:keepLines w:val="0"/>
                            <w:pageBreakBefore w:val="0"/>
                            <w:widowControl w:val="0"/>
                            <w:kinsoku/>
                            <w:wordWrap/>
                            <w:overflowPunct/>
                            <w:topLinePunct w:val="0"/>
                            <w:bidi w:val="0"/>
                            <w:adjustRightInd/>
                            <w:snapToGrid w:val="0"/>
                            <w:ind w:firstLine="0" w:firstLineChars="0"/>
                            <w:textAlignment w:val="auto"/>
                            <w:rPr>
                              <w:rFonts w:hint="eastAsia" w:ascii="宋体" w:hAnsi="宋体" w:eastAsia="宋体" w:cs="宋体"/>
                              <w:sz w:val="20"/>
                              <w:szCs w:val="20"/>
                            </w:rPr>
                          </w:pP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PAGE  \* MERGEFORMAT </w:instrText>
                          </w:r>
                          <w:r>
                            <w:rPr>
                              <w:rFonts w:hint="eastAsia" w:ascii="宋体" w:hAnsi="宋体" w:eastAsia="宋体" w:cs="宋体"/>
                              <w:sz w:val="20"/>
                              <w:szCs w:val="20"/>
                            </w:rPr>
                            <w:fldChar w:fldCharType="separate"/>
                          </w:r>
                          <w:r>
                            <w:rPr>
                              <w:rFonts w:hint="eastAsia" w:ascii="宋体" w:hAnsi="宋体" w:eastAsia="宋体" w:cs="宋体"/>
                              <w:sz w:val="20"/>
                              <w:szCs w:val="20"/>
                            </w:rPr>
                            <w:t>1</w:t>
                          </w:r>
                          <w:r>
                            <w:rPr>
                              <w:rFonts w:hint="eastAsia" w:ascii="宋体" w:hAnsi="宋体" w:eastAsia="宋体" w:cs="宋体"/>
                              <w:sz w:val="20"/>
                              <w:szCs w:val="2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keepNext w:val="0"/>
                      <w:keepLines w:val="0"/>
                      <w:pageBreakBefore w:val="0"/>
                      <w:widowControl w:val="0"/>
                      <w:kinsoku/>
                      <w:wordWrap/>
                      <w:overflowPunct/>
                      <w:topLinePunct w:val="0"/>
                      <w:bidi w:val="0"/>
                      <w:adjustRightInd/>
                      <w:snapToGrid w:val="0"/>
                      <w:ind w:firstLine="0" w:firstLineChars="0"/>
                      <w:textAlignment w:val="auto"/>
                      <w:rPr>
                        <w:rFonts w:hint="eastAsia" w:ascii="宋体" w:hAnsi="宋体" w:eastAsia="宋体" w:cs="宋体"/>
                        <w:sz w:val="20"/>
                        <w:szCs w:val="20"/>
                      </w:rPr>
                    </w:pP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PAGE  \* MERGEFORMAT </w:instrText>
                    </w:r>
                    <w:r>
                      <w:rPr>
                        <w:rFonts w:hint="eastAsia" w:ascii="宋体" w:hAnsi="宋体" w:eastAsia="宋体" w:cs="宋体"/>
                        <w:sz w:val="20"/>
                        <w:szCs w:val="20"/>
                      </w:rPr>
                      <w:fldChar w:fldCharType="separate"/>
                    </w:r>
                    <w:r>
                      <w:rPr>
                        <w:rFonts w:hint="eastAsia" w:ascii="宋体" w:hAnsi="宋体" w:eastAsia="宋体" w:cs="宋体"/>
                        <w:sz w:val="20"/>
                        <w:szCs w:val="20"/>
                      </w:rPr>
                      <w:t>1</w:t>
                    </w:r>
                    <w:r>
                      <w:rPr>
                        <w:rFonts w:hint="eastAsia" w:ascii="宋体" w:hAnsi="宋体" w:eastAsia="宋体" w:cs="宋体"/>
                        <w:sz w:val="20"/>
                        <w:szCs w:val="20"/>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0B6CE1"/>
    <w:multiLevelType w:val="singleLevel"/>
    <w:tmpl w:val="070B6CE1"/>
    <w:lvl w:ilvl="0" w:tentative="0">
      <w:start w:val="2"/>
      <w:numFmt w:val="chineseCounting"/>
      <w:suff w:val="nothing"/>
      <w:lvlText w:val="（%1）"/>
      <w:lvlJc w:val="left"/>
      <w:rPr>
        <w:rFonts w:hint="eastAsia"/>
      </w:rPr>
    </w:lvl>
  </w:abstractNum>
  <w:abstractNum w:abstractNumId="1">
    <w:nsid w:val="7EA706C3"/>
    <w:multiLevelType w:val="singleLevel"/>
    <w:tmpl w:val="7EA706C3"/>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IyZTk1MWUzYzcwYWVhMTQ2MmI0OGMyNTNmYjgifQ=="/>
  </w:docVars>
  <w:rsids>
    <w:rsidRoot w:val="696C3826"/>
    <w:rsid w:val="00980BFA"/>
    <w:rsid w:val="0167401F"/>
    <w:rsid w:val="03AA4441"/>
    <w:rsid w:val="1C46568C"/>
    <w:rsid w:val="38114D8C"/>
    <w:rsid w:val="53CB7107"/>
    <w:rsid w:val="5440249A"/>
    <w:rsid w:val="579F4DB6"/>
    <w:rsid w:val="5876084E"/>
    <w:rsid w:val="63872CC8"/>
    <w:rsid w:val="685D02E9"/>
    <w:rsid w:val="696C3826"/>
    <w:rsid w:val="71827959"/>
    <w:rsid w:val="763E02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ind w:firstLine="1042" w:firstLineChars="200"/>
      <w:jc w:val="both"/>
    </w:pPr>
    <w:rPr>
      <w:rFonts w:ascii="仿宋_GB2312" w:hAnsi="仿宋_GB2312" w:eastAsia="仿宋_GB2312" w:cs="仿宋_GB2312"/>
      <w:kern w:val="2"/>
      <w:sz w:val="32"/>
      <w:szCs w:val="32"/>
      <w:lang w:val="en-US" w:eastAsia="zh-CN" w:bidi="ar-SA"/>
    </w:rPr>
  </w:style>
  <w:style w:type="paragraph" w:styleId="3">
    <w:name w:val="heading 1"/>
    <w:basedOn w:val="1"/>
    <w:next w:val="1"/>
    <w:autoRedefine/>
    <w:qFormat/>
    <w:uiPriority w:val="0"/>
    <w:pPr>
      <w:spacing w:beforeAutospacing="0" w:afterAutospacing="0" w:line="240" w:lineRule="auto"/>
      <w:ind w:firstLine="670" w:firstLineChars="200"/>
      <w:jc w:val="left"/>
      <w:outlineLvl w:val="0"/>
    </w:pPr>
    <w:rPr>
      <w:rFonts w:hint="eastAsia" w:eastAsia="黑体"/>
      <w:kern w:val="44"/>
    </w:rPr>
  </w:style>
  <w:style w:type="paragraph" w:styleId="4">
    <w:name w:val="heading 2"/>
    <w:basedOn w:val="1"/>
    <w:next w:val="1"/>
    <w:autoRedefine/>
    <w:qFormat/>
    <w:uiPriority w:val="0"/>
    <w:pPr>
      <w:keepNext/>
      <w:keepLines/>
      <w:spacing w:line="240" w:lineRule="auto"/>
      <w:ind w:firstLine="1042" w:firstLineChars="200"/>
      <w:outlineLvl w:val="1"/>
    </w:pPr>
    <w:rPr>
      <w:rFonts w:ascii="Arial" w:hAnsi="Arial" w:eastAsia="楷体_GB2312"/>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autoRedefine/>
    <w:qFormat/>
    <w:uiPriority w:val="0"/>
  </w:style>
  <w:style w:type="paragraph" w:styleId="8">
    <w:name w:val="toc 2"/>
    <w:basedOn w:val="1"/>
    <w:next w:val="1"/>
    <w:autoRedefine/>
    <w:qFormat/>
    <w:uiPriority w:val="0"/>
    <w:pPr>
      <w:ind w:left="420" w:leftChars="200"/>
    </w:pPr>
  </w:style>
  <w:style w:type="paragraph" w:customStyle="1" w:styleId="11">
    <w:name w:val="WPSOffice手动目录 1"/>
    <w:autoRedefine/>
    <w:qFormat/>
    <w:uiPriority w:val="0"/>
    <w:pPr>
      <w:ind w:leftChars="0"/>
    </w:pPr>
    <w:rPr>
      <w:rFonts w:ascii="Times New Roman" w:hAnsi="Times New Roman" w:eastAsia="宋体" w:cs="Times New Roman"/>
      <w:sz w:val="20"/>
      <w:szCs w:val="20"/>
    </w:rPr>
  </w:style>
  <w:style w:type="paragraph" w:customStyle="1" w:styleId="12">
    <w:name w:val="WPSOffice手动目录 2"/>
    <w:autoRedefine/>
    <w:qFormat/>
    <w:uiPriority w:val="0"/>
    <w:pPr>
      <w:ind w:leftChars="200"/>
    </w:pPr>
    <w:rPr>
      <w:rFonts w:ascii="Times New Roman" w:hAnsi="Times New Roman" w:eastAsia="宋体" w:cs="Times New Roman"/>
      <w:sz w:val="20"/>
      <w:szCs w:val="20"/>
    </w:rPr>
  </w:style>
  <w:style w:type="character" w:customStyle="1" w:styleId="13">
    <w:name w:val="font41"/>
    <w:basedOn w:val="10"/>
    <w:autoRedefine/>
    <w:qFormat/>
    <w:uiPriority w:val="0"/>
    <w:rPr>
      <w:rFonts w:hint="eastAsia" w:ascii="宋体" w:hAnsi="宋体" w:eastAsia="宋体" w:cs="宋体"/>
      <w:color w:val="000000"/>
      <w:sz w:val="22"/>
      <w:szCs w:val="22"/>
      <w:u w:val="none"/>
    </w:rPr>
  </w:style>
  <w:style w:type="character" w:customStyle="1" w:styleId="14">
    <w:name w:val="font01"/>
    <w:basedOn w:val="10"/>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8685</Words>
  <Characters>9044</Characters>
  <Lines>0</Lines>
  <Paragraphs>0</Paragraphs>
  <TotalTime>23</TotalTime>
  <ScaleCrop>false</ScaleCrop>
  <LinksUpToDate>false</LinksUpToDate>
  <CharactersWithSpaces>9160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2024-05-13T12:00:00Z</dcterms:created>
  <dc:creator>csj</dc:creator>
  <cp:lastModifiedBy>WPS_1473407263</cp:lastModifiedBy>
  <dcterms:modified xsi:type="dcterms:W3CDTF">2024-06-06T03:09:28Z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936D5C10BE9C4BC18525E9F2F6CFBAF7_13</vt:lpwstr>
  </property>
</Properties>
</file>