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rPr>
        <w:t>3年度）</w:t>
      </w:r>
    </w:p>
    <w:p>
      <w:pPr>
        <w:spacing w:line="240" w:lineRule="exact"/>
        <w:rPr>
          <w:rFonts w:ascii="仿宋_GB2312" w:hAnsi="宋体" w:eastAsia="仿宋_GB2312"/>
          <w:sz w:val="30"/>
          <w:szCs w:val="30"/>
        </w:rPr>
      </w:pPr>
    </w:p>
    <w:tbl>
      <w:tblPr>
        <w:tblStyle w:val="5"/>
        <w:tblW w:w="5208" w:type="pct"/>
        <w:jc w:val="center"/>
        <w:tblLayout w:type="fixed"/>
        <w:tblCellMar>
          <w:top w:w="0" w:type="dxa"/>
          <w:left w:w="108" w:type="dxa"/>
          <w:bottom w:w="0" w:type="dxa"/>
          <w:right w:w="108" w:type="dxa"/>
        </w:tblCellMar>
      </w:tblPr>
      <w:tblGrid>
        <w:gridCol w:w="404"/>
        <w:gridCol w:w="590"/>
        <w:gridCol w:w="826"/>
        <w:gridCol w:w="570"/>
        <w:gridCol w:w="1102"/>
        <w:gridCol w:w="1312"/>
        <w:gridCol w:w="1040"/>
        <w:gridCol w:w="570"/>
        <w:gridCol w:w="445"/>
        <w:gridCol w:w="1023"/>
        <w:gridCol w:w="996"/>
      </w:tblGrid>
      <w:tr>
        <w:tblPrEx>
          <w:tblCellMar>
            <w:top w:w="0" w:type="dxa"/>
            <w:left w:w="108" w:type="dxa"/>
            <w:bottom w:w="0" w:type="dxa"/>
            <w:right w:w="108" w:type="dxa"/>
          </w:tblCellMar>
        </w:tblPrEx>
        <w:trPr>
          <w:trHeight w:val="459" w:hRule="exact"/>
          <w:jc w:val="center"/>
        </w:trPr>
        <w:tc>
          <w:tcPr>
            <w:tcW w:w="55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4440" w:type="pct"/>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互联网接入费</w:t>
            </w:r>
          </w:p>
        </w:tc>
      </w:tr>
      <w:tr>
        <w:tblPrEx>
          <w:tblCellMar>
            <w:top w:w="0" w:type="dxa"/>
            <w:left w:w="108" w:type="dxa"/>
            <w:bottom w:w="0" w:type="dxa"/>
            <w:right w:w="108" w:type="dxa"/>
          </w:tblCellMar>
        </w:tblPrEx>
        <w:trPr>
          <w:trHeight w:val="565" w:hRule="exact"/>
          <w:jc w:val="center"/>
        </w:trPr>
        <w:tc>
          <w:tcPr>
            <w:tcW w:w="55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2145"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1708"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CellMar>
            <w:top w:w="0" w:type="dxa"/>
            <w:left w:w="108" w:type="dxa"/>
            <w:bottom w:w="0" w:type="dxa"/>
            <w:right w:w="108" w:type="dxa"/>
          </w:tblCellMar>
        </w:tblPrEx>
        <w:trPr>
          <w:trHeight w:val="573" w:hRule="exact"/>
          <w:jc w:val="center"/>
        </w:trPr>
        <w:tc>
          <w:tcPr>
            <w:tcW w:w="55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项目负责人</w:t>
            </w:r>
          </w:p>
        </w:tc>
        <w:tc>
          <w:tcPr>
            <w:tcW w:w="2145"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齐骥</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联系电话</w:t>
            </w:r>
          </w:p>
        </w:tc>
        <w:tc>
          <w:tcPr>
            <w:tcW w:w="1708"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59556610</w:t>
            </w:r>
          </w:p>
        </w:tc>
      </w:tr>
      <w:tr>
        <w:tblPrEx>
          <w:tblCellMar>
            <w:top w:w="0" w:type="dxa"/>
            <w:left w:w="108" w:type="dxa"/>
            <w:bottom w:w="0" w:type="dxa"/>
            <w:right w:w="108" w:type="dxa"/>
          </w:tblCellMar>
        </w:tblPrEx>
        <w:trPr>
          <w:trHeight w:val="567" w:hRule="exact"/>
          <w:jc w:val="center"/>
        </w:trPr>
        <w:tc>
          <w:tcPr>
            <w:tcW w:w="55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（万元）</w:t>
            </w:r>
          </w:p>
        </w:tc>
        <w:tc>
          <w:tcPr>
            <w:tcW w:w="7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7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571"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5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5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CellMar>
            <w:top w:w="0" w:type="dxa"/>
            <w:left w:w="108" w:type="dxa"/>
            <w:bottom w:w="0" w:type="dxa"/>
            <w:right w:w="108" w:type="dxa"/>
          </w:tblCellMar>
        </w:tblPrEx>
        <w:trPr>
          <w:trHeight w:val="822" w:hRule="exact"/>
          <w:jc w:val="center"/>
        </w:trPr>
        <w:tc>
          <w:tcPr>
            <w:tcW w:w="55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86"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6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10.8万元</w:t>
            </w:r>
          </w:p>
        </w:tc>
        <w:tc>
          <w:tcPr>
            <w:tcW w:w="7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10.8万元</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10.8万元</w:t>
            </w:r>
          </w:p>
        </w:tc>
        <w:tc>
          <w:tcPr>
            <w:tcW w:w="571"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5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5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CellMar>
            <w:top w:w="0" w:type="dxa"/>
            <w:left w:w="108" w:type="dxa"/>
            <w:bottom w:w="0" w:type="dxa"/>
            <w:right w:w="108" w:type="dxa"/>
          </w:tblCellMar>
        </w:tblPrEx>
        <w:trPr>
          <w:trHeight w:val="812" w:hRule="exact"/>
          <w:jc w:val="center"/>
        </w:trPr>
        <w:tc>
          <w:tcPr>
            <w:tcW w:w="55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其中：当年财政</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拨款</w:t>
            </w:r>
          </w:p>
        </w:tc>
        <w:tc>
          <w:tcPr>
            <w:tcW w:w="6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10.8万元</w:t>
            </w:r>
          </w:p>
        </w:tc>
        <w:tc>
          <w:tcPr>
            <w:tcW w:w="7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10.8万元</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10.8万元</w:t>
            </w:r>
          </w:p>
        </w:tc>
        <w:tc>
          <w:tcPr>
            <w:tcW w:w="571"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5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67" w:hRule="exact"/>
          <w:jc w:val="center"/>
        </w:trPr>
        <w:tc>
          <w:tcPr>
            <w:tcW w:w="55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6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71"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306" w:hRule="exact"/>
          <w:jc w:val="center"/>
        </w:trPr>
        <w:tc>
          <w:tcPr>
            <w:tcW w:w="55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6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71"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469" w:hRule="exact"/>
          <w:jc w:val="center"/>
        </w:trPr>
        <w:tc>
          <w:tcPr>
            <w:tcW w:w="227"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2478"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2294"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CellMar>
            <w:top w:w="0" w:type="dxa"/>
            <w:left w:w="108" w:type="dxa"/>
            <w:bottom w:w="0" w:type="dxa"/>
            <w:right w:w="108" w:type="dxa"/>
          </w:tblCellMar>
        </w:tblPrEx>
        <w:trPr>
          <w:trHeight w:val="1694" w:hRule="exact"/>
          <w:jc w:val="center"/>
        </w:trPr>
        <w:tc>
          <w:tcPr>
            <w:tcW w:w="227"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78"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互联网接入服务项目建设目标是指在我院利用接入服务器和相应的软硬件资源建立业务节点，并利用公用电信基础设施将业务节点与互联网骨干网相连接，为我院干警提供接入互联网的服务。保障我院网络系统的正常运转，为各项工作提供高效、优质的信息技术支持与服务。</w:t>
            </w:r>
          </w:p>
        </w:tc>
        <w:tc>
          <w:tcPr>
            <w:tcW w:w="2294"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截止2023年12月31日，互联网接入费10.8万元已支付完毕。为干警们提供了电信通信服务，保障了顺义检察院的正常运转，为各项工作提供高效服务，各项产出指标及效益均已达成，项目圆满结束。</w:t>
            </w:r>
          </w:p>
        </w:tc>
      </w:tr>
      <w:tr>
        <w:tblPrEx>
          <w:tblCellMar>
            <w:top w:w="0" w:type="dxa"/>
            <w:left w:w="108" w:type="dxa"/>
            <w:bottom w:w="0" w:type="dxa"/>
            <w:right w:w="108" w:type="dxa"/>
          </w:tblCellMar>
        </w:tblPrEx>
        <w:trPr>
          <w:trHeight w:val="996" w:hRule="exact"/>
          <w:jc w:val="center"/>
        </w:trPr>
        <w:tc>
          <w:tcPr>
            <w:tcW w:w="22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3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46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CellMar>
            <w:top w:w="0" w:type="dxa"/>
            <w:left w:w="108" w:type="dxa"/>
            <w:bottom w:w="0" w:type="dxa"/>
            <w:right w:w="108" w:type="dxa"/>
          </w:tblCellMar>
        </w:tblPrEx>
        <w:trPr>
          <w:trHeight w:val="562"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465" w:type="pc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eastAsia="仿宋_GB2312"/>
                <w:sz w:val="18"/>
                <w:szCs w:val="18"/>
              </w:rPr>
              <w:t>指标1：互联网接入数量</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eastAsia="仿宋_GB2312"/>
                <w:sz w:val="18"/>
                <w:szCs w:val="18"/>
                <w:lang w:val="en-US" w:eastAsia="zh-CN"/>
              </w:rPr>
              <w:t>4</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eastAsia="仿宋_GB2312"/>
                <w:sz w:val="18"/>
                <w:szCs w:val="18"/>
                <w:lang w:val="en-US" w:eastAsia="zh-CN"/>
              </w:rPr>
              <w:t>4</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287"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eastAsia="仿宋_GB2312"/>
                <w:sz w:val="18"/>
                <w:szCs w:val="18"/>
              </w:rPr>
              <w:t>指标1：符合电信运营商提供线路租用质量要求</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符合</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eastAsia="仿宋_GB2312"/>
                <w:sz w:val="18"/>
                <w:szCs w:val="18"/>
              </w:rPr>
            </w:pPr>
            <w:r>
              <w:rPr>
                <w:rFonts w:hint="eastAsia" w:ascii="仿宋_GB2312" w:eastAsia="仿宋_GB2312"/>
                <w:sz w:val="18"/>
                <w:szCs w:val="18"/>
              </w:rPr>
              <w:t>宽带正常运行率≥99%，出口带宽值≥100m</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86"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eastAsia="仿宋_GB2312"/>
                <w:sz w:val="18"/>
                <w:szCs w:val="18"/>
              </w:rPr>
              <w:t>指标1：互联网接入服务期限</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按照合同约定完成服务内容</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已完成</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eastAsia="zh-CN"/>
              </w:rPr>
            </w:pPr>
            <w:r>
              <w:rPr>
                <w:rFonts w:hint="eastAsia" w:ascii="仿宋_GB2312" w:eastAsia="仿宋_GB2312"/>
                <w:sz w:val="18"/>
                <w:szCs w:val="18"/>
                <w:lang w:val="en-US" w:eastAsia="zh-CN"/>
              </w:rPr>
              <w:t>9</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eastAsia="仿宋_GB2312"/>
                <w:sz w:val="18"/>
                <w:szCs w:val="18"/>
                <w:lang w:val="en-US" w:eastAsia="zh-CN"/>
              </w:rPr>
            </w:pPr>
            <w:r>
              <w:rPr>
                <w:rFonts w:hint="eastAsia" w:ascii="仿宋_GB2312" w:eastAsia="仿宋_GB2312"/>
                <w:sz w:val="18"/>
                <w:szCs w:val="18"/>
                <w:lang w:val="en-US" w:eastAsia="zh-CN"/>
              </w:rPr>
              <w:t>合同服务期限未完成</w:t>
            </w:r>
          </w:p>
        </w:tc>
      </w:tr>
      <w:tr>
        <w:tblPrEx>
          <w:tblCellMar>
            <w:top w:w="0" w:type="dxa"/>
            <w:left w:w="108" w:type="dxa"/>
            <w:bottom w:w="0" w:type="dxa"/>
            <w:right w:w="108" w:type="dxa"/>
          </w:tblCellMar>
        </w:tblPrEx>
        <w:trPr>
          <w:trHeight w:val="571"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vMerge w:val="restart"/>
            <w:tcBorders>
              <w:top w:val="single" w:color="auto" w:sz="4" w:space="0"/>
              <w:left w:val="single" w:color="auto" w:sz="4" w:space="0"/>
              <w:right w:val="single" w:color="auto" w:sz="4" w:space="0"/>
            </w:tcBorders>
            <w:vAlign w:val="center"/>
          </w:tcPr>
          <w:p>
            <w:pPr>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eastAsia="仿宋_GB2312"/>
                <w:sz w:val="18"/>
                <w:szCs w:val="18"/>
              </w:rPr>
              <w:t>指标1：全年预算数</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10.8万元</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10.8万元</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854"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eastAsia="仿宋_GB2312"/>
                <w:sz w:val="18"/>
                <w:szCs w:val="18"/>
              </w:rPr>
              <w:t>指标2：年度成本维护是否合理</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合理</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年度成本维护增长率≦0%</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798"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46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769"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指标1：工作效果</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维护正常办公办案秩序，确保检察工作顺利开展</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eastAsia="仿宋_GB2312"/>
                <w:sz w:val="18"/>
                <w:szCs w:val="18"/>
                <w:lang w:val="en-US" w:eastAsia="zh-CN"/>
              </w:rPr>
            </w:pPr>
            <w:r>
              <w:rPr>
                <w:rFonts w:hint="eastAsia" w:ascii="仿宋_GB2312" w:eastAsia="仿宋_GB2312"/>
                <w:sz w:val="18"/>
                <w:szCs w:val="18"/>
              </w:rPr>
              <w:t>检察工作2023年顺利结束</w:t>
            </w:r>
            <w:r>
              <w:rPr>
                <w:rFonts w:hint="eastAsia" w:ascii="仿宋_GB2312" w:eastAsia="仿宋_GB2312"/>
                <w:sz w:val="18"/>
                <w:szCs w:val="18"/>
                <w:lang w:val="en-US" w:eastAsia="zh-CN"/>
              </w:rPr>
              <w:t>,维护检察院</w:t>
            </w:r>
            <w:r>
              <w:rPr>
                <w:rFonts w:hint="eastAsia" w:ascii="仿宋_GB2312" w:eastAsia="仿宋_GB2312"/>
                <w:sz w:val="18"/>
                <w:szCs w:val="18"/>
              </w:rPr>
              <w:t>社会影响力</w:t>
            </w:r>
            <w:r>
              <w:rPr>
                <w:rFonts w:hint="eastAsia" w:ascii="仿宋_GB2312" w:eastAsia="仿宋_GB2312"/>
                <w:sz w:val="18"/>
                <w:szCs w:val="18"/>
                <w:lang w:val="en-US" w:eastAsia="zh-CN"/>
              </w:rPr>
              <w:t>及政府形象</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8</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有待进一步提升</w:t>
            </w:r>
          </w:p>
        </w:tc>
      </w:tr>
      <w:tr>
        <w:tblPrEx>
          <w:tblCellMar>
            <w:top w:w="0" w:type="dxa"/>
            <w:left w:w="108" w:type="dxa"/>
            <w:bottom w:w="0" w:type="dxa"/>
            <w:right w:w="108" w:type="dxa"/>
          </w:tblCellMar>
        </w:tblPrEx>
        <w:trPr>
          <w:trHeight w:val="729"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68"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vMerge w:val="restart"/>
            <w:tcBorders>
              <w:top w:val="single" w:color="auto" w:sz="4" w:space="0"/>
              <w:left w:val="single" w:color="auto" w:sz="4" w:space="0"/>
              <w:right w:val="single" w:color="auto" w:sz="4" w:space="0"/>
            </w:tcBorders>
            <w:vAlign w:val="center"/>
          </w:tcPr>
          <w:p>
            <w:pPr>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指标1：保障办公办案有序进行</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提高</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提高</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ascii="仿宋_GB2312" w:eastAsia="仿宋_GB2312"/>
                <w:sz w:val="18"/>
                <w:szCs w:val="18"/>
              </w:rPr>
              <w:t>8</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有待进一步提升</w:t>
            </w:r>
          </w:p>
        </w:tc>
      </w:tr>
      <w:tr>
        <w:tblPrEx>
          <w:tblCellMar>
            <w:top w:w="0" w:type="dxa"/>
            <w:left w:w="108" w:type="dxa"/>
            <w:bottom w:w="0" w:type="dxa"/>
            <w:right w:w="108" w:type="dxa"/>
          </w:tblCellMar>
        </w:tblPrEx>
        <w:trPr>
          <w:trHeight w:val="576"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65"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指标2：财务工作效率</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提高</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提高</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10</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50" w:hRule="exac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46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94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指标1：全院工作人员满意度</w:t>
            </w:r>
          </w:p>
        </w:tc>
        <w:tc>
          <w:tcPr>
            <w:tcW w:w="7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&gt;95%</w:t>
            </w:r>
          </w:p>
        </w:tc>
        <w:tc>
          <w:tcPr>
            <w:tcW w:w="58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等线" w:eastAsia="仿宋_GB2312"/>
                <w:color w:val="000000"/>
                <w:sz w:val="18"/>
                <w:szCs w:val="18"/>
              </w:rPr>
            </w:pPr>
            <w:r>
              <w:rPr>
                <w:rFonts w:hint="eastAsia" w:ascii="仿宋_GB2312" w:eastAsia="仿宋_GB2312"/>
                <w:sz w:val="18"/>
                <w:szCs w:val="18"/>
              </w:rPr>
              <w:t>100%</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10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等线" w:eastAsia="仿宋_GB2312"/>
                <w:color w:val="000000"/>
                <w:sz w:val="18"/>
                <w:szCs w:val="18"/>
              </w:rPr>
            </w:pPr>
            <w:r>
              <w:rPr>
                <w:rFonts w:hint="eastAsia" w:ascii="仿宋_GB2312" w:eastAsia="仿宋_GB2312"/>
                <w:sz w:val="18"/>
                <w:szCs w:val="18"/>
              </w:rPr>
              <w:t>9</w:t>
            </w:r>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满意度调查指标样本量较少</w:t>
            </w:r>
          </w:p>
        </w:tc>
      </w:tr>
      <w:tr>
        <w:tblPrEx>
          <w:tblCellMar>
            <w:top w:w="0" w:type="dxa"/>
            <w:left w:w="108" w:type="dxa"/>
            <w:bottom w:w="0" w:type="dxa"/>
            <w:right w:w="108" w:type="dxa"/>
          </w:tblCellMar>
        </w:tblPrEx>
        <w:trPr>
          <w:trHeight w:val="477" w:hRule="exact"/>
          <w:jc w:val="center"/>
        </w:trPr>
        <w:tc>
          <w:tcPr>
            <w:tcW w:w="3291"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3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2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94</w:t>
            </w:r>
            <w:bookmarkStart w:id="0" w:name="_GoBack"/>
            <w:bookmarkEnd w:id="0"/>
          </w:p>
        </w:tc>
        <w:tc>
          <w:tcPr>
            <w:tcW w:w="113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rPr>
          <w:sz w:val="28"/>
          <w:szCs w:val="28"/>
        </w:rPr>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lNDFjZjYyMTE5ZDMxYWM5MTFlZjI4MGNlY2E4MWIifQ=="/>
  </w:docVars>
  <w:rsids>
    <w:rsidRoot w:val="F77F09F4"/>
    <w:rsid w:val="000A28F4"/>
    <w:rsid w:val="0023692A"/>
    <w:rsid w:val="00562151"/>
    <w:rsid w:val="005B7D9C"/>
    <w:rsid w:val="005F28B0"/>
    <w:rsid w:val="00677ED7"/>
    <w:rsid w:val="00694F5C"/>
    <w:rsid w:val="00714CE3"/>
    <w:rsid w:val="007D46C2"/>
    <w:rsid w:val="00A45185"/>
    <w:rsid w:val="00AB35DC"/>
    <w:rsid w:val="00B1629C"/>
    <w:rsid w:val="00B22E7A"/>
    <w:rsid w:val="00B46C88"/>
    <w:rsid w:val="00BD6397"/>
    <w:rsid w:val="00C05079"/>
    <w:rsid w:val="00C13E68"/>
    <w:rsid w:val="00CC63C0"/>
    <w:rsid w:val="00CF6948"/>
    <w:rsid w:val="00D330EA"/>
    <w:rsid w:val="00D8611B"/>
    <w:rsid w:val="00F00FAF"/>
    <w:rsid w:val="00F60CA6"/>
    <w:rsid w:val="00FB6202"/>
    <w:rsid w:val="00FC6D37"/>
    <w:rsid w:val="0ECF9C51"/>
    <w:rsid w:val="279F1109"/>
    <w:rsid w:val="29855E37"/>
    <w:rsid w:val="2F953593"/>
    <w:rsid w:val="37173543"/>
    <w:rsid w:val="3FF76880"/>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autoRedefine/>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219</Words>
  <Characters>1251</Characters>
  <Lines>10</Lines>
  <Paragraphs>2</Paragraphs>
  <TotalTime>1</TotalTime>
  <ScaleCrop>false</ScaleCrop>
  <LinksUpToDate>false</LinksUpToDate>
  <CharactersWithSpaces>1468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2024-05-13T05:49:00Z</dcterms:created>
  <dc:creator>user</dc:creator>
  <cp:lastModifiedBy>阿楠</cp:lastModifiedBy>
  <dcterms:modified xsi:type="dcterms:W3CDTF">2024-05-15T03:13:40Z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6E73C150265E46169632A3ADF3B121A0_12</vt:lpwstr>
  </property>
</Properties>
</file>