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bookmarkStart w:id="0" w:name="_GoBack"/>
      <w:bookmarkEnd w:id="0"/>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w:t>
      </w:r>
      <w:r>
        <w:rPr>
          <w:rFonts w:ascii="仿宋_GB2312" w:hAnsi="宋体" w:eastAsia="仿宋_GB2312"/>
          <w:sz w:val="28"/>
          <w:szCs w:val="28"/>
        </w:rPr>
        <w:t>2023</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8"/>
        <w:tblW w:w="10215" w:type="dxa"/>
        <w:jc w:val="center"/>
        <w:tblLayout w:type="fixed"/>
        <w:tblCellMar>
          <w:top w:w="0" w:type="dxa"/>
          <w:left w:w="108" w:type="dxa"/>
          <w:bottom w:w="0" w:type="dxa"/>
          <w:right w:w="108" w:type="dxa"/>
        </w:tblCellMar>
      </w:tblPr>
      <w:tblGrid>
        <w:gridCol w:w="667"/>
        <w:gridCol w:w="695"/>
        <w:gridCol w:w="766"/>
        <w:gridCol w:w="1346"/>
        <w:gridCol w:w="1022"/>
        <w:gridCol w:w="105"/>
        <w:gridCol w:w="1132"/>
        <w:gridCol w:w="992"/>
        <w:gridCol w:w="135"/>
        <w:gridCol w:w="704"/>
        <w:gridCol w:w="872"/>
        <w:gridCol w:w="83"/>
        <w:gridCol w:w="1696"/>
      </w:tblGrid>
      <w:tr>
        <w:tblPrEx>
          <w:tblCellMar>
            <w:top w:w="0" w:type="dxa"/>
            <w:left w:w="108" w:type="dxa"/>
            <w:bottom w:w="0" w:type="dxa"/>
            <w:right w:w="108" w:type="dxa"/>
          </w:tblCellMar>
        </w:tblPrEx>
        <w:trPr>
          <w:trHeight w:val="454" w:hRule="exact"/>
          <w:jc w:val="center"/>
        </w:trPr>
        <w:tc>
          <w:tcPr>
            <w:tcW w:w="136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项目名称</w:t>
            </w:r>
          </w:p>
        </w:tc>
        <w:tc>
          <w:tcPr>
            <w:tcW w:w="8853" w:type="dxa"/>
            <w:gridSpan w:val="11"/>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知识产权纠纷多元调解及机制建设</w:t>
            </w:r>
          </w:p>
        </w:tc>
      </w:tr>
      <w:tr>
        <w:tblPrEx>
          <w:tblCellMar>
            <w:top w:w="0" w:type="dxa"/>
            <w:left w:w="108" w:type="dxa"/>
            <w:bottom w:w="0" w:type="dxa"/>
            <w:right w:w="108" w:type="dxa"/>
          </w:tblCellMar>
        </w:tblPrEx>
        <w:trPr>
          <w:trHeight w:val="391" w:hRule="exact"/>
          <w:jc w:val="center"/>
        </w:trPr>
        <w:tc>
          <w:tcPr>
            <w:tcW w:w="136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主管部门</w:t>
            </w:r>
          </w:p>
        </w:tc>
        <w:tc>
          <w:tcPr>
            <w:tcW w:w="4371"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北京市知识产权局</w:t>
            </w:r>
          </w:p>
        </w:tc>
        <w:tc>
          <w:tcPr>
            <w:tcW w:w="112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实施单位</w:t>
            </w:r>
          </w:p>
        </w:tc>
        <w:tc>
          <w:tcPr>
            <w:tcW w:w="3355"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北京市知识产权保护中心</w:t>
            </w:r>
          </w:p>
        </w:tc>
      </w:tr>
      <w:tr>
        <w:tblPrEx>
          <w:tblCellMar>
            <w:top w:w="0" w:type="dxa"/>
            <w:left w:w="108" w:type="dxa"/>
            <w:bottom w:w="0" w:type="dxa"/>
            <w:right w:w="108" w:type="dxa"/>
          </w:tblCellMar>
        </w:tblPrEx>
        <w:trPr>
          <w:trHeight w:val="411" w:hRule="exact"/>
          <w:jc w:val="center"/>
        </w:trPr>
        <w:tc>
          <w:tcPr>
            <w:tcW w:w="136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项目负责人</w:t>
            </w:r>
          </w:p>
        </w:tc>
        <w:tc>
          <w:tcPr>
            <w:tcW w:w="4371"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黄显智</w:t>
            </w:r>
          </w:p>
        </w:tc>
        <w:tc>
          <w:tcPr>
            <w:tcW w:w="112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联系电话</w:t>
            </w:r>
          </w:p>
        </w:tc>
        <w:tc>
          <w:tcPr>
            <w:tcW w:w="3355"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ascii="仿宋_GB2312" w:hAnsi="宋体" w:eastAsia="仿宋_GB2312" w:cs="宋体"/>
                <w:color w:val="auto"/>
                <w:kern w:val="0"/>
                <w:sz w:val="21"/>
                <w:szCs w:val="21"/>
              </w:rPr>
              <w:t>62544288</w:t>
            </w:r>
          </w:p>
        </w:tc>
      </w:tr>
      <w:tr>
        <w:tblPrEx>
          <w:tblCellMar>
            <w:top w:w="0" w:type="dxa"/>
            <w:left w:w="108" w:type="dxa"/>
            <w:bottom w:w="0" w:type="dxa"/>
            <w:right w:w="108" w:type="dxa"/>
          </w:tblCellMar>
        </w:tblPrEx>
        <w:trPr>
          <w:trHeight w:val="686" w:hRule="exact"/>
          <w:jc w:val="center"/>
        </w:trPr>
        <w:tc>
          <w:tcPr>
            <w:tcW w:w="1362"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项目资金</w:t>
            </w:r>
            <w:r>
              <w:rPr>
                <w:rFonts w:hint="eastAsia" w:ascii="仿宋_GB2312" w:hAnsi="宋体" w:eastAsia="仿宋_GB2312" w:cs="宋体"/>
                <w:color w:val="auto"/>
                <w:kern w:val="0"/>
                <w:sz w:val="21"/>
                <w:szCs w:val="21"/>
              </w:rPr>
              <w:br w:type="textWrapping"/>
            </w:r>
            <w:r>
              <w:rPr>
                <w:rFonts w:hint="eastAsia" w:ascii="仿宋_GB2312" w:hAnsi="宋体" w:eastAsia="仿宋_GB2312" w:cs="宋体"/>
                <w:color w:val="auto"/>
                <w:kern w:val="0"/>
                <w:sz w:val="21"/>
                <w:szCs w:val="21"/>
              </w:rPr>
              <w:t>（万元）</w:t>
            </w:r>
          </w:p>
        </w:tc>
        <w:tc>
          <w:tcPr>
            <w:tcW w:w="211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112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年初预</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算数</w:t>
            </w:r>
          </w:p>
        </w:tc>
        <w:tc>
          <w:tcPr>
            <w:tcW w:w="113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全年预</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算数</w:t>
            </w:r>
          </w:p>
        </w:tc>
        <w:tc>
          <w:tcPr>
            <w:tcW w:w="112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全年</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执行数</w:t>
            </w:r>
          </w:p>
        </w:tc>
        <w:tc>
          <w:tcPr>
            <w:tcW w:w="70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分值</w:t>
            </w:r>
          </w:p>
        </w:tc>
        <w:tc>
          <w:tcPr>
            <w:tcW w:w="95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执行率</w:t>
            </w:r>
          </w:p>
        </w:tc>
        <w:tc>
          <w:tcPr>
            <w:tcW w:w="169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得分</w:t>
            </w:r>
          </w:p>
        </w:tc>
      </w:tr>
      <w:tr>
        <w:tblPrEx>
          <w:tblCellMar>
            <w:top w:w="0" w:type="dxa"/>
            <w:left w:w="108" w:type="dxa"/>
            <w:bottom w:w="0" w:type="dxa"/>
            <w:right w:w="108" w:type="dxa"/>
          </w:tblCellMar>
        </w:tblPrEx>
        <w:trPr>
          <w:trHeight w:val="487" w:hRule="exact"/>
          <w:jc w:val="center"/>
        </w:trPr>
        <w:tc>
          <w:tcPr>
            <w:tcW w:w="1362"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211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年度资金总额</w:t>
            </w:r>
          </w:p>
        </w:tc>
        <w:tc>
          <w:tcPr>
            <w:tcW w:w="112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ascii="仿宋_GB2312" w:hAnsi="宋体" w:eastAsia="仿宋_GB2312" w:cs="宋体"/>
                <w:color w:val="auto"/>
                <w:kern w:val="0"/>
                <w:sz w:val="21"/>
                <w:szCs w:val="21"/>
              </w:rPr>
              <w:t>318.8</w:t>
            </w:r>
          </w:p>
        </w:tc>
        <w:tc>
          <w:tcPr>
            <w:tcW w:w="113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ascii="仿宋_GB2312" w:hAnsi="宋体" w:eastAsia="仿宋_GB2312" w:cs="宋体"/>
                <w:color w:val="auto"/>
                <w:kern w:val="0"/>
                <w:sz w:val="21"/>
                <w:szCs w:val="21"/>
              </w:rPr>
              <w:t>318.8</w:t>
            </w:r>
          </w:p>
        </w:tc>
        <w:tc>
          <w:tcPr>
            <w:tcW w:w="112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ascii="仿宋_GB2312" w:hAnsi="宋体" w:eastAsia="仿宋_GB2312" w:cs="宋体"/>
                <w:color w:val="auto"/>
                <w:kern w:val="0"/>
                <w:sz w:val="21"/>
                <w:szCs w:val="21"/>
              </w:rPr>
              <w:t>262.497</w:t>
            </w:r>
          </w:p>
        </w:tc>
        <w:tc>
          <w:tcPr>
            <w:tcW w:w="70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10</w:t>
            </w:r>
          </w:p>
        </w:tc>
        <w:tc>
          <w:tcPr>
            <w:tcW w:w="95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82.34%</w:t>
            </w:r>
          </w:p>
        </w:tc>
        <w:tc>
          <w:tcPr>
            <w:tcW w:w="169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8.23</w:t>
            </w:r>
          </w:p>
        </w:tc>
      </w:tr>
      <w:tr>
        <w:tblPrEx>
          <w:tblCellMar>
            <w:top w:w="0" w:type="dxa"/>
            <w:left w:w="108" w:type="dxa"/>
            <w:bottom w:w="0" w:type="dxa"/>
            <w:right w:w="108" w:type="dxa"/>
          </w:tblCellMar>
        </w:tblPrEx>
        <w:trPr>
          <w:trHeight w:val="505" w:hRule="exact"/>
          <w:jc w:val="center"/>
        </w:trPr>
        <w:tc>
          <w:tcPr>
            <w:tcW w:w="1362"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211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其中：当年财政拨款</w:t>
            </w:r>
          </w:p>
        </w:tc>
        <w:tc>
          <w:tcPr>
            <w:tcW w:w="112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ascii="仿宋_GB2312" w:hAnsi="宋体" w:eastAsia="仿宋_GB2312" w:cs="宋体"/>
                <w:color w:val="auto"/>
                <w:kern w:val="0"/>
                <w:sz w:val="21"/>
                <w:szCs w:val="21"/>
              </w:rPr>
              <w:t>318.8</w:t>
            </w:r>
          </w:p>
        </w:tc>
        <w:tc>
          <w:tcPr>
            <w:tcW w:w="113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ascii="仿宋_GB2312" w:hAnsi="宋体" w:eastAsia="仿宋_GB2312" w:cs="宋体"/>
                <w:color w:val="auto"/>
                <w:kern w:val="0"/>
                <w:sz w:val="21"/>
                <w:szCs w:val="21"/>
              </w:rPr>
              <w:t>318.8</w:t>
            </w:r>
          </w:p>
        </w:tc>
        <w:tc>
          <w:tcPr>
            <w:tcW w:w="112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ascii="仿宋_GB2312" w:hAnsi="宋体" w:eastAsia="仿宋_GB2312" w:cs="宋体"/>
                <w:color w:val="auto"/>
                <w:kern w:val="0"/>
                <w:sz w:val="21"/>
                <w:szCs w:val="21"/>
              </w:rPr>
              <w:t>262.497</w:t>
            </w:r>
          </w:p>
        </w:tc>
        <w:tc>
          <w:tcPr>
            <w:tcW w:w="70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w:t>
            </w:r>
          </w:p>
        </w:tc>
        <w:tc>
          <w:tcPr>
            <w:tcW w:w="95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82.34%</w:t>
            </w:r>
          </w:p>
        </w:tc>
        <w:tc>
          <w:tcPr>
            <w:tcW w:w="169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w:t>
            </w:r>
          </w:p>
        </w:tc>
      </w:tr>
      <w:tr>
        <w:tblPrEx>
          <w:tblCellMar>
            <w:top w:w="0" w:type="dxa"/>
            <w:left w:w="108" w:type="dxa"/>
            <w:bottom w:w="0" w:type="dxa"/>
            <w:right w:w="108" w:type="dxa"/>
          </w:tblCellMar>
        </w:tblPrEx>
        <w:trPr>
          <w:trHeight w:val="472" w:hRule="exact"/>
          <w:jc w:val="center"/>
        </w:trPr>
        <w:tc>
          <w:tcPr>
            <w:tcW w:w="1362"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211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right"/>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 xml:space="preserve">      上年结转资金</w:t>
            </w:r>
          </w:p>
        </w:tc>
        <w:tc>
          <w:tcPr>
            <w:tcW w:w="112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113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112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70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w:t>
            </w:r>
          </w:p>
        </w:tc>
        <w:tc>
          <w:tcPr>
            <w:tcW w:w="95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169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w:t>
            </w:r>
          </w:p>
        </w:tc>
      </w:tr>
      <w:tr>
        <w:tblPrEx>
          <w:tblCellMar>
            <w:top w:w="0" w:type="dxa"/>
            <w:left w:w="108" w:type="dxa"/>
            <w:bottom w:w="0" w:type="dxa"/>
            <w:right w:w="108" w:type="dxa"/>
          </w:tblCellMar>
        </w:tblPrEx>
        <w:trPr>
          <w:trHeight w:val="457" w:hRule="exact"/>
          <w:jc w:val="center"/>
        </w:trPr>
        <w:tc>
          <w:tcPr>
            <w:tcW w:w="1362"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211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right"/>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 xml:space="preserve">  其他资金</w:t>
            </w:r>
          </w:p>
        </w:tc>
        <w:tc>
          <w:tcPr>
            <w:tcW w:w="112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113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1127"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70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w:t>
            </w:r>
          </w:p>
        </w:tc>
        <w:tc>
          <w:tcPr>
            <w:tcW w:w="95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169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w:t>
            </w:r>
          </w:p>
        </w:tc>
      </w:tr>
      <w:tr>
        <w:tblPrEx>
          <w:tblCellMar>
            <w:top w:w="0" w:type="dxa"/>
            <w:left w:w="108" w:type="dxa"/>
            <w:bottom w:w="0" w:type="dxa"/>
            <w:right w:w="108" w:type="dxa"/>
          </w:tblCellMar>
        </w:tblPrEx>
        <w:trPr>
          <w:trHeight w:val="548" w:hRule="exact"/>
          <w:jc w:val="center"/>
        </w:trPr>
        <w:tc>
          <w:tcPr>
            <w:tcW w:w="667"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预期目标</w:t>
            </w:r>
          </w:p>
        </w:tc>
        <w:tc>
          <w:tcPr>
            <w:tcW w:w="4482"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实际完成情况</w:t>
            </w:r>
          </w:p>
        </w:tc>
      </w:tr>
      <w:tr>
        <w:tblPrEx>
          <w:tblCellMar>
            <w:top w:w="0" w:type="dxa"/>
            <w:left w:w="108" w:type="dxa"/>
            <w:bottom w:w="0" w:type="dxa"/>
            <w:right w:w="108" w:type="dxa"/>
          </w:tblCellMar>
        </w:tblPrEx>
        <w:trPr>
          <w:trHeight w:val="3115" w:hRule="exact"/>
          <w:jc w:val="center"/>
        </w:trPr>
        <w:tc>
          <w:tcPr>
            <w:tcW w:w="667"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5066"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落实中央和北京市关于新形势下构建多元化纠纷解决机制的相关要求，完善人民调解、行政调解、司法调解联动工作体系，推动构建大调解工作格局，发挥行业性、专业性知识产权纠纷人民调解组织的作用，为各类创新主体提供便捷、高效、专业的维权途径。</w:t>
            </w:r>
          </w:p>
        </w:tc>
        <w:tc>
          <w:tcPr>
            <w:tcW w:w="4482"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共与15家调委会及</w:t>
            </w:r>
            <w:r>
              <w:rPr>
                <w:rFonts w:ascii="仿宋_GB2312" w:hAnsi="宋体" w:eastAsia="仿宋_GB2312" w:cs="宋体"/>
                <w:color w:val="auto"/>
                <w:kern w:val="0"/>
                <w:sz w:val="21"/>
                <w:szCs w:val="21"/>
              </w:rPr>
              <w:t>6</w:t>
            </w:r>
            <w:r>
              <w:rPr>
                <w:rFonts w:hint="eastAsia" w:ascii="仿宋_GB2312" w:hAnsi="宋体" w:eastAsia="仿宋_GB2312" w:cs="宋体"/>
                <w:color w:val="auto"/>
                <w:kern w:val="0"/>
                <w:sz w:val="21"/>
                <w:szCs w:val="21"/>
              </w:rPr>
              <w:t>家调解工作室所依托的社会组织或企业签订书面协议，根据资金管理办法分别对调委会及调解工作室进行扶持。各调委会及调解工作室均按照扶持项目完成绩效目标。全年，各调委会共受理纠纷16397件，调解结案8434件，调解成功6627件，调解成功率为78.6%。举办调解员纠纷调解能力提升系列培训4次；编制发布202</w:t>
            </w:r>
            <w:r>
              <w:rPr>
                <w:rFonts w:ascii="仿宋_GB2312" w:hAnsi="宋体" w:eastAsia="仿宋_GB2312" w:cs="宋体"/>
                <w:color w:val="auto"/>
                <w:kern w:val="0"/>
                <w:sz w:val="21"/>
                <w:szCs w:val="21"/>
              </w:rPr>
              <w:t>3</w:t>
            </w:r>
            <w:r>
              <w:rPr>
                <w:rFonts w:hint="eastAsia" w:ascii="仿宋_GB2312" w:hAnsi="宋体" w:eastAsia="仿宋_GB2312" w:cs="宋体"/>
                <w:color w:val="auto"/>
                <w:kern w:val="0"/>
                <w:sz w:val="21"/>
                <w:szCs w:val="21"/>
              </w:rPr>
              <w:t>年知识产权纠纷调解十大典型案例及202</w:t>
            </w:r>
            <w:r>
              <w:rPr>
                <w:rFonts w:ascii="仿宋_GB2312" w:hAnsi="宋体" w:eastAsia="仿宋_GB2312" w:cs="宋体"/>
                <w:color w:val="auto"/>
                <w:kern w:val="0"/>
                <w:sz w:val="21"/>
                <w:szCs w:val="21"/>
              </w:rPr>
              <w:t>3</w:t>
            </w:r>
            <w:r>
              <w:rPr>
                <w:rFonts w:hint="eastAsia" w:ascii="仿宋_GB2312" w:hAnsi="宋体" w:eastAsia="仿宋_GB2312" w:cs="宋体"/>
                <w:color w:val="auto"/>
                <w:kern w:val="0"/>
                <w:sz w:val="21"/>
                <w:szCs w:val="21"/>
              </w:rPr>
              <w:t>年度北京市知识产权纠纷行专人民调解工作年报。</w:t>
            </w:r>
          </w:p>
        </w:tc>
      </w:tr>
      <w:tr>
        <w:tblPrEx>
          <w:tblCellMar>
            <w:top w:w="0" w:type="dxa"/>
            <w:left w:w="108" w:type="dxa"/>
            <w:bottom w:w="0" w:type="dxa"/>
            <w:right w:w="108" w:type="dxa"/>
          </w:tblCellMar>
        </w:tblPrEx>
        <w:trPr>
          <w:trHeight w:val="649" w:hRule="exact"/>
          <w:jc w:val="center"/>
        </w:trPr>
        <w:tc>
          <w:tcPr>
            <w:tcW w:w="667"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绩</w:t>
            </w:r>
            <w:r>
              <w:rPr>
                <w:rFonts w:hint="eastAsia" w:ascii="仿宋_GB2312" w:hAnsi="宋体" w:eastAsia="仿宋_GB2312" w:cs="宋体"/>
                <w:color w:val="auto"/>
                <w:kern w:val="0"/>
                <w:sz w:val="21"/>
                <w:szCs w:val="21"/>
              </w:rPr>
              <w:br w:type="textWrapping"/>
            </w:r>
            <w:r>
              <w:rPr>
                <w:rFonts w:hint="eastAsia" w:ascii="仿宋_GB2312" w:hAnsi="宋体" w:eastAsia="仿宋_GB2312" w:cs="宋体"/>
                <w:color w:val="auto"/>
                <w:kern w:val="0"/>
                <w:sz w:val="21"/>
                <w:szCs w:val="21"/>
              </w:rPr>
              <w:t>效</w:t>
            </w:r>
            <w:r>
              <w:rPr>
                <w:rFonts w:hint="eastAsia" w:ascii="仿宋_GB2312" w:hAnsi="宋体" w:eastAsia="仿宋_GB2312" w:cs="宋体"/>
                <w:color w:val="auto"/>
                <w:kern w:val="0"/>
                <w:sz w:val="21"/>
                <w:szCs w:val="21"/>
              </w:rPr>
              <w:br w:type="textWrapping"/>
            </w:r>
            <w:r>
              <w:rPr>
                <w:rFonts w:hint="eastAsia" w:ascii="仿宋_GB2312" w:hAnsi="宋体" w:eastAsia="仿宋_GB2312" w:cs="宋体"/>
                <w:color w:val="auto"/>
                <w:kern w:val="0"/>
                <w:sz w:val="21"/>
                <w:szCs w:val="21"/>
              </w:rPr>
              <w:t>指</w:t>
            </w:r>
            <w:r>
              <w:rPr>
                <w:rFonts w:hint="eastAsia" w:ascii="仿宋_GB2312" w:hAnsi="宋体" w:eastAsia="仿宋_GB2312" w:cs="宋体"/>
                <w:color w:val="auto"/>
                <w:kern w:val="0"/>
                <w:sz w:val="21"/>
                <w:szCs w:val="21"/>
              </w:rPr>
              <w:br w:type="textWrapping"/>
            </w:r>
            <w:r>
              <w:rPr>
                <w:rFonts w:hint="eastAsia" w:ascii="仿宋_GB2312" w:hAnsi="宋体" w:eastAsia="仿宋_GB2312" w:cs="宋体"/>
                <w:color w:val="auto"/>
                <w:kern w:val="0"/>
                <w:sz w:val="21"/>
                <w:szCs w:val="21"/>
              </w:rPr>
              <w:t>标</w:t>
            </w:r>
          </w:p>
        </w:tc>
        <w:tc>
          <w:tcPr>
            <w:tcW w:w="69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一级指标</w:t>
            </w:r>
          </w:p>
        </w:tc>
        <w:tc>
          <w:tcPr>
            <w:tcW w:w="76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二级指标</w:t>
            </w:r>
          </w:p>
        </w:tc>
        <w:tc>
          <w:tcPr>
            <w:tcW w:w="23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三级指标</w:t>
            </w:r>
          </w:p>
        </w:tc>
        <w:tc>
          <w:tcPr>
            <w:tcW w:w="123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年度</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指标值</w:t>
            </w:r>
          </w:p>
        </w:tc>
        <w:tc>
          <w:tcPr>
            <w:tcW w:w="99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实际</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完成值</w:t>
            </w:r>
          </w:p>
        </w:tc>
        <w:tc>
          <w:tcPr>
            <w:tcW w:w="83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分值</w:t>
            </w:r>
          </w:p>
        </w:tc>
        <w:tc>
          <w:tcPr>
            <w:tcW w:w="87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得分</w:t>
            </w:r>
          </w:p>
        </w:tc>
        <w:tc>
          <w:tcPr>
            <w:tcW w:w="177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偏差原因分析及改进措施</w:t>
            </w:r>
          </w:p>
        </w:tc>
      </w:tr>
      <w:tr>
        <w:tblPrEx>
          <w:tblCellMar>
            <w:top w:w="0" w:type="dxa"/>
            <w:left w:w="108" w:type="dxa"/>
            <w:bottom w:w="0" w:type="dxa"/>
            <w:right w:w="108" w:type="dxa"/>
          </w:tblCellMar>
        </w:tblPrEx>
        <w:trPr>
          <w:trHeight w:val="744" w:hRule="exact"/>
          <w:jc w:val="center"/>
        </w:trPr>
        <w:tc>
          <w:tcPr>
            <w:tcW w:w="66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695"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产出指标</w:t>
            </w:r>
          </w:p>
        </w:tc>
        <w:tc>
          <w:tcPr>
            <w:tcW w:w="766"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数量指标</w:t>
            </w:r>
          </w:p>
        </w:tc>
        <w:tc>
          <w:tcPr>
            <w:tcW w:w="23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调解员能力提升：培训数量</w:t>
            </w:r>
          </w:p>
        </w:tc>
        <w:tc>
          <w:tcPr>
            <w:tcW w:w="123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≥1场</w:t>
            </w:r>
          </w:p>
        </w:tc>
        <w:tc>
          <w:tcPr>
            <w:tcW w:w="99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4场</w:t>
            </w:r>
          </w:p>
        </w:tc>
        <w:tc>
          <w:tcPr>
            <w:tcW w:w="83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4</w:t>
            </w:r>
          </w:p>
        </w:tc>
        <w:tc>
          <w:tcPr>
            <w:tcW w:w="87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4</w:t>
            </w:r>
          </w:p>
        </w:tc>
        <w:tc>
          <w:tcPr>
            <w:tcW w:w="177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r>
      <w:tr>
        <w:tblPrEx>
          <w:tblCellMar>
            <w:top w:w="0" w:type="dxa"/>
            <w:left w:w="108" w:type="dxa"/>
            <w:bottom w:w="0" w:type="dxa"/>
            <w:right w:w="108" w:type="dxa"/>
          </w:tblCellMar>
        </w:tblPrEx>
        <w:trPr>
          <w:trHeight w:val="3132" w:hRule="exact"/>
          <w:jc w:val="center"/>
        </w:trPr>
        <w:tc>
          <w:tcPr>
            <w:tcW w:w="66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695"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766"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23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扶持知识产权纠纷人民调解工作室</w:t>
            </w:r>
          </w:p>
        </w:tc>
        <w:tc>
          <w:tcPr>
            <w:tcW w:w="123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≥8个</w:t>
            </w:r>
          </w:p>
        </w:tc>
        <w:tc>
          <w:tcPr>
            <w:tcW w:w="99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6个</w:t>
            </w:r>
          </w:p>
        </w:tc>
        <w:tc>
          <w:tcPr>
            <w:tcW w:w="83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4</w:t>
            </w:r>
          </w:p>
        </w:tc>
        <w:tc>
          <w:tcPr>
            <w:tcW w:w="87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3</w:t>
            </w:r>
          </w:p>
        </w:tc>
        <w:tc>
          <w:tcPr>
            <w:tcW w:w="177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原因</w:t>
            </w:r>
            <w:r>
              <w:rPr>
                <w:rFonts w:ascii="仿宋_GB2312" w:hAnsi="宋体" w:eastAsia="仿宋_GB2312" w:cs="宋体"/>
                <w:color w:val="auto"/>
                <w:kern w:val="0"/>
                <w:sz w:val="21"/>
                <w:szCs w:val="21"/>
              </w:rPr>
              <w:t>：</w:t>
            </w:r>
            <w:r>
              <w:rPr>
                <w:rFonts w:hint="eastAsia" w:ascii="仿宋_GB2312" w:hAnsi="宋体" w:eastAsia="仿宋_GB2312" w:cs="宋体"/>
                <w:color w:val="auto"/>
                <w:kern w:val="0"/>
                <w:sz w:val="21"/>
                <w:szCs w:val="21"/>
              </w:rPr>
              <w:t>部分调解室依托单位因</w:t>
            </w:r>
            <w:r>
              <w:rPr>
                <w:rFonts w:ascii="仿宋_GB2312" w:hAnsi="宋体" w:eastAsia="仿宋_GB2312" w:cs="宋体"/>
                <w:color w:val="auto"/>
                <w:kern w:val="0"/>
                <w:sz w:val="21"/>
                <w:szCs w:val="21"/>
              </w:rPr>
              <w:t>单位性质、</w:t>
            </w:r>
            <w:r>
              <w:rPr>
                <w:rFonts w:hint="eastAsia" w:ascii="仿宋_GB2312" w:hAnsi="宋体" w:eastAsia="仿宋_GB2312" w:cs="宋体"/>
                <w:color w:val="auto"/>
                <w:kern w:val="0"/>
                <w:sz w:val="21"/>
                <w:szCs w:val="21"/>
              </w:rPr>
              <w:t>存在行政处罚等原因，</w:t>
            </w:r>
            <w:r>
              <w:rPr>
                <w:rFonts w:ascii="仿宋_GB2312" w:hAnsi="宋体" w:eastAsia="仿宋_GB2312" w:cs="宋体"/>
                <w:color w:val="auto"/>
                <w:kern w:val="0"/>
                <w:sz w:val="21"/>
                <w:szCs w:val="21"/>
              </w:rPr>
              <w:t>不符合资金管理办法要求，</w:t>
            </w:r>
            <w:r>
              <w:rPr>
                <w:rFonts w:hint="eastAsia" w:ascii="仿宋_GB2312" w:hAnsi="宋体" w:eastAsia="仿宋_GB2312" w:cs="宋体"/>
                <w:color w:val="auto"/>
                <w:kern w:val="0"/>
                <w:sz w:val="21"/>
                <w:szCs w:val="21"/>
              </w:rPr>
              <w:t>因此</w:t>
            </w:r>
            <w:r>
              <w:rPr>
                <w:rFonts w:ascii="仿宋_GB2312" w:hAnsi="宋体" w:eastAsia="仿宋_GB2312" w:cs="宋体"/>
                <w:color w:val="auto"/>
                <w:kern w:val="0"/>
                <w:sz w:val="21"/>
                <w:szCs w:val="21"/>
              </w:rPr>
              <w:t>本年度</w:t>
            </w:r>
            <w:r>
              <w:rPr>
                <w:rFonts w:hint="eastAsia" w:ascii="仿宋_GB2312" w:hAnsi="宋体" w:eastAsia="仿宋_GB2312" w:cs="宋体"/>
                <w:color w:val="auto"/>
                <w:kern w:val="0"/>
                <w:sz w:val="21"/>
                <w:szCs w:val="21"/>
              </w:rPr>
              <w:t>有2家</w:t>
            </w:r>
            <w:r>
              <w:rPr>
                <w:rFonts w:ascii="仿宋_GB2312" w:hAnsi="宋体" w:eastAsia="仿宋_GB2312" w:cs="宋体"/>
                <w:color w:val="auto"/>
                <w:kern w:val="0"/>
                <w:sz w:val="21"/>
                <w:szCs w:val="21"/>
              </w:rPr>
              <w:t>调解室</w:t>
            </w:r>
            <w:r>
              <w:rPr>
                <w:rFonts w:hint="eastAsia" w:ascii="仿宋_GB2312" w:hAnsi="宋体" w:eastAsia="仿宋_GB2312" w:cs="宋体"/>
                <w:color w:val="auto"/>
                <w:kern w:val="0"/>
                <w:sz w:val="21"/>
                <w:szCs w:val="21"/>
              </w:rPr>
              <w:t>不列入扶持对象。</w:t>
            </w:r>
          </w:p>
          <w:p>
            <w:pPr>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eastAsia" w:ascii="仿宋_GB2312" w:hAnsi="宋体" w:eastAsia="仿宋_GB2312" w:cs="宋体"/>
                <w:color w:val="auto"/>
                <w:kern w:val="0"/>
                <w:sz w:val="21"/>
                <w:szCs w:val="21"/>
                <w:lang w:eastAsia="zh-CN"/>
              </w:rPr>
            </w:pPr>
            <w:r>
              <w:rPr>
                <w:rFonts w:hint="eastAsia" w:ascii="仿宋_GB2312" w:hAnsi="宋体" w:eastAsia="仿宋_GB2312" w:cs="宋体"/>
                <w:color w:val="auto"/>
                <w:kern w:val="0"/>
                <w:sz w:val="21"/>
                <w:szCs w:val="21"/>
              </w:rPr>
              <w:t>改进措施</w:t>
            </w:r>
            <w:r>
              <w:rPr>
                <w:rFonts w:ascii="仿宋_GB2312" w:hAnsi="宋体" w:eastAsia="仿宋_GB2312" w:cs="宋体"/>
                <w:color w:val="auto"/>
                <w:kern w:val="0"/>
                <w:sz w:val="21"/>
                <w:szCs w:val="21"/>
              </w:rPr>
              <w:t>：修改扶持数量</w:t>
            </w:r>
            <w:r>
              <w:rPr>
                <w:rFonts w:hint="eastAsia" w:ascii="仿宋_GB2312" w:hAnsi="宋体" w:eastAsia="仿宋_GB2312" w:cs="宋体"/>
                <w:color w:val="auto"/>
                <w:kern w:val="0"/>
                <w:sz w:val="21"/>
                <w:szCs w:val="21"/>
              </w:rPr>
              <w:t>指标</w:t>
            </w:r>
            <w:r>
              <w:rPr>
                <w:rFonts w:hint="eastAsia" w:ascii="仿宋_GB2312" w:hAnsi="宋体" w:eastAsia="仿宋_GB2312" w:cs="宋体"/>
                <w:color w:val="auto"/>
                <w:kern w:val="0"/>
                <w:sz w:val="21"/>
                <w:szCs w:val="21"/>
                <w:lang w:eastAsia="zh-CN"/>
              </w:rPr>
              <w:t>。</w:t>
            </w:r>
          </w:p>
        </w:tc>
      </w:tr>
      <w:tr>
        <w:tblPrEx>
          <w:tblCellMar>
            <w:top w:w="0" w:type="dxa"/>
            <w:left w:w="108" w:type="dxa"/>
            <w:bottom w:w="0" w:type="dxa"/>
            <w:right w:w="108" w:type="dxa"/>
          </w:tblCellMar>
        </w:tblPrEx>
        <w:trPr>
          <w:trHeight w:val="909" w:hRule="exact"/>
          <w:jc w:val="center"/>
        </w:trPr>
        <w:tc>
          <w:tcPr>
            <w:tcW w:w="66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695"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产出指标</w:t>
            </w:r>
          </w:p>
        </w:tc>
        <w:tc>
          <w:tcPr>
            <w:tcW w:w="766"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数量指标</w:t>
            </w:r>
          </w:p>
        </w:tc>
        <w:tc>
          <w:tcPr>
            <w:tcW w:w="23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扶持知识产权纠纷人民调解工作室：活动数量</w:t>
            </w:r>
          </w:p>
        </w:tc>
        <w:tc>
          <w:tcPr>
            <w:tcW w:w="123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≥20场</w:t>
            </w:r>
          </w:p>
        </w:tc>
        <w:tc>
          <w:tcPr>
            <w:tcW w:w="99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ascii="仿宋_GB2312" w:hAnsi="宋体" w:eastAsia="仿宋_GB2312" w:cs="宋体"/>
                <w:color w:val="auto"/>
                <w:kern w:val="0"/>
                <w:sz w:val="21"/>
                <w:szCs w:val="21"/>
              </w:rPr>
              <w:t>35</w:t>
            </w:r>
            <w:r>
              <w:rPr>
                <w:rFonts w:hint="eastAsia" w:ascii="仿宋_GB2312" w:hAnsi="宋体" w:eastAsia="仿宋_GB2312" w:cs="宋体"/>
                <w:color w:val="auto"/>
                <w:kern w:val="0"/>
                <w:sz w:val="21"/>
                <w:szCs w:val="21"/>
              </w:rPr>
              <w:t>场</w:t>
            </w:r>
          </w:p>
        </w:tc>
        <w:tc>
          <w:tcPr>
            <w:tcW w:w="83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4</w:t>
            </w:r>
          </w:p>
        </w:tc>
        <w:tc>
          <w:tcPr>
            <w:tcW w:w="87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4</w:t>
            </w:r>
          </w:p>
        </w:tc>
        <w:tc>
          <w:tcPr>
            <w:tcW w:w="177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color w:val="auto"/>
                <w:sz w:val="21"/>
                <w:szCs w:val="21"/>
              </w:rPr>
            </w:pPr>
          </w:p>
        </w:tc>
      </w:tr>
      <w:tr>
        <w:tblPrEx>
          <w:tblCellMar>
            <w:top w:w="0" w:type="dxa"/>
            <w:left w:w="108" w:type="dxa"/>
            <w:bottom w:w="0" w:type="dxa"/>
            <w:right w:w="108" w:type="dxa"/>
          </w:tblCellMar>
        </w:tblPrEx>
        <w:trPr>
          <w:trHeight w:val="753" w:hRule="exact"/>
          <w:jc w:val="center"/>
        </w:trPr>
        <w:tc>
          <w:tcPr>
            <w:tcW w:w="66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695"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766"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23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数据核查分析：报告数量</w:t>
            </w:r>
          </w:p>
        </w:tc>
        <w:tc>
          <w:tcPr>
            <w:tcW w:w="123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≥5份</w:t>
            </w:r>
          </w:p>
        </w:tc>
        <w:tc>
          <w:tcPr>
            <w:tcW w:w="99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5份</w:t>
            </w:r>
          </w:p>
        </w:tc>
        <w:tc>
          <w:tcPr>
            <w:tcW w:w="83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4</w:t>
            </w:r>
          </w:p>
        </w:tc>
        <w:tc>
          <w:tcPr>
            <w:tcW w:w="87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4</w:t>
            </w:r>
          </w:p>
        </w:tc>
        <w:tc>
          <w:tcPr>
            <w:tcW w:w="177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color w:val="auto"/>
                <w:sz w:val="21"/>
                <w:szCs w:val="21"/>
              </w:rPr>
            </w:pPr>
          </w:p>
        </w:tc>
      </w:tr>
      <w:tr>
        <w:tblPrEx>
          <w:tblCellMar>
            <w:top w:w="0" w:type="dxa"/>
            <w:left w:w="108" w:type="dxa"/>
            <w:bottom w:w="0" w:type="dxa"/>
            <w:right w:w="108" w:type="dxa"/>
          </w:tblCellMar>
        </w:tblPrEx>
        <w:trPr>
          <w:trHeight w:val="846" w:hRule="exact"/>
          <w:jc w:val="center"/>
        </w:trPr>
        <w:tc>
          <w:tcPr>
            <w:tcW w:w="66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695"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766"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23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扶持知识产权纠纷人民调解委员会：案件数量</w:t>
            </w:r>
          </w:p>
        </w:tc>
        <w:tc>
          <w:tcPr>
            <w:tcW w:w="123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≥8000件</w:t>
            </w:r>
          </w:p>
        </w:tc>
        <w:tc>
          <w:tcPr>
            <w:tcW w:w="99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16397件</w:t>
            </w:r>
          </w:p>
        </w:tc>
        <w:tc>
          <w:tcPr>
            <w:tcW w:w="83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4</w:t>
            </w:r>
          </w:p>
        </w:tc>
        <w:tc>
          <w:tcPr>
            <w:tcW w:w="87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4</w:t>
            </w:r>
          </w:p>
        </w:tc>
        <w:tc>
          <w:tcPr>
            <w:tcW w:w="177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color w:val="auto"/>
                <w:sz w:val="21"/>
                <w:szCs w:val="21"/>
              </w:rPr>
            </w:pPr>
          </w:p>
        </w:tc>
      </w:tr>
      <w:tr>
        <w:tblPrEx>
          <w:tblCellMar>
            <w:top w:w="0" w:type="dxa"/>
            <w:left w:w="108" w:type="dxa"/>
            <w:bottom w:w="0" w:type="dxa"/>
            <w:right w:w="108" w:type="dxa"/>
          </w:tblCellMar>
        </w:tblPrEx>
        <w:trPr>
          <w:trHeight w:val="1003" w:hRule="exact"/>
          <w:jc w:val="center"/>
        </w:trPr>
        <w:tc>
          <w:tcPr>
            <w:tcW w:w="66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695"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766"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23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扶持知识产权纠纷人民调解委员会：活动数量</w:t>
            </w:r>
          </w:p>
        </w:tc>
        <w:tc>
          <w:tcPr>
            <w:tcW w:w="123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≥20场</w:t>
            </w:r>
          </w:p>
        </w:tc>
        <w:tc>
          <w:tcPr>
            <w:tcW w:w="99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32场</w:t>
            </w:r>
          </w:p>
        </w:tc>
        <w:tc>
          <w:tcPr>
            <w:tcW w:w="83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4</w:t>
            </w:r>
          </w:p>
        </w:tc>
        <w:tc>
          <w:tcPr>
            <w:tcW w:w="87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4</w:t>
            </w:r>
          </w:p>
        </w:tc>
        <w:tc>
          <w:tcPr>
            <w:tcW w:w="177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color w:val="auto"/>
                <w:sz w:val="21"/>
                <w:szCs w:val="21"/>
              </w:rPr>
            </w:pPr>
          </w:p>
        </w:tc>
      </w:tr>
      <w:tr>
        <w:tblPrEx>
          <w:tblCellMar>
            <w:top w:w="0" w:type="dxa"/>
            <w:left w:w="108" w:type="dxa"/>
            <w:bottom w:w="0" w:type="dxa"/>
            <w:right w:w="108" w:type="dxa"/>
          </w:tblCellMar>
        </w:tblPrEx>
        <w:trPr>
          <w:trHeight w:val="706" w:hRule="exact"/>
          <w:jc w:val="center"/>
        </w:trPr>
        <w:tc>
          <w:tcPr>
            <w:tcW w:w="66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695"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766"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23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扶持知识产权纠纷人民调解委员会</w:t>
            </w:r>
          </w:p>
        </w:tc>
        <w:tc>
          <w:tcPr>
            <w:tcW w:w="123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≥15个</w:t>
            </w:r>
          </w:p>
        </w:tc>
        <w:tc>
          <w:tcPr>
            <w:tcW w:w="99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15个</w:t>
            </w:r>
          </w:p>
        </w:tc>
        <w:tc>
          <w:tcPr>
            <w:tcW w:w="83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4</w:t>
            </w:r>
          </w:p>
        </w:tc>
        <w:tc>
          <w:tcPr>
            <w:tcW w:w="87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4</w:t>
            </w:r>
          </w:p>
        </w:tc>
        <w:tc>
          <w:tcPr>
            <w:tcW w:w="177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color w:val="auto"/>
                <w:sz w:val="21"/>
                <w:szCs w:val="21"/>
              </w:rPr>
            </w:pPr>
          </w:p>
        </w:tc>
      </w:tr>
      <w:tr>
        <w:tblPrEx>
          <w:tblCellMar>
            <w:top w:w="0" w:type="dxa"/>
            <w:left w:w="108" w:type="dxa"/>
            <w:bottom w:w="0" w:type="dxa"/>
            <w:right w:w="108" w:type="dxa"/>
          </w:tblCellMar>
        </w:tblPrEx>
        <w:trPr>
          <w:trHeight w:val="3835" w:hRule="exact"/>
          <w:jc w:val="center"/>
        </w:trPr>
        <w:tc>
          <w:tcPr>
            <w:tcW w:w="66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695"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766"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质量指标</w:t>
            </w:r>
          </w:p>
        </w:tc>
        <w:tc>
          <w:tcPr>
            <w:tcW w:w="23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数据核查分析</w:t>
            </w:r>
          </w:p>
        </w:tc>
        <w:tc>
          <w:tcPr>
            <w:tcW w:w="123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数据准确</w:t>
            </w:r>
            <w:r>
              <w:rPr>
                <w:rFonts w:hint="eastAsia" w:ascii="仿宋_GB2312" w:hAnsi="宋体" w:eastAsia="仿宋_GB2312" w:cs="宋体"/>
                <w:color w:val="auto"/>
                <w:kern w:val="0"/>
                <w:sz w:val="21"/>
                <w:szCs w:val="21"/>
                <w:lang w:eastAsia="zh-CN"/>
              </w:rPr>
              <w:t>，</w:t>
            </w:r>
            <w:r>
              <w:rPr>
                <w:rFonts w:hint="eastAsia" w:ascii="仿宋_GB2312" w:hAnsi="宋体" w:eastAsia="仿宋_GB2312" w:cs="宋体"/>
                <w:color w:val="auto"/>
                <w:kern w:val="0"/>
                <w:sz w:val="21"/>
                <w:szCs w:val="21"/>
              </w:rPr>
              <w:t>分析维度多</w:t>
            </w:r>
          </w:p>
        </w:tc>
        <w:tc>
          <w:tcPr>
            <w:tcW w:w="99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复核</w:t>
            </w:r>
            <w:r>
              <w:rPr>
                <w:rFonts w:ascii="仿宋_GB2312" w:hAnsi="宋体" w:eastAsia="仿宋_GB2312" w:cs="宋体"/>
                <w:color w:val="auto"/>
                <w:kern w:val="0"/>
                <w:sz w:val="21"/>
                <w:szCs w:val="21"/>
              </w:rPr>
              <w:t>调解案件数据，数据</w:t>
            </w:r>
            <w:r>
              <w:rPr>
                <w:rFonts w:hint="eastAsia" w:ascii="仿宋_GB2312" w:hAnsi="宋体" w:eastAsia="仿宋_GB2312" w:cs="宋体"/>
                <w:color w:val="auto"/>
                <w:kern w:val="0"/>
                <w:sz w:val="21"/>
                <w:szCs w:val="21"/>
              </w:rPr>
              <w:t>准确</w:t>
            </w:r>
            <w:r>
              <w:rPr>
                <w:rFonts w:ascii="仿宋_GB2312" w:hAnsi="宋体" w:eastAsia="仿宋_GB2312" w:cs="宋体"/>
                <w:color w:val="auto"/>
                <w:kern w:val="0"/>
                <w:sz w:val="21"/>
                <w:szCs w:val="21"/>
              </w:rPr>
              <w:t>；横向对比法院</w:t>
            </w:r>
            <w:r>
              <w:rPr>
                <w:rFonts w:hint="eastAsia" w:ascii="仿宋_GB2312" w:hAnsi="宋体" w:eastAsia="仿宋_GB2312" w:cs="宋体"/>
                <w:color w:val="auto"/>
                <w:kern w:val="0"/>
                <w:sz w:val="21"/>
                <w:szCs w:val="21"/>
              </w:rPr>
              <w:t>案件</w:t>
            </w:r>
            <w:r>
              <w:rPr>
                <w:rFonts w:ascii="仿宋_GB2312" w:hAnsi="宋体" w:eastAsia="仿宋_GB2312" w:cs="宋体"/>
                <w:color w:val="auto"/>
                <w:kern w:val="0"/>
                <w:sz w:val="21"/>
                <w:szCs w:val="21"/>
              </w:rPr>
              <w:t>情况</w:t>
            </w:r>
            <w:r>
              <w:rPr>
                <w:rFonts w:hint="eastAsia" w:ascii="仿宋_GB2312" w:hAnsi="宋体" w:eastAsia="仿宋_GB2312" w:cs="宋体"/>
                <w:color w:val="auto"/>
                <w:kern w:val="0"/>
                <w:sz w:val="21"/>
                <w:szCs w:val="21"/>
              </w:rPr>
              <w:t>、</w:t>
            </w:r>
            <w:r>
              <w:rPr>
                <w:rFonts w:ascii="仿宋_GB2312" w:hAnsi="宋体" w:eastAsia="仿宋_GB2312" w:cs="宋体"/>
                <w:color w:val="auto"/>
                <w:kern w:val="0"/>
                <w:sz w:val="21"/>
                <w:szCs w:val="21"/>
              </w:rPr>
              <w:t>纵向对比近三年数据情况，分析维度多</w:t>
            </w:r>
          </w:p>
        </w:tc>
        <w:tc>
          <w:tcPr>
            <w:tcW w:w="83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4</w:t>
            </w:r>
          </w:p>
        </w:tc>
        <w:tc>
          <w:tcPr>
            <w:tcW w:w="87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4</w:t>
            </w:r>
          </w:p>
        </w:tc>
        <w:tc>
          <w:tcPr>
            <w:tcW w:w="177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r>
      <w:tr>
        <w:tblPrEx>
          <w:tblCellMar>
            <w:top w:w="0" w:type="dxa"/>
            <w:left w:w="108" w:type="dxa"/>
            <w:bottom w:w="0" w:type="dxa"/>
            <w:right w:w="108" w:type="dxa"/>
          </w:tblCellMar>
        </w:tblPrEx>
        <w:trPr>
          <w:trHeight w:val="5518" w:hRule="exact"/>
          <w:jc w:val="center"/>
        </w:trPr>
        <w:tc>
          <w:tcPr>
            <w:tcW w:w="66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695"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766"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23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知识产权纠纷人民调解委员会自行委托案件数量占比</w:t>
            </w:r>
          </w:p>
        </w:tc>
        <w:tc>
          <w:tcPr>
            <w:tcW w:w="123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≥5</w:t>
            </w:r>
            <w:r>
              <w:rPr>
                <w:rFonts w:ascii="仿宋_GB2312" w:hAnsi="宋体" w:eastAsia="仿宋_GB2312" w:cs="宋体"/>
                <w:color w:val="auto"/>
                <w:kern w:val="0"/>
                <w:sz w:val="21"/>
                <w:szCs w:val="21"/>
              </w:rPr>
              <w:t>%</w:t>
            </w:r>
          </w:p>
        </w:tc>
        <w:tc>
          <w:tcPr>
            <w:tcW w:w="99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49.49%</w:t>
            </w:r>
          </w:p>
        </w:tc>
        <w:tc>
          <w:tcPr>
            <w:tcW w:w="83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4</w:t>
            </w:r>
          </w:p>
        </w:tc>
        <w:tc>
          <w:tcPr>
            <w:tcW w:w="87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ascii="仿宋_GB2312" w:hAnsi="宋体" w:eastAsia="仿宋_GB2312" w:cs="宋体"/>
                <w:color w:val="auto"/>
                <w:kern w:val="0"/>
                <w:sz w:val="21"/>
                <w:szCs w:val="21"/>
              </w:rPr>
              <w:t>2.8</w:t>
            </w:r>
          </w:p>
        </w:tc>
        <w:tc>
          <w:tcPr>
            <w:tcW w:w="177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原因</w:t>
            </w:r>
            <w:r>
              <w:rPr>
                <w:rFonts w:ascii="仿宋_GB2312" w:hAnsi="宋体" w:eastAsia="仿宋_GB2312" w:cs="宋体"/>
                <w:color w:val="auto"/>
                <w:kern w:val="0"/>
                <w:sz w:val="21"/>
                <w:szCs w:val="21"/>
              </w:rPr>
              <w:t>：</w:t>
            </w:r>
            <w:r>
              <w:rPr>
                <w:rFonts w:hint="eastAsia" w:ascii="仿宋_GB2312" w:hAnsi="宋体" w:eastAsia="仿宋_GB2312" w:cs="宋体"/>
                <w:color w:val="auto"/>
                <w:kern w:val="0"/>
                <w:sz w:val="21"/>
                <w:szCs w:val="21"/>
              </w:rPr>
              <w:t>北京地区法院收案数量</w:t>
            </w:r>
            <w:r>
              <w:rPr>
                <w:rFonts w:ascii="仿宋_GB2312" w:hAnsi="宋体" w:eastAsia="仿宋_GB2312" w:cs="宋体"/>
                <w:color w:val="auto"/>
                <w:kern w:val="0"/>
                <w:sz w:val="21"/>
                <w:szCs w:val="21"/>
              </w:rPr>
              <w:t>持续下降，</w:t>
            </w:r>
            <w:r>
              <w:rPr>
                <w:rFonts w:hint="eastAsia" w:ascii="仿宋_GB2312" w:hAnsi="宋体" w:eastAsia="仿宋_GB2312" w:cs="宋体"/>
                <w:color w:val="auto"/>
                <w:kern w:val="0"/>
                <w:sz w:val="21"/>
                <w:szCs w:val="21"/>
              </w:rPr>
              <w:t>委托案件数量</w:t>
            </w:r>
            <w:r>
              <w:rPr>
                <w:rFonts w:ascii="仿宋_GB2312" w:hAnsi="宋体" w:eastAsia="仿宋_GB2312" w:cs="宋体"/>
                <w:color w:val="auto"/>
                <w:kern w:val="0"/>
                <w:sz w:val="21"/>
                <w:szCs w:val="21"/>
              </w:rPr>
              <w:t>下滑。</w:t>
            </w:r>
            <w:r>
              <w:rPr>
                <w:rFonts w:hint="eastAsia" w:ascii="仿宋_GB2312" w:hAnsi="宋体" w:eastAsia="仿宋_GB2312" w:cs="宋体"/>
                <w:color w:val="auto"/>
                <w:kern w:val="0"/>
                <w:sz w:val="21"/>
                <w:szCs w:val="21"/>
              </w:rPr>
              <w:t>各调解组织接受会员单位及其他主体委托案件数量增加，导致自行委托案件数量占比增加。</w:t>
            </w:r>
          </w:p>
          <w:p>
            <w:pPr>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ascii="仿宋_GB2312" w:hAnsi="宋体" w:eastAsia="仿宋_GB2312" w:cs="宋体"/>
                <w:color w:val="auto"/>
                <w:kern w:val="0"/>
                <w:sz w:val="21"/>
                <w:szCs w:val="21"/>
              </w:rPr>
            </w:pPr>
            <w:r>
              <w:rPr>
                <w:rFonts w:hint="eastAsia" w:ascii="仿宋_GB2312" w:hAnsi="宋体" w:eastAsia="仿宋_GB2312" w:cs="宋体"/>
                <w:b/>
                <w:bCs/>
                <w:color w:val="auto"/>
                <w:kern w:val="0"/>
                <w:sz w:val="21"/>
                <w:szCs w:val="21"/>
              </w:rPr>
              <w:t>改进措施</w:t>
            </w:r>
            <w:r>
              <w:rPr>
                <w:rFonts w:ascii="仿宋_GB2312" w:hAnsi="宋体" w:eastAsia="仿宋_GB2312" w:cs="宋体"/>
                <w:b/>
                <w:bCs/>
                <w:color w:val="auto"/>
                <w:kern w:val="0"/>
                <w:sz w:val="21"/>
                <w:szCs w:val="21"/>
              </w:rPr>
              <w:t>：</w:t>
            </w:r>
            <w:r>
              <w:rPr>
                <w:rFonts w:ascii="仿宋_GB2312" w:hAnsi="宋体" w:eastAsia="仿宋_GB2312" w:cs="宋体"/>
                <w:color w:val="auto"/>
                <w:kern w:val="0"/>
                <w:sz w:val="21"/>
                <w:szCs w:val="21"/>
              </w:rPr>
              <w:t>修改</w:t>
            </w:r>
            <w:r>
              <w:rPr>
                <w:rFonts w:hint="eastAsia" w:ascii="仿宋_GB2312" w:hAnsi="宋体" w:eastAsia="仿宋_GB2312" w:cs="宋体"/>
                <w:color w:val="auto"/>
                <w:kern w:val="0"/>
                <w:sz w:val="21"/>
                <w:szCs w:val="21"/>
              </w:rPr>
              <w:t>年度指标值</w:t>
            </w:r>
          </w:p>
        </w:tc>
      </w:tr>
      <w:tr>
        <w:tblPrEx>
          <w:tblCellMar>
            <w:top w:w="0" w:type="dxa"/>
            <w:left w:w="108" w:type="dxa"/>
            <w:bottom w:w="0" w:type="dxa"/>
            <w:right w:w="108" w:type="dxa"/>
          </w:tblCellMar>
        </w:tblPrEx>
        <w:trPr>
          <w:trHeight w:val="5181" w:hRule="exact"/>
          <w:jc w:val="center"/>
        </w:trPr>
        <w:tc>
          <w:tcPr>
            <w:tcW w:w="66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695"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产出指标</w:t>
            </w:r>
          </w:p>
        </w:tc>
        <w:tc>
          <w:tcPr>
            <w:tcW w:w="766"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质量指标</w:t>
            </w:r>
          </w:p>
        </w:tc>
        <w:tc>
          <w:tcPr>
            <w:tcW w:w="23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调解员能力提升</w:t>
            </w:r>
          </w:p>
        </w:tc>
        <w:tc>
          <w:tcPr>
            <w:tcW w:w="123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color w:val="auto"/>
                <w:kern w:val="0"/>
                <w:sz w:val="21"/>
                <w:szCs w:val="21"/>
              </w:rPr>
            </w:pPr>
            <w:r>
              <w:rPr>
                <w:rFonts w:hint="eastAsia" w:ascii="仿宋_GB2312" w:hAnsi="宋体" w:eastAsia="仿宋_GB2312" w:cs="宋体"/>
                <w:color w:val="auto"/>
                <w:kern w:val="0"/>
                <w:sz w:val="21"/>
                <w:szCs w:val="21"/>
              </w:rPr>
              <w:t>有效提升调解员调解能力和水平，为权利人提供高效、低成本的维权途径。</w:t>
            </w:r>
          </w:p>
        </w:tc>
        <w:tc>
          <w:tcPr>
            <w:tcW w:w="99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调解员</w:t>
            </w:r>
            <w:r>
              <w:rPr>
                <w:rFonts w:ascii="仿宋_GB2312" w:hAnsi="宋体" w:eastAsia="仿宋_GB2312" w:cs="宋体"/>
                <w:color w:val="auto"/>
                <w:kern w:val="0"/>
                <w:sz w:val="21"/>
                <w:szCs w:val="21"/>
              </w:rPr>
              <w:t>能力提升培训包含</w:t>
            </w:r>
            <w:r>
              <w:rPr>
                <w:rFonts w:hint="eastAsia" w:ascii="仿宋_GB2312" w:hAnsi="宋体" w:eastAsia="仿宋_GB2312" w:cs="宋体"/>
                <w:color w:val="auto"/>
                <w:kern w:val="0"/>
                <w:sz w:val="21"/>
                <w:szCs w:val="21"/>
              </w:rPr>
              <w:t>调解实务等主题，形式多样、指导性强，切实增强了调解员纠纷化解能力，提高调解员理论水平和业务素质。</w:t>
            </w:r>
          </w:p>
        </w:tc>
        <w:tc>
          <w:tcPr>
            <w:tcW w:w="83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4</w:t>
            </w:r>
          </w:p>
        </w:tc>
        <w:tc>
          <w:tcPr>
            <w:tcW w:w="87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4</w:t>
            </w:r>
          </w:p>
        </w:tc>
        <w:tc>
          <w:tcPr>
            <w:tcW w:w="177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r>
      <w:tr>
        <w:tblPrEx>
          <w:tblCellMar>
            <w:top w:w="0" w:type="dxa"/>
            <w:left w:w="108" w:type="dxa"/>
            <w:bottom w:w="0" w:type="dxa"/>
            <w:right w:w="108" w:type="dxa"/>
          </w:tblCellMar>
        </w:tblPrEx>
        <w:trPr>
          <w:trHeight w:val="2715" w:hRule="exact"/>
          <w:jc w:val="center"/>
        </w:trPr>
        <w:tc>
          <w:tcPr>
            <w:tcW w:w="66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695"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766"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23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知识产权纠纷人民调解委员会案件调解成功率</w:t>
            </w:r>
          </w:p>
        </w:tc>
        <w:tc>
          <w:tcPr>
            <w:tcW w:w="123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≥25</w:t>
            </w:r>
            <w:r>
              <w:rPr>
                <w:rFonts w:ascii="仿宋_GB2312" w:hAnsi="宋体" w:eastAsia="仿宋_GB2312" w:cs="宋体"/>
                <w:color w:val="auto"/>
                <w:kern w:val="0"/>
                <w:sz w:val="21"/>
                <w:szCs w:val="21"/>
              </w:rPr>
              <w:t>%</w:t>
            </w:r>
          </w:p>
        </w:tc>
        <w:tc>
          <w:tcPr>
            <w:tcW w:w="99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78.6%</w:t>
            </w:r>
          </w:p>
        </w:tc>
        <w:tc>
          <w:tcPr>
            <w:tcW w:w="83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4</w:t>
            </w:r>
          </w:p>
        </w:tc>
        <w:tc>
          <w:tcPr>
            <w:tcW w:w="87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ascii="仿宋_GB2312" w:hAnsi="宋体" w:eastAsia="仿宋_GB2312" w:cs="宋体"/>
                <w:color w:val="auto"/>
                <w:kern w:val="0"/>
                <w:sz w:val="21"/>
                <w:szCs w:val="21"/>
              </w:rPr>
              <w:t>3.6</w:t>
            </w:r>
          </w:p>
        </w:tc>
        <w:tc>
          <w:tcPr>
            <w:tcW w:w="177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原因：2023年，</w:t>
            </w:r>
            <w:r>
              <w:rPr>
                <w:rFonts w:ascii="仿宋_GB2312" w:hAnsi="宋体" w:eastAsia="仿宋_GB2312" w:cs="宋体"/>
                <w:color w:val="auto"/>
                <w:kern w:val="0"/>
                <w:sz w:val="21"/>
                <w:szCs w:val="21"/>
              </w:rPr>
              <w:t>会员委托案件量占比有所提高，</w:t>
            </w:r>
            <w:r>
              <w:rPr>
                <w:rFonts w:hint="eastAsia" w:ascii="仿宋_GB2312" w:hAnsi="宋体" w:eastAsia="仿宋_GB2312" w:cs="宋体"/>
                <w:color w:val="auto"/>
                <w:kern w:val="0"/>
                <w:sz w:val="21"/>
                <w:szCs w:val="21"/>
              </w:rPr>
              <w:t>调解组织</w:t>
            </w:r>
            <w:r>
              <w:rPr>
                <w:rFonts w:ascii="仿宋_GB2312" w:hAnsi="宋体" w:eastAsia="仿宋_GB2312" w:cs="宋体"/>
                <w:color w:val="auto"/>
                <w:kern w:val="0"/>
                <w:sz w:val="21"/>
                <w:szCs w:val="21"/>
              </w:rPr>
              <w:t>调解会员间</w:t>
            </w:r>
            <w:r>
              <w:rPr>
                <w:rFonts w:hint="eastAsia" w:ascii="仿宋_GB2312" w:hAnsi="宋体" w:eastAsia="仿宋_GB2312" w:cs="宋体"/>
                <w:color w:val="auto"/>
                <w:kern w:val="0"/>
                <w:sz w:val="21"/>
                <w:szCs w:val="21"/>
              </w:rPr>
              <w:t>纠纷</w:t>
            </w:r>
            <w:r>
              <w:rPr>
                <w:rFonts w:ascii="仿宋_GB2312" w:hAnsi="宋体" w:eastAsia="仿宋_GB2312" w:cs="宋体"/>
                <w:color w:val="auto"/>
                <w:kern w:val="0"/>
                <w:sz w:val="21"/>
                <w:szCs w:val="21"/>
              </w:rPr>
              <w:t>调解成功率高于法院委托案件成功率</w:t>
            </w:r>
            <w:r>
              <w:rPr>
                <w:rFonts w:hint="eastAsia" w:ascii="仿宋_GB2312" w:hAnsi="宋体" w:eastAsia="仿宋_GB2312" w:cs="宋体"/>
                <w:color w:val="auto"/>
                <w:kern w:val="0"/>
                <w:sz w:val="21"/>
                <w:szCs w:val="21"/>
              </w:rPr>
              <w:t>。</w:t>
            </w:r>
          </w:p>
          <w:p>
            <w:pPr>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改进措施</w:t>
            </w:r>
            <w:r>
              <w:rPr>
                <w:rFonts w:ascii="仿宋_GB2312" w:hAnsi="宋体" w:eastAsia="仿宋_GB2312" w:cs="宋体"/>
                <w:color w:val="auto"/>
                <w:kern w:val="0"/>
                <w:sz w:val="21"/>
                <w:szCs w:val="21"/>
              </w:rPr>
              <w:t>：修改</w:t>
            </w:r>
            <w:r>
              <w:rPr>
                <w:rFonts w:hint="eastAsia" w:ascii="仿宋_GB2312" w:hAnsi="宋体" w:eastAsia="仿宋_GB2312" w:cs="宋体"/>
                <w:color w:val="auto"/>
                <w:kern w:val="0"/>
                <w:sz w:val="21"/>
                <w:szCs w:val="21"/>
              </w:rPr>
              <w:t>年度指标值</w:t>
            </w:r>
          </w:p>
        </w:tc>
      </w:tr>
      <w:tr>
        <w:tblPrEx>
          <w:tblCellMar>
            <w:top w:w="0" w:type="dxa"/>
            <w:left w:w="108" w:type="dxa"/>
            <w:bottom w:w="0" w:type="dxa"/>
            <w:right w:w="108" w:type="dxa"/>
          </w:tblCellMar>
        </w:tblPrEx>
        <w:trPr>
          <w:trHeight w:val="742" w:hRule="exact"/>
          <w:jc w:val="center"/>
        </w:trPr>
        <w:tc>
          <w:tcPr>
            <w:tcW w:w="66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695"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766"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时效指标</w:t>
            </w:r>
          </w:p>
        </w:tc>
        <w:tc>
          <w:tcPr>
            <w:tcW w:w="23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知识产权多元调解机制建设工作完成率</w:t>
            </w:r>
          </w:p>
        </w:tc>
        <w:tc>
          <w:tcPr>
            <w:tcW w:w="123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ascii="仿宋_GB2312" w:hAnsi="宋体" w:eastAsia="仿宋_GB2312" w:cs="宋体"/>
                <w:color w:val="auto"/>
                <w:kern w:val="0"/>
                <w:sz w:val="21"/>
                <w:szCs w:val="21"/>
              </w:rPr>
              <w:t>100%</w:t>
            </w:r>
          </w:p>
        </w:tc>
        <w:tc>
          <w:tcPr>
            <w:tcW w:w="99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ascii="仿宋_GB2312" w:hAnsi="宋体" w:eastAsia="仿宋_GB2312" w:cs="宋体"/>
                <w:color w:val="auto"/>
                <w:kern w:val="0"/>
                <w:sz w:val="21"/>
                <w:szCs w:val="21"/>
              </w:rPr>
              <w:t>100%</w:t>
            </w:r>
          </w:p>
        </w:tc>
        <w:tc>
          <w:tcPr>
            <w:tcW w:w="83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3</w:t>
            </w:r>
          </w:p>
        </w:tc>
        <w:tc>
          <w:tcPr>
            <w:tcW w:w="87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3</w:t>
            </w:r>
          </w:p>
        </w:tc>
        <w:tc>
          <w:tcPr>
            <w:tcW w:w="177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color w:val="auto"/>
                <w:sz w:val="21"/>
                <w:szCs w:val="21"/>
              </w:rPr>
            </w:pPr>
          </w:p>
        </w:tc>
      </w:tr>
      <w:tr>
        <w:tblPrEx>
          <w:tblCellMar>
            <w:top w:w="0" w:type="dxa"/>
            <w:left w:w="108" w:type="dxa"/>
            <w:bottom w:w="0" w:type="dxa"/>
            <w:right w:w="108" w:type="dxa"/>
          </w:tblCellMar>
        </w:tblPrEx>
        <w:trPr>
          <w:trHeight w:val="870" w:hRule="exact"/>
          <w:jc w:val="center"/>
        </w:trPr>
        <w:tc>
          <w:tcPr>
            <w:tcW w:w="66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695"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766"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23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知识产权纠纷多元调解工作完成率</w:t>
            </w:r>
          </w:p>
        </w:tc>
        <w:tc>
          <w:tcPr>
            <w:tcW w:w="123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ascii="仿宋_GB2312" w:hAnsi="宋体" w:eastAsia="仿宋_GB2312" w:cs="宋体"/>
                <w:color w:val="auto"/>
                <w:kern w:val="0"/>
                <w:sz w:val="21"/>
                <w:szCs w:val="21"/>
              </w:rPr>
              <w:t>100%</w:t>
            </w:r>
          </w:p>
        </w:tc>
        <w:tc>
          <w:tcPr>
            <w:tcW w:w="99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ascii="仿宋_GB2312" w:hAnsi="宋体" w:eastAsia="仿宋_GB2312" w:cs="宋体"/>
                <w:color w:val="auto"/>
                <w:kern w:val="0"/>
                <w:sz w:val="21"/>
                <w:szCs w:val="21"/>
              </w:rPr>
              <w:t>100%</w:t>
            </w:r>
          </w:p>
        </w:tc>
        <w:tc>
          <w:tcPr>
            <w:tcW w:w="83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3</w:t>
            </w:r>
          </w:p>
        </w:tc>
        <w:tc>
          <w:tcPr>
            <w:tcW w:w="87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3</w:t>
            </w:r>
          </w:p>
        </w:tc>
        <w:tc>
          <w:tcPr>
            <w:tcW w:w="177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color w:val="auto"/>
                <w:sz w:val="21"/>
                <w:szCs w:val="21"/>
              </w:rPr>
            </w:pPr>
          </w:p>
        </w:tc>
      </w:tr>
      <w:tr>
        <w:tblPrEx>
          <w:tblCellMar>
            <w:top w:w="0" w:type="dxa"/>
            <w:left w:w="108" w:type="dxa"/>
            <w:bottom w:w="0" w:type="dxa"/>
            <w:right w:w="108" w:type="dxa"/>
          </w:tblCellMar>
        </w:tblPrEx>
        <w:trPr>
          <w:trHeight w:val="4152" w:hRule="exact"/>
          <w:jc w:val="center"/>
        </w:trPr>
        <w:tc>
          <w:tcPr>
            <w:tcW w:w="66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6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效益指标</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社会效益</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指标</w:t>
            </w:r>
          </w:p>
        </w:tc>
        <w:tc>
          <w:tcPr>
            <w:tcW w:w="23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缩短权利人维权时间，提高权利人维权便利度。</w:t>
            </w:r>
          </w:p>
        </w:tc>
        <w:tc>
          <w:tcPr>
            <w:tcW w:w="123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案件调解平均周期小于接收委托案件法院同类型案件平均审理周期。</w:t>
            </w:r>
          </w:p>
        </w:tc>
        <w:tc>
          <w:tcPr>
            <w:tcW w:w="99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2023年度调解结案案件的平均调解时长为25天,通过调解结案的平均耗时仅为诉讼审理时长的24%。</w:t>
            </w:r>
          </w:p>
        </w:tc>
        <w:tc>
          <w:tcPr>
            <w:tcW w:w="83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30</w:t>
            </w:r>
          </w:p>
        </w:tc>
        <w:tc>
          <w:tcPr>
            <w:tcW w:w="87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30</w:t>
            </w:r>
          </w:p>
        </w:tc>
        <w:tc>
          <w:tcPr>
            <w:tcW w:w="177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r>
      <w:tr>
        <w:tblPrEx>
          <w:tblCellMar>
            <w:top w:w="0" w:type="dxa"/>
            <w:left w:w="108" w:type="dxa"/>
            <w:bottom w:w="0" w:type="dxa"/>
            <w:right w:w="108" w:type="dxa"/>
          </w:tblCellMar>
        </w:tblPrEx>
        <w:trPr>
          <w:trHeight w:val="2315" w:hRule="exact"/>
          <w:jc w:val="center"/>
        </w:trPr>
        <w:tc>
          <w:tcPr>
            <w:tcW w:w="66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c>
          <w:tcPr>
            <w:tcW w:w="6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满意度指标</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服务对象满意度标</w:t>
            </w:r>
          </w:p>
        </w:tc>
        <w:tc>
          <w:tcPr>
            <w:tcW w:w="23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年度案件不满意率</w:t>
            </w:r>
          </w:p>
        </w:tc>
        <w:tc>
          <w:tcPr>
            <w:tcW w:w="123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≤5%</w:t>
            </w:r>
          </w:p>
        </w:tc>
        <w:tc>
          <w:tcPr>
            <w:tcW w:w="99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0%</w:t>
            </w:r>
          </w:p>
        </w:tc>
        <w:tc>
          <w:tcPr>
            <w:tcW w:w="83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10</w:t>
            </w:r>
          </w:p>
        </w:tc>
        <w:tc>
          <w:tcPr>
            <w:tcW w:w="87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10</w:t>
            </w:r>
          </w:p>
        </w:tc>
        <w:tc>
          <w:tcPr>
            <w:tcW w:w="177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color w:val="auto"/>
                <w:sz w:val="21"/>
                <w:szCs w:val="21"/>
              </w:rPr>
            </w:pPr>
          </w:p>
        </w:tc>
      </w:tr>
      <w:tr>
        <w:tblPrEx>
          <w:tblCellMar>
            <w:top w:w="0" w:type="dxa"/>
            <w:left w:w="108" w:type="dxa"/>
            <w:bottom w:w="0" w:type="dxa"/>
            <w:right w:w="108" w:type="dxa"/>
          </w:tblCellMar>
        </w:tblPrEx>
        <w:trPr>
          <w:trHeight w:val="477" w:hRule="exact"/>
          <w:jc w:val="center"/>
        </w:trPr>
        <w:tc>
          <w:tcPr>
            <w:tcW w:w="6725"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总分</w:t>
            </w:r>
          </w:p>
        </w:tc>
        <w:tc>
          <w:tcPr>
            <w:tcW w:w="83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100</w:t>
            </w:r>
          </w:p>
        </w:tc>
        <w:tc>
          <w:tcPr>
            <w:tcW w:w="872"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9</w:t>
            </w:r>
            <w:r>
              <w:rPr>
                <w:rFonts w:ascii="仿宋_GB2312" w:hAnsi="宋体" w:eastAsia="仿宋_GB2312" w:cs="宋体"/>
                <w:color w:val="auto"/>
                <w:kern w:val="0"/>
                <w:sz w:val="21"/>
                <w:szCs w:val="21"/>
              </w:rPr>
              <w:t>5.63</w:t>
            </w:r>
          </w:p>
        </w:tc>
        <w:tc>
          <w:tcPr>
            <w:tcW w:w="177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仿宋_GB2312" w:hAnsi="宋体" w:eastAsia="仿宋_GB2312" w:cs="宋体"/>
                <w:color w:val="auto"/>
                <w:kern w:val="0"/>
                <w:sz w:val="21"/>
                <w:szCs w:val="21"/>
              </w:rPr>
            </w:pPr>
          </w:p>
        </w:tc>
      </w:tr>
    </w:tbl>
    <w:p>
      <w:pPr>
        <w:rPr>
          <w:rFonts w:ascii="仿宋_GB2312" w:eastAsia="仿宋_GB2312"/>
          <w:vanish/>
          <w:sz w:val="32"/>
          <w:szCs w:val="32"/>
        </w:rPr>
      </w:pPr>
    </w:p>
    <w:p>
      <w:pPr>
        <w:spacing w:line="52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737"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5NGNlYjg4NzNiZGRhMTE2ZTM3YjZmZDgyYTE1MjkifQ=="/>
  </w:docVars>
  <w:rsids>
    <w:rsidRoot w:val="F77F09F4"/>
    <w:rsid w:val="00007B12"/>
    <w:rsid w:val="00015716"/>
    <w:rsid w:val="00155267"/>
    <w:rsid w:val="00202451"/>
    <w:rsid w:val="00211FAB"/>
    <w:rsid w:val="002A1F76"/>
    <w:rsid w:val="003C20DF"/>
    <w:rsid w:val="003D7F5E"/>
    <w:rsid w:val="00421C98"/>
    <w:rsid w:val="00475302"/>
    <w:rsid w:val="004C6E5D"/>
    <w:rsid w:val="004E3CDF"/>
    <w:rsid w:val="0055362B"/>
    <w:rsid w:val="006570D8"/>
    <w:rsid w:val="00864131"/>
    <w:rsid w:val="00923B85"/>
    <w:rsid w:val="009F44FF"/>
    <w:rsid w:val="00AA13FF"/>
    <w:rsid w:val="00AA5C85"/>
    <w:rsid w:val="00B74F87"/>
    <w:rsid w:val="00CC232D"/>
    <w:rsid w:val="00EF24B1"/>
    <w:rsid w:val="00F63C3D"/>
    <w:rsid w:val="00F946CC"/>
    <w:rsid w:val="00FB082C"/>
    <w:rsid w:val="018509BB"/>
    <w:rsid w:val="14A670B2"/>
    <w:rsid w:val="17681DB3"/>
    <w:rsid w:val="22105521"/>
    <w:rsid w:val="2B95132D"/>
    <w:rsid w:val="2F892CE8"/>
    <w:rsid w:val="37173543"/>
    <w:rsid w:val="3AB74CCD"/>
    <w:rsid w:val="3E1D4DF6"/>
    <w:rsid w:val="3FF76880"/>
    <w:rsid w:val="4A811B9C"/>
    <w:rsid w:val="4FB62250"/>
    <w:rsid w:val="549A0AF6"/>
    <w:rsid w:val="594A61F0"/>
    <w:rsid w:val="69BF6BDD"/>
    <w:rsid w:val="6F1C062E"/>
    <w:rsid w:val="777D8F66"/>
    <w:rsid w:val="7AB7FF50"/>
    <w:rsid w:val="7BBA4E35"/>
    <w:rsid w:val="7BFEB0DB"/>
    <w:rsid w:val="7EDC3936"/>
    <w:rsid w:val="7F9B608E"/>
    <w:rsid w:val="CEFD3F3D"/>
    <w:rsid w:val="E76F2340"/>
    <w:rsid w:val="EA3F77F2"/>
    <w:rsid w:val="EEBF4ED9"/>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3"/>
    <w:uiPriority w:val="0"/>
    <w:pPr>
      <w:jc w:val="left"/>
    </w:pPr>
  </w:style>
  <w:style w:type="paragraph" w:styleId="4">
    <w:name w:val="Balloon Text"/>
    <w:basedOn w:val="1"/>
    <w:link w:val="12"/>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annotation subject"/>
    <w:basedOn w:val="3"/>
    <w:next w:val="3"/>
    <w:link w:val="14"/>
    <w:qFormat/>
    <w:uiPriority w:val="0"/>
    <w:rPr>
      <w:b/>
      <w:bCs/>
    </w:rPr>
  </w:style>
  <w:style w:type="character" w:styleId="10">
    <w:name w:val="annotation reference"/>
    <w:basedOn w:val="9"/>
    <w:qFormat/>
    <w:uiPriority w:val="0"/>
    <w:rPr>
      <w:sz w:val="21"/>
      <w:szCs w:val="21"/>
    </w:rPr>
  </w:style>
  <w:style w:type="paragraph" w:customStyle="1" w:styleId="11">
    <w:name w:val="列出段落1"/>
    <w:basedOn w:val="1"/>
    <w:autoRedefine/>
    <w:qFormat/>
    <w:uiPriority w:val="34"/>
    <w:pPr>
      <w:ind w:firstLine="420" w:firstLineChars="200"/>
    </w:pPr>
    <w:rPr>
      <w:rFonts w:ascii="Calibri" w:hAnsi="Calibri" w:cs="黑体"/>
      <w:szCs w:val="22"/>
    </w:rPr>
  </w:style>
  <w:style w:type="character" w:customStyle="1" w:styleId="12">
    <w:name w:val="批注框文本 字符"/>
    <w:basedOn w:val="9"/>
    <w:link w:val="4"/>
    <w:uiPriority w:val="0"/>
    <w:rPr>
      <w:rFonts w:ascii="Times New Roman" w:hAnsi="Times New Roman" w:eastAsia="宋体" w:cs="Times New Roman"/>
      <w:kern w:val="2"/>
      <w:sz w:val="18"/>
      <w:szCs w:val="18"/>
    </w:rPr>
  </w:style>
  <w:style w:type="character" w:customStyle="1" w:styleId="13">
    <w:name w:val="批注文字 字符"/>
    <w:basedOn w:val="9"/>
    <w:link w:val="3"/>
    <w:qFormat/>
    <w:uiPriority w:val="0"/>
    <w:rPr>
      <w:rFonts w:ascii="Times New Roman" w:hAnsi="Times New Roman" w:eastAsia="宋体" w:cs="Times New Roman"/>
      <w:kern w:val="2"/>
      <w:sz w:val="21"/>
      <w:szCs w:val="24"/>
    </w:rPr>
  </w:style>
  <w:style w:type="character" w:customStyle="1" w:styleId="14">
    <w:name w:val="批注主题 字符"/>
    <w:basedOn w:val="13"/>
    <w:link w:val="7"/>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4</Pages>
  <Words>1296</Words>
  <Characters>1431</Characters>
  <Lines>12</Lines>
  <Paragraphs>3</Paragraphs>
  <TotalTime>10</TotalTime>
  <ScaleCrop>false</ScaleCrop>
  <LinksUpToDate>false</LinksUpToDate>
  <CharactersWithSpaces>1465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2022-03-11T11:16:00Z</dcterms:created>
  <dc:creator>user</dc:creator>
  <cp:lastModifiedBy>:D</cp:lastModifiedBy>
  <cp:lastPrinted>2022-03-25T18:01:00Z</cp:lastPrinted>
  <dcterms:modified xsi:type="dcterms:W3CDTF">2024-06-07T07:02:55Z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9A67231B6F504138AF8080FFAE4AE66A_12</vt:lpwstr>
  </property>
</Properties>
</file>