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100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14"/>
        <w:gridCol w:w="755"/>
        <w:gridCol w:w="1431"/>
        <w:gridCol w:w="953"/>
        <w:gridCol w:w="364"/>
        <w:gridCol w:w="852"/>
        <w:gridCol w:w="918"/>
        <w:gridCol w:w="228"/>
        <w:gridCol w:w="385"/>
        <w:gridCol w:w="297"/>
        <w:gridCol w:w="358"/>
        <w:gridCol w:w="488"/>
        <w:gridCol w:w="1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755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市区知识产权保护工作统筹协调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355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北京市知识产权局</w:t>
            </w:r>
          </w:p>
        </w:tc>
        <w:tc>
          <w:tcPr>
            <w:tcW w:w="11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325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北京市知识产权局本级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355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李泽</w:t>
            </w:r>
          </w:p>
        </w:tc>
        <w:tc>
          <w:tcPr>
            <w:tcW w:w="11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325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  <w:t>55536320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1299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18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21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68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  <w:jc w:val="center"/>
        </w:trPr>
        <w:tc>
          <w:tcPr>
            <w:tcW w:w="129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8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9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200.68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  <w:t>2</w:t>
            </w:r>
          </w:p>
        </w:tc>
        <w:tc>
          <w:tcPr>
            <w:tcW w:w="121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200.68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  <w:t>2</w:t>
            </w:r>
          </w:p>
        </w:tc>
        <w:tc>
          <w:tcPr>
            <w:tcW w:w="11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  <w:t>182.529</w:t>
            </w:r>
          </w:p>
        </w:tc>
        <w:tc>
          <w:tcPr>
            <w:tcW w:w="68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  <w:t>10</w:t>
            </w:r>
          </w:p>
        </w:tc>
        <w:tc>
          <w:tcPr>
            <w:tcW w:w="8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90.95%</w:t>
            </w:r>
          </w:p>
        </w:tc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  <w:t>9.1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129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8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9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200.68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  <w:t>2</w:t>
            </w:r>
          </w:p>
        </w:tc>
        <w:tc>
          <w:tcPr>
            <w:tcW w:w="121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200.68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  <w:t>2</w:t>
            </w:r>
          </w:p>
        </w:tc>
        <w:tc>
          <w:tcPr>
            <w:tcW w:w="11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  <w:t>182.529</w:t>
            </w:r>
          </w:p>
        </w:tc>
        <w:tc>
          <w:tcPr>
            <w:tcW w:w="68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90.95%</w:t>
            </w:r>
          </w:p>
        </w:tc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exact"/>
          <w:jc w:val="center"/>
        </w:trPr>
        <w:tc>
          <w:tcPr>
            <w:tcW w:w="129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8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上年结转资金</w:t>
            </w:r>
          </w:p>
        </w:tc>
        <w:tc>
          <w:tcPr>
            <w:tcW w:w="9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1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8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  <w:jc w:val="center"/>
        </w:trPr>
        <w:tc>
          <w:tcPr>
            <w:tcW w:w="129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8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其他资金</w:t>
            </w:r>
          </w:p>
        </w:tc>
        <w:tc>
          <w:tcPr>
            <w:tcW w:w="9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1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8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440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9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06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通过开展区域品牌工程建设项目，引导市、区两级知识产权资源向区域主导产业和特色产业集聚，打造区域知识产权工作品牌，提升区域整体实力，推动区域经济发展，促进商品流通领域知识产权保护长效机制的建立，进一步推动知识产权保护规范化市场发展；通过强化知识产权保护工作培训等，促进商品流通领域知识产权保护长效机制的建立，进一步提升知识产权保护规范化市场发展水平；通过组织开展能力提升培训，提升区域知识产权管理人员和执法人员的工作素质和能力，优化服务水平；通过研究北京市知识产权对外转让机制、操作指南，对知识产权案件开展分析，规范涉及国家安全的知识产权对外转让行为；通过举办商标品牌发展论坛，提升自主品牌影响力和竞争力以及企业自主品牌保护意识，营造良好营商环境，助力国际消费中心城市建设。通过区域知识产权工作会专项工程的开展，整合市、区两级知识产权管理部门等资源，对接促进创新资源开放共享，引导创新资源向区域主导产业和特色产业集聚，提升区域整体实力；通过开展区域商标监测预警项目，监测分析重点行业商标注册和运用现状，针对商标使用主体具体需求提供预警分析服务，促进其商标规范管理。依托办公会议机制提升知识产权保护能力，建立健全我市商标品牌指导和服务体系，指导发展传承好传统品牌和老字号，助力打造特色鲜明、竞争力强、市场信誉好的产业集群品牌和区域品牌，全面提升本市商标注册、运用、保护和管理水平。</w:t>
            </w:r>
          </w:p>
        </w:tc>
        <w:tc>
          <w:tcPr>
            <w:tcW w:w="440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通过政府采购程序确定5个“一区一特色”工程建设项目承担单位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,明确项目实施路径，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完善项目组织实施方案。在项目实施过程中，市、区两级知识产权管理部门参与项目实施，以项目成果在各区的转化落地为导向，形成项目成果；组织专家对项目进行结题评审，根据专家意见和市区管理部门意见建议修改完善项目成果，全部项目通过结题验收。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对现有培育市场进行系列培训，通过向市场发放自评表开展分级评估工作，指导市场主体建立健全知识产权保护工作机制。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举办“2023年北京市知识产权能力提升培训”，部分知识产权办公会议成员单位，以及各区知识产权局、全市商标注册受理窗口知识产权工作人员70余人参加。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根据商务局转办知识产权对外转让审查函的要求,与相关单位交流,完成8个专利对外转让审查工作。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以“规范商标注册行为 促进行业健康发展 助力知识产权强市建设”为主题举办“2023年北京商标品牌暨老字号商标保护论坛”，营造品牌保护良好氛围，强化老字号保护。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6.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完成四个季度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全市、各区商标发展情况统计分析报告和全市、各区重点行业商标发展情况统计分析报告。应相关部门工作需求，承接单位提供商标检索统计服务，并形成商标检索统计报告，为科学决策提供数据支撑。7.组织召开2023年全市区域知识产权工作会，部署相关工作，组织各商标窗口开展交流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7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74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9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61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6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221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75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74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指标1：知识产权保护法律法规培训、行政与司法保护实务培训、工作经验分享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1次</w:t>
            </w:r>
          </w:p>
        </w:tc>
        <w:tc>
          <w:tcPr>
            <w:tcW w:w="9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1次</w:t>
            </w:r>
          </w:p>
        </w:tc>
        <w:tc>
          <w:tcPr>
            <w:tcW w:w="61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21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5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74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指标2：知识产权规范化市场建设能力提升培训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1次</w:t>
            </w:r>
          </w:p>
        </w:tc>
        <w:tc>
          <w:tcPr>
            <w:tcW w:w="9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2次</w:t>
            </w:r>
          </w:p>
        </w:tc>
        <w:tc>
          <w:tcPr>
            <w:tcW w:w="61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21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5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74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：“一区一特色”区域品牌工程建设项目支持5个区的5个项目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4个</w:t>
            </w:r>
          </w:p>
        </w:tc>
        <w:tc>
          <w:tcPr>
            <w:tcW w:w="9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5个</w:t>
            </w:r>
          </w:p>
        </w:tc>
        <w:tc>
          <w:tcPr>
            <w:tcW w:w="61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21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5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74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：区域知识产权工作会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3场</w:t>
            </w:r>
          </w:p>
        </w:tc>
        <w:tc>
          <w:tcPr>
            <w:tcW w:w="9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3场</w:t>
            </w:r>
          </w:p>
        </w:tc>
        <w:tc>
          <w:tcPr>
            <w:tcW w:w="61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21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5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74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：商标品牌发展论坛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1场</w:t>
            </w:r>
          </w:p>
        </w:tc>
        <w:tc>
          <w:tcPr>
            <w:tcW w:w="9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1场</w:t>
            </w:r>
          </w:p>
        </w:tc>
        <w:tc>
          <w:tcPr>
            <w:tcW w:w="61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21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74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指标1：商标发展分析报告统计、部分重点行业商标监测报告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2项</w:t>
            </w:r>
          </w:p>
        </w:tc>
        <w:tc>
          <w:tcPr>
            <w:tcW w:w="9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5项</w:t>
            </w:r>
          </w:p>
        </w:tc>
        <w:tc>
          <w:tcPr>
            <w:tcW w:w="61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21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74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指标1：所有委托项目按时完成率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＝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9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61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21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74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指标1：“一区一特色”区域品牌工程建设项目费用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≤144.942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万元</w:t>
            </w:r>
          </w:p>
        </w:tc>
        <w:tc>
          <w:tcPr>
            <w:tcW w:w="9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143.67万元</w:t>
            </w:r>
          </w:p>
        </w:tc>
        <w:tc>
          <w:tcPr>
            <w:tcW w:w="61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21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75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社会效益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74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指标1：“一区一特色”区域品牌工程建设项目打造区域知识产权工作品牌，提升区域整体实力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优良中差</w:t>
            </w:r>
          </w:p>
        </w:tc>
        <w:tc>
          <w:tcPr>
            <w:tcW w:w="9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61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21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3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5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74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指标2：知识产权规范化市场培育提升知识产权保护规范化市场发展水平；知识产权能力提升项目提升区域知识产权管理人员工作能力，优化服务水平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优良中差</w:t>
            </w:r>
          </w:p>
        </w:tc>
        <w:tc>
          <w:tcPr>
            <w:tcW w:w="9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61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21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5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5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74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：深化区域商标品牌建设工作，建立健全我市商标品牌指导和服务体系，进一步提升我市企业商标品牌意识，引导市、区两级资源向区域主导产业和特色产业集聚，提升区域商标品牌发展水平和保护能力，服务区域经济高质量发展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优良中差</w:t>
            </w:r>
          </w:p>
        </w:tc>
        <w:tc>
          <w:tcPr>
            <w:tcW w:w="9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61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21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75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社会效益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74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：组织开展知识产权培训，提升区域知识产权管理人员和执法人员的工作素质和能力，优化服务水平。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优良中差</w:t>
            </w:r>
          </w:p>
        </w:tc>
        <w:tc>
          <w:tcPr>
            <w:tcW w:w="9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61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21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3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5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74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：知识产权规范化市场培育，进一步推动知识产权保护规范化市场发展，增强市场知识产权保护意识，提升知识产权保护规范化市场的整体建设水平。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优良中差</w:t>
            </w:r>
          </w:p>
        </w:tc>
        <w:tc>
          <w:tcPr>
            <w:tcW w:w="9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61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21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572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61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6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99.1</w:t>
            </w:r>
          </w:p>
        </w:tc>
        <w:tc>
          <w:tcPr>
            <w:tcW w:w="221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5NGNlYjg4NzNiZGRhMTE2ZTM3YjZmZDgyYTE1MjkifQ=="/>
  </w:docVars>
  <w:rsids>
    <w:rsidRoot w:val="F77F09F4"/>
    <w:rsid w:val="0A5874A5"/>
    <w:rsid w:val="3019213A"/>
    <w:rsid w:val="35F615D4"/>
    <w:rsid w:val="37173543"/>
    <w:rsid w:val="3BB62D39"/>
    <w:rsid w:val="3FF76880"/>
    <w:rsid w:val="556FA45A"/>
    <w:rsid w:val="72FC3FE8"/>
    <w:rsid w:val="777D8F66"/>
    <w:rsid w:val="7AB7FF50"/>
    <w:rsid w:val="7BBA4E35"/>
    <w:rsid w:val="7BFEB0DB"/>
    <w:rsid w:val="7DFB1792"/>
    <w:rsid w:val="7F9B608E"/>
    <w:rsid w:val="C4D34798"/>
    <w:rsid w:val="CEFD3F3D"/>
    <w:rsid w:val="E76F2340"/>
    <w:rsid w:val="EA3F77F2"/>
    <w:rsid w:val="EEBF4ED9"/>
    <w:rsid w:val="EEFE5989"/>
    <w:rsid w:val="EF3D5695"/>
    <w:rsid w:val="EFAB77C7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2336</Words>
  <Characters>2498</Characters>
  <Lines>0</Lines>
  <Paragraphs>0</Paragraphs>
  <TotalTime>3</TotalTime>
  <ScaleCrop>false</ScaleCrop>
  <LinksUpToDate>false</LinksUpToDate>
  <CharactersWithSpaces>2552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2022-03-12T19:16:00Z</dcterms:created>
  <dc:creator>user</dc:creator>
  <cp:lastModifiedBy>:D</cp:lastModifiedBy>
  <cp:lastPrinted>2022-03-27T02:01:00Z</cp:lastPrinted>
  <dcterms:modified xsi:type="dcterms:W3CDTF">2024-06-07T06:58:12Z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15B2E0A246D2624ABBEC1466D94CED5E</vt:lpwstr>
  </property>
</Properties>
</file>