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02"/>
        <w:gridCol w:w="654"/>
        <w:gridCol w:w="1451"/>
        <w:gridCol w:w="1127"/>
        <w:gridCol w:w="197"/>
        <w:gridCol w:w="910"/>
        <w:gridCol w:w="911"/>
        <w:gridCol w:w="241"/>
        <w:gridCol w:w="306"/>
        <w:gridCol w:w="642"/>
        <w:gridCol w:w="890"/>
        <w:gridCol w:w="7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122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知识产权政策法规体系建设项目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3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63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北京市知识产权局本级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3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郝青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3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55536310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287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1287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118.5</w:t>
            </w: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118.5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97.1365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82.0%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1287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118.5</w:t>
            </w: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118.5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97.1365</w:t>
            </w: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82.0%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287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87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4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8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4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①对《北京市“十四五”时期知识产权发展规划》、《北京市知识产权保护条例》实施后，按照要求开展实施情况跟踪。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②为提高依法行政能力，推行政府法律顾问制度和公职律师制度；邀请专家开展公职律师相关法律法规制度培训及咨询；编印知识产权政策法规动态，委托专业机构协助提供本市营商环境知识产权填报相关资料，确保圆满完成国家营商环境评价填报任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③委托专业机构编制《知识产权前沿》资料，为开展本市知识产权工作提供丰富的政策信息和数据参考，支持我市知识产权相关委办局和区知识产权管理部门相关决策。</w:t>
            </w:r>
          </w:p>
        </w:tc>
        <w:tc>
          <w:tcPr>
            <w:tcW w:w="378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①完成《北京市“十四五”时期知识产权发展规划》中期评估、《北京市知识产权保护条例》实施跟踪。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②推行政府法律顾问制度和公职律师制度；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聘用法律顾问单位为局进行行政规范性文件合法性初步审查、合同合法性初步审核、常用合同模板起草、信息公开申请答复咨询、行政复议案件代理以及相关法律培训等工作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，完成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3场培训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；编印知识产权政策法规动态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24期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；完成本年优化营商环境效能跟踪。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③委托专业机构编制《知识产权前沿》资料，为开展本市知识产权工作提供丰富的政策信息和数据参考，支持我市知识产权相关委办局和区知识产权管理部门相关决策。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6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制作《知识产权前沿》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期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12期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知识产权法律法规政策动态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≥24期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24期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形成法律顾问工作报告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≥1个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1个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6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形成规划中期实施报告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≥1个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1个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提供本市营商环境评价知识产权相关指标所需资料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1个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1"/>
                <w:szCs w:val="21"/>
              </w:rPr>
              <w:t>年国家未开展营商环境评价，本项工作未开展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形成优化营商服务效能跟踪报告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≥1个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1个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形成法律实施调查成果报告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≥1个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1个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知识产权前沿刊物每期文章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8篇</w:t>
            </w:r>
          </w:p>
        </w:tc>
        <w:tc>
          <w:tcPr>
            <w:tcW w:w="9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 w:eastAsia="zh-CN"/>
              </w:rPr>
              <w:t>10篇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法律实施调查成果报告逻辑清晰、实施清楚、语言规范、数据详实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基本达到目标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基本达到目标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形成规划中期实施报告逻辑清晰、实施清楚、语言规范、数据详实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基本达到目标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基本达到目标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形成优化营商服务效能跟踪报告逻辑清晰、实施清楚、语言规范、数据详实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基本达到目标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基本达到目标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及时按评价要求提供本市营商环境评价知识产权相关指标所需资料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基本达到目标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基本达到目标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1"/>
                <w:szCs w:val="21"/>
              </w:rPr>
              <w:t>年国家未开展营商环境评价，本项工作未开展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法律顾问咨询意见反馈及时、符合法律法规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基本达到目标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基本达到目标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知识产权法律法规政策动态每期文件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12篇</w:t>
            </w:r>
          </w:p>
        </w:tc>
        <w:tc>
          <w:tcPr>
            <w:tcW w:w="9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平均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项目完成时间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知识产权立法规划预算控制数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≤35万元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35万元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知识产权依法行政预算控制数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≤66.5万元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45.1365万元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《知识产权前沿》编制预算控制数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≤17万元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17万元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6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推动地方知识产权法规规划实施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基本达到目标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基本达到目标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前沿等刊物为制度设计、依法行政提供指导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基本达到目标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基本达到目标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依法行政能力提高，工作中尽量减少依法履职方面的问题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基本达到目标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基本达到目标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  <w:jc w:val="center"/>
        </w:trPr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推动地方知识产权规划实施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基本达到目标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基本达到目标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37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90.2</w:t>
            </w:r>
          </w:p>
        </w:tc>
        <w:tc>
          <w:tcPr>
            <w:tcW w:w="16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25E3691"/>
    <w:rsid w:val="2DDFBF59"/>
    <w:rsid w:val="33D70D55"/>
    <w:rsid w:val="37173543"/>
    <w:rsid w:val="3DE3E862"/>
    <w:rsid w:val="3FF76880"/>
    <w:rsid w:val="5E53D953"/>
    <w:rsid w:val="60405C16"/>
    <w:rsid w:val="6FFB7E72"/>
    <w:rsid w:val="777D8F66"/>
    <w:rsid w:val="7AB7FF50"/>
    <w:rsid w:val="7BBA4E35"/>
    <w:rsid w:val="7BFEB0DB"/>
    <w:rsid w:val="7F9B608E"/>
    <w:rsid w:val="977BF761"/>
    <w:rsid w:val="CEFD3F3D"/>
    <w:rsid w:val="E76F2340"/>
    <w:rsid w:val="EA3F77F2"/>
    <w:rsid w:val="ED966565"/>
    <w:rsid w:val="EEBF4ED9"/>
    <w:rsid w:val="EEFE5989"/>
    <w:rsid w:val="EF76E07D"/>
    <w:rsid w:val="EFCF3EAE"/>
    <w:rsid w:val="F239D18F"/>
    <w:rsid w:val="F5B764A2"/>
    <w:rsid w:val="F77F09F4"/>
    <w:rsid w:val="FDFD3C60"/>
    <w:rsid w:val="FEEBC550"/>
    <w:rsid w:val="FFD7BFFC"/>
    <w:rsid w:val="FFFA6B0F"/>
    <w:rsid w:val="FFFECC19"/>
    <w:rsid w:val="FFFF9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1713</Words>
  <Characters>1850</Characters>
  <Lines>0</Lines>
  <Paragraphs>0</Paragraphs>
  <TotalTime>4</TotalTime>
  <ScaleCrop>false</ScaleCrop>
  <LinksUpToDate>false</LinksUpToDate>
  <CharactersWithSpaces>1901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2022-03-13T11:16:00Z</dcterms:created>
  <dc:creator>user</dc:creator>
  <cp:lastModifiedBy>:D</cp:lastModifiedBy>
  <cp:lastPrinted>2024-06-06T10:01:00Z</cp:lastPrinted>
  <dcterms:modified xsi:type="dcterms:W3CDTF">2024-06-07T07:02:05Z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C9CFBD4C9BFD4ACEA490FA7D306C1704_12</vt:lpwstr>
  </property>
</Properties>
</file>