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bookmarkStart w:id="0" w:name="_GoBack"/>
      <w:bookmarkEnd w:id="0"/>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default" w:ascii="仿宋_GB2312" w:hAnsi="宋体" w:eastAsia="仿宋_GB2312"/>
          <w:sz w:val="28"/>
          <w:szCs w:val="28"/>
          <w:lang w:val="e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5"/>
        <w:tblW w:w="9533" w:type="dxa"/>
        <w:jc w:val="center"/>
        <w:tblLayout w:type="fixed"/>
        <w:tblCellMar>
          <w:top w:w="0" w:type="dxa"/>
          <w:left w:w="108" w:type="dxa"/>
          <w:bottom w:w="0" w:type="dxa"/>
          <w:right w:w="108" w:type="dxa"/>
        </w:tblCellMar>
      </w:tblPr>
      <w:tblGrid>
        <w:gridCol w:w="585"/>
        <w:gridCol w:w="975"/>
        <w:gridCol w:w="779"/>
        <w:gridCol w:w="1053"/>
        <w:gridCol w:w="1242"/>
        <w:gridCol w:w="1155"/>
        <w:gridCol w:w="989"/>
        <w:gridCol w:w="655"/>
        <w:gridCol w:w="801"/>
        <w:gridCol w:w="94"/>
        <w:gridCol w:w="1205"/>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973" w:type="dxa"/>
            <w:gridSpan w:val="9"/>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 w:eastAsia="zh-CN"/>
              </w:rPr>
            </w:pPr>
            <w:r>
              <w:rPr>
                <w:rFonts w:hint="eastAsia" w:ascii="仿宋_GB2312" w:hAnsi="宋体" w:eastAsia="仿宋_GB2312" w:cs="宋体"/>
                <w:kern w:val="0"/>
                <w:sz w:val="21"/>
                <w:szCs w:val="21"/>
                <w:lang w:val="en" w:eastAsia="zh-CN"/>
              </w:rPr>
              <w:t>首都知识产权宣传普及</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22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宣传教育处</w:t>
            </w: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755"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宣传教育处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22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徐皝</w:t>
            </w: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755"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55536349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242"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5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120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24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196.696</w:t>
            </w:r>
          </w:p>
        </w:tc>
        <w:tc>
          <w:tcPr>
            <w:tcW w:w="11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196.696</w:t>
            </w: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189.093</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96.13%</w:t>
            </w:r>
          </w:p>
        </w:tc>
        <w:tc>
          <w:tcPr>
            <w:tcW w:w="120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9.6</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24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196.696</w:t>
            </w:r>
          </w:p>
        </w:tc>
        <w:tc>
          <w:tcPr>
            <w:tcW w:w="11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196.696</w:t>
            </w: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189.093</w:t>
            </w: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20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2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20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2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5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20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463"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20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74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CellMar>
            <w:top w:w="0" w:type="dxa"/>
            <w:left w:w="108" w:type="dxa"/>
            <w:bottom w:w="0" w:type="dxa"/>
            <w:right w:w="108" w:type="dxa"/>
          </w:tblCellMar>
        </w:tblPrEx>
        <w:trPr>
          <w:trHeight w:val="321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20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rPr>
            </w:pPr>
          </w:p>
          <w:p>
            <w:pPr>
              <w:widowControl/>
              <w:spacing w:line="240" w:lineRule="exact"/>
              <w:jc w:val="left"/>
              <w:rPr>
                <w:rFonts w:hint="eastAsia" w:ascii="仿宋_GB2312" w:hAnsi="宋体" w:eastAsia="仿宋_GB2312" w:cs="宋体"/>
                <w:kern w:val="0"/>
                <w:sz w:val="21"/>
                <w:szCs w:val="21"/>
              </w:rPr>
            </w:pP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在4.26世界知识产权日、服贸会等重要时间节点，围绕全局中心工作，整合商标、专利、地理标志等各类宣传资源，从新媒体、报纸、电视等多个渠道进行知识产权宣传普及工作，通过召开新闻发布会、媒体专版报道、政策解读、新媒体宣传、发布知识产权普法宣传视频等工作推动首都知识产权事业再上新台阶，扩大知识产权的社会影响力。</w:t>
            </w: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p>
            <w:pPr>
              <w:widowControl/>
              <w:spacing w:line="240" w:lineRule="exact"/>
              <w:jc w:val="center"/>
              <w:rPr>
                <w:rFonts w:hint="eastAsia" w:ascii="仿宋_GB2312" w:hAnsi="宋体" w:eastAsia="仿宋_GB2312" w:cs="宋体"/>
                <w:kern w:val="0"/>
                <w:sz w:val="21"/>
                <w:szCs w:val="21"/>
              </w:rPr>
            </w:pPr>
          </w:p>
        </w:tc>
        <w:tc>
          <w:tcPr>
            <w:tcW w:w="374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4.26知识产权宣传周期间，通过召开新闻发布会、开展培训、举办论坛、参加开放日等，举办各种宣传活动125场。通过北京日报专版报道、开机屏标语、首页滚动新闻等，发布上一年度北京知识产权保护状况、行政保护十大案件等内容。制作完成“包公普法”、局总结宣传片、北京知识产权形象宣传片，通过地铁等渠道进行推广，进一步提升公众的知识产权意识。完成专利优先审查、专利预审等政策的图解。</w:t>
            </w:r>
          </w:p>
        </w:tc>
      </w:tr>
      <w:tr>
        <w:tblPrEx>
          <w:tblCellMar>
            <w:top w:w="0" w:type="dxa"/>
            <w:left w:w="108" w:type="dxa"/>
            <w:bottom w:w="0" w:type="dxa"/>
            <w:right w:w="108" w:type="dxa"/>
          </w:tblCellMar>
        </w:tblPrEx>
        <w:trPr>
          <w:trHeight w:val="705"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77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偏差原因分析</w:t>
            </w:r>
          </w:p>
        </w:tc>
      </w:tr>
      <w:tr>
        <w:tblPrEx>
          <w:tblCellMar>
            <w:top w:w="0" w:type="dxa"/>
            <w:left w:w="108" w:type="dxa"/>
            <w:bottom w:w="0" w:type="dxa"/>
            <w:right w:w="108" w:type="dxa"/>
          </w:tblCellMar>
        </w:tblPrEx>
        <w:trPr>
          <w:trHeight w:val="4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77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专家网络云课堂学时</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官方微信公众号</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东文宋体" w:hAnsi="东文宋体" w:eastAsia="东文宋体" w:cs="东文宋体"/>
                <w:kern w:val="0"/>
                <w:sz w:val="21"/>
                <w:szCs w:val="21"/>
                <w:lang w:eastAsia="zh-CN"/>
              </w:rPr>
              <w:t>≥</w:t>
            </w:r>
            <w:r>
              <w:rPr>
                <w:rFonts w:hint="eastAsia" w:ascii="仿宋_GB2312" w:hAnsi="宋体" w:eastAsia="仿宋_GB2312" w:cs="宋体"/>
                <w:kern w:val="0"/>
                <w:sz w:val="21"/>
                <w:szCs w:val="21"/>
                <w:lang w:val="en-US" w:eastAsia="zh-CN"/>
              </w:rPr>
              <w:t>200期</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308期</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制作普法宣传视频</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4部</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4部</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新闻发布会</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1场</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1场</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宣传材料制作</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5种</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5种</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eastAsia="zh-CN"/>
              </w:rPr>
              <w:t>京知</w:t>
            </w:r>
            <w:r>
              <w:rPr>
                <w:rFonts w:hint="eastAsia" w:ascii="仿宋_GB2312" w:hAnsi="宋体" w:eastAsia="仿宋_GB2312" w:cs="宋体"/>
                <w:color w:val="000000"/>
                <w:kern w:val="0"/>
                <w:sz w:val="21"/>
                <w:szCs w:val="21"/>
                <w:lang w:val="en-US" w:eastAsia="zh-CN"/>
              </w:rPr>
              <w:t>E周刊</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东文宋体" w:hAnsi="东文宋体" w:eastAsia="东文宋体" w:cs="东文宋体"/>
                <w:kern w:val="0"/>
                <w:sz w:val="21"/>
                <w:szCs w:val="21"/>
                <w:lang w:eastAsia="zh-CN"/>
              </w:rPr>
              <w:t>≥</w:t>
            </w:r>
            <w:r>
              <w:rPr>
                <w:rFonts w:hint="eastAsia" w:ascii="仿宋_GB2312" w:hAnsi="宋体" w:eastAsia="仿宋_GB2312" w:cs="宋体"/>
                <w:kern w:val="0"/>
                <w:sz w:val="21"/>
                <w:szCs w:val="21"/>
                <w:lang w:val="en-US" w:eastAsia="zh-CN"/>
              </w:rPr>
              <w:t>40期</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42期</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订报</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607份</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607份</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29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一图读懂</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东文宋体" w:hAnsi="东文宋体" w:eastAsia="东文宋体" w:cs="东文宋体"/>
                <w:kern w:val="0"/>
                <w:sz w:val="21"/>
                <w:szCs w:val="21"/>
                <w:lang w:eastAsia="zh-CN"/>
              </w:rPr>
              <w:t>≥</w:t>
            </w:r>
            <w:r>
              <w:rPr>
                <w:rFonts w:hint="eastAsia" w:ascii="仿宋_GB2312" w:hAnsi="仿宋_GB2312" w:eastAsia="仿宋_GB2312" w:cs="仿宋_GB2312"/>
                <w:kern w:val="0"/>
                <w:sz w:val="21"/>
                <w:szCs w:val="21"/>
                <w:lang w:val="en-US" w:eastAsia="zh-CN"/>
              </w:rPr>
              <w:t>6个</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6个</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媒体专版报道</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东文宋体" w:hAnsi="东文宋体" w:eastAsia="东文宋体" w:cs="东文宋体"/>
                <w:kern w:val="0"/>
                <w:sz w:val="21"/>
                <w:szCs w:val="21"/>
                <w:lang w:val="en-US" w:eastAsia="zh-CN"/>
              </w:rPr>
            </w:pPr>
            <w:r>
              <w:rPr>
                <w:rFonts w:hint="eastAsia" w:ascii="东文宋体" w:hAnsi="东文宋体" w:eastAsia="东文宋体" w:cs="东文宋体"/>
                <w:kern w:val="0"/>
                <w:sz w:val="21"/>
                <w:szCs w:val="21"/>
                <w:lang w:val="en-US" w:eastAsia="zh-CN"/>
              </w:rPr>
              <w:t>=</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1个</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eastAsia="zh-CN"/>
              </w:rPr>
              <w:t>普法宣传视频覆盖</w:t>
            </w:r>
            <w:r>
              <w:rPr>
                <w:rFonts w:hint="eastAsia" w:ascii="仿宋_GB2312" w:hAnsi="宋体" w:eastAsia="仿宋_GB2312" w:cs="宋体"/>
                <w:color w:val="000000"/>
                <w:kern w:val="0"/>
                <w:sz w:val="21"/>
                <w:szCs w:val="21"/>
                <w:lang w:val="en-US" w:eastAsia="zh-CN"/>
              </w:rPr>
              <w:t>5个平台</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订报覆盖办公会议成员单位、试点示范企业、各区局</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项目评审中专家使用率</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60%</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73%</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新媒体粉丝数量增长率</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10%</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21.3%</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4月召开新闻发布会</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11月底前完成制作</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全年推进专家库建设</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4月完成媒体专版报道</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全年推进新媒体运营</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11月底前完成普法宣传视频推广</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定性</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已完成</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专版报道</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23万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23</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宣传材料制作</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12万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12</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5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订报</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12.096万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12.096</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0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劳务费</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4.3万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1.065</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0.8</w:t>
            </w:r>
          </w:p>
        </w:tc>
        <w:tc>
          <w:tcPr>
            <w:tcW w:w="1299"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eastAsia="zh-CN"/>
              </w:rPr>
              <w:t>出差和培训次数少于预期，</w:t>
            </w:r>
            <w:r>
              <w:rPr>
                <w:rFonts w:hint="eastAsia" w:ascii="仿宋_GB2312" w:hAnsi="仿宋_GB2312" w:eastAsia="仿宋_GB2312" w:cs="仿宋_GB2312"/>
                <w:kern w:val="0"/>
                <w:sz w:val="21"/>
                <w:szCs w:val="21"/>
                <w:lang w:val="en-US" w:eastAsia="zh-CN"/>
              </w:rPr>
              <w:t>2024年将加大培训力度，开展调研。</w:t>
            </w:r>
          </w:p>
        </w:tc>
      </w:tr>
      <w:tr>
        <w:tblPrEx>
          <w:tblCellMar>
            <w:top w:w="0" w:type="dxa"/>
            <w:left w:w="108" w:type="dxa"/>
            <w:bottom w:w="0" w:type="dxa"/>
            <w:right w:w="108" w:type="dxa"/>
          </w:tblCellMar>
        </w:tblPrEx>
        <w:trPr>
          <w:trHeight w:val="6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差旅费</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2.7万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0.832</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0.8</w:t>
            </w:r>
          </w:p>
        </w:tc>
        <w:tc>
          <w:tcPr>
            <w:tcW w:w="1299"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新媒体运营与推广</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81.6万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81.6</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普法视频制作</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52万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49.5</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0.9</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招标报价差额</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专家库建设</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9万</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77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社会</w:t>
            </w:r>
            <w:r>
              <w:rPr>
                <w:rFonts w:hint="eastAsia" w:ascii="仿宋_GB2312" w:hAnsi="宋体" w:eastAsia="仿宋_GB2312" w:cs="宋体"/>
                <w:kern w:val="0"/>
                <w:sz w:val="21"/>
                <w:szCs w:val="21"/>
              </w:rPr>
              <w:t>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2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宣传覆盖渠道类型</w:t>
            </w:r>
          </w:p>
        </w:tc>
        <w:tc>
          <w:tcPr>
            <w:tcW w:w="11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6种</w:t>
            </w:r>
          </w:p>
        </w:tc>
        <w:tc>
          <w:tcPr>
            <w:tcW w:w="98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7种</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477" w:hRule="exact"/>
          <w:jc w:val="center"/>
        </w:trPr>
        <w:tc>
          <w:tcPr>
            <w:tcW w:w="6778"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65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99.1</w:t>
            </w:r>
          </w:p>
        </w:tc>
        <w:tc>
          <w:tcPr>
            <w:tcW w:w="12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spacing w:line="520" w:lineRule="exact"/>
        <w:ind w:firstLine="640" w:firstLineChars="200"/>
        <w:rPr>
          <w:rFonts w:hint="eastAsia"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2FE3753F"/>
    <w:rsid w:val="37173543"/>
    <w:rsid w:val="3F668EA5"/>
    <w:rsid w:val="3FA53897"/>
    <w:rsid w:val="3FF76880"/>
    <w:rsid w:val="46DE312D"/>
    <w:rsid w:val="56CF8CB0"/>
    <w:rsid w:val="57EDA19F"/>
    <w:rsid w:val="5FFA53DA"/>
    <w:rsid w:val="5FFB3368"/>
    <w:rsid w:val="63F56C62"/>
    <w:rsid w:val="64FFE23F"/>
    <w:rsid w:val="6FF90419"/>
    <w:rsid w:val="75B73461"/>
    <w:rsid w:val="777D8F66"/>
    <w:rsid w:val="77EFD367"/>
    <w:rsid w:val="7A6F07DC"/>
    <w:rsid w:val="7AB7FF50"/>
    <w:rsid w:val="7BBA4E35"/>
    <w:rsid w:val="7BFEB0DB"/>
    <w:rsid w:val="7CE6010D"/>
    <w:rsid w:val="7F9B608E"/>
    <w:rsid w:val="BAB70541"/>
    <w:rsid w:val="BFE9B924"/>
    <w:rsid w:val="CEFD3F3D"/>
    <w:rsid w:val="D7F59795"/>
    <w:rsid w:val="E76F2340"/>
    <w:rsid w:val="EA3F77F2"/>
    <w:rsid w:val="EEBF4ED9"/>
    <w:rsid w:val="EEFE5989"/>
    <w:rsid w:val="EF968584"/>
    <w:rsid w:val="EFCF3EAE"/>
    <w:rsid w:val="F5B764A2"/>
    <w:rsid w:val="F77F09F4"/>
    <w:rsid w:val="FBF9CE37"/>
    <w:rsid w:val="FDFA7858"/>
    <w:rsid w:val="FE7D1964"/>
    <w:rsid w:val="FE9F764D"/>
    <w:rsid w:val="FF2F397B"/>
    <w:rsid w:val="FF7B39C5"/>
    <w:rsid w:val="FFD7BFFC"/>
    <w:rsid w:val="FFFA6B0F"/>
    <w:rsid w:val="FFFF6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235</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2022-03-12T19:16:00Z</dcterms:created>
  <dc:creator>user</dc:creator>
  <cp:lastModifiedBy>user</cp:lastModifiedBy>
  <cp:lastPrinted>2024-08-22T19:16:00Z</cp:lastPrinted>
  <dcterms:modified xsi:type="dcterms:W3CDTF">2024-08-23T10:53:12Z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