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36"/>
          <w:szCs w:val="36"/>
        </w:rPr>
      </w:pPr>
      <w:bookmarkStart w:id="0" w:name="_GoBack"/>
      <w:bookmarkEnd w:id="0"/>
      <w:r>
        <w:rPr>
          <w:rFonts w:hint="eastAsia" w:ascii="方正小标宋简体" w:eastAsia="方正小标宋简体"/>
          <w:sz w:val="36"/>
          <w:szCs w:val="36"/>
        </w:rPr>
        <w:t>北京医药职工大学</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lang w:eastAsia="zh-CN"/>
        </w:rPr>
        <w:t>（中国北京同仁堂（集团）有限责任公司党校）</w:t>
      </w:r>
    </w:p>
    <w:p>
      <w:pPr>
        <w:spacing w:line="560" w:lineRule="exact"/>
        <w:jc w:val="center"/>
        <w:rPr>
          <w:rFonts w:ascii="仿宋_GB2312" w:eastAsia="仿宋_GB2312"/>
          <w:sz w:val="32"/>
          <w:szCs w:val="32"/>
        </w:rPr>
      </w:pPr>
      <w:r>
        <w:rPr>
          <w:rFonts w:hint="eastAsia" w:ascii="方正小标宋简体" w:eastAsia="方正小标宋简体"/>
          <w:sz w:val="36"/>
          <w:szCs w:val="36"/>
        </w:rPr>
        <w:t>教学资源建设类项目</w:t>
      </w:r>
      <w:r>
        <w:rPr>
          <w:rFonts w:hint="eastAsia" w:ascii="方正小标宋简体" w:eastAsia="方正小标宋简体"/>
          <w:sz w:val="36"/>
          <w:szCs w:val="36"/>
          <w:lang w:eastAsia="zh-CN"/>
        </w:rPr>
        <w:t>支出</w:t>
      </w:r>
      <w:r>
        <w:rPr>
          <w:rFonts w:hint="eastAsia" w:ascii="方正小标宋简体" w:eastAsia="方正小标宋简体"/>
          <w:sz w:val="36"/>
          <w:szCs w:val="36"/>
        </w:rPr>
        <w:t>绩效评价报告</w:t>
      </w:r>
    </w:p>
    <w:p>
      <w:pPr>
        <w:spacing w:line="600" w:lineRule="exact"/>
        <w:ind w:firstLine="640" w:firstLineChars="200"/>
        <w:rPr>
          <w:rFonts w:hint="eastAsia" w:ascii="黑体" w:hAnsi="黑体" w:eastAsia="黑体" w:cs="黑体"/>
          <w:sz w:val="32"/>
          <w:szCs w:val="32"/>
        </w:rPr>
      </w:pP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（一）项目概况。包括项目背景、主要内容及实施情况、资金投入和使用情况等。</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北京医药职工大学（中国北京同仁堂（集团）有限责任公司党校）承担医药行业专科</w:t>
      </w:r>
      <w:r>
        <w:rPr>
          <w:rFonts w:hint="eastAsia" w:ascii="方正仿宋_GB2312" w:hAnsi="方正仿宋_GB2312" w:eastAsia="方正仿宋_GB2312" w:cs="方正仿宋_GB2312"/>
          <w:sz w:val="32"/>
          <w:szCs w:val="32"/>
          <w:lang w:eastAsia="zh-CN"/>
        </w:rPr>
        <w:t>本科</w:t>
      </w:r>
      <w:r>
        <w:rPr>
          <w:rFonts w:hint="eastAsia" w:ascii="方正仿宋_GB2312" w:hAnsi="方正仿宋_GB2312" w:eastAsia="方正仿宋_GB2312" w:cs="方正仿宋_GB2312"/>
          <w:sz w:val="32"/>
          <w:szCs w:val="32"/>
        </w:rPr>
        <w:t>学历教育，培养高级技术应用人才，以及相关专业技能培训、技能等级认定；开展党员、干部教育培训等</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定位于医药继续教育及职业技能培训，以医药行业需求为导向，根据社会需求、用人单位需求和学生需求，致力于培养职业技能型及应用型人才</w:t>
      </w:r>
      <w:r>
        <w:rPr>
          <w:rFonts w:hint="eastAsia" w:ascii="方正仿宋_GB2312" w:hAnsi="方正仿宋_GB2312" w:eastAsia="方正仿宋_GB2312" w:cs="方正仿宋_GB2312"/>
          <w:sz w:val="32"/>
          <w:szCs w:val="32"/>
          <w:lang w:eastAsia="zh-CN"/>
        </w:rPr>
        <w:t>。</w:t>
      </w:r>
    </w:p>
    <w:p>
      <w:pPr>
        <w:spacing w:line="600" w:lineRule="exact"/>
        <w:ind w:firstLine="640" w:firstLineChars="200"/>
        <w:outlineLvl w:val="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信息化时代，教育与技术的融合越来越紧密，教</w:t>
      </w:r>
      <w:r>
        <w:rPr>
          <w:rFonts w:hint="eastAsia" w:ascii="方正仿宋_GB2312" w:hAnsi="方正仿宋_GB2312" w:eastAsia="方正仿宋_GB2312" w:cs="方正仿宋_GB2312"/>
          <w:sz w:val="32"/>
          <w:szCs w:val="32"/>
          <w:lang w:eastAsia="zh-CN"/>
        </w:rPr>
        <w:t>学</w:t>
      </w:r>
      <w:r>
        <w:rPr>
          <w:rFonts w:hint="eastAsia" w:ascii="方正仿宋_GB2312" w:hAnsi="方正仿宋_GB2312" w:eastAsia="方正仿宋_GB2312" w:cs="方正仿宋_GB2312"/>
          <w:sz w:val="32"/>
          <w:szCs w:val="32"/>
        </w:rPr>
        <w:t>资源的建设自然也成为学校信息化建设的重要环节。建设和应用教育专业教学资源是推进教育</w:t>
      </w:r>
      <w:r>
        <w:rPr>
          <w:rFonts w:hint="eastAsia" w:ascii="方正仿宋_GB2312" w:hAnsi="方正仿宋_GB2312" w:eastAsia="方正仿宋_GB2312" w:cs="方正仿宋_GB2312"/>
          <w:sz w:val="32"/>
          <w:szCs w:val="32"/>
          <w:lang w:eastAsia="zh-CN"/>
        </w:rPr>
        <w:t>教学</w:t>
      </w:r>
      <w:r>
        <w:rPr>
          <w:rFonts w:hint="eastAsia" w:ascii="方正仿宋_GB2312" w:hAnsi="方正仿宋_GB2312" w:eastAsia="方正仿宋_GB2312" w:cs="方正仿宋_GB2312"/>
          <w:sz w:val="32"/>
          <w:szCs w:val="32"/>
        </w:rPr>
        <w:t>信息化，促进优质教学资源共建共享，实现教学模式变革与创新重要措施。</w:t>
      </w:r>
      <w:r>
        <w:rPr>
          <w:rFonts w:hint="eastAsia" w:ascii="方正仿宋_GB2312" w:hAnsi="方正仿宋_GB2312" w:eastAsia="方正仿宋_GB2312" w:cs="方正仿宋_GB2312"/>
          <w:sz w:val="32"/>
          <w:szCs w:val="32"/>
          <w:lang w:eastAsia="zh-CN"/>
        </w:rPr>
        <w:t>同时，</w:t>
      </w:r>
      <w:r>
        <w:rPr>
          <w:rFonts w:hint="eastAsia" w:ascii="方正仿宋_GB2312" w:hAnsi="方正仿宋_GB2312" w:eastAsia="方正仿宋_GB2312" w:cs="方正仿宋_GB2312"/>
          <w:sz w:val="32"/>
          <w:szCs w:val="32"/>
        </w:rPr>
        <w:t>随着教学创新不断发展，教育与技术的融合已经不仅仅是简单的设备</w:t>
      </w:r>
      <w:r>
        <w:rPr>
          <w:rFonts w:hint="eastAsia" w:ascii="方正仿宋_GB2312" w:hAnsi="方正仿宋_GB2312" w:eastAsia="方正仿宋_GB2312" w:cs="方正仿宋_GB2312"/>
          <w:sz w:val="32"/>
          <w:szCs w:val="32"/>
          <w:lang w:eastAsia="zh-CN"/>
        </w:rPr>
        <w:t>与</w:t>
      </w:r>
      <w:r>
        <w:rPr>
          <w:rFonts w:hint="eastAsia" w:ascii="方正仿宋_GB2312" w:hAnsi="方正仿宋_GB2312" w:eastAsia="方正仿宋_GB2312" w:cs="方正仿宋_GB2312"/>
          <w:sz w:val="32"/>
          <w:szCs w:val="32"/>
        </w:rPr>
        <w:t>平台，而是从教学实际需求出发，除了具备数字化、网络化、智能化和多媒体化等特点之外，还要考虑教与学过程中实际的用户体验，协助教师提升教学质量，促进学生的学习效率。</w:t>
      </w:r>
    </w:p>
    <w:p>
      <w:pPr>
        <w:spacing w:line="600" w:lineRule="exact"/>
        <w:ind w:firstLine="640" w:firstLineChars="200"/>
        <w:outlineLvl w:val="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结合目前学校各专业的教育教学情况，数字化教学资源仍相对匮乏，学校能为学生提供辅助学习的教学资源还远远满足不了教学需要。本项目主要内容为以微课程的形式，将抽象的知识用更加直观、形象以及易于理解的形式展示给学生，同时利用网络平台完成学生对课堂学习的补充与深化</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近几年学校各专业</w:t>
      </w:r>
      <w:r>
        <w:rPr>
          <w:rFonts w:hint="eastAsia" w:ascii="方正仿宋_GB2312" w:hAnsi="方正仿宋_GB2312" w:eastAsia="方正仿宋_GB2312" w:cs="方正仿宋_GB2312"/>
          <w:sz w:val="32"/>
          <w:szCs w:val="32"/>
          <w:lang w:eastAsia="zh-CN"/>
        </w:rPr>
        <w:t>优质</w:t>
      </w:r>
      <w:r>
        <w:rPr>
          <w:rFonts w:hint="eastAsia" w:ascii="方正仿宋_GB2312" w:hAnsi="方正仿宋_GB2312" w:eastAsia="方正仿宋_GB2312" w:cs="方正仿宋_GB2312"/>
          <w:sz w:val="32"/>
          <w:szCs w:val="32"/>
        </w:rPr>
        <w:t>人才的引进，为设计并制作具有行业特色和成人教育特点的医药成人高等教育教学资源成为可能。</w:t>
      </w:r>
    </w:p>
    <w:p>
      <w:pPr>
        <w:spacing w:line="600" w:lineRule="exact"/>
        <w:ind w:firstLine="640" w:firstLineChars="200"/>
        <w:outlineLvl w:val="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eastAsia="zh-CN"/>
        </w:rPr>
        <w:t>本</w:t>
      </w:r>
      <w:r>
        <w:rPr>
          <w:rFonts w:hint="eastAsia" w:ascii="方正仿宋_GB2312" w:hAnsi="方正仿宋_GB2312" w:eastAsia="方正仿宋_GB2312" w:cs="方正仿宋_GB2312"/>
          <w:sz w:val="32"/>
          <w:szCs w:val="32"/>
        </w:rPr>
        <w:t>项目历时</w:t>
      </w:r>
      <w:r>
        <w:rPr>
          <w:rFonts w:hint="eastAsia" w:ascii="方正仿宋_GB2312" w:hAnsi="方正仿宋_GB2312" w:eastAsia="方正仿宋_GB2312" w:cs="方正仿宋_GB2312"/>
          <w:sz w:val="32"/>
          <w:szCs w:val="32"/>
          <w:lang w:val="en-US" w:eastAsia="zh-CN"/>
        </w:rPr>
        <w:t>8</w:t>
      </w:r>
      <w:r>
        <w:rPr>
          <w:rFonts w:hint="eastAsia" w:ascii="方正仿宋_GB2312" w:hAnsi="方正仿宋_GB2312" w:eastAsia="方正仿宋_GB2312" w:cs="方正仿宋_GB2312"/>
          <w:sz w:val="32"/>
          <w:szCs w:val="32"/>
        </w:rPr>
        <w:t>个月进行了3个教学资源内容的设计并撰写脚本；制作图片、音频、视频、二维动画</w:t>
      </w:r>
      <w:r>
        <w:rPr>
          <w:rFonts w:hint="eastAsia" w:ascii="方正仿宋_GB2312" w:hAnsi="方正仿宋_GB2312" w:eastAsia="方正仿宋_GB2312" w:cs="方正仿宋_GB2312"/>
          <w:sz w:val="32"/>
          <w:szCs w:val="32"/>
          <w:lang w:eastAsia="zh-CN"/>
        </w:rPr>
        <w:t>、三维动画</w:t>
      </w:r>
      <w:r>
        <w:rPr>
          <w:rFonts w:hint="eastAsia" w:ascii="方正仿宋_GB2312" w:hAnsi="方正仿宋_GB2312" w:eastAsia="方正仿宋_GB2312" w:cs="方正仿宋_GB2312"/>
          <w:sz w:val="32"/>
          <w:szCs w:val="32"/>
        </w:rPr>
        <w:t>等素材，并制作微课程</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结合教学和学生</w:t>
      </w:r>
      <w:r>
        <w:rPr>
          <w:rFonts w:hint="eastAsia" w:ascii="方正仿宋_GB2312" w:hAnsi="方正仿宋_GB2312" w:eastAsia="方正仿宋_GB2312" w:cs="方正仿宋_GB2312"/>
          <w:sz w:val="32"/>
          <w:szCs w:val="32"/>
          <w:lang w:eastAsia="zh-CN"/>
        </w:rPr>
        <w:t>学习实际</w:t>
      </w:r>
      <w:r>
        <w:rPr>
          <w:rFonts w:hint="eastAsia" w:ascii="方正仿宋_GB2312" w:hAnsi="方正仿宋_GB2312" w:eastAsia="方正仿宋_GB2312" w:cs="方正仿宋_GB2312"/>
          <w:sz w:val="32"/>
          <w:szCs w:val="32"/>
        </w:rPr>
        <w:t>，进行微课程的测试、验收和应用等过程。3个教学资源</w:t>
      </w:r>
      <w:r>
        <w:rPr>
          <w:rFonts w:hint="eastAsia" w:ascii="方正仿宋_GB2312" w:hAnsi="方正仿宋_GB2312" w:eastAsia="方正仿宋_GB2312" w:cs="方正仿宋_GB2312"/>
          <w:sz w:val="32"/>
          <w:szCs w:val="32"/>
          <w:lang w:eastAsia="zh-CN"/>
        </w:rPr>
        <w:t>分别为</w:t>
      </w:r>
      <w:r>
        <w:rPr>
          <w:rFonts w:hint="eastAsia" w:ascii="方正仿宋_GB2312" w:hAnsi="方正仿宋_GB2312" w:eastAsia="方正仿宋_GB2312" w:cs="方正仿宋_GB2312"/>
          <w:sz w:val="32"/>
          <w:szCs w:val="32"/>
        </w:rPr>
        <w:t>《阴阳学说及其在中医药学中的应用》、《动脉血压的形成条件及影响因素》、《酶促反应动力学—酶的抑制剂》</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共投入资金33.96万元。</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项目绩效目标。包括总体目标和阶段性目标。</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通过完成本项目，制作内容丰富的教学资源。《阴阳学说及其在中医药学中的应用》把中医药文化和英语的教学引入微课，培养语言运用能力和沟通能力，同时提升学生综合人文素质，拓展国际视野，强化跨文化意识，讲好中国故事、传播中国理念，传承、发扬和积极传播中国优秀传统文化。用英文以实例呈现中医药文化，达到表达流畅不晦涩的效果，有助于学生了解和学习中医药文化，树立正确的文化价值观，增强文化自信。</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动脉血压的形成条件及影响因素》将课程当中的重点知识内容动脉血压的形成条件及影响因素，与高血压的危害、高血压引起的疾病和降压药药理内容相结合，呈现了一堂兼具教学作用和科普意义的微课。通过三维动画和实例讲解，实现了教学内容的生动性，提升了学生对疾病机理的认知和健康意识。</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《酶促反应动力学—酶的抑制剂》将教学内容以二维动画或三维动画的形式更形象、直观和生动的展现给学生，不仅可以使学生加深对专业课程的理解和认识，更好掌握教学中的重点、难点，培养学生专业能力。</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通过在教学中合理利用现代教育技术手段，实现教学方式的多样化和信息化，同时达到节约教学成本、提高教学效率、提升教学质量的目的。阶段性目标：第一阶段进行课程内容的设计并撰写脚本，为下一步工作做准备；第二阶段制作图片、音频、视频、二维动画、三维动画等素材，并制作微课程；第三阶段结合教学与学生需求，进行教学资源测试。</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建设适合学校教育教学实际需要的教学资源库是学校内涵建设的一个重要内容，学校将持续建设一个规范的、内容丰富的、开放性的和具有“校本特色”的系列教学资源，为学校教育教学信息化搭建资源平台。</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outlineLvl w:val="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（一）绩效评价目的、对象和范围。</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为深入贯彻落实《北京市财政局关于&lt;印发进一步深化项目支出绩效预算管理改革的意见&gt;的通知》（京财预〔2017〕2944号）等文件要求，根据京财绩效2146 号文相关精神，聚焦医药职工大学（党校） 202</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lang w:eastAsia="zh-CN"/>
        </w:rPr>
        <w:t xml:space="preserve"> 年项目资金，围绕决策、过程、产出及效益情况开展评价，总结经验，发现问题，剖析原因，提出改进建议，为学校科学决策、规范管理提供参考，进一步优化教学资源建设工作，提高财政资金配置效率和使用效益。</w:t>
      </w:r>
    </w:p>
    <w:p>
      <w:pPr>
        <w:spacing w:line="600" w:lineRule="exact"/>
        <w:ind w:firstLine="640" w:firstLineChars="200"/>
        <w:outlineLvl w:val="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（二）绩效评价原则、评价指标体系、评价方法、评价标准等。</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1.绩效评价原则</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（1）科学规范原则。绩效评价注重财政支出的效率性和有效性，严格执行相关制度规定。</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（2）客观公正原则。绩效评价应当客观、公正。</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（3）绩效相关原则。绩效评价应当针对具体项目支出及其产出情况进行评价，评价结果应清晰反映支出和产出绩效之间的紧密对应关系。</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2.评价方法</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本次评价采用项目实施单位自评方式，运用目标比较法、因素分析法以及问卷调查法等方法，定量与定性相结合。</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3.评价指标体系</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设置了产出、效益、满意度3个一级指标；数量、质量、时效、成本、社会效益、可持续影响、服务对象满意度7个二级指标，并根据二级指标细化为</w:t>
      </w:r>
      <w:r>
        <w:rPr>
          <w:rFonts w:hint="eastAsia" w:ascii="方正仿宋_GB2312" w:hAnsi="方正仿宋_GB2312" w:eastAsia="方正仿宋_GB2312" w:cs="方正仿宋_GB2312"/>
          <w:sz w:val="32"/>
          <w:szCs w:val="32"/>
          <w:lang w:val="en-US" w:eastAsia="zh-CN"/>
        </w:rPr>
        <w:t>12</w:t>
      </w:r>
      <w:r>
        <w:rPr>
          <w:rFonts w:hint="eastAsia" w:ascii="方正仿宋_GB2312" w:hAnsi="方正仿宋_GB2312" w:eastAsia="方正仿宋_GB2312" w:cs="方正仿宋_GB2312"/>
          <w:sz w:val="32"/>
          <w:szCs w:val="32"/>
          <w:lang w:eastAsia="zh-CN"/>
        </w:rPr>
        <w:t xml:space="preserve">个三级指标，详见“项目支出绩效自评表。”绩效评价综合绩效级别分为 4 个等级： </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综合得分在 90（含）-100（含）分为优；</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综合得分在 80（含）-90 分为良；</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综合得分在 60（含）-80 分为中；</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综合得分在 60 分以下为差。</w:t>
      </w:r>
    </w:p>
    <w:p>
      <w:pPr>
        <w:spacing w:line="600" w:lineRule="exact"/>
        <w:ind w:firstLine="640" w:firstLineChars="200"/>
        <w:outlineLvl w:val="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（三）绩效评价工作过程。</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1.前期准备：制定评价工作方案，完善评价指标体系，确定绩效评价方法，整理项目执行情况和取得的各项成效，在与项目负责人充分沟通的基础上进行项目资料收集、整理工作。</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2.组织实施：在前期工作基础上，深入分析项目资料，与项目负责人及时沟通，全面了解项目经费使用和组织实施管理情况，对投入、产出和效益效果进行全方位评价。</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3.分析评价：根据收集到的项目相关资料及现场勘查结果，对项目决策、过程、产出、效益情况进行综合分析，按照评价标准逐条研判打分。</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4.报告出具：汇总各项指标评价情况，明确评价结果，反映绩效情况。</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三、综合评价情况及评价结论</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202</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lang w:eastAsia="zh-CN"/>
        </w:rPr>
        <w:t>年医药职工大学（党校）安排</w:t>
      </w:r>
      <w:r>
        <w:rPr>
          <w:rFonts w:hint="eastAsia" w:ascii="方正仿宋_GB2312" w:hAnsi="方正仿宋_GB2312" w:eastAsia="方正仿宋_GB2312" w:cs="方正仿宋_GB2312"/>
          <w:sz w:val="32"/>
          <w:szCs w:val="32"/>
          <w:lang w:val="en-US" w:eastAsia="zh-CN"/>
        </w:rPr>
        <w:t>33.96</w:t>
      </w:r>
      <w:r>
        <w:rPr>
          <w:rFonts w:hint="eastAsia" w:ascii="方正仿宋_GB2312" w:hAnsi="方正仿宋_GB2312" w:eastAsia="方正仿宋_GB2312" w:cs="方正仿宋_GB2312"/>
          <w:sz w:val="32"/>
          <w:szCs w:val="32"/>
          <w:lang w:eastAsia="zh-CN"/>
        </w:rPr>
        <w:t>万元，支持教学资源建设类项目，项目综合绩效自评</w:t>
      </w:r>
      <w:r>
        <w:rPr>
          <w:rFonts w:hint="eastAsia" w:ascii="方正仿宋_GB2312" w:hAnsi="方正仿宋_GB2312" w:eastAsia="方正仿宋_GB2312" w:cs="方正仿宋_GB2312"/>
          <w:sz w:val="32"/>
          <w:szCs w:val="32"/>
          <w:lang w:val="en-US" w:eastAsia="zh-CN"/>
        </w:rPr>
        <w:t>92</w:t>
      </w:r>
      <w:r>
        <w:rPr>
          <w:rFonts w:hint="eastAsia" w:ascii="方正仿宋_GB2312" w:hAnsi="方正仿宋_GB2312" w:eastAsia="方正仿宋_GB2312" w:cs="方正仿宋_GB2312"/>
          <w:sz w:val="32"/>
          <w:szCs w:val="32"/>
          <w:lang w:eastAsia="zh-CN"/>
        </w:rPr>
        <w:t>分</w:t>
      </w: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lang w:eastAsia="zh-CN"/>
        </w:rPr>
        <w:t>评价等级为“优”。通过完成本项目，制作三项教学资源微课程《阴阳学说及其在中医药学中的应用》（中英文），用英文以实例呈现中医药文化，达到表达流畅不晦涩的效果，有助于学生了解和学习中医药文化，树立正确的文化价值观，增强文化自信。《动脉血压的形成条件及影响因素》实现了科普与教学双向性，提升了大众的疾病机理的认知和健康意识。《酶促反应动力学—酶的抑制剂》通过形象、直观、生动的动画，加深了学生对专业课程的理解和认识，培养了学生专业能力。</w:t>
      </w:r>
    </w:p>
    <w:p>
      <w:pPr>
        <w:spacing w:line="600" w:lineRule="exact"/>
        <w:ind w:firstLine="640" w:firstLineChars="200"/>
        <w:outlineLvl w:val="0"/>
        <w:rPr>
          <w:rFonts w:ascii="楷体_GB2312" w:hAnsi="楷体_GB2312" w:eastAsia="楷体_GB2312" w:cs="楷体_GB2312"/>
          <w:sz w:val="32"/>
          <w:szCs w:val="32"/>
        </w:rPr>
      </w:pPr>
      <w:r>
        <w:rPr>
          <w:rFonts w:hint="eastAsia" w:ascii="方正仿宋_GB2312" w:hAnsi="方正仿宋_GB2312" w:eastAsia="方正仿宋_GB2312" w:cs="方正仿宋_GB2312"/>
          <w:sz w:val="32"/>
          <w:szCs w:val="32"/>
          <w:lang w:eastAsia="zh-CN"/>
        </w:rPr>
        <w:t>通过在教育教学中充分利用现代信息技术手段，实现教学方式的多元化和信息化，实现节约教学成本、提高教学效率、提升教学质量的目的。微课程制作完成后在学校相关课程的班级进行学员满意度调查工作，学员满意度为95.8</w:t>
      </w:r>
      <w:r>
        <w:rPr>
          <w:rFonts w:hint="eastAsia" w:ascii="方正仿宋_GB2312" w:hAnsi="方正仿宋_GB2312" w:eastAsia="方正仿宋_GB2312" w:cs="方正仿宋_GB2312"/>
          <w:sz w:val="32"/>
          <w:szCs w:val="32"/>
          <w:lang w:val="en-US" w:eastAsia="zh-CN"/>
        </w:rPr>
        <w:t>0</w:t>
      </w:r>
      <w:r>
        <w:rPr>
          <w:rFonts w:hint="eastAsia" w:ascii="方正仿宋_GB2312" w:hAnsi="方正仿宋_GB2312" w:eastAsia="方正仿宋_GB2312" w:cs="方正仿宋_GB2312"/>
          <w:sz w:val="32"/>
          <w:szCs w:val="32"/>
          <w:lang w:eastAsia="zh-CN"/>
        </w:rPr>
        <w:t>%，实现预期目标。</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outlineLvl w:val="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（一）项目决策情况</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项目决策依据符合项目实施单位发展规划和部门年度工作计划，并根据实际情况需要制定了年度执行计划。决策过程符合申报条件，申报、批复程序符合相关管理办法。项目立项前进行了事前绩效评估。按照工作要求编制申报材料，立项依据充分，大部分绩效指标细化，预算编制科学合理，资金分配较为合理。</w:t>
      </w:r>
    </w:p>
    <w:p>
      <w:pPr>
        <w:spacing w:line="600" w:lineRule="exact"/>
        <w:ind w:firstLine="640" w:firstLineChars="200"/>
        <w:outlineLvl w:val="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（二）项目过程情况</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项目在执行过程中严格按照项目管理要求和资金使用制度规定，做到项目资金专款专用、按项目独立核算、无截留、挤占、挪用、虚列支出等情况发生。</w:t>
      </w:r>
    </w:p>
    <w:p>
      <w:pPr>
        <w:spacing w:line="600" w:lineRule="exact"/>
        <w:ind w:firstLine="640" w:firstLineChars="200"/>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为确保 202</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lang w:eastAsia="zh-CN"/>
        </w:rPr>
        <w:t>年度教学资源建设工作有序开展，学校采取了一系列管控措施，具体为：一是明确责任分工。为保障项目顺利实施，各环节工作规范合理，由主管副校长负责监督实施，项目组织机构健全，职责分工明确。二是落实监督检查机制。通过内部监督检查机制定期对项目实施进展情况进行跟踪总结，对项目执行过程中存在的问题及时发现、整改，确保项目顺利有序开展。三是把控项目时间进度。为保证项目的顺利实施，结合实际情况，细化时间安排，确定每一阶段任务的详细计划进度，在确保项目质量和安全的原则下，控制项目进度。</w:t>
      </w:r>
    </w:p>
    <w:p>
      <w:pPr>
        <w:spacing w:line="600" w:lineRule="exact"/>
        <w:ind w:firstLine="640" w:firstLineChars="200"/>
        <w:outlineLvl w:val="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（三）项目产出情况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项目年度工作均按照预期目标完成，各项产出成果在年度内完成、质量达标，项目实施过程中采取了一定成本节约措施。项目产出按照数量、质量、时效、成本四个方面进行指标设定。根据项目实际执行情况，设置符合项目实际特点的三级产出指标，用于指导、跟踪和评价项目执行情况。</w:t>
      </w:r>
    </w:p>
    <w:p>
      <w:pPr>
        <w:spacing w:line="600" w:lineRule="exact"/>
        <w:ind w:firstLine="640" w:firstLineChars="200"/>
        <w:outlineLvl w:val="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（四）项目效益情况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围绕年度总体目标，将项目绩效指标进一步细化为产出和效果指标，大部分绩效指标科学合理，与年度工作内容、绩效目标相匹配。项目效益按照经济效益、社会效益和可持续影响三个方面进行指标设定，设置符合项目实际情况和特点的三级效益指标，用于指导、跟踪和评价项目执行情况。</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主要经验及做法、存在的问题及原因分析</w:t>
      </w:r>
    </w:p>
    <w:p>
      <w:pPr>
        <w:spacing w:line="600" w:lineRule="exact"/>
        <w:ind w:firstLine="640" w:firstLineChars="200"/>
        <w:outlineLvl w:val="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（一）主要经验及做法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医药职工大学（党校）作为建设方负责指导、监督和协调整个项目的建设，对项目实施的质量、进度、产出等情况进行总体把控，指导供应商完成项目的总体开发、实施和最终交付，确保项目按质按期完成。项目建设完成后，学校组织相关部门建立了良性发展和稳定长期的资源使用机制、策略和措施，对项目后期使用进行规范管理。通过完成本项目，将教学内容以更形象、直观和生动的形式展现给学生，不仅可以使学生加深对专业课程的理解和认识，更好掌握教学中的重点和难点，还能有效地梳理课程的脉络与思路，培养学生专业学习能力，锻炼教师的教学技能，促进教育教学资源的优化整合与共享，充分发挥教学资源的优势。</w:t>
      </w:r>
    </w:p>
    <w:p>
      <w:pPr>
        <w:spacing w:line="600" w:lineRule="exact"/>
        <w:ind w:firstLine="640" w:firstLineChars="200"/>
        <w:outlineLvl w:val="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val="en-US" w:eastAsia="zh-CN"/>
        </w:rPr>
        <w:t>1.</w:t>
      </w:r>
      <w:r>
        <w:rPr>
          <w:rFonts w:hint="eastAsia" w:ascii="方正仿宋_GB2312" w:hAnsi="方正仿宋_GB2312" w:eastAsia="方正仿宋_GB2312" w:cs="方正仿宋_GB2312"/>
          <w:sz w:val="32"/>
          <w:szCs w:val="32"/>
          <w:lang w:eastAsia="zh-CN"/>
        </w:rPr>
        <w:t>绩效目标需进一步聚焦，绩效指标有待完善。围绕年度工作任务和预期效果，项目设定了绩效目标，并将绩效目标进一步细化为具体绩效指标，大部分绩效指标明确、清晰、可衡量，但绩效目标及部分绩效指标仍需完善，部分绩效指标不够科学、合理，效益指标设置较为宽泛、笼统，为定性表述，效果实现情况难以定量考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项目立项流程不够规范，缺乏教学资源建设规划。项目按照工作要求开展项目立项申报工作，项目经前期调研、可行性研究，编制项目预算明细和绩效目标申报表等申报文本，项目立项经过必备的申请审批程序，针对教学资源建设缺少整体层面的建设规划，教学资源建设中长期发展规划与目标、未来建设方向等尚不明确。</w:t>
      </w:r>
    </w:p>
    <w:p>
      <w:pPr>
        <w:spacing w:line="60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六、有关建议</w:t>
      </w:r>
    </w:p>
    <w:p>
      <w:pPr>
        <w:spacing w:line="600" w:lineRule="exact"/>
        <w:ind w:firstLine="640" w:firstLineChars="200"/>
        <w:outlineLvl w:val="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（一）结合年度工作内容聚焦绩效目标，合理设置绩效指标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xml:space="preserve">建议学校在明确项目资金投入拟实现的总体目标基础上，结合总体工作任务安排及各年度实际开展建设内容，有针对性设置年度绩效目标，充分体现本年度项目开展的工作任务、预期达到的阶段性效果。强化对各项目绩效指标设置的指导工作，指导项目负责人厘清质量、效益等各项绩效指标的涵义和区别，根据年度拟开展工作内容，将年度绩效目标进一步细化、分解，合理、准确、全面设置绩效指标。 </w:t>
      </w:r>
    </w:p>
    <w:p>
      <w:pPr>
        <w:spacing w:line="600" w:lineRule="exact"/>
        <w:ind w:firstLine="640" w:firstLineChars="200"/>
        <w:outlineLvl w:val="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（二）规范项目立项流程，完善教学资源整体建设规划</w:t>
      </w:r>
    </w:p>
    <w:p>
      <w:pPr>
        <w:spacing w:line="600" w:lineRule="exact"/>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建议学校加强项目立项前期的可研论证，在全面了解当前及后续阶段教学资源建设需求，完善教学资源中长期及分年度规划，明确后续建设规模及各年度任务分工、拟实现的功能，为项目实施提供有力指导。</w:t>
      </w:r>
    </w:p>
    <w:p>
      <w:pPr>
        <w:spacing w:line="60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七、其他需要说明的问题</w:t>
      </w:r>
    </w:p>
    <w:p>
      <w:pPr>
        <w:spacing w:line="600" w:lineRule="exact"/>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无</w:t>
      </w:r>
    </w:p>
    <w:sectPr>
      <w:footerReference r:id="rId3" w:type="default"/>
      <w:pgSz w:w="16838" w:h="11906" w:orient="landscape"/>
      <w:pgMar w:top="1803" w:right="1440" w:bottom="1803"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6 -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6 -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g3ZGE3MWJhMjJkYjdkY2RmMjVlNTFhMmNhZmQzMjYifQ=="/>
  </w:docVars>
  <w:rsids>
    <w:rsidRoot w:val="F77F09F4"/>
    <w:rsid w:val="0008414D"/>
    <w:rsid w:val="002E1F6F"/>
    <w:rsid w:val="00333225"/>
    <w:rsid w:val="00425855"/>
    <w:rsid w:val="00444D3B"/>
    <w:rsid w:val="004757AE"/>
    <w:rsid w:val="00482562"/>
    <w:rsid w:val="00571E55"/>
    <w:rsid w:val="00631092"/>
    <w:rsid w:val="00737917"/>
    <w:rsid w:val="007C4CC5"/>
    <w:rsid w:val="0085226F"/>
    <w:rsid w:val="009370D1"/>
    <w:rsid w:val="00A40C3F"/>
    <w:rsid w:val="00A44C63"/>
    <w:rsid w:val="00AD4379"/>
    <w:rsid w:val="00B13E40"/>
    <w:rsid w:val="00CB5B81"/>
    <w:rsid w:val="00E00322"/>
    <w:rsid w:val="00E71F77"/>
    <w:rsid w:val="00EE2286"/>
    <w:rsid w:val="00F37266"/>
    <w:rsid w:val="00F856C9"/>
    <w:rsid w:val="016C0FA1"/>
    <w:rsid w:val="01C26E13"/>
    <w:rsid w:val="03391357"/>
    <w:rsid w:val="07E50F2C"/>
    <w:rsid w:val="07FB307F"/>
    <w:rsid w:val="08A059D4"/>
    <w:rsid w:val="093F51ED"/>
    <w:rsid w:val="0A1B17B6"/>
    <w:rsid w:val="0C9B6BDE"/>
    <w:rsid w:val="0D38442D"/>
    <w:rsid w:val="0DF64131"/>
    <w:rsid w:val="0EAA3109"/>
    <w:rsid w:val="0F5D513D"/>
    <w:rsid w:val="0FFE195E"/>
    <w:rsid w:val="0FFF7484"/>
    <w:rsid w:val="11137C54"/>
    <w:rsid w:val="111807FE"/>
    <w:rsid w:val="11496C09"/>
    <w:rsid w:val="11CC15E8"/>
    <w:rsid w:val="12A460C1"/>
    <w:rsid w:val="14425B91"/>
    <w:rsid w:val="174F484D"/>
    <w:rsid w:val="19726F19"/>
    <w:rsid w:val="1A5328A6"/>
    <w:rsid w:val="1AF35E37"/>
    <w:rsid w:val="1B3A181D"/>
    <w:rsid w:val="21722B2B"/>
    <w:rsid w:val="218C669E"/>
    <w:rsid w:val="235651B5"/>
    <w:rsid w:val="23CB3C98"/>
    <w:rsid w:val="24615F02"/>
    <w:rsid w:val="251C14AC"/>
    <w:rsid w:val="27E40FE2"/>
    <w:rsid w:val="28BE1833"/>
    <w:rsid w:val="293B2E83"/>
    <w:rsid w:val="29E74DB9"/>
    <w:rsid w:val="29F00C75"/>
    <w:rsid w:val="2ABC6246"/>
    <w:rsid w:val="2C752B50"/>
    <w:rsid w:val="2CAB0320"/>
    <w:rsid w:val="2CCB09C2"/>
    <w:rsid w:val="2CD04B06"/>
    <w:rsid w:val="2CF20F49"/>
    <w:rsid w:val="2D2406AD"/>
    <w:rsid w:val="2EAA494B"/>
    <w:rsid w:val="31327C0D"/>
    <w:rsid w:val="31F50EA8"/>
    <w:rsid w:val="326E6078"/>
    <w:rsid w:val="33062754"/>
    <w:rsid w:val="331A61FF"/>
    <w:rsid w:val="33664FA1"/>
    <w:rsid w:val="33704071"/>
    <w:rsid w:val="34452E08"/>
    <w:rsid w:val="351331F9"/>
    <w:rsid w:val="35EC288E"/>
    <w:rsid w:val="35F46172"/>
    <w:rsid w:val="369554A2"/>
    <w:rsid w:val="37173543"/>
    <w:rsid w:val="37DE57E2"/>
    <w:rsid w:val="38822B9C"/>
    <w:rsid w:val="38DD7AB3"/>
    <w:rsid w:val="3AB26D1E"/>
    <w:rsid w:val="3ADC5073"/>
    <w:rsid w:val="3AE27603"/>
    <w:rsid w:val="3CD218F9"/>
    <w:rsid w:val="3D0C7B65"/>
    <w:rsid w:val="3FF76880"/>
    <w:rsid w:val="415E375B"/>
    <w:rsid w:val="458565AA"/>
    <w:rsid w:val="4840005F"/>
    <w:rsid w:val="48B94C3C"/>
    <w:rsid w:val="49D86D19"/>
    <w:rsid w:val="4B751DCD"/>
    <w:rsid w:val="4BF74ED8"/>
    <w:rsid w:val="4CB47604"/>
    <w:rsid w:val="4CD40C43"/>
    <w:rsid w:val="505E58ED"/>
    <w:rsid w:val="52B15DE1"/>
    <w:rsid w:val="52B37355"/>
    <w:rsid w:val="52BA27BB"/>
    <w:rsid w:val="54A92562"/>
    <w:rsid w:val="54C53DC5"/>
    <w:rsid w:val="55C23E61"/>
    <w:rsid w:val="567A298E"/>
    <w:rsid w:val="58DF11CE"/>
    <w:rsid w:val="5A920A35"/>
    <w:rsid w:val="5B6A1223"/>
    <w:rsid w:val="5BD52B1A"/>
    <w:rsid w:val="5BDC37A3"/>
    <w:rsid w:val="5C0D7E00"/>
    <w:rsid w:val="5DC4318C"/>
    <w:rsid w:val="5DF73EFB"/>
    <w:rsid w:val="5ECC7AFE"/>
    <w:rsid w:val="5F3C5EFD"/>
    <w:rsid w:val="5FA42829"/>
    <w:rsid w:val="617F2D1C"/>
    <w:rsid w:val="65436640"/>
    <w:rsid w:val="65A45331"/>
    <w:rsid w:val="65E84DFB"/>
    <w:rsid w:val="676270E4"/>
    <w:rsid w:val="68120C78"/>
    <w:rsid w:val="6A0C7949"/>
    <w:rsid w:val="6B340F05"/>
    <w:rsid w:val="6C071E9C"/>
    <w:rsid w:val="703E226E"/>
    <w:rsid w:val="70497201"/>
    <w:rsid w:val="729606F7"/>
    <w:rsid w:val="72CC0AEA"/>
    <w:rsid w:val="73650000"/>
    <w:rsid w:val="73745DB8"/>
    <w:rsid w:val="75540F9D"/>
    <w:rsid w:val="777803CC"/>
    <w:rsid w:val="777D4939"/>
    <w:rsid w:val="7879089F"/>
    <w:rsid w:val="7AB7FF50"/>
    <w:rsid w:val="7BFEB0DB"/>
    <w:rsid w:val="7E665F10"/>
    <w:rsid w:val="7F0A2251"/>
    <w:rsid w:val="7FF2742E"/>
    <w:rsid w:val="CEFD3F3D"/>
    <w:rsid w:val="EA3F77F2"/>
    <w:rsid w:val="EEFE5989"/>
    <w:rsid w:val="EFCF3EAE"/>
    <w:rsid w:val="EFEF9281"/>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autoRedefine/>
    <w:qFormat/>
    <w:uiPriority w:val="99"/>
    <w:pPr>
      <w:tabs>
        <w:tab w:val="center" w:pos="4153"/>
        <w:tab w:val="right" w:pos="8306"/>
      </w:tabs>
      <w:snapToGrid w:val="0"/>
      <w:jc w:val="left"/>
    </w:pPr>
    <w:rPr>
      <w:sz w:val="18"/>
      <w:szCs w:val="20"/>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autoRedefine/>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11</Pages>
  <Words>4396</Words>
  <Characters>4449</Characters>
  <Lines>23</Lines>
  <Paragraphs>6</Paragraphs>
  <TotalTime>2</TotalTime>
  <ScaleCrop>false</ScaleCrop>
  <LinksUpToDate>false</LinksUpToDate>
  <CharactersWithSpaces>4464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2024-05-13T02:14:00Z</dcterms:created>
  <dc:creator>user</dc:creator>
  <cp:lastModifiedBy>WPS_1640300884</cp:lastModifiedBy>
  <cp:lastPrinted>2023-06-07T02:05:00Z</cp:lastPrinted>
  <dcterms:modified xsi:type="dcterms:W3CDTF">2024-08-15T08:52:52Z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B76ECB1000F54402BA3BA7AD36007562_13</vt:lpwstr>
  </property>
</Properties>
</file>