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val="0"/>
          <w:spacing w:val="80"/>
          <w:kern w:val="44"/>
          <w:sz w:val="44"/>
          <w:szCs w:val="44"/>
        </w:rPr>
      </w:pPr>
      <w:bookmarkStart w:id="0" w:name="OLE_LINK10"/>
      <w:r>
        <w:rPr>
          <w:rFonts w:hint="eastAsia" w:ascii="方正小标宋简体" w:hAnsi="方正小标宋简体" w:eastAsia="方正小标宋简体" w:cs="方正小标宋简体"/>
          <w:b w:val="0"/>
          <w:bCs w:val="0"/>
          <w:spacing w:val="80"/>
          <w:kern w:val="44"/>
          <w:sz w:val="44"/>
          <w:szCs w:val="44"/>
        </w:rPr>
        <w:t>北京政法网运维项目</w:t>
      </w:r>
    </w:p>
    <w:p>
      <w:pPr>
        <w:pageBreakBefore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val="0"/>
          <w:spacing w:val="80"/>
          <w:kern w:val="44"/>
          <w:sz w:val="44"/>
          <w:szCs w:val="44"/>
        </w:rPr>
      </w:pPr>
      <w:r>
        <w:rPr>
          <w:rFonts w:hint="eastAsia" w:ascii="方正小标宋简体" w:hAnsi="方正小标宋简体" w:eastAsia="方正小标宋简体" w:cs="方正小标宋简体"/>
          <w:b w:val="0"/>
          <w:bCs w:val="0"/>
          <w:spacing w:val="80"/>
          <w:kern w:val="44"/>
          <w:sz w:val="44"/>
          <w:szCs w:val="44"/>
        </w:rPr>
        <w:t>绩效评价报告</w:t>
      </w:r>
      <w:bookmarkEnd w:id="0"/>
    </w:p>
    <w:p>
      <w:pPr>
        <w:pageBreakBefore w:val="0"/>
        <w:widowControl/>
        <w:tabs>
          <w:tab w:val="left" w:pos="2215"/>
        </w:tabs>
        <w:kinsoku/>
        <w:wordWrap/>
        <w:overflowPunct/>
        <w:topLinePunct w:val="0"/>
        <w:autoSpaceDE/>
        <w:autoSpaceDN/>
        <w:bidi w:val="0"/>
        <w:adjustRightInd/>
        <w:snapToGrid w:val="0"/>
        <w:spacing w:line="560" w:lineRule="exact"/>
        <w:ind w:firstLine="640" w:firstLineChars="200"/>
        <w:jc w:val="center"/>
        <w:textAlignment w:val="auto"/>
        <w:rPr>
          <w:rFonts w:ascii="Times New Roman" w:hAnsi="Times New Roman" w:eastAsia="仿宋_GB2312" w:cs="Times New Roman"/>
          <w:color w:val="000000"/>
          <w:kern w:val="0"/>
          <w:sz w:val="32"/>
          <w:szCs w:val="32"/>
        </w:rPr>
      </w:pPr>
    </w:p>
    <w:p>
      <w:pPr>
        <w:pStyle w:val="3"/>
        <w:pageBreakBefore w:val="0"/>
        <w:kinsoku/>
        <w:wordWrap/>
        <w:overflowPunct/>
        <w:topLinePunct w:val="0"/>
        <w:autoSpaceDE/>
        <w:autoSpaceDN/>
        <w:bidi w:val="0"/>
        <w:adjustRightInd/>
        <w:snapToGrid w:val="0"/>
        <w:spacing w:line="560" w:lineRule="exact"/>
        <w:ind w:firstLine="640"/>
        <w:textAlignment w:val="auto"/>
        <w:rPr>
          <w:rFonts w:ascii="黑体" w:hAnsi="黑体" w:eastAsia="黑体" w:cs="Times New Roman"/>
          <w:b w:val="0"/>
          <w:sz w:val="32"/>
          <w:szCs w:val="32"/>
        </w:rPr>
      </w:pPr>
      <w:bookmarkStart w:id="1" w:name="_Toc102746348"/>
      <w:r>
        <w:rPr>
          <w:rFonts w:ascii="黑体" w:hAnsi="黑体" w:eastAsia="黑体" w:cs="Times New Roman"/>
          <w:b w:val="0"/>
          <w:sz w:val="32"/>
          <w:szCs w:val="32"/>
        </w:rPr>
        <w:t>一、</w:t>
      </w:r>
      <w:r>
        <w:rPr>
          <w:rFonts w:hint="eastAsia" w:ascii="黑体" w:hAnsi="黑体" w:eastAsia="黑体" w:cs="Times New Roman"/>
          <w:b w:val="0"/>
          <w:sz w:val="32"/>
          <w:szCs w:val="32"/>
        </w:rPr>
        <w:t>基本情况</w:t>
      </w:r>
      <w:bookmarkEnd w:id="1"/>
    </w:p>
    <w:p>
      <w:pPr>
        <w:pStyle w:val="4"/>
        <w:pageBreakBefore w:val="0"/>
        <w:kinsoku/>
        <w:wordWrap/>
        <w:overflowPunct/>
        <w:topLinePunct w:val="0"/>
        <w:autoSpaceDE/>
        <w:autoSpaceDN/>
        <w:bidi w:val="0"/>
        <w:adjustRightInd/>
        <w:snapToGrid w:val="0"/>
        <w:spacing w:line="560" w:lineRule="exact"/>
        <w:ind w:firstLine="640"/>
        <w:textAlignment w:val="auto"/>
        <w:rPr>
          <w:rFonts w:ascii="楷体" w:hAnsi="楷体" w:eastAsia="楷体"/>
          <w:b w:val="0"/>
        </w:rPr>
      </w:pPr>
      <w:bookmarkStart w:id="2" w:name="_Toc102746349"/>
      <w:r>
        <w:rPr>
          <w:rFonts w:hint="eastAsia" w:ascii="楷体" w:hAnsi="楷体" w:eastAsia="楷体"/>
          <w:b w:val="0"/>
        </w:rPr>
        <w:t>（一）项目概况</w:t>
      </w:r>
      <w:bookmarkEnd w:id="2"/>
    </w:p>
    <w:p>
      <w:pPr>
        <w:keepNext/>
        <w:keepLines/>
        <w:pageBreakBefore w:val="0"/>
        <w:kinsoku/>
        <w:wordWrap/>
        <w:overflowPunct/>
        <w:topLinePunct w:val="0"/>
        <w:autoSpaceDE/>
        <w:autoSpaceDN/>
        <w:bidi w:val="0"/>
        <w:adjustRightInd/>
        <w:snapToGrid w:val="0"/>
        <w:spacing w:line="560" w:lineRule="exact"/>
        <w:ind w:firstLine="640" w:firstLineChars="200"/>
        <w:jc w:val="left"/>
        <w:textAlignment w:val="auto"/>
        <w:rPr>
          <w:rFonts w:ascii="仿宋_GB2312" w:hAnsi="Times New Roman" w:eastAsia="仿宋_GB2312" w:cs="Times New Roman"/>
          <w:b/>
          <w:color w:val="000000"/>
          <w:kern w:val="0"/>
          <w:sz w:val="32"/>
          <w:szCs w:val="32"/>
        </w:rPr>
      </w:pPr>
      <w:r>
        <w:rPr>
          <w:rFonts w:hint="eastAsia" w:ascii="仿宋_GB2312" w:hAnsi="Times New Roman" w:eastAsia="仿宋_GB2312" w:cs="Times New Roman"/>
          <w:b/>
          <w:color w:val="000000"/>
          <w:kern w:val="0"/>
          <w:sz w:val="32"/>
          <w:szCs w:val="32"/>
        </w:rPr>
        <w:t>1、项目背景</w:t>
      </w:r>
    </w:p>
    <w:p>
      <w:pPr>
        <w:pageBreakBefore w:val="0"/>
        <w:widowControl/>
        <w:tabs>
          <w:tab w:val="left" w:pos="2215"/>
        </w:tabs>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北京政法网（www.bj148.org）创办于2002年5月，2018年11月，网站正式更名为北京政法网，是中共北京市委政法委员会对外宣传网站，由中共北京市委政法委员会主办，北京政法职业学院承办</w:t>
      </w:r>
      <w:r>
        <w:rPr>
          <w:rFonts w:ascii="Times New Roman" w:hAnsi="Times New Roman" w:eastAsia="仿宋_GB2312" w:cs="Times New Roman"/>
          <w:color w:val="000000"/>
          <w:kern w:val="0"/>
          <w:sz w:val="32"/>
          <w:szCs w:val="32"/>
        </w:rPr>
        <w:t>，负责</w:t>
      </w:r>
      <w:r>
        <w:rPr>
          <w:rFonts w:hint="eastAsia" w:ascii="Times New Roman" w:hAnsi="Times New Roman" w:eastAsia="仿宋_GB2312" w:cs="Times New Roman"/>
          <w:color w:val="000000"/>
          <w:kern w:val="0"/>
          <w:sz w:val="32"/>
          <w:szCs w:val="32"/>
        </w:rPr>
        <w:t>网站</w:t>
      </w:r>
      <w:r>
        <w:rPr>
          <w:rFonts w:ascii="Times New Roman" w:hAnsi="Times New Roman" w:eastAsia="仿宋_GB2312" w:cs="Times New Roman"/>
          <w:color w:val="000000"/>
          <w:kern w:val="0"/>
          <w:sz w:val="32"/>
          <w:szCs w:val="32"/>
        </w:rPr>
        <w:t>的建设和运维工作。</w:t>
      </w:r>
    </w:p>
    <w:p>
      <w:pPr>
        <w:pageBreakBefore w:val="0"/>
        <w:widowControl/>
        <w:tabs>
          <w:tab w:val="left" w:pos="2215"/>
        </w:tabs>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近年来，在市委政法委领导下，在网站建设发展、网群建设与管理、新媒体两微一端（微博、微信、头条号）推进、</w:t>
      </w:r>
      <w:r>
        <w:rPr>
          <w:rFonts w:hint="eastAsia" w:ascii="Times New Roman" w:hAnsi="Times New Roman" w:eastAsia="仿宋_GB2312" w:cs="Times New Roman"/>
          <w:color w:val="000000"/>
          <w:kern w:val="0"/>
          <w:sz w:val="32"/>
          <w:szCs w:val="32"/>
          <w:lang w:eastAsia="zh-CN"/>
        </w:rPr>
        <w:t>数据监测分析</w:t>
      </w:r>
      <w:r>
        <w:rPr>
          <w:rFonts w:hint="eastAsia" w:ascii="Times New Roman" w:hAnsi="Times New Roman" w:eastAsia="仿宋_GB2312" w:cs="Times New Roman"/>
          <w:color w:val="000000"/>
          <w:kern w:val="0"/>
          <w:sz w:val="32"/>
          <w:szCs w:val="32"/>
        </w:rPr>
        <w:t>、向长安网信息报送等方面，取得了显著成效，长期以来网站整体运维工作保持较高水平，在全国各省市政法网排名中始终处于领先地位，发挥了首都政法对外宣传主阵地的作用。</w:t>
      </w:r>
    </w:p>
    <w:p>
      <w:pPr>
        <w:pageBreakBefore w:val="0"/>
        <w:widowControl/>
        <w:tabs>
          <w:tab w:val="left" w:pos="2215"/>
        </w:tabs>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随着网站运维工作的持续推进，网站在技术及安全保障能力、网站服务创新能力等方面需进一步加强。作为网站承办方的北京政法职业学院考虑通过购买总包运维服务的模式，在保证网站正常运营不受影响、网站服务水平不下降的前提下，发挥专业公司的技术优势，协助提升网站总体运维水平，实现网站的长期良性发展。</w:t>
      </w:r>
    </w:p>
    <w:p>
      <w:pPr>
        <w:keepNext/>
        <w:keepLines/>
        <w:pageBreakBefore w:val="0"/>
        <w:kinsoku/>
        <w:wordWrap/>
        <w:overflowPunct/>
        <w:topLinePunct w:val="0"/>
        <w:autoSpaceDE/>
        <w:autoSpaceDN/>
        <w:bidi w:val="0"/>
        <w:adjustRightInd/>
        <w:snapToGrid w:val="0"/>
        <w:spacing w:line="560" w:lineRule="exact"/>
        <w:ind w:firstLine="640" w:firstLineChars="200"/>
        <w:jc w:val="left"/>
        <w:textAlignment w:val="auto"/>
        <w:rPr>
          <w:rFonts w:ascii="仿宋_GB2312" w:hAnsi="Times New Roman" w:eastAsia="仿宋_GB2312" w:cs="Times New Roman"/>
          <w:b/>
          <w:color w:val="000000"/>
          <w:kern w:val="0"/>
          <w:sz w:val="32"/>
          <w:szCs w:val="32"/>
        </w:rPr>
      </w:pPr>
      <w:r>
        <w:rPr>
          <w:rFonts w:hint="eastAsia" w:ascii="仿宋_GB2312" w:hAnsi="Times New Roman" w:eastAsia="仿宋_GB2312" w:cs="Times New Roman"/>
          <w:b/>
          <w:color w:val="000000"/>
          <w:kern w:val="0"/>
          <w:sz w:val="32"/>
          <w:szCs w:val="32"/>
        </w:rPr>
        <w:t>2、主要内容</w:t>
      </w:r>
    </w:p>
    <w:p>
      <w:pPr>
        <w:pageBreakBefore w:val="0"/>
        <w:kinsoku/>
        <w:wordWrap/>
        <w:overflowPunct/>
        <w:topLinePunct w:val="0"/>
        <w:autoSpaceDE/>
        <w:autoSpaceDN/>
        <w:bidi w:val="0"/>
        <w:adjustRightInd/>
        <w:snapToGrid w:val="0"/>
        <w:spacing w:line="560" w:lineRule="exact"/>
        <w:ind w:firstLine="640"/>
        <w:textAlignment w:val="auto"/>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将北京政法网建设成为全国省级政法系统一流网站，在运维资金落实以后，将进一步加大新闻报道的力度，完善采写设备，加强人员专业培训，适时引进专业团队，全面增加网站、新媒体发布、网站图文视频直播、视频拍摄等新媒体宣传力度，增加网站的对外交流，全面提高人员素质和工作质量，更快推进市委政法委提出的建成权威网站，在全国政法网站排名中“名列前茅”的工作目标的落实工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项目内容主要包括网站内容运维，视频制作，网群管理，新媒体运营，</w:t>
      </w:r>
      <w:r>
        <w:rPr>
          <w:rFonts w:hint="eastAsia" w:ascii="仿宋_GB2312" w:hAnsi="Times New Roman" w:eastAsia="仿宋_GB2312" w:cs="Times New Roman"/>
          <w:kern w:val="0"/>
          <w:sz w:val="32"/>
          <w:szCs w:val="32"/>
          <w:lang w:eastAsia="zh-CN"/>
        </w:rPr>
        <w:t>数据分析</w:t>
      </w:r>
      <w:r>
        <w:rPr>
          <w:rFonts w:hint="eastAsia" w:ascii="仿宋_GB2312" w:hAnsi="Times New Roman" w:eastAsia="仿宋_GB2312" w:cs="Times New Roman"/>
          <w:kern w:val="0"/>
          <w:sz w:val="32"/>
          <w:szCs w:val="32"/>
        </w:rPr>
        <w:t>，网站技术运维，制度建设等运维工作，监理等工作。</w:t>
      </w:r>
    </w:p>
    <w:p>
      <w:pPr>
        <w:keepNext/>
        <w:keepLines/>
        <w:pageBreakBefore w:val="0"/>
        <w:kinsoku/>
        <w:wordWrap/>
        <w:overflowPunct/>
        <w:topLinePunct w:val="0"/>
        <w:autoSpaceDE/>
        <w:autoSpaceDN/>
        <w:bidi w:val="0"/>
        <w:adjustRightInd/>
        <w:snapToGrid w:val="0"/>
        <w:spacing w:line="560" w:lineRule="exact"/>
        <w:ind w:firstLine="640" w:firstLineChars="200"/>
        <w:jc w:val="left"/>
        <w:textAlignment w:val="auto"/>
        <w:rPr>
          <w:rFonts w:ascii="仿宋_GB2312" w:hAnsi="Times New Roman" w:eastAsia="仿宋_GB2312" w:cs="Times New Roman"/>
          <w:b/>
          <w:color w:val="000000"/>
          <w:kern w:val="0"/>
          <w:sz w:val="32"/>
          <w:szCs w:val="32"/>
        </w:rPr>
      </w:pPr>
      <w:r>
        <w:rPr>
          <w:rFonts w:hint="eastAsia" w:ascii="仿宋_GB2312" w:hAnsi="Times New Roman" w:eastAsia="仿宋_GB2312" w:cs="Times New Roman"/>
          <w:b/>
          <w:color w:val="000000"/>
          <w:kern w:val="0"/>
          <w:sz w:val="32"/>
          <w:szCs w:val="32"/>
        </w:rPr>
        <w:t>3、资金投入和使用情况</w:t>
      </w:r>
    </w:p>
    <w:p>
      <w:pPr>
        <w:pageBreakBefore w:val="0"/>
        <w:kinsoku/>
        <w:wordWrap/>
        <w:overflowPunct/>
        <w:topLinePunct w:val="0"/>
        <w:autoSpaceDE/>
        <w:autoSpaceDN/>
        <w:bidi w:val="0"/>
        <w:adjustRightInd/>
        <w:snapToGrid w:val="0"/>
        <w:spacing w:line="560" w:lineRule="exact"/>
        <w:ind w:firstLine="640"/>
        <w:textAlignment w:val="auto"/>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该项目申请市级财政资金</w:t>
      </w:r>
      <w:r>
        <w:rPr>
          <w:rFonts w:ascii="仿宋_GB2312" w:hAnsi="Times New Roman" w:eastAsia="仿宋_GB2312" w:cs="Times New Roman"/>
          <w:kern w:val="0"/>
          <w:sz w:val="32"/>
          <w:szCs w:val="32"/>
        </w:rPr>
        <w:t>791.8</w:t>
      </w:r>
      <w:r>
        <w:rPr>
          <w:rFonts w:hint="eastAsia" w:ascii="仿宋_GB2312" w:hAnsi="Times New Roman" w:eastAsia="仿宋_GB2312" w:cs="Times New Roman"/>
          <w:kern w:val="0"/>
          <w:sz w:val="32"/>
          <w:szCs w:val="32"/>
        </w:rPr>
        <w:t>9万元。2023年2月，市财政局批复该项目预算</w:t>
      </w:r>
      <w:r>
        <w:rPr>
          <w:rFonts w:ascii="仿宋_GB2312" w:hAnsi="Times New Roman" w:eastAsia="仿宋_GB2312" w:cs="Times New Roman"/>
          <w:kern w:val="0"/>
          <w:sz w:val="32"/>
          <w:szCs w:val="32"/>
        </w:rPr>
        <w:t>791.8</w:t>
      </w:r>
      <w:r>
        <w:rPr>
          <w:rFonts w:hint="eastAsia" w:ascii="仿宋_GB2312" w:hAnsi="Times New Roman" w:eastAsia="仿宋_GB2312" w:cs="Times New Roman"/>
          <w:kern w:val="0"/>
          <w:sz w:val="32"/>
          <w:szCs w:val="32"/>
        </w:rPr>
        <w:t>9万元。</w:t>
      </w:r>
      <w:r>
        <w:rPr>
          <w:rFonts w:ascii="仿宋_GB2312" w:hAnsi="Times New Roman" w:eastAsia="仿宋_GB2312" w:cs="Times New Roman"/>
          <w:kern w:val="0"/>
          <w:sz w:val="32"/>
          <w:szCs w:val="32"/>
        </w:rPr>
        <w:t>截止</w:t>
      </w:r>
      <w:r>
        <w:rPr>
          <w:rFonts w:hint="eastAsia" w:ascii="仿宋_GB2312" w:hAnsi="Times New Roman" w:eastAsia="仿宋_GB2312" w:cs="Times New Roman"/>
          <w:kern w:val="0"/>
          <w:sz w:val="32"/>
          <w:szCs w:val="32"/>
        </w:rPr>
        <w:t>2023年12月底，项目实际使用资金</w:t>
      </w:r>
      <w:r>
        <w:rPr>
          <w:rFonts w:ascii="仿宋_GB2312" w:hAnsi="Times New Roman" w:eastAsia="仿宋_GB2312" w:cs="Times New Roman"/>
          <w:kern w:val="0"/>
          <w:sz w:val="32"/>
          <w:szCs w:val="32"/>
        </w:rPr>
        <w:t>790.37</w:t>
      </w:r>
      <w:r>
        <w:rPr>
          <w:rFonts w:hint="eastAsia" w:ascii="仿宋_GB2312" w:hAnsi="Times New Roman" w:eastAsia="仿宋_GB2312" w:cs="Times New Roman"/>
          <w:kern w:val="0"/>
          <w:sz w:val="32"/>
          <w:szCs w:val="32"/>
        </w:rPr>
        <w:t>万元，结余</w:t>
      </w:r>
      <w:r>
        <w:rPr>
          <w:rFonts w:ascii="仿宋_GB2312" w:hAnsi="Times New Roman" w:eastAsia="仿宋_GB2312" w:cs="Times New Roman"/>
          <w:kern w:val="0"/>
          <w:sz w:val="32"/>
          <w:szCs w:val="32"/>
        </w:rPr>
        <w:t>1.52</w:t>
      </w:r>
      <w:r>
        <w:rPr>
          <w:rFonts w:hint="eastAsia" w:ascii="仿宋_GB2312" w:hAnsi="Times New Roman" w:eastAsia="仿宋_GB2312" w:cs="Times New Roman"/>
          <w:kern w:val="0"/>
          <w:sz w:val="32"/>
          <w:szCs w:val="32"/>
        </w:rPr>
        <w:t>万元，</w:t>
      </w:r>
      <w:r>
        <w:rPr>
          <w:rFonts w:ascii="仿宋_GB2312" w:hAnsi="Times New Roman" w:eastAsia="仿宋_GB2312" w:cs="Times New Roman"/>
          <w:kern w:val="0"/>
          <w:sz w:val="32"/>
          <w:szCs w:val="32"/>
        </w:rPr>
        <w:t>资金支出进度99.81%。</w:t>
      </w:r>
    </w:p>
    <w:p>
      <w:pPr>
        <w:pStyle w:val="4"/>
        <w:pageBreakBefore w:val="0"/>
        <w:kinsoku/>
        <w:wordWrap/>
        <w:overflowPunct/>
        <w:topLinePunct w:val="0"/>
        <w:autoSpaceDE/>
        <w:autoSpaceDN/>
        <w:bidi w:val="0"/>
        <w:adjustRightInd/>
        <w:snapToGrid w:val="0"/>
        <w:spacing w:line="560" w:lineRule="exact"/>
        <w:ind w:firstLine="640"/>
        <w:textAlignment w:val="auto"/>
        <w:rPr>
          <w:rFonts w:ascii="楷体" w:hAnsi="楷体" w:eastAsia="楷体"/>
          <w:b w:val="0"/>
        </w:rPr>
      </w:pPr>
      <w:bookmarkStart w:id="3" w:name="_Toc102746350"/>
      <w:r>
        <w:rPr>
          <w:rFonts w:hint="eastAsia" w:ascii="楷体" w:hAnsi="楷体" w:eastAsia="楷体"/>
          <w:b w:val="0"/>
        </w:rPr>
        <w:t>（二）项目绩效目标</w:t>
      </w:r>
      <w:bookmarkEnd w:id="3"/>
    </w:p>
    <w:p>
      <w:pPr>
        <w:pStyle w:val="2"/>
        <w:pageBreakBefore w:val="0"/>
        <w:kinsoku/>
        <w:wordWrap/>
        <w:overflowPunct/>
        <w:topLinePunct w:val="0"/>
        <w:autoSpaceDE/>
        <w:autoSpaceDN/>
        <w:bidi w:val="0"/>
        <w:adjustRightInd/>
        <w:snapToGrid w:val="0"/>
        <w:spacing w:line="560" w:lineRule="exact"/>
        <w:ind w:firstLine="643"/>
        <w:textAlignment w:val="auto"/>
        <w:rPr>
          <w:rFonts w:ascii="仿宋_GB2312"/>
          <w:b/>
          <w:color w:val="000000"/>
          <w:kern w:val="0"/>
          <w:sz w:val="32"/>
          <w:szCs w:val="32"/>
        </w:rPr>
      </w:pPr>
      <w:r>
        <w:rPr>
          <w:rFonts w:hint="eastAsia" w:ascii="仿宋_GB2312"/>
          <w:b/>
          <w:color w:val="000000"/>
          <w:kern w:val="0"/>
          <w:sz w:val="32"/>
          <w:szCs w:val="32"/>
        </w:rPr>
        <w:t>1.总体目标</w:t>
      </w:r>
    </w:p>
    <w:p>
      <w:pPr>
        <w:pStyle w:val="2"/>
        <w:pageBreakBefore w:val="0"/>
        <w:kinsoku/>
        <w:wordWrap/>
        <w:overflowPunct/>
        <w:topLinePunct w:val="0"/>
        <w:autoSpaceDE/>
        <w:autoSpaceDN/>
        <w:bidi w:val="0"/>
        <w:adjustRightInd/>
        <w:snapToGrid w:val="0"/>
        <w:spacing w:line="560" w:lineRule="exact"/>
        <w:ind w:firstLine="640"/>
        <w:textAlignment w:val="auto"/>
        <w:rPr>
          <w:rFonts w:ascii="仿宋_GB2312"/>
          <w:kern w:val="0"/>
          <w:sz w:val="32"/>
          <w:szCs w:val="32"/>
        </w:rPr>
      </w:pPr>
      <w:r>
        <w:rPr>
          <w:rFonts w:hint="eastAsia" w:ascii="仿宋_GB2312"/>
          <w:kern w:val="0"/>
          <w:sz w:val="32"/>
          <w:szCs w:val="32"/>
        </w:rPr>
        <w:t>根据中共北京市委政法委会《关于进一步加强首都政法综治网建设的通知》（京政法发〔2014〕25号）的精神，立足“扩大对外宣传、展示政法形象、服务社会管理、强化互动交流”的网站定位，在办网用网、网络宣传、信息报送考核、为群众服务方面成为同类型网站全国一流。</w:t>
      </w:r>
    </w:p>
    <w:p>
      <w:pPr>
        <w:pStyle w:val="2"/>
        <w:pageBreakBefore w:val="0"/>
        <w:kinsoku/>
        <w:wordWrap/>
        <w:overflowPunct/>
        <w:topLinePunct w:val="0"/>
        <w:autoSpaceDE/>
        <w:autoSpaceDN/>
        <w:bidi w:val="0"/>
        <w:adjustRightInd/>
        <w:snapToGrid w:val="0"/>
        <w:spacing w:line="560" w:lineRule="exact"/>
        <w:ind w:firstLine="643"/>
        <w:textAlignment w:val="auto"/>
        <w:rPr>
          <w:rFonts w:ascii="仿宋_GB2312"/>
          <w:b/>
          <w:color w:val="000000"/>
          <w:kern w:val="0"/>
          <w:sz w:val="32"/>
          <w:szCs w:val="32"/>
        </w:rPr>
      </w:pPr>
      <w:r>
        <w:rPr>
          <w:rFonts w:hint="eastAsia" w:ascii="仿宋_GB2312"/>
          <w:b/>
          <w:color w:val="000000"/>
          <w:kern w:val="0"/>
          <w:sz w:val="32"/>
          <w:szCs w:val="32"/>
        </w:rPr>
        <w:t>2.绩效指标</w:t>
      </w:r>
    </w:p>
    <w:p>
      <w:pPr>
        <w:pStyle w:val="2"/>
        <w:pageBreakBefore w:val="0"/>
        <w:kinsoku/>
        <w:wordWrap/>
        <w:overflowPunct/>
        <w:topLinePunct w:val="0"/>
        <w:autoSpaceDE/>
        <w:autoSpaceDN/>
        <w:bidi w:val="0"/>
        <w:adjustRightInd/>
        <w:snapToGrid w:val="0"/>
        <w:spacing w:line="560" w:lineRule="exact"/>
        <w:ind w:firstLine="643"/>
        <w:textAlignment w:val="auto"/>
        <w:rPr>
          <w:rFonts w:ascii="仿宋_GB2312" w:hAnsi="仿宋" w:cs="仿宋"/>
          <w:b/>
          <w:bCs/>
          <w:sz w:val="32"/>
          <w:szCs w:val="32"/>
        </w:rPr>
      </w:pPr>
      <w:r>
        <w:rPr>
          <w:rFonts w:hint="eastAsia" w:ascii="仿宋_GB2312" w:hAnsi="仿宋" w:cs="仿宋"/>
          <w:b/>
          <w:bCs/>
          <w:sz w:val="32"/>
          <w:szCs w:val="32"/>
        </w:rPr>
        <w:t>（1）产出指标</w:t>
      </w:r>
    </w:p>
    <w:p>
      <w:pPr>
        <w:pStyle w:val="2"/>
        <w:pageBreakBefore w:val="0"/>
        <w:kinsoku/>
        <w:wordWrap/>
        <w:overflowPunct/>
        <w:topLinePunct w:val="0"/>
        <w:autoSpaceDE/>
        <w:autoSpaceDN/>
        <w:bidi w:val="0"/>
        <w:adjustRightInd/>
        <w:snapToGrid w:val="0"/>
        <w:spacing w:line="560" w:lineRule="exact"/>
        <w:ind w:firstLine="643"/>
        <w:textAlignment w:val="auto"/>
        <w:rPr>
          <w:rFonts w:ascii="仿宋_GB2312" w:hAnsi="仿宋" w:cs="仿宋"/>
          <w:b/>
          <w:bCs/>
          <w:sz w:val="32"/>
          <w:szCs w:val="32"/>
        </w:rPr>
      </w:pPr>
      <w:r>
        <w:rPr>
          <w:rFonts w:hint="eastAsia" w:ascii="仿宋_GB2312" w:hAnsi="仿宋" w:cs="仿宋"/>
          <w:b/>
          <w:bCs/>
          <w:sz w:val="32"/>
          <w:szCs w:val="32"/>
        </w:rPr>
        <w:t>数量指标：</w:t>
      </w:r>
    </w:p>
    <w:p>
      <w:pPr>
        <w:pStyle w:val="2"/>
        <w:pageBreakBefore w:val="0"/>
        <w:kinsoku/>
        <w:wordWrap/>
        <w:overflowPunct/>
        <w:topLinePunct w:val="0"/>
        <w:autoSpaceDE/>
        <w:autoSpaceDN/>
        <w:bidi w:val="0"/>
        <w:adjustRightInd/>
        <w:snapToGrid w:val="0"/>
        <w:spacing w:line="560" w:lineRule="exact"/>
        <w:ind w:firstLine="640"/>
        <w:textAlignment w:val="auto"/>
        <w:rPr>
          <w:rFonts w:ascii="仿宋_GB2312" w:hAnsi="仿宋" w:cs="仿宋"/>
          <w:sz w:val="32"/>
          <w:szCs w:val="32"/>
        </w:rPr>
      </w:pPr>
      <w:r>
        <w:rPr>
          <w:rFonts w:hint="eastAsia" w:ascii="仿宋_GB2312" w:hAnsi="仿宋" w:cs="仿宋"/>
          <w:sz w:val="32"/>
          <w:szCs w:val="32"/>
        </w:rPr>
        <w:t>1）稿件：网站图文稿件不少于4596篇；视频不少于800个；微博微信等新媒体发稿不少于4100篇。被上级单位采用稿件数量不少于360篇。</w:t>
      </w:r>
    </w:p>
    <w:p>
      <w:pPr>
        <w:pStyle w:val="2"/>
        <w:pageBreakBefore w:val="0"/>
        <w:kinsoku/>
        <w:wordWrap/>
        <w:overflowPunct/>
        <w:topLinePunct w:val="0"/>
        <w:autoSpaceDE/>
        <w:autoSpaceDN/>
        <w:bidi w:val="0"/>
        <w:adjustRightInd/>
        <w:snapToGrid w:val="0"/>
        <w:spacing w:line="560" w:lineRule="exact"/>
        <w:ind w:firstLine="640"/>
        <w:textAlignment w:val="auto"/>
        <w:rPr>
          <w:rFonts w:ascii="仿宋_GB2312" w:hAnsi="仿宋" w:cs="仿宋"/>
          <w:sz w:val="32"/>
          <w:szCs w:val="32"/>
        </w:rPr>
      </w:pPr>
      <w:r>
        <w:rPr>
          <w:rFonts w:hint="eastAsia" w:ascii="仿宋_GB2312" w:hAnsi="仿宋" w:cs="仿宋"/>
          <w:sz w:val="32"/>
          <w:szCs w:val="32"/>
        </w:rPr>
        <w:t>2）影视作品：不少于18部专项视频（包括微电影1部，微视频3部、微动漫12部、短视频2部）。</w:t>
      </w:r>
    </w:p>
    <w:p>
      <w:pPr>
        <w:pStyle w:val="2"/>
        <w:pageBreakBefore w:val="0"/>
        <w:kinsoku/>
        <w:wordWrap/>
        <w:overflowPunct/>
        <w:topLinePunct w:val="0"/>
        <w:autoSpaceDE/>
        <w:autoSpaceDN/>
        <w:bidi w:val="0"/>
        <w:adjustRightInd/>
        <w:snapToGrid w:val="0"/>
        <w:spacing w:line="560" w:lineRule="exact"/>
        <w:ind w:firstLine="640"/>
        <w:textAlignment w:val="auto"/>
        <w:rPr>
          <w:rFonts w:ascii="仿宋_GB2312" w:hAnsi="仿宋" w:cs="仿宋"/>
          <w:b/>
          <w:bCs/>
          <w:sz w:val="32"/>
          <w:szCs w:val="32"/>
        </w:rPr>
      </w:pPr>
      <w:r>
        <w:rPr>
          <w:rFonts w:hint="eastAsia" w:ascii="仿宋_GB2312" w:hAnsi="仿宋" w:cs="仿宋"/>
          <w:sz w:val="32"/>
          <w:szCs w:val="32"/>
        </w:rPr>
        <w:t>3）数据分析报告：对全市政法单位网络宣传信息进行分析研判，全年报送各类分析报告不少于330期（包括日报240期，周报50期，专报30期）。</w:t>
      </w:r>
    </w:p>
    <w:p>
      <w:pPr>
        <w:pStyle w:val="2"/>
        <w:pageBreakBefore w:val="0"/>
        <w:kinsoku/>
        <w:wordWrap/>
        <w:overflowPunct/>
        <w:topLinePunct w:val="0"/>
        <w:autoSpaceDE/>
        <w:autoSpaceDN/>
        <w:bidi w:val="0"/>
        <w:adjustRightInd/>
        <w:snapToGrid w:val="0"/>
        <w:spacing w:line="560" w:lineRule="exact"/>
        <w:ind w:firstLine="643"/>
        <w:textAlignment w:val="auto"/>
        <w:rPr>
          <w:rFonts w:ascii="仿宋_GB2312" w:hAnsi="仿宋" w:cs="仿宋"/>
          <w:b/>
          <w:bCs/>
          <w:sz w:val="32"/>
          <w:szCs w:val="32"/>
        </w:rPr>
      </w:pPr>
      <w:r>
        <w:rPr>
          <w:rFonts w:hint="eastAsia" w:ascii="仿宋_GB2312" w:hAnsi="仿宋" w:cs="仿宋"/>
          <w:b/>
          <w:bCs/>
          <w:sz w:val="32"/>
          <w:szCs w:val="32"/>
        </w:rPr>
        <w:t>质量指标：</w:t>
      </w:r>
    </w:p>
    <w:p>
      <w:pPr>
        <w:pStyle w:val="2"/>
        <w:pageBreakBefore w:val="0"/>
        <w:kinsoku/>
        <w:wordWrap/>
        <w:overflowPunct/>
        <w:topLinePunct w:val="0"/>
        <w:autoSpaceDE/>
        <w:autoSpaceDN/>
        <w:bidi w:val="0"/>
        <w:adjustRightInd/>
        <w:snapToGrid w:val="0"/>
        <w:spacing w:line="560" w:lineRule="exact"/>
        <w:ind w:firstLine="640"/>
        <w:textAlignment w:val="auto"/>
        <w:rPr>
          <w:rFonts w:ascii="仿宋_GB2312" w:hAnsi="仿宋" w:cs="仿宋"/>
          <w:sz w:val="32"/>
          <w:szCs w:val="32"/>
        </w:rPr>
      </w:pPr>
      <w:r>
        <w:rPr>
          <w:rFonts w:hint="eastAsia" w:ascii="仿宋_GB2312" w:hAnsi="仿宋" w:cs="仿宋"/>
          <w:sz w:val="32"/>
          <w:szCs w:val="32"/>
        </w:rPr>
        <w:t>1）稿件：原创稿件不少于1000篇；原创视频节目不少于50期；原创作品被中国长安网采用不少于30篇。</w:t>
      </w:r>
    </w:p>
    <w:p>
      <w:pPr>
        <w:pStyle w:val="2"/>
        <w:pageBreakBefore w:val="0"/>
        <w:kinsoku/>
        <w:wordWrap/>
        <w:overflowPunct/>
        <w:topLinePunct w:val="0"/>
        <w:autoSpaceDE/>
        <w:autoSpaceDN/>
        <w:bidi w:val="0"/>
        <w:adjustRightInd/>
        <w:snapToGrid w:val="0"/>
        <w:spacing w:line="560" w:lineRule="exact"/>
        <w:ind w:firstLine="640"/>
        <w:textAlignment w:val="auto"/>
        <w:rPr>
          <w:rFonts w:ascii="仿宋_GB2312" w:hAnsi="仿宋" w:cs="仿宋"/>
          <w:sz w:val="32"/>
          <w:szCs w:val="32"/>
        </w:rPr>
      </w:pPr>
      <w:r>
        <w:rPr>
          <w:rFonts w:hint="eastAsia" w:ascii="仿宋_GB2312" w:hAnsi="仿宋" w:cs="仿宋"/>
          <w:sz w:val="32"/>
          <w:szCs w:val="32"/>
        </w:rPr>
        <w:t>2）影视作品：符合中央政法委平安中国”三微“大赛要求，并被推荐参赛的作品不少于3部。（微电影时长10-20分钟，1920×1080高清MP4格式；微视频中，短视频时长5分钟之内，其他微视频时长10分钟之内，1920×1080高清MP4格式；微动漫时长1分钟之内，1920×1080高清MP4格式）</w:t>
      </w:r>
    </w:p>
    <w:p>
      <w:pPr>
        <w:pStyle w:val="2"/>
        <w:pageBreakBefore w:val="0"/>
        <w:kinsoku/>
        <w:wordWrap/>
        <w:overflowPunct/>
        <w:topLinePunct w:val="0"/>
        <w:autoSpaceDE/>
        <w:autoSpaceDN/>
        <w:bidi w:val="0"/>
        <w:adjustRightInd/>
        <w:snapToGrid w:val="0"/>
        <w:spacing w:line="560" w:lineRule="exact"/>
        <w:ind w:firstLine="640"/>
        <w:textAlignment w:val="auto"/>
        <w:rPr>
          <w:rFonts w:ascii="仿宋_GB2312" w:hAnsi="仿宋" w:cs="仿宋"/>
          <w:sz w:val="32"/>
          <w:szCs w:val="32"/>
        </w:rPr>
      </w:pPr>
      <w:r>
        <w:rPr>
          <w:rFonts w:hint="eastAsia" w:ascii="仿宋_GB2312" w:hAnsi="仿宋" w:cs="仿宋"/>
          <w:sz w:val="32"/>
          <w:szCs w:val="32"/>
        </w:rPr>
        <w:t>3）数据分析报告：准时上报，内容准确，分析合理。</w:t>
      </w:r>
    </w:p>
    <w:p>
      <w:pPr>
        <w:pStyle w:val="2"/>
        <w:pageBreakBefore w:val="0"/>
        <w:kinsoku/>
        <w:wordWrap/>
        <w:overflowPunct/>
        <w:topLinePunct w:val="0"/>
        <w:autoSpaceDE/>
        <w:autoSpaceDN/>
        <w:bidi w:val="0"/>
        <w:adjustRightInd/>
        <w:snapToGrid w:val="0"/>
        <w:spacing w:line="560" w:lineRule="exact"/>
        <w:ind w:firstLine="643"/>
        <w:textAlignment w:val="auto"/>
        <w:rPr>
          <w:rFonts w:ascii="仿宋_GB2312"/>
          <w:kern w:val="0"/>
          <w:sz w:val="32"/>
          <w:szCs w:val="32"/>
        </w:rPr>
      </w:pPr>
      <w:r>
        <w:rPr>
          <w:rFonts w:hint="eastAsia" w:ascii="仿宋_GB2312" w:hAnsi="仿宋" w:cs="仿宋"/>
          <w:b/>
          <w:bCs/>
          <w:sz w:val="32"/>
          <w:szCs w:val="32"/>
        </w:rPr>
        <w:t>进度指标：</w:t>
      </w:r>
      <w:r>
        <w:rPr>
          <w:rFonts w:hint="eastAsia" w:ascii="仿宋_GB2312"/>
          <w:kern w:val="0"/>
          <w:sz w:val="32"/>
          <w:szCs w:val="32"/>
        </w:rPr>
        <w:t>2023年6月底完成数量指标的50%，2023年12月底全部完成。</w:t>
      </w:r>
    </w:p>
    <w:p>
      <w:pPr>
        <w:pStyle w:val="2"/>
        <w:pageBreakBefore w:val="0"/>
        <w:kinsoku/>
        <w:wordWrap/>
        <w:overflowPunct/>
        <w:topLinePunct w:val="0"/>
        <w:autoSpaceDE/>
        <w:autoSpaceDN/>
        <w:bidi w:val="0"/>
        <w:adjustRightInd/>
        <w:snapToGrid w:val="0"/>
        <w:spacing w:line="560" w:lineRule="exact"/>
        <w:ind w:firstLine="643"/>
        <w:textAlignment w:val="auto"/>
        <w:rPr>
          <w:rFonts w:ascii="仿宋_GB2312"/>
          <w:kern w:val="0"/>
          <w:sz w:val="32"/>
          <w:szCs w:val="32"/>
        </w:rPr>
      </w:pPr>
      <w:r>
        <w:rPr>
          <w:rFonts w:hint="eastAsia" w:ascii="仿宋_GB2312" w:hAnsi="仿宋" w:cs="仿宋"/>
          <w:b/>
          <w:bCs/>
          <w:sz w:val="32"/>
          <w:szCs w:val="32"/>
        </w:rPr>
        <w:t>成本指标：</w:t>
      </w:r>
      <w:r>
        <w:rPr>
          <w:rFonts w:hint="eastAsia" w:ascii="仿宋_GB2312"/>
          <w:kern w:val="0"/>
          <w:sz w:val="32"/>
          <w:szCs w:val="32"/>
        </w:rPr>
        <w:t>按照运维合同进行资金支出。</w:t>
      </w:r>
      <w:r>
        <w:rPr>
          <w:rFonts w:hint="eastAsia" w:ascii="仿宋_GB2312"/>
          <w:kern w:val="0"/>
          <w:sz w:val="32"/>
          <w:szCs w:val="32"/>
        </w:rPr>
        <w:tab/>
      </w:r>
    </w:p>
    <w:p>
      <w:pPr>
        <w:pStyle w:val="2"/>
        <w:pageBreakBefore w:val="0"/>
        <w:kinsoku/>
        <w:wordWrap/>
        <w:overflowPunct/>
        <w:topLinePunct w:val="0"/>
        <w:autoSpaceDE/>
        <w:autoSpaceDN/>
        <w:bidi w:val="0"/>
        <w:adjustRightInd/>
        <w:snapToGrid w:val="0"/>
        <w:spacing w:line="560" w:lineRule="exact"/>
        <w:ind w:firstLine="643"/>
        <w:textAlignment w:val="auto"/>
        <w:rPr>
          <w:rFonts w:ascii="仿宋_GB2312" w:hAnsi="仿宋" w:cs="仿宋"/>
          <w:sz w:val="32"/>
          <w:szCs w:val="32"/>
        </w:rPr>
      </w:pPr>
      <w:r>
        <w:rPr>
          <w:rFonts w:hint="eastAsia" w:ascii="仿宋_GB2312" w:hAnsi="仿宋" w:cs="仿宋"/>
          <w:b/>
          <w:bCs/>
          <w:sz w:val="32"/>
          <w:szCs w:val="32"/>
        </w:rPr>
        <w:t>（2）效果指标</w:t>
      </w:r>
    </w:p>
    <w:p>
      <w:pPr>
        <w:pStyle w:val="2"/>
        <w:pageBreakBefore w:val="0"/>
        <w:kinsoku/>
        <w:wordWrap/>
        <w:overflowPunct/>
        <w:topLinePunct w:val="0"/>
        <w:autoSpaceDE/>
        <w:autoSpaceDN/>
        <w:bidi w:val="0"/>
        <w:adjustRightInd/>
        <w:snapToGrid w:val="0"/>
        <w:spacing w:line="560" w:lineRule="exact"/>
        <w:ind w:firstLine="643"/>
        <w:textAlignment w:val="auto"/>
        <w:rPr>
          <w:rFonts w:ascii="仿宋_GB2312" w:hAnsi="仿宋" w:cs="仿宋"/>
          <w:b/>
          <w:bCs/>
          <w:sz w:val="32"/>
          <w:szCs w:val="32"/>
        </w:rPr>
      </w:pPr>
      <w:r>
        <w:rPr>
          <w:rFonts w:hint="eastAsia" w:ascii="仿宋_GB2312" w:hAnsi="仿宋" w:cs="仿宋"/>
          <w:b/>
          <w:bCs/>
          <w:sz w:val="32"/>
          <w:szCs w:val="32"/>
        </w:rPr>
        <w:t>效益指标：</w:t>
      </w:r>
    </w:p>
    <w:p>
      <w:pPr>
        <w:pStyle w:val="2"/>
        <w:pageBreakBefore w:val="0"/>
        <w:kinsoku/>
        <w:wordWrap/>
        <w:overflowPunct/>
        <w:topLinePunct w:val="0"/>
        <w:autoSpaceDE/>
        <w:autoSpaceDN/>
        <w:bidi w:val="0"/>
        <w:adjustRightInd/>
        <w:snapToGrid w:val="0"/>
        <w:spacing w:line="560" w:lineRule="exact"/>
        <w:ind w:firstLine="640"/>
        <w:textAlignment w:val="auto"/>
        <w:rPr>
          <w:rFonts w:ascii="仿宋_GB2312" w:hAnsi="仿宋" w:cs="仿宋"/>
          <w:sz w:val="32"/>
          <w:szCs w:val="32"/>
        </w:rPr>
      </w:pPr>
      <w:r>
        <w:rPr>
          <w:rFonts w:hint="eastAsia" w:ascii="仿宋_GB2312" w:hAnsi="仿宋" w:cs="仿宋"/>
          <w:sz w:val="32"/>
          <w:szCs w:val="32"/>
        </w:rPr>
        <w:t>1）社会效益：网站安全平稳运行，在社会第三方对同类网站的评估中保持良好以上级别。</w:t>
      </w:r>
    </w:p>
    <w:p>
      <w:pPr>
        <w:pStyle w:val="2"/>
        <w:pageBreakBefore w:val="0"/>
        <w:kinsoku/>
        <w:wordWrap/>
        <w:overflowPunct/>
        <w:topLinePunct w:val="0"/>
        <w:autoSpaceDE/>
        <w:autoSpaceDN/>
        <w:bidi w:val="0"/>
        <w:adjustRightInd/>
        <w:snapToGrid w:val="0"/>
        <w:spacing w:line="560" w:lineRule="exact"/>
        <w:ind w:firstLine="640"/>
        <w:textAlignment w:val="auto"/>
        <w:rPr>
          <w:rFonts w:ascii="仿宋_GB2312"/>
          <w:kern w:val="0"/>
          <w:sz w:val="32"/>
          <w:szCs w:val="32"/>
        </w:rPr>
      </w:pPr>
      <w:r>
        <w:rPr>
          <w:rFonts w:hint="eastAsia" w:ascii="仿宋_GB2312" w:hAnsi="仿宋" w:cs="仿宋"/>
          <w:sz w:val="32"/>
          <w:szCs w:val="32"/>
        </w:rPr>
        <w:t>2）可持续影响：</w:t>
      </w:r>
      <w:r>
        <w:rPr>
          <w:rFonts w:hint="eastAsia" w:ascii="仿宋_GB2312"/>
          <w:kern w:val="0"/>
          <w:sz w:val="32"/>
          <w:szCs w:val="32"/>
        </w:rPr>
        <w:t>网站综合影响力不断提升，年度浏览量300万人次，新媒体粉丝数保持增长。</w:t>
      </w:r>
    </w:p>
    <w:p>
      <w:pPr>
        <w:pStyle w:val="2"/>
        <w:pageBreakBefore w:val="0"/>
        <w:kinsoku/>
        <w:wordWrap/>
        <w:overflowPunct/>
        <w:topLinePunct w:val="0"/>
        <w:autoSpaceDE/>
        <w:autoSpaceDN/>
        <w:bidi w:val="0"/>
        <w:adjustRightInd/>
        <w:snapToGrid w:val="0"/>
        <w:spacing w:line="560" w:lineRule="exact"/>
        <w:ind w:firstLine="643"/>
        <w:textAlignment w:val="auto"/>
        <w:rPr>
          <w:rFonts w:ascii="仿宋_GB2312"/>
          <w:kern w:val="0"/>
          <w:sz w:val="32"/>
          <w:szCs w:val="32"/>
        </w:rPr>
      </w:pPr>
      <w:r>
        <w:rPr>
          <w:rFonts w:hint="eastAsia" w:ascii="仿宋_GB2312" w:hAnsi="仿宋" w:cs="仿宋"/>
          <w:b/>
          <w:bCs/>
          <w:sz w:val="32"/>
          <w:szCs w:val="32"/>
        </w:rPr>
        <w:t>服务对象满意度指标：</w:t>
      </w:r>
      <w:r>
        <w:rPr>
          <w:rFonts w:hint="eastAsia" w:ascii="仿宋_GB2312"/>
          <w:kern w:val="0"/>
          <w:sz w:val="32"/>
          <w:szCs w:val="32"/>
        </w:rPr>
        <w:t>用户满意度95%以上。</w:t>
      </w:r>
    </w:p>
    <w:p>
      <w:pPr>
        <w:pStyle w:val="3"/>
        <w:pageBreakBefore w:val="0"/>
        <w:kinsoku/>
        <w:wordWrap/>
        <w:overflowPunct/>
        <w:topLinePunct w:val="0"/>
        <w:autoSpaceDE/>
        <w:autoSpaceDN/>
        <w:bidi w:val="0"/>
        <w:adjustRightInd/>
        <w:snapToGrid w:val="0"/>
        <w:spacing w:line="560" w:lineRule="exact"/>
        <w:ind w:firstLine="640"/>
        <w:textAlignment w:val="auto"/>
        <w:rPr>
          <w:rFonts w:ascii="黑体" w:hAnsi="黑体" w:eastAsia="黑体" w:cs="Times New Roman"/>
          <w:b w:val="0"/>
          <w:sz w:val="32"/>
          <w:szCs w:val="32"/>
        </w:rPr>
      </w:pPr>
      <w:bookmarkStart w:id="4" w:name="_Toc102746351"/>
      <w:r>
        <w:rPr>
          <w:rFonts w:hint="eastAsia" w:ascii="黑体" w:hAnsi="黑体" w:eastAsia="黑体" w:cs="Times New Roman"/>
          <w:b w:val="0"/>
          <w:sz w:val="32"/>
          <w:szCs w:val="32"/>
        </w:rPr>
        <w:t>二、绩效评价工作开展情况</w:t>
      </w:r>
      <w:bookmarkEnd w:id="4"/>
    </w:p>
    <w:p>
      <w:pPr>
        <w:pStyle w:val="4"/>
        <w:pageBreakBefore w:val="0"/>
        <w:kinsoku/>
        <w:wordWrap/>
        <w:overflowPunct/>
        <w:topLinePunct w:val="0"/>
        <w:autoSpaceDE/>
        <w:autoSpaceDN/>
        <w:bidi w:val="0"/>
        <w:adjustRightInd/>
        <w:snapToGrid w:val="0"/>
        <w:spacing w:line="560" w:lineRule="exact"/>
        <w:ind w:firstLine="640"/>
        <w:textAlignment w:val="auto"/>
        <w:rPr>
          <w:rFonts w:ascii="楷体" w:hAnsi="楷体" w:eastAsia="楷体"/>
          <w:b w:val="0"/>
        </w:rPr>
      </w:pPr>
      <w:bookmarkStart w:id="5" w:name="_Toc102746352"/>
      <w:r>
        <w:rPr>
          <w:rFonts w:hint="eastAsia" w:ascii="楷体" w:hAnsi="楷体" w:eastAsia="楷体"/>
          <w:b w:val="0"/>
        </w:rPr>
        <w:t>（一）绩效评价目的、对象和范围</w:t>
      </w:r>
      <w:bookmarkEnd w:id="5"/>
    </w:p>
    <w:p>
      <w:pPr>
        <w:pStyle w:val="2"/>
        <w:pageBreakBefore w:val="0"/>
        <w:kinsoku/>
        <w:wordWrap/>
        <w:overflowPunct/>
        <w:topLinePunct w:val="0"/>
        <w:autoSpaceDE/>
        <w:autoSpaceDN/>
        <w:bidi w:val="0"/>
        <w:adjustRightInd/>
        <w:snapToGrid w:val="0"/>
        <w:spacing w:line="560" w:lineRule="exact"/>
        <w:ind w:firstLine="643"/>
        <w:textAlignment w:val="auto"/>
        <w:rPr>
          <w:rFonts w:ascii="仿宋_GB2312"/>
          <w:b/>
          <w:color w:val="000000"/>
          <w:kern w:val="0"/>
          <w:sz w:val="32"/>
          <w:szCs w:val="32"/>
        </w:rPr>
      </w:pPr>
      <w:r>
        <w:rPr>
          <w:rFonts w:hint="eastAsia" w:ascii="仿宋_GB2312"/>
          <w:b/>
          <w:color w:val="000000"/>
          <w:kern w:val="0"/>
          <w:sz w:val="32"/>
          <w:szCs w:val="32"/>
        </w:rPr>
        <w:t>1、评价目的</w:t>
      </w:r>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Times New Roman" w:eastAsia="仿宋_GB2312" w:cs="Times New Roman"/>
          <w:kern w:val="0"/>
          <w:sz w:val="32"/>
          <w:szCs w:val="32"/>
        </w:rPr>
      </w:pPr>
      <w:r>
        <w:rPr>
          <w:rFonts w:ascii="仿宋_GB2312" w:hAnsi="Times New Roman" w:eastAsia="仿宋_GB2312" w:cs="Times New Roman"/>
          <w:kern w:val="0"/>
          <w:sz w:val="32"/>
          <w:szCs w:val="32"/>
        </w:rPr>
        <w:t>通过绩效评价，衡量和考核</w:t>
      </w:r>
      <w:r>
        <w:rPr>
          <w:rFonts w:hint="eastAsia" w:ascii="仿宋_GB2312" w:hAnsi="Times New Roman" w:eastAsia="仿宋_GB2312" w:cs="Times New Roman"/>
          <w:kern w:val="0"/>
          <w:sz w:val="32"/>
          <w:szCs w:val="32"/>
        </w:rPr>
        <w:t>该</w:t>
      </w:r>
      <w:r>
        <w:rPr>
          <w:rFonts w:ascii="仿宋_GB2312" w:hAnsi="Times New Roman" w:eastAsia="仿宋_GB2312" w:cs="Times New Roman"/>
          <w:kern w:val="0"/>
          <w:sz w:val="32"/>
          <w:szCs w:val="32"/>
        </w:rPr>
        <w:t>项目从项目申报、预算执行及项目验收等全过程的管理和绩效情况。</w:t>
      </w:r>
      <w:r>
        <w:rPr>
          <w:rFonts w:hint="eastAsia" w:ascii="仿宋_GB2312" w:hAnsi="Times New Roman" w:eastAsia="仿宋_GB2312" w:cs="Times New Roman"/>
          <w:kern w:val="0"/>
          <w:sz w:val="32"/>
          <w:szCs w:val="32"/>
        </w:rPr>
        <w:t>对</w:t>
      </w:r>
      <w:r>
        <w:rPr>
          <w:rFonts w:ascii="仿宋_GB2312" w:hAnsi="Times New Roman" w:eastAsia="仿宋_GB2312" w:cs="Times New Roman"/>
          <w:kern w:val="0"/>
          <w:sz w:val="32"/>
          <w:szCs w:val="32"/>
        </w:rPr>
        <w:t>项目资金决策过程的合理性、管理体系的规范性、绩效目标实现程度进行综合评价，以</w:t>
      </w:r>
      <w:r>
        <w:rPr>
          <w:rFonts w:hint="eastAsia" w:ascii="仿宋_GB2312" w:hAnsi="Times New Roman" w:eastAsia="仿宋_GB2312" w:cs="Times New Roman"/>
          <w:kern w:val="0"/>
          <w:sz w:val="32"/>
          <w:szCs w:val="32"/>
        </w:rPr>
        <w:t>进一步总结和分析项目资金的实施效果，检验财政支出预期目标实现程度，考核财政支出效率和综合效果，为该项目以后年度相关预算提供参考依据。</w:t>
      </w:r>
    </w:p>
    <w:p>
      <w:pPr>
        <w:pStyle w:val="2"/>
        <w:pageBreakBefore w:val="0"/>
        <w:kinsoku/>
        <w:wordWrap/>
        <w:overflowPunct/>
        <w:topLinePunct w:val="0"/>
        <w:autoSpaceDE/>
        <w:autoSpaceDN/>
        <w:bidi w:val="0"/>
        <w:adjustRightInd/>
        <w:snapToGrid w:val="0"/>
        <w:spacing w:line="560" w:lineRule="exact"/>
        <w:ind w:firstLine="643"/>
        <w:textAlignment w:val="auto"/>
        <w:rPr>
          <w:rFonts w:ascii="仿宋_GB2312"/>
          <w:b/>
          <w:color w:val="000000"/>
          <w:kern w:val="0"/>
          <w:sz w:val="32"/>
          <w:szCs w:val="32"/>
        </w:rPr>
      </w:pPr>
      <w:r>
        <w:rPr>
          <w:rFonts w:hint="eastAsia" w:ascii="仿宋_GB2312"/>
          <w:b/>
          <w:color w:val="000000"/>
          <w:kern w:val="0"/>
          <w:sz w:val="32"/>
          <w:szCs w:val="32"/>
        </w:rPr>
        <w:t>2、评价对象和范围</w:t>
      </w:r>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Times New Roman" w:eastAsia="仿宋_GB2312" w:cs="Times New Roman"/>
          <w:kern w:val="0"/>
          <w:sz w:val="32"/>
          <w:szCs w:val="32"/>
        </w:rPr>
      </w:pPr>
      <w:r>
        <w:rPr>
          <w:rFonts w:ascii="仿宋_GB2312" w:hAnsi="Times New Roman" w:eastAsia="仿宋_GB2312" w:cs="Times New Roman"/>
          <w:kern w:val="0"/>
          <w:sz w:val="32"/>
          <w:szCs w:val="32"/>
        </w:rPr>
        <w:t>本次评价对象是“</w:t>
      </w:r>
      <w:r>
        <w:rPr>
          <w:rFonts w:hint="eastAsia" w:ascii="仿宋_GB2312" w:hAnsi="Times New Roman" w:eastAsia="仿宋_GB2312" w:cs="Times New Roman"/>
          <w:kern w:val="0"/>
          <w:sz w:val="32"/>
          <w:szCs w:val="32"/>
        </w:rPr>
        <w:t>北京政法网运维</w:t>
      </w:r>
      <w:r>
        <w:rPr>
          <w:rFonts w:ascii="仿宋_GB2312" w:hAnsi="Times New Roman" w:eastAsia="仿宋_GB2312" w:cs="Times New Roman"/>
          <w:kern w:val="0"/>
          <w:sz w:val="32"/>
          <w:szCs w:val="32"/>
        </w:rPr>
        <w:t>项目”。评价范围为791.8</w:t>
      </w:r>
      <w:r>
        <w:rPr>
          <w:rFonts w:hint="eastAsia" w:ascii="仿宋_GB2312" w:hAnsi="Times New Roman" w:eastAsia="仿宋_GB2312" w:cs="Times New Roman"/>
          <w:kern w:val="0"/>
          <w:sz w:val="32"/>
          <w:szCs w:val="32"/>
        </w:rPr>
        <w:t>9</w:t>
      </w:r>
      <w:r>
        <w:rPr>
          <w:rFonts w:ascii="仿宋_GB2312" w:hAnsi="Times New Roman" w:eastAsia="仿宋_GB2312" w:cs="Times New Roman"/>
          <w:kern w:val="0"/>
          <w:sz w:val="32"/>
          <w:szCs w:val="32"/>
        </w:rPr>
        <w:t>万元项目资金的申报及使用情况，包括项目决策、项目过程、项目产出、项目效益等。</w:t>
      </w:r>
    </w:p>
    <w:p>
      <w:pPr>
        <w:pStyle w:val="4"/>
        <w:pageBreakBefore w:val="0"/>
        <w:kinsoku/>
        <w:wordWrap/>
        <w:overflowPunct/>
        <w:topLinePunct w:val="0"/>
        <w:autoSpaceDE/>
        <w:autoSpaceDN/>
        <w:bidi w:val="0"/>
        <w:adjustRightInd/>
        <w:snapToGrid w:val="0"/>
        <w:spacing w:line="560" w:lineRule="exact"/>
        <w:ind w:firstLine="640"/>
        <w:textAlignment w:val="auto"/>
        <w:rPr>
          <w:rFonts w:ascii="楷体" w:hAnsi="楷体" w:eastAsia="楷体"/>
          <w:b w:val="0"/>
        </w:rPr>
      </w:pPr>
      <w:bookmarkStart w:id="6" w:name="_Toc102746353"/>
      <w:r>
        <w:rPr>
          <w:rFonts w:hint="eastAsia" w:ascii="楷体" w:hAnsi="楷体" w:eastAsia="楷体"/>
          <w:b w:val="0"/>
        </w:rPr>
        <w:t>（二）绩效评价原则、评价方法、评价标准</w:t>
      </w:r>
      <w:bookmarkEnd w:id="6"/>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本次评价工作遵循“科学公正、统筹兼顾、激励约束、公开透明”的原则。结合项目特点，评价方法除了传统的审阅、计算、核对、分析复核等方法外，还运用预定目标与实施效果比较和专家集中评议等方法进行评价。采用市财政局规定的绩效评价指标体系作为评价标准，对项目的决策、过程、产出和效果进行客观分析和评价。</w:t>
      </w:r>
    </w:p>
    <w:p>
      <w:pPr>
        <w:pStyle w:val="4"/>
        <w:pageBreakBefore w:val="0"/>
        <w:kinsoku/>
        <w:wordWrap/>
        <w:overflowPunct/>
        <w:topLinePunct w:val="0"/>
        <w:autoSpaceDE/>
        <w:autoSpaceDN/>
        <w:bidi w:val="0"/>
        <w:adjustRightInd/>
        <w:snapToGrid w:val="0"/>
        <w:spacing w:line="560" w:lineRule="exact"/>
        <w:ind w:firstLine="640"/>
        <w:textAlignment w:val="auto"/>
        <w:rPr>
          <w:rFonts w:ascii="楷体" w:hAnsi="楷体" w:eastAsia="楷体"/>
          <w:b w:val="0"/>
        </w:rPr>
      </w:pPr>
      <w:bookmarkStart w:id="7" w:name="_Toc102746354"/>
      <w:r>
        <w:rPr>
          <w:rFonts w:hint="eastAsia" w:ascii="楷体" w:hAnsi="楷体" w:eastAsia="楷体"/>
          <w:b w:val="0"/>
        </w:rPr>
        <w:t>（三）</w:t>
      </w:r>
      <w:r>
        <w:rPr>
          <w:rFonts w:ascii="楷体" w:hAnsi="楷体" w:eastAsia="楷体"/>
          <w:b w:val="0"/>
        </w:rPr>
        <w:t>评价指标体系</w:t>
      </w:r>
      <w:bookmarkEnd w:id="7"/>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Times New Roman" w:eastAsia="仿宋_GB2312" w:cs="Times New Roman"/>
          <w:kern w:val="0"/>
          <w:sz w:val="32"/>
          <w:szCs w:val="32"/>
        </w:rPr>
      </w:pPr>
      <w:r>
        <w:rPr>
          <w:rFonts w:ascii="仿宋_GB2312" w:hAnsi="Times New Roman" w:eastAsia="仿宋_GB2312" w:cs="Times New Roman"/>
          <w:kern w:val="0"/>
          <w:sz w:val="32"/>
          <w:szCs w:val="32"/>
        </w:rPr>
        <w:t>本次绩效评价</w:t>
      </w:r>
      <w:r>
        <w:rPr>
          <w:rFonts w:hint="eastAsia" w:ascii="仿宋_GB2312" w:hAnsi="Times New Roman" w:eastAsia="仿宋_GB2312" w:cs="Times New Roman"/>
          <w:kern w:val="0"/>
          <w:sz w:val="32"/>
          <w:szCs w:val="32"/>
        </w:rPr>
        <w:t>依据</w:t>
      </w:r>
      <w:r>
        <w:rPr>
          <w:rFonts w:ascii="仿宋_GB2312" w:hAnsi="Times New Roman" w:eastAsia="仿宋_GB2312" w:cs="Times New Roman"/>
          <w:kern w:val="0"/>
          <w:sz w:val="32"/>
          <w:szCs w:val="32"/>
        </w:rPr>
        <w:t>市财政局项目评价指标体系，</w:t>
      </w:r>
      <w:r>
        <w:rPr>
          <w:rFonts w:hint="eastAsia" w:ascii="仿宋_GB2312" w:hAnsi="Times New Roman" w:eastAsia="仿宋_GB2312" w:cs="Times New Roman"/>
          <w:kern w:val="0"/>
          <w:sz w:val="32"/>
          <w:szCs w:val="32"/>
        </w:rPr>
        <w:t>从</w:t>
      </w:r>
      <w:r>
        <w:rPr>
          <w:rFonts w:ascii="仿宋_GB2312" w:hAnsi="Times New Roman" w:eastAsia="仿宋_GB2312" w:cs="Times New Roman"/>
          <w:kern w:val="0"/>
          <w:sz w:val="32"/>
          <w:szCs w:val="32"/>
        </w:rPr>
        <w:t>决策、</w:t>
      </w:r>
      <w:r>
        <w:rPr>
          <w:rFonts w:hint="eastAsia" w:ascii="仿宋_GB2312" w:hAnsi="Times New Roman" w:eastAsia="仿宋_GB2312" w:cs="Times New Roman"/>
          <w:kern w:val="0"/>
          <w:sz w:val="32"/>
          <w:szCs w:val="32"/>
        </w:rPr>
        <w:t>过程</w:t>
      </w:r>
      <w:r>
        <w:rPr>
          <w:rFonts w:ascii="仿宋_GB2312" w:hAnsi="Times New Roman" w:eastAsia="仿宋_GB2312" w:cs="Times New Roman"/>
          <w:kern w:val="0"/>
          <w:sz w:val="32"/>
          <w:szCs w:val="32"/>
        </w:rPr>
        <w:t>、</w:t>
      </w:r>
      <w:r>
        <w:rPr>
          <w:rFonts w:hint="eastAsia" w:ascii="仿宋_GB2312" w:hAnsi="Times New Roman" w:eastAsia="仿宋_GB2312" w:cs="Times New Roman"/>
          <w:kern w:val="0"/>
          <w:sz w:val="32"/>
          <w:szCs w:val="32"/>
        </w:rPr>
        <w:t>产出、效益四</w:t>
      </w:r>
      <w:r>
        <w:rPr>
          <w:rFonts w:ascii="仿宋_GB2312" w:hAnsi="Times New Roman" w:eastAsia="仿宋_GB2312" w:cs="Times New Roman"/>
          <w:kern w:val="0"/>
          <w:sz w:val="32"/>
          <w:szCs w:val="32"/>
        </w:rPr>
        <w:t>个方面进行评价，满分100分。一是决策指标（1</w:t>
      </w:r>
      <w:r>
        <w:rPr>
          <w:rFonts w:hint="eastAsia" w:ascii="仿宋_GB2312" w:hAnsi="Times New Roman" w:eastAsia="仿宋_GB2312" w:cs="Times New Roman"/>
          <w:kern w:val="0"/>
          <w:sz w:val="32"/>
          <w:szCs w:val="32"/>
        </w:rPr>
        <w:t>0</w:t>
      </w:r>
      <w:r>
        <w:rPr>
          <w:rFonts w:ascii="仿宋_GB2312" w:hAnsi="Times New Roman" w:eastAsia="仿宋_GB2312" w:cs="Times New Roman"/>
          <w:kern w:val="0"/>
          <w:sz w:val="32"/>
          <w:szCs w:val="32"/>
        </w:rPr>
        <w:t>分），主要评价</w:t>
      </w:r>
      <w:r>
        <w:rPr>
          <w:rFonts w:hint="eastAsia" w:ascii="仿宋_GB2312" w:hAnsi="Times New Roman" w:eastAsia="仿宋_GB2312" w:cs="Times New Roman"/>
          <w:kern w:val="0"/>
          <w:sz w:val="32"/>
          <w:szCs w:val="32"/>
        </w:rPr>
        <w:t>项目立项、绩效目标、资金投入</w:t>
      </w:r>
      <w:r>
        <w:rPr>
          <w:rFonts w:ascii="仿宋_GB2312" w:hAnsi="Times New Roman" w:eastAsia="仿宋_GB2312" w:cs="Times New Roman"/>
          <w:kern w:val="0"/>
          <w:sz w:val="32"/>
          <w:szCs w:val="32"/>
        </w:rPr>
        <w:t>；二是</w:t>
      </w:r>
      <w:r>
        <w:rPr>
          <w:rFonts w:hint="eastAsia" w:ascii="仿宋_GB2312" w:hAnsi="Times New Roman" w:eastAsia="仿宋_GB2312" w:cs="Times New Roman"/>
          <w:kern w:val="0"/>
          <w:sz w:val="32"/>
          <w:szCs w:val="32"/>
        </w:rPr>
        <w:t>过程</w:t>
      </w:r>
      <w:r>
        <w:rPr>
          <w:rFonts w:ascii="仿宋_GB2312" w:hAnsi="Times New Roman" w:eastAsia="仿宋_GB2312" w:cs="Times New Roman"/>
          <w:kern w:val="0"/>
          <w:sz w:val="32"/>
          <w:szCs w:val="32"/>
        </w:rPr>
        <w:t>指标（</w:t>
      </w:r>
      <w:r>
        <w:rPr>
          <w:rFonts w:hint="eastAsia" w:ascii="仿宋_GB2312" w:hAnsi="Times New Roman" w:eastAsia="仿宋_GB2312" w:cs="Times New Roman"/>
          <w:kern w:val="0"/>
          <w:sz w:val="32"/>
          <w:szCs w:val="32"/>
        </w:rPr>
        <w:t>2</w:t>
      </w:r>
      <w:r>
        <w:rPr>
          <w:rFonts w:ascii="仿宋_GB2312" w:hAnsi="Times New Roman" w:eastAsia="仿宋_GB2312" w:cs="Times New Roman"/>
          <w:kern w:val="0"/>
          <w:sz w:val="32"/>
          <w:szCs w:val="32"/>
        </w:rPr>
        <w:t>0分），主要评价</w:t>
      </w:r>
      <w:r>
        <w:rPr>
          <w:rFonts w:hint="eastAsia" w:ascii="仿宋_GB2312" w:hAnsi="Times New Roman" w:eastAsia="仿宋_GB2312" w:cs="Times New Roman"/>
          <w:kern w:val="0"/>
          <w:sz w:val="32"/>
          <w:szCs w:val="32"/>
        </w:rPr>
        <w:t>资金管理、组织实施</w:t>
      </w:r>
      <w:r>
        <w:rPr>
          <w:rFonts w:ascii="仿宋_GB2312" w:hAnsi="Times New Roman" w:eastAsia="仿宋_GB2312" w:cs="Times New Roman"/>
          <w:kern w:val="0"/>
          <w:sz w:val="32"/>
          <w:szCs w:val="32"/>
        </w:rPr>
        <w:t>；三是</w:t>
      </w:r>
      <w:r>
        <w:rPr>
          <w:rFonts w:hint="eastAsia" w:ascii="仿宋_GB2312" w:hAnsi="Times New Roman" w:eastAsia="仿宋_GB2312" w:cs="Times New Roman"/>
          <w:kern w:val="0"/>
          <w:sz w:val="32"/>
          <w:szCs w:val="32"/>
        </w:rPr>
        <w:t>产出</w:t>
      </w:r>
      <w:r>
        <w:rPr>
          <w:rFonts w:ascii="仿宋_GB2312" w:hAnsi="Times New Roman" w:eastAsia="仿宋_GB2312" w:cs="Times New Roman"/>
          <w:kern w:val="0"/>
          <w:sz w:val="32"/>
          <w:szCs w:val="32"/>
        </w:rPr>
        <w:t>指标（</w:t>
      </w:r>
      <w:r>
        <w:rPr>
          <w:rFonts w:hint="eastAsia" w:ascii="仿宋_GB2312" w:hAnsi="Times New Roman" w:eastAsia="仿宋_GB2312" w:cs="Times New Roman"/>
          <w:kern w:val="0"/>
          <w:sz w:val="32"/>
          <w:szCs w:val="32"/>
        </w:rPr>
        <w:t>40</w:t>
      </w:r>
      <w:r>
        <w:rPr>
          <w:rFonts w:ascii="仿宋_GB2312" w:hAnsi="Times New Roman" w:eastAsia="仿宋_GB2312" w:cs="Times New Roman"/>
          <w:kern w:val="0"/>
          <w:sz w:val="32"/>
          <w:szCs w:val="32"/>
        </w:rPr>
        <w:t>分），主要评价</w:t>
      </w:r>
      <w:r>
        <w:rPr>
          <w:rFonts w:hint="eastAsia" w:ascii="仿宋_GB2312" w:hAnsi="Times New Roman" w:eastAsia="仿宋_GB2312" w:cs="Times New Roman"/>
          <w:kern w:val="0"/>
          <w:sz w:val="32"/>
          <w:szCs w:val="32"/>
        </w:rPr>
        <w:t>产出数量、产出质量、产出时效、产出成本；四是效益指标（30分），主要评价实施效益和满意度等内容。</w:t>
      </w:r>
    </w:p>
    <w:p>
      <w:pPr>
        <w:pStyle w:val="4"/>
        <w:pageBreakBefore w:val="0"/>
        <w:kinsoku/>
        <w:wordWrap/>
        <w:overflowPunct/>
        <w:topLinePunct w:val="0"/>
        <w:autoSpaceDE/>
        <w:autoSpaceDN/>
        <w:bidi w:val="0"/>
        <w:adjustRightInd/>
        <w:snapToGrid w:val="0"/>
        <w:spacing w:line="560" w:lineRule="exact"/>
        <w:ind w:firstLine="640"/>
        <w:textAlignment w:val="auto"/>
        <w:rPr>
          <w:rFonts w:ascii="楷体" w:hAnsi="楷体" w:eastAsia="楷体"/>
          <w:b w:val="0"/>
        </w:rPr>
      </w:pPr>
      <w:bookmarkStart w:id="8" w:name="_Toc102746355"/>
      <w:r>
        <w:rPr>
          <w:rFonts w:hint="eastAsia" w:ascii="楷体" w:hAnsi="楷体" w:eastAsia="楷体"/>
          <w:b w:val="0"/>
        </w:rPr>
        <w:t>（四）绩效评价工作过程</w:t>
      </w:r>
      <w:bookmarkEnd w:id="8"/>
    </w:p>
    <w:p>
      <w:pPr>
        <w:pStyle w:val="2"/>
        <w:spacing w:line="560" w:lineRule="exact"/>
        <w:ind w:firstLine="640"/>
        <w:rPr>
          <w:rFonts w:ascii="仿宋_GB2312" w:hAnsi="仿宋_GB2312" w:cs="仿宋_GB2312"/>
          <w:b/>
          <w:bCs w:val="0"/>
          <w:color w:val="000000"/>
          <w:kern w:val="0"/>
          <w:sz w:val="32"/>
          <w:szCs w:val="32"/>
        </w:rPr>
      </w:pPr>
      <w:bookmarkStart w:id="9" w:name="_Toc14351454"/>
      <w:bookmarkStart w:id="10" w:name="_Toc480969046"/>
      <w:bookmarkStart w:id="11" w:name="_Toc19112391"/>
      <w:r>
        <w:rPr>
          <w:rFonts w:hint="eastAsia" w:ascii="仿宋_GB2312" w:hAnsi="仿宋_GB2312" w:cs="仿宋_GB2312"/>
          <w:b/>
          <w:bCs w:val="0"/>
          <w:color w:val="000000"/>
          <w:kern w:val="0"/>
          <w:sz w:val="32"/>
          <w:szCs w:val="32"/>
        </w:rPr>
        <w:t>1.遴选专家</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根据项目实际情况遴选相关业务专家、绩效管理专家和财务专家共5名组成专家组，对每名成员的职责及分工进行了明确。</w:t>
      </w:r>
    </w:p>
    <w:p>
      <w:pPr>
        <w:pStyle w:val="2"/>
        <w:spacing w:line="560" w:lineRule="exact"/>
        <w:ind w:firstLine="640"/>
        <w:rPr>
          <w:rFonts w:ascii="仿宋_GB2312" w:hAnsi="仿宋_GB2312" w:cs="仿宋_GB2312"/>
          <w:b/>
          <w:bCs w:val="0"/>
          <w:color w:val="000000"/>
          <w:kern w:val="0"/>
          <w:sz w:val="32"/>
          <w:szCs w:val="32"/>
        </w:rPr>
      </w:pPr>
      <w:r>
        <w:rPr>
          <w:rFonts w:hint="eastAsia" w:ascii="仿宋_GB2312" w:hAnsi="仿宋_GB2312" w:cs="仿宋_GB2312"/>
          <w:b/>
          <w:bCs w:val="0"/>
          <w:color w:val="000000"/>
          <w:kern w:val="0"/>
          <w:sz w:val="32"/>
          <w:szCs w:val="32"/>
        </w:rPr>
        <w:t>2.汇总资料信息</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根据了解的项目基本情况和关注点，对绩效评价所需资料进行全面分析，按照指标体系内容和评价重点，对资料按照决策、管理和绩效三大类进行分类整理，形成专家资料手册，供专家组审阅评议。</w:t>
      </w:r>
    </w:p>
    <w:p>
      <w:pPr>
        <w:pStyle w:val="2"/>
        <w:spacing w:line="560" w:lineRule="exact"/>
        <w:ind w:firstLine="640"/>
        <w:rPr>
          <w:rFonts w:ascii="仿宋_GB2312" w:hAnsi="仿宋_GB2312" w:cs="仿宋_GB2312"/>
          <w:b/>
          <w:bCs w:val="0"/>
          <w:color w:val="000000"/>
          <w:kern w:val="0"/>
          <w:sz w:val="32"/>
          <w:szCs w:val="32"/>
        </w:rPr>
      </w:pPr>
      <w:r>
        <w:rPr>
          <w:rFonts w:hint="eastAsia" w:ascii="仿宋_GB2312" w:hAnsi="仿宋_GB2312" w:cs="仿宋_GB2312"/>
          <w:b/>
          <w:bCs w:val="0"/>
          <w:color w:val="000000"/>
          <w:kern w:val="0"/>
          <w:sz w:val="32"/>
          <w:szCs w:val="32"/>
        </w:rPr>
        <w:t>3.专家打分</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组织专家组，依据评价指标体系对该项目进行了评价打分，并出具了评价意见，最终形成了该项目的绩效评价专家结论。</w:t>
      </w:r>
    </w:p>
    <w:p>
      <w:pPr>
        <w:pStyle w:val="2"/>
        <w:spacing w:line="560" w:lineRule="exact"/>
        <w:ind w:firstLine="640"/>
        <w:rPr>
          <w:rFonts w:ascii="仿宋_GB2312" w:hAnsi="仿宋_GB2312" w:cs="仿宋_GB2312"/>
          <w:b/>
          <w:bCs w:val="0"/>
          <w:color w:val="000000"/>
          <w:kern w:val="0"/>
          <w:sz w:val="32"/>
          <w:szCs w:val="32"/>
        </w:rPr>
      </w:pPr>
      <w:r>
        <w:rPr>
          <w:rFonts w:hint="eastAsia" w:ascii="仿宋_GB2312" w:hAnsi="仿宋_GB2312" w:cs="仿宋_GB2312"/>
          <w:b/>
          <w:bCs w:val="0"/>
          <w:color w:val="000000"/>
          <w:kern w:val="0"/>
          <w:sz w:val="32"/>
          <w:szCs w:val="32"/>
        </w:rPr>
        <w:t>4.撰写评价报告</w:t>
      </w:r>
    </w:p>
    <w:p>
      <w:pPr>
        <w:pStyle w:val="2"/>
        <w:pageBreakBefore w:val="0"/>
        <w:kinsoku/>
        <w:wordWrap/>
        <w:overflowPunct/>
        <w:topLinePunct w:val="0"/>
        <w:autoSpaceDE/>
        <w:autoSpaceDN/>
        <w:bidi w:val="0"/>
        <w:adjustRightInd/>
        <w:snapToGrid w:val="0"/>
        <w:spacing w:line="560" w:lineRule="exact"/>
        <w:ind w:firstLine="643"/>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根据专家讨论意见和评分情况，撰写绩效评价报告。</w:t>
      </w:r>
    </w:p>
    <w:bookmarkEnd w:id="9"/>
    <w:bookmarkEnd w:id="10"/>
    <w:bookmarkEnd w:id="11"/>
    <w:p>
      <w:pPr>
        <w:pStyle w:val="3"/>
        <w:pageBreakBefore w:val="0"/>
        <w:kinsoku/>
        <w:wordWrap/>
        <w:overflowPunct/>
        <w:topLinePunct w:val="0"/>
        <w:autoSpaceDE/>
        <w:autoSpaceDN/>
        <w:bidi w:val="0"/>
        <w:adjustRightInd/>
        <w:snapToGrid w:val="0"/>
        <w:spacing w:line="560" w:lineRule="exact"/>
        <w:ind w:firstLine="640"/>
        <w:textAlignment w:val="auto"/>
        <w:rPr>
          <w:rFonts w:ascii="黑体" w:hAnsi="黑体" w:eastAsia="黑体" w:cs="Times New Roman"/>
          <w:b w:val="0"/>
          <w:sz w:val="32"/>
          <w:szCs w:val="32"/>
        </w:rPr>
      </w:pPr>
      <w:bookmarkStart w:id="12" w:name="_Toc102746356"/>
      <w:r>
        <w:rPr>
          <w:rFonts w:hint="eastAsia" w:ascii="黑体" w:hAnsi="黑体" w:eastAsia="黑体" w:cs="Times New Roman"/>
          <w:b w:val="0"/>
          <w:sz w:val="32"/>
          <w:szCs w:val="32"/>
        </w:rPr>
        <w:t>三、综合评价情况及评价结论</w:t>
      </w:r>
      <w:bookmarkEnd w:id="12"/>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该项目的实施取得了重要的社会效益，通过利用多种媒介方式，如文字、图片、多媒体音视频等，宣传了北京政法系统的先进个人以及团队，树立了积极、阳光、正面的政法队伍形象，也为政府的舆论引导工作做出了大量有价值和有意义的贡献。</w:t>
      </w:r>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该</w:t>
      </w:r>
      <w:r>
        <w:rPr>
          <w:rFonts w:ascii="仿宋_GB2312" w:hAnsi="Times New Roman" w:eastAsia="仿宋_GB2312" w:cs="Times New Roman"/>
          <w:color w:val="000000"/>
          <w:kern w:val="0"/>
          <w:sz w:val="32"/>
          <w:szCs w:val="32"/>
        </w:rPr>
        <w:t>项目综合评价得分</w:t>
      </w:r>
      <w:r>
        <w:rPr>
          <w:rFonts w:hint="eastAsia" w:ascii="仿宋_GB2312" w:hAnsi="Times New Roman" w:eastAsia="仿宋_GB2312" w:cs="Times New Roman"/>
          <w:color w:val="000000"/>
          <w:kern w:val="0"/>
          <w:sz w:val="32"/>
          <w:szCs w:val="32"/>
        </w:rPr>
        <w:t>86.30</w:t>
      </w:r>
      <w:r>
        <w:rPr>
          <w:rFonts w:ascii="仿宋_GB2312" w:hAnsi="Times New Roman" w:eastAsia="仿宋_GB2312" w:cs="Times New Roman"/>
          <w:color w:val="000000"/>
          <w:kern w:val="0"/>
          <w:sz w:val="32"/>
          <w:szCs w:val="32"/>
        </w:rPr>
        <w:t>分，其中项目决策平均得分8.90分，项目</w:t>
      </w:r>
      <w:r>
        <w:rPr>
          <w:rFonts w:hint="eastAsia" w:ascii="仿宋_GB2312" w:hAnsi="Times New Roman" w:eastAsia="仿宋_GB2312" w:cs="Times New Roman"/>
          <w:color w:val="000000"/>
          <w:kern w:val="0"/>
          <w:sz w:val="32"/>
          <w:szCs w:val="32"/>
        </w:rPr>
        <w:t>过程</w:t>
      </w:r>
      <w:r>
        <w:rPr>
          <w:rFonts w:ascii="仿宋_GB2312" w:hAnsi="Times New Roman" w:eastAsia="仿宋_GB2312" w:cs="Times New Roman"/>
          <w:color w:val="000000"/>
          <w:kern w:val="0"/>
          <w:sz w:val="32"/>
          <w:szCs w:val="32"/>
        </w:rPr>
        <w:t>平均得分18.00分，</w:t>
      </w:r>
      <w:r>
        <w:rPr>
          <w:rFonts w:hint="eastAsia" w:ascii="仿宋_GB2312" w:hAnsi="Times New Roman" w:eastAsia="仿宋_GB2312" w:cs="Times New Roman"/>
          <w:color w:val="000000"/>
          <w:kern w:val="0"/>
          <w:sz w:val="32"/>
          <w:szCs w:val="32"/>
        </w:rPr>
        <w:t>项目产出平均得分</w:t>
      </w:r>
      <w:r>
        <w:rPr>
          <w:rFonts w:hint="eastAsia" w:ascii="仿宋_GB2312" w:hAnsi="Times New Roman" w:eastAsia="仿宋_GB2312" w:cs="Times New Roman"/>
          <w:color w:val="000000"/>
          <w:kern w:val="0"/>
          <w:sz w:val="32"/>
          <w:szCs w:val="32"/>
          <w:lang w:val="en-US" w:eastAsia="zh-CN"/>
        </w:rPr>
        <w:t>34.80</w:t>
      </w:r>
      <w:r>
        <w:rPr>
          <w:rFonts w:hint="eastAsia" w:ascii="仿宋_GB2312" w:hAnsi="Times New Roman" w:eastAsia="仿宋_GB2312" w:cs="Times New Roman"/>
          <w:color w:val="000000"/>
          <w:kern w:val="0"/>
          <w:sz w:val="32"/>
          <w:szCs w:val="32"/>
        </w:rPr>
        <w:t>分，</w:t>
      </w:r>
      <w:r>
        <w:rPr>
          <w:rFonts w:ascii="仿宋_GB2312" w:hAnsi="Times New Roman" w:eastAsia="仿宋_GB2312" w:cs="Times New Roman"/>
          <w:color w:val="000000"/>
          <w:kern w:val="0"/>
          <w:sz w:val="32"/>
          <w:szCs w:val="32"/>
        </w:rPr>
        <w:t>项目</w:t>
      </w:r>
      <w:r>
        <w:rPr>
          <w:rFonts w:hint="eastAsia" w:ascii="仿宋_GB2312" w:hAnsi="Times New Roman" w:eastAsia="仿宋_GB2312" w:cs="Times New Roman"/>
          <w:color w:val="000000"/>
          <w:kern w:val="0"/>
          <w:sz w:val="32"/>
          <w:szCs w:val="32"/>
        </w:rPr>
        <w:t>效益</w:t>
      </w:r>
      <w:r>
        <w:rPr>
          <w:rFonts w:ascii="仿宋_GB2312" w:hAnsi="Times New Roman" w:eastAsia="仿宋_GB2312" w:cs="Times New Roman"/>
          <w:color w:val="000000"/>
          <w:kern w:val="0"/>
          <w:sz w:val="32"/>
          <w:szCs w:val="32"/>
        </w:rPr>
        <w:t>平均得分</w:t>
      </w:r>
      <w:r>
        <w:rPr>
          <w:rFonts w:hint="eastAsia" w:ascii="仿宋_GB2312" w:hAnsi="Times New Roman" w:eastAsia="仿宋_GB2312" w:cs="Times New Roman"/>
          <w:color w:val="000000"/>
          <w:kern w:val="0"/>
          <w:sz w:val="32"/>
          <w:szCs w:val="32"/>
          <w:lang w:val="en-US" w:eastAsia="zh-CN"/>
        </w:rPr>
        <w:t>24.6</w:t>
      </w:r>
      <w:r>
        <w:rPr>
          <w:rFonts w:ascii="仿宋_GB2312" w:hAnsi="Times New Roman" w:eastAsia="仿宋_GB2312" w:cs="Times New Roman"/>
          <w:color w:val="000000"/>
          <w:kern w:val="0"/>
          <w:sz w:val="32"/>
          <w:szCs w:val="32"/>
          <w:highlight w:val="none"/>
        </w:rPr>
        <w:t>0</w:t>
      </w:r>
      <w:r>
        <w:rPr>
          <w:rFonts w:ascii="仿宋_GB2312" w:hAnsi="Times New Roman" w:eastAsia="仿宋_GB2312" w:cs="Times New Roman"/>
          <w:color w:val="000000"/>
          <w:kern w:val="0"/>
          <w:sz w:val="32"/>
          <w:szCs w:val="32"/>
        </w:rPr>
        <w:t>分，绩效级别评定为“</w:t>
      </w:r>
      <w:r>
        <w:rPr>
          <w:rFonts w:hint="eastAsia" w:ascii="仿宋_GB2312" w:hAnsi="Times New Roman" w:eastAsia="仿宋_GB2312" w:cs="Times New Roman"/>
          <w:color w:val="000000"/>
          <w:kern w:val="0"/>
          <w:sz w:val="32"/>
          <w:szCs w:val="32"/>
        </w:rPr>
        <w:t>良好</w:t>
      </w:r>
      <w:r>
        <w:rPr>
          <w:rFonts w:ascii="仿宋_GB2312" w:hAnsi="Times New Roman" w:eastAsia="仿宋_GB2312" w:cs="Times New Roman"/>
          <w:color w:val="000000"/>
          <w:kern w:val="0"/>
          <w:sz w:val="32"/>
          <w:szCs w:val="32"/>
        </w:rPr>
        <w:t>”。</w:t>
      </w:r>
      <w:r>
        <w:rPr>
          <w:rFonts w:hint="eastAsia" w:ascii="仿宋_GB2312" w:hAnsi="Times New Roman" w:eastAsia="仿宋_GB2312" w:cs="Times New Roman"/>
          <w:color w:val="000000"/>
          <w:kern w:val="0"/>
          <w:sz w:val="32"/>
          <w:szCs w:val="32"/>
        </w:rPr>
        <w:t>具体评分情况见附件评分表。</w:t>
      </w:r>
    </w:p>
    <w:p>
      <w:pPr>
        <w:pStyle w:val="3"/>
        <w:pageBreakBefore w:val="0"/>
        <w:kinsoku/>
        <w:wordWrap/>
        <w:overflowPunct/>
        <w:topLinePunct w:val="0"/>
        <w:autoSpaceDE/>
        <w:autoSpaceDN/>
        <w:bidi w:val="0"/>
        <w:adjustRightInd/>
        <w:snapToGrid w:val="0"/>
        <w:spacing w:line="560" w:lineRule="exact"/>
        <w:ind w:firstLine="640"/>
        <w:textAlignment w:val="auto"/>
        <w:rPr>
          <w:rFonts w:ascii="黑体" w:hAnsi="黑体" w:eastAsia="黑体" w:cs="Times New Roman"/>
          <w:b w:val="0"/>
          <w:sz w:val="32"/>
          <w:szCs w:val="32"/>
        </w:rPr>
      </w:pPr>
      <w:bookmarkStart w:id="13" w:name="_Toc362348686"/>
      <w:bookmarkStart w:id="14" w:name="_Toc424567092"/>
      <w:bookmarkStart w:id="15" w:name="_Toc102746357"/>
      <w:r>
        <w:rPr>
          <w:rFonts w:hint="eastAsia" w:ascii="黑体" w:hAnsi="黑体" w:eastAsia="黑体" w:cs="Times New Roman"/>
          <w:b w:val="0"/>
          <w:sz w:val="32"/>
          <w:szCs w:val="32"/>
        </w:rPr>
        <w:t>四</w:t>
      </w:r>
      <w:r>
        <w:rPr>
          <w:rFonts w:ascii="黑体" w:hAnsi="黑体" w:eastAsia="黑体" w:cs="Times New Roman"/>
          <w:b w:val="0"/>
          <w:sz w:val="32"/>
          <w:szCs w:val="32"/>
        </w:rPr>
        <w:t>、</w:t>
      </w:r>
      <w:bookmarkEnd w:id="13"/>
      <w:bookmarkEnd w:id="14"/>
      <w:bookmarkStart w:id="16" w:name="_Toc424567093"/>
      <w:bookmarkStart w:id="17" w:name="_Toc362348687"/>
      <w:r>
        <w:rPr>
          <w:rFonts w:hint="eastAsia" w:ascii="黑体" w:hAnsi="黑体" w:eastAsia="黑体" w:cs="Times New Roman"/>
          <w:b w:val="0"/>
          <w:sz w:val="32"/>
          <w:szCs w:val="32"/>
        </w:rPr>
        <w:t>绩效评价指标分析</w:t>
      </w:r>
      <w:bookmarkEnd w:id="15"/>
    </w:p>
    <w:p>
      <w:pPr>
        <w:pStyle w:val="4"/>
        <w:pageBreakBefore w:val="0"/>
        <w:kinsoku/>
        <w:wordWrap/>
        <w:overflowPunct/>
        <w:topLinePunct w:val="0"/>
        <w:autoSpaceDE/>
        <w:autoSpaceDN/>
        <w:bidi w:val="0"/>
        <w:adjustRightInd/>
        <w:snapToGrid w:val="0"/>
        <w:spacing w:line="560" w:lineRule="exact"/>
        <w:ind w:firstLine="640"/>
        <w:textAlignment w:val="auto"/>
        <w:rPr>
          <w:rFonts w:ascii="楷体" w:hAnsi="楷体" w:eastAsia="楷体"/>
          <w:b w:val="0"/>
        </w:rPr>
      </w:pPr>
      <w:bookmarkStart w:id="18" w:name="_Toc102746358"/>
      <w:r>
        <w:rPr>
          <w:rFonts w:hint="eastAsia" w:ascii="楷体" w:hAnsi="楷体" w:eastAsia="楷体"/>
          <w:b w:val="0"/>
        </w:rPr>
        <w:t>（一）</w:t>
      </w:r>
      <w:bookmarkEnd w:id="16"/>
      <w:bookmarkEnd w:id="17"/>
      <w:r>
        <w:rPr>
          <w:rFonts w:hint="eastAsia" w:ascii="楷体" w:hAnsi="楷体" w:eastAsia="楷体"/>
          <w:b w:val="0"/>
        </w:rPr>
        <w:t>项目决策情况</w:t>
      </w:r>
      <w:bookmarkEnd w:id="18"/>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项目决策指标，满分10.00分，评价得分为</w:t>
      </w:r>
      <w:r>
        <w:rPr>
          <w:rFonts w:ascii="仿宋_GB2312" w:hAnsi="Times New Roman" w:eastAsia="仿宋_GB2312" w:cs="Times New Roman"/>
          <w:color w:val="000000"/>
          <w:kern w:val="0"/>
          <w:sz w:val="32"/>
          <w:szCs w:val="32"/>
        </w:rPr>
        <w:t>8.90</w:t>
      </w:r>
      <w:r>
        <w:rPr>
          <w:rFonts w:hint="eastAsia" w:ascii="仿宋_GB2312" w:hAnsi="Times New Roman" w:eastAsia="仿宋_GB2312" w:cs="Times New Roman"/>
          <w:color w:val="000000"/>
          <w:kern w:val="0"/>
          <w:sz w:val="32"/>
          <w:szCs w:val="32"/>
        </w:rPr>
        <w:t>分，项目立项依据较充分，绩效目标设置基本合理。</w:t>
      </w:r>
    </w:p>
    <w:p>
      <w:pPr>
        <w:pStyle w:val="2"/>
        <w:pageBreakBefore w:val="0"/>
        <w:kinsoku/>
        <w:wordWrap/>
        <w:overflowPunct/>
        <w:topLinePunct w:val="0"/>
        <w:autoSpaceDE/>
        <w:autoSpaceDN/>
        <w:bidi w:val="0"/>
        <w:adjustRightInd/>
        <w:snapToGrid w:val="0"/>
        <w:spacing w:line="560" w:lineRule="exact"/>
        <w:ind w:firstLine="643"/>
        <w:textAlignment w:val="auto"/>
        <w:rPr>
          <w:rFonts w:ascii="仿宋_GB2312"/>
          <w:b/>
          <w:color w:val="000000"/>
          <w:kern w:val="0"/>
          <w:sz w:val="32"/>
          <w:szCs w:val="32"/>
        </w:rPr>
      </w:pPr>
      <w:bookmarkStart w:id="19" w:name="_Toc14351472"/>
      <w:bookmarkStart w:id="20" w:name="_Toc19112400"/>
      <w:r>
        <w:rPr>
          <w:rFonts w:hint="eastAsia" w:ascii="仿宋_GB2312"/>
          <w:b/>
          <w:color w:val="000000"/>
          <w:kern w:val="0"/>
          <w:sz w:val="32"/>
          <w:szCs w:val="32"/>
        </w:rPr>
        <w:t>1、项目立项分析</w:t>
      </w:r>
      <w:bookmarkEnd w:id="19"/>
      <w:bookmarkEnd w:id="20"/>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该项目立项依据充分。</w:t>
      </w:r>
      <w:r>
        <w:rPr>
          <w:rFonts w:hint="eastAsia" w:ascii="仿宋_GB2312" w:hAnsi="Times New Roman" w:eastAsia="仿宋_GB2312" w:cs="Times New Roman"/>
          <w:color w:val="000000"/>
          <w:kern w:val="0"/>
          <w:sz w:val="32"/>
          <w:szCs w:val="32"/>
          <w:lang w:eastAsia="zh-CN"/>
        </w:rPr>
        <w:t>作为市委政法委对外宣传网络阵地，</w:t>
      </w:r>
      <w:r>
        <w:rPr>
          <w:rFonts w:hint="eastAsia" w:ascii="仿宋_GB2312" w:hAnsi="Times New Roman" w:eastAsia="仿宋_GB2312" w:cs="Times New Roman"/>
          <w:color w:val="000000"/>
          <w:kern w:val="0"/>
          <w:sz w:val="32"/>
          <w:szCs w:val="32"/>
        </w:rPr>
        <w:t>市委政法委要求</w:t>
      </w:r>
      <w:r>
        <w:rPr>
          <w:rFonts w:hint="eastAsia" w:ascii="仿宋_GB2312" w:hAnsi="Times New Roman" w:eastAsia="仿宋_GB2312" w:cs="Times New Roman"/>
          <w:color w:val="000000"/>
          <w:kern w:val="0"/>
          <w:sz w:val="32"/>
          <w:szCs w:val="32"/>
          <w:lang w:eastAsia="zh-CN"/>
        </w:rPr>
        <w:t>加强</w:t>
      </w:r>
      <w:r>
        <w:rPr>
          <w:rFonts w:hint="eastAsia" w:ascii="仿宋_GB2312" w:hAnsi="Times New Roman" w:eastAsia="仿宋_GB2312" w:cs="Times New Roman"/>
          <w:color w:val="000000"/>
          <w:kern w:val="0"/>
          <w:sz w:val="32"/>
          <w:szCs w:val="32"/>
        </w:rPr>
        <w:t>北京政法网引领带动作用，加强人员配备、经费投入和基础设施保障，整合全市政法系统宣传舆论资源，做强做优做响政法新媒体，构建全市政法系统“一盘棋”“一张网”的融媒体传播新格局。</w:t>
      </w:r>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该项目立项程序比较规范。学院依照市财政预算编制要求启动该项目预算申报工作，北京政法网运管中心作为具体落实部门，积极填写项目申报文本，编制项目预算明细表、项目绩效目标申报表，制定项目可行性研究报告，并邀请行业专家对该项目进行了论证。经审批和上会审议后，上报申请该项目预算。</w:t>
      </w:r>
    </w:p>
    <w:p>
      <w:pPr>
        <w:pStyle w:val="2"/>
        <w:pageBreakBefore w:val="0"/>
        <w:kinsoku/>
        <w:wordWrap/>
        <w:overflowPunct/>
        <w:topLinePunct w:val="0"/>
        <w:autoSpaceDE/>
        <w:autoSpaceDN/>
        <w:bidi w:val="0"/>
        <w:adjustRightInd/>
        <w:snapToGrid w:val="0"/>
        <w:spacing w:line="560" w:lineRule="exact"/>
        <w:ind w:firstLine="643"/>
        <w:textAlignment w:val="auto"/>
        <w:rPr>
          <w:rFonts w:ascii="仿宋_GB2312"/>
          <w:b/>
          <w:color w:val="000000"/>
          <w:kern w:val="0"/>
          <w:sz w:val="32"/>
          <w:szCs w:val="32"/>
        </w:rPr>
      </w:pPr>
      <w:bookmarkStart w:id="21" w:name="_Toc14351474"/>
      <w:bookmarkStart w:id="22" w:name="_Toc19112402"/>
      <w:r>
        <w:rPr>
          <w:rFonts w:hint="eastAsia" w:ascii="仿宋_GB2312"/>
          <w:b/>
          <w:color w:val="000000"/>
          <w:kern w:val="0"/>
          <w:sz w:val="32"/>
          <w:szCs w:val="32"/>
        </w:rPr>
        <w:t>2、绩效目标分析</w:t>
      </w:r>
      <w:bookmarkEnd w:id="21"/>
      <w:bookmarkEnd w:id="22"/>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Times New Roman" w:eastAsia="仿宋_GB2312" w:cs="Times New Roman"/>
          <w:color w:val="000000"/>
          <w:kern w:val="0"/>
          <w:sz w:val="32"/>
          <w:szCs w:val="32"/>
        </w:rPr>
      </w:pPr>
      <w:bookmarkStart w:id="23" w:name="_Toc19112403"/>
      <w:r>
        <w:rPr>
          <w:rFonts w:hint="eastAsia" w:ascii="仿宋_GB2312" w:hAnsi="Times New Roman" w:eastAsia="仿宋_GB2312" w:cs="Times New Roman"/>
          <w:color w:val="000000"/>
          <w:kern w:val="0"/>
          <w:sz w:val="32"/>
          <w:szCs w:val="32"/>
        </w:rPr>
        <w:t>项目绩效目标总体设置基本合理，</w:t>
      </w:r>
      <w:bookmarkEnd w:id="23"/>
      <w:r>
        <w:rPr>
          <w:rFonts w:hint="eastAsia" w:ascii="仿宋_GB2312" w:hAnsi="Times New Roman" w:eastAsia="仿宋_GB2312" w:cs="Times New Roman"/>
          <w:color w:val="000000"/>
          <w:kern w:val="0"/>
          <w:sz w:val="32"/>
          <w:szCs w:val="32"/>
        </w:rPr>
        <w:t>符合项目的年度工作任务，产出和效果的对应性较好，能够对实际工作进行明确、有效的指导。</w:t>
      </w:r>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项目绩效指标总体较为清晰，从稿件、影视作品及数据分析报告的数量及质量方面细化了可衡量指标。</w:t>
      </w:r>
    </w:p>
    <w:p>
      <w:pPr>
        <w:pStyle w:val="2"/>
        <w:pageBreakBefore w:val="0"/>
        <w:kinsoku/>
        <w:wordWrap/>
        <w:overflowPunct/>
        <w:topLinePunct w:val="0"/>
        <w:autoSpaceDE/>
        <w:autoSpaceDN/>
        <w:bidi w:val="0"/>
        <w:adjustRightInd/>
        <w:snapToGrid w:val="0"/>
        <w:spacing w:line="560" w:lineRule="exact"/>
        <w:ind w:firstLine="643"/>
        <w:textAlignment w:val="auto"/>
        <w:rPr>
          <w:rFonts w:ascii="仿宋_GB2312"/>
          <w:b/>
          <w:color w:val="000000"/>
          <w:kern w:val="0"/>
          <w:sz w:val="32"/>
          <w:szCs w:val="32"/>
        </w:rPr>
      </w:pPr>
      <w:bookmarkStart w:id="24" w:name="_Toc19112404"/>
      <w:bookmarkStart w:id="25" w:name="_Toc14351476"/>
      <w:r>
        <w:rPr>
          <w:rFonts w:hint="eastAsia" w:ascii="仿宋_GB2312"/>
          <w:b/>
          <w:color w:val="000000"/>
          <w:kern w:val="0"/>
          <w:sz w:val="32"/>
          <w:szCs w:val="32"/>
        </w:rPr>
        <w:t>3、资金投入分析</w:t>
      </w:r>
      <w:bookmarkEnd w:id="24"/>
      <w:bookmarkEnd w:id="25"/>
      <w:bookmarkStart w:id="26" w:name="_Toc19112405"/>
    </w:p>
    <w:bookmarkEnd w:id="26"/>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项目预算编制总体较为科学，北京政法网运管中心根据往期相关数据并结合项目年度工作任务编制了项目年度预算，并邀请专家进行了预算评审。</w:t>
      </w:r>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项目预算依据项目年度工作任务进行分配，为项目顺利开展及达成预期目标提供了保障。</w:t>
      </w:r>
    </w:p>
    <w:p>
      <w:pPr>
        <w:pStyle w:val="4"/>
        <w:pageBreakBefore w:val="0"/>
        <w:kinsoku/>
        <w:wordWrap/>
        <w:overflowPunct/>
        <w:topLinePunct w:val="0"/>
        <w:autoSpaceDE/>
        <w:autoSpaceDN/>
        <w:bidi w:val="0"/>
        <w:adjustRightInd/>
        <w:snapToGrid w:val="0"/>
        <w:spacing w:line="560" w:lineRule="exact"/>
        <w:ind w:firstLine="640"/>
        <w:textAlignment w:val="auto"/>
        <w:rPr>
          <w:rFonts w:ascii="楷体" w:hAnsi="楷体" w:eastAsia="楷体"/>
          <w:b w:val="0"/>
        </w:rPr>
      </w:pPr>
      <w:bookmarkStart w:id="27" w:name="_Toc102746359"/>
      <w:r>
        <w:rPr>
          <w:rFonts w:hint="eastAsia" w:ascii="楷体" w:hAnsi="楷体" w:eastAsia="楷体"/>
          <w:b w:val="0"/>
        </w:rPr>
        <w:t>（二）项目过程情况</w:t>
      </w:r>
      <w:bookmarkEnd w:id="27"/>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项目过程指标，满分20.00分，评价得分为18</w:t>
      </w:r>
      <w:r>
        <w:rPr>
          <w:rFonts w:hint="eastAsia" w:ascii="仿宋_GB2312" w:hAnsi="Times New Roman" w:eastAsia="仿宋_GB2312" w:cs="Times New Roman"/>
          <w:color w:val="000000"/>
          <w:kern w:val="0"/>
          <w:sz w:val="32"/>
          <w:szCs w:val="32"/>
          <w:lang w:val="en-US" w:eastAsia="zh-CN"/>
        </w:rPr>
        <w:t>.00</w:t>
      </w:r>
      <w:r>
        <w:rPr>
          <w:rFonts w:hint="eastAsia" w:ascii="仿宋_GB2312" w:hAnsi="Times New Roman" w:eastAsia="仿宋_GB2312" w:cs="Times New Roman"/>
          <w:color w:val="000000"/>
          <w:kern w:val="0"/>
          <w:sz w:val="32"/>
          <w:szCs w:val="32"/>
        </w:rPr>
        <w:t>分，资金足额到位，资金使用及管理规范，项目组织实施基本规范有序。</w:t>
      </w:r>
    </w:p>
    <w:p>
      <w:pPr>
        <w:pStyle w:val="2"/>
        <w:pageBreakBefore w:val="0"/>
        <w:kinsoku/>
        <w:wordWrap/>
        <w:overflowPunct/>
        <w:topLinePunct w:val="0"/>
        <w:autoSpaceDE/>
        <w:autoSpaceDN/>
        <w:bidi w:val="0"/>
        <w:adjustRightInd/>
        <w:snapToGrid w:val="0"/>
        <w:spacing w:line="560" w:lineRule="exact"/>
        <w:ind w:firstLine="643"/>
        <w:textAlignment w:val="auto"/>
        <w:rPr>
          <w:rFonts w:ascii="仿宋_GB2312"/>
          <w:b/>
          <w:color w:val="000000"/>
          <w:kern w:val="0"/>
          <w:sz w:val="32"/>
          <w:szCs w:val="32"/>
        </w:rPr>
      </w:pPr>
      <w:bookmarkStart w:id="28" w:name="_Toc19112407"/>
      <w:bookmarkStart w:id="29" w:name="_Toc14351479"/>
      <w:bookmarkStart w:id="30" w:name="_Toc480969064"/>
      <w:r>
        <w:rPr>
          <w:rFonts w:hint="eastAsia" w:ascii="仿宋_GB2312"/>
          <w:b/>
          <w:color w:val="000000"/>
          <w:kern w:val="0"/>
          <w:sz w:val="32"/>
          <w:szCs w:val="32"/>
        </w:rPr>
        <w:t>1、资金管理情况</w:t>
      </w:r>
      <w:bookmarkEnd w:id="28"/>
      <w:bookmarkEnd w:id="29"/>
      <w:bookmarkEnd w:id="30"/>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Times New Roman" w:eastAsia="仿宋_GB2312" w:cs="Times New Roman"/>
          <w:color w:val="000000"/>
          <w:kern w:val="0"/>
          <w:sz w:val="32"/>
          <w:szCs w:val="32"/>
        </w:rPr>
      </w:pPr>
      <w:bookmarkStart w:id="31" w:name="_Toc483936051"/>
      <w:bookmarkStart w:id="32" w:name="_Toc14351480"/>
      <w:r>
        <w:rPr>
          <w:rFonts w:hint="eastAsia" w:ascii="仿宋_GB2312" w:hAnsi="Times New Roman" w:eastAsia="仿宋_GB2312" w:cs="Times New Roman"/>
          <w:color w:val="000000"/>
          <w:kern w:val="0"/>
          <w:sz w:val="32"/>
          <w:szCs w:val="32"/>
        </w:rPr>
        <w:t>项目资金足额到位。市财政向学院拨付该项目资金额度</w:t>
      </w:r>
      <w:r>
        <w:rPr>
          <w:rFonts w:ascii="仿宋_GB2312" w:hAnsi="Times New Roman" w:eastAsia="仿宋_GB2312" w:cs="Times New Roman"/>
          <w:color w:val="000000"/>
          <w:kern w:val="0"/>
          <w:sz w:val="32"/>
          <w:szCs w:val="32"/>
        </w:rPr>
        <w:t>791.8</w:t>
      </w:r>
      <w:r>
        <w:rPr>
          <w:rFonts w:hint="eastAsia" w:ascii="仿宋_GB2312" w:hAnsi="Times New Roman" w:eastAsia="仿宋_GB2312" w:cs="Times New Roman"/>
          <w:color w:val="000000"/>
          <w:kern w:val="0"/>
          <w:sz w:val="32"/>
          <w:szCs w:val="32"/>
        </w:rPr>
        <w:t>9万元，资金到位率100%，项目投入所需资金及时拨付到位，保障了项目工作的正常开展。</w:t>
      </w:r>
      <w:r>
        <w:rPr>
          <w:rFonts w:hint="eastAsia" w:ascii="仿宋_GB2312" w:hAnsi="Times New Roman" w:eastAsia="仿宋_GB2312" w:cs="Times New Roman"/>
          <w:kern w:val="0"/>
          <w:sz w:val="32"/>
          <w:szCs w:val="32"/>
        </w:rPr>
        <w:t>本年度项目资金支出</w:t>
      </w:r>
      <w:r>
        <w:rPr>
          <w:rFonts w:ascii="仿宋_GB2312" w:hAnsi="Times New Roman" w:eastAsia="仿宋_GB2312" w:cs="Times New Roman"/>
          <w:kern w:val="0"/>
          <w:sz w:val="32"/>
          <w:szCs w:val="32"/>
        </w:rPr>
        <w:t>790.37</w:t>
      </w:r>
      <w:r>
        <w:rPr>
          <w:rFonts w:hint="eastAsia" w:ascii="仿宋_GB2312" w:hAnsi="Times New Roman" w:eastAsia="仿宋_GB2312" w:cs="Times New Roman"/>
          <w:kern w:val="0"/>
          <w:sz w:val="32"/>
          <w:szCs w:val="32"/>
        </w:rPr>
        <w:t>万元，资金结余</w:t>
      </w:r>
      <w:r>
        <w:rPr>
          <w:rFonts w:ascii="仿宋_GB2312" w:hAnsi="Times New Roman" w:eastAsia="仿宋_GB2312" w:cs="Times New Roman"/>
          <w:kern w:val="0"/>
          <w:sz w:val="32"/>
          <w:szCs w:val="32"/>
        </w:rPr>
        <w:t>1.52</w:t>
      </w:r>
      <w:r>
        <w:rPr>
          <w:rFonts w:hint="eastAsia" w:ascii="仿宋_GB2312" w:hAnsi="Times New Roman" w:eastAsia="仿宋_GB2312" w:cs="Times New Roman"/>
          <w:kern w:val="0"/>
          <w:sz w:val="32"/>
          <w:szCs w:val="32"/>
        </w:rPr>
        <w:t>万元，</w:t>
      </w:r>
      <w:r>
        <w:rPr>
          <w:rFonts w:ascii="仿宋_GB2312" w:hAnsi="Times New Roman" w:eastAsia="仿宋_GB2312" w:cs="Times New Roman"/>
          <w:kern w:val="0"/>
          <w:sz w:val="32"/>
          <w:szCs w:val="32"/>
        </w:rPr>
        <w:t>资金支出进度99.81%。</w:t>
      </w:r>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按照财政资金的使用规定，项目履行政府采购程序确定服务商，并在规定时间内签订合同。根据内控制度要求和合同约定方式，对项目资金的申报、审批、支出、拨付、报销等流程进行了约束，严格按照规定和要求执行，确保了项目资金使用的安全性和资金管理的规范性。</w:t>
      </w:r>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项目实施过程中严格按照各项财务制度执行，保证预算执行的合规性。该项目资金支付给中标单位之后，学院要求中标方严格按照合同约定要求管理和使用财政资金，并接受学院的协调、监督与管理。</w:t>
      </w:r>
    </w:p>
    <w:bookmarkEnd w:id="31"/>
    <w:bookmarkEnd w:id="32"/>
    <w:p>
      <w:pPr>
        <w:pStyle w:val="2"/>
        <w:pageBreakBefore w:val="0"/>
        <w:kinsoku/>
        <w:wordWrap/>
        <w:overflowPunct/>
        <w:topLinePunct w:val="0"/>
        <w:autoSpaceDE/>
        <w:autoSpaceDN/>
        <w:bidi w:val="0"/>
        <w:adjustRightInd/>
        <w:snapToGrid w:val="0"/>
        <w:spacing w:line="560" w:lineRule="exact"/>
        <w:ind w:firstLine="643"/>
        <w:textAlignment w:val="auto"/>
        <w:rPr>
          <w:rFonts w:ascii="仿宋_GB2312"/>
          <w:b/>
          <w:color w:val="000000"/>
          <w:kern w:val="0"/>
          <w:sz w:val="32"/>
          <w:szCs w:val="32"/>
        </w:rPr>
      </w:pPr>
      <w:bookmarkStart w:id="33" w:name="_Toc480969069"/>
      <w:bookmarkStart w:id="34" w:name="_Toc19112414"/>
      <w:bookmarkStart w:id="35" w:name="_Toc14351484"/>
      <w:r>
        <w:rPr>
          <w:rFonts w:ascii="仿宋_GB2312"/>
          <w:b/>
          <w:color w:val="000000"/>
          <w:kern w:val="0"/>
          <w:sz w:val="32"/>
          <w:szCs w:val="32"/>
        </w:rPr>
        <w:t>2</w:t>
      </w:r>
      <w:r>
        <w:rPr>
          <w:rFonts w:hint="eastAsia" w:ascii="仿宋_GB2312"/>
          <w:b/>
          <w:color w:val="000000"/>
          <w:kern w:val="0"/>
          <w:sz w:val="32"/>
          <w:szCs w:val="32"/>
        </w:rPr>
        <w:t>、项目组织实施分析</w:t>
      </w:r>
      <w:bookmarkEnd w:id="33"/>
      <w:bookmarkEnd w:id="34"/>
      <w:bookmarkEnd w:id="35"/>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管理制度较为规范、健全。学院制定了预算管理办法、财务报销管理办法及项目相关管理制度等，有效保障了项目年度预算收支、经费使用、财务核算、资料存档的合理性、规范性。北京政法网运管中心从项目绩效管理、技术安全管理方面制定了具体的项目管理制度并细化了管理与考核内容及流程。</w:t>
      </w:r>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项目过程管理较为规范，项目实施符合已制定的管理规定。服务过程中的技术运维、视频制作、网站运维、新媒体运维等资料保存较为完整。按月依据管理制度对运维团队进行考核，对日常工作、阶段性工作、临时性工作进行了比较详细的记录和总结。</w:t>
      </w:r>
    </w:p>
    <w:p>
      <w:pPr>
        <w:pStyle w:val="4"/>
        <w:pageBreakBefore w:val="0"/>
        <w:kinsoku/>
        <w:wordWrap/>
        <w:overflowPunct/>
        <w:topLinePunct w:val="0"/>
        <w:autoSpaceDE/>
        <w:autoSpaceDN/>
        <w:bidi w:val="0"/>
        <w:adjustRightInd/>
        <w:snapToGrid w:val="0"/>
        <w:spacing w:line="560" w:lineRule="exact"/>
        <w:ind w:firstLine="640"/>
        <w:textAlignment w:val="auto"/>
        <w:rPr>
          <w:rFonts w:ascii="楷体" w:hAnsi="楷体" w:eastAsia="楷体"/>
          <w:b w:val="0"/>
        </w:rPr>
      </w:pPr>
      <w:bookmarkStart w:id="36" w:name="_Toc102746360"/>
      <w:r>
        <w:rPr>
          <w:rFonts w:hint="eastAsia" w:ascii="楷体" w:hAnsi="楷体" w:eastAsia="楷体"/>
          <w:b w:val="0"/>
        </w:rPr>
        <w:t>（三）项目产出情况</w:t>
      </w:r>
      <w:bookmarkEnd w:id="36"/>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项目过程指标，满分</w:t>
      </w:r>
      <w:r>
        <w:rPr>
          <w:rFonts w:hint="eastAsia" w:ascii="仿宋_GB2312" w:hAnsi="Times New Roman" w:eastAsia="仿宋_GB2312" w:cs="Times New Roman"/>
          <w:color w:val="000000"/>
          <w:kern w:val="0"/>
          <w:sz w:val="32"/>
          <w:szCs w:val="32"/>
          <w:lang w:val="en-US" w:eastAsia="zh-CN"/>
        </w:rPr>
        <w:t>40</w:t>
      </w:r>
      <w:r>
        <w:rPr>
          <w:rFonts w:hint="eastAsia" w:ascii="仿宋_GB2312" w:hAnsi="Times New Roman" w:eastAsia="仿宋_GB2312" w:cs="Times New Roman"/>
          <w:color w:val="000000"/>
          <w:kern w:val="0"/>
          <w:sz w:val="32"/>
          <w:szCs w:val="32"/>
        </w:rPr>
        <w:t>.00分，评价得分为</w:t>
      </w:r>
      <w:r>
        <w:rPr>
          <w:rFonts w:hint="eastAsia" w:ascii="仿宋_GB2312" w:hAnsi="Times New Roman" w:eastAsia="仿宋_GB2312" w:cs="Times New Roman"/>
          <w:color w:val="000000"/>
          <w:kern w:val="0"/>
          <w:sz w:val="32"/>
          <w:szCs w:val="32"/>
          <w:lang w:val="en-US" w:eastAsia="zh-CN"/>
        </w:rPr>
        <w:t>34</w:t>
      </w:r>
      <w:r>
        <w:rPr>
          <w:rFonts w:ascii="仿宋_GB2312" w:hAnsi="Times New Roman" w:eastAsia="仿宋_GB2312" w:cs="Times New Roman"/>
          <w:color w:val="000000"/>
          <w:kern w:val="0"/>
          <w:sz w:val="32"/>
          <w:szCs w:val="32"/>
        </w:rPr>
        <w:t>.80</w:t>
      </w:r>
      <w:r>
        <w:rPr>
          <w:rFonts w:hint="eastAsia" w:ascii="仿宋_GB2312" w:hAnsi="Times New Roman" w:eastAsia="仿宋_GB2312" w:cs="Times New Roman"/>
          <w:color w:val="000000"/>
          <w:kern w:val="0"/>
          <w:sz w:val="32"/>
          <w:szCs w:val="32"/>
        </w:rPr>
        <w:t>分，项目产出基本达到了预期目标，项目完成质量较为符合预期。</w:t>
      </w:r>
    </w:p>
    <w:p>
      <w:pPr>
        <w:pStyle w:val="2"/>
        <w:pageBreakBefore w:val="0"/>
        <w:kinsoku/>
        <w:wordWrap/>
        <w:overflowPunct/>
        <w:topLinePunct w:val="0"/>
        <w:autoSpaceDE/>
        <w:autoSpaceDN/>
        <w:bidi w:val="0"/>
        <w:adjustRightInd/>
        <w:snapToGrid w:val="0"/>
        <w:spacing w:line="560" w:lineRule="exact"/>
        <w:ind w:firstLine="643"/>
        <w:textAlignment w:val="auto"/>
        <w:rPr>
          <w:rFonts w:ascii="仿宋_GB2312"/>
          <w:b/>
          <w:color w:val="000000"/>
          <w:kern w:val="0"/>
          <w:sz w:val="32"/>
          <w:szCs w:val="32"/>
        </w:rPr>
      </w:pPr>
      <w:bookmarkStart w:id="37" w:name="_Toc480969079"/>
      <w:bookmarkStart w:id="38" w:name="_Toc19112431"/>
      <w:bookmarkStart w:id="39" w:name="_Toc14351493"/>
      <w:r>
        <w:rPr>
          <w:rFonts w:hint="eastAsia" w:ascii="仿宋_GB2312"/>
          <w:b/>
          <w:color w:val="000000"/>
          <w:kern w:val="0"/>
          <w:sz w:val="32"/>
          <w:szCs w:val="32"/>
        </w:rPr>
        <w:t>1、项目产出数量分析</w:t>
      </w:r>
      <w:bookmarkEnd w:id="37"/>
      <w:bookmarkEnd w:id="38"/>
      <w:bookmarkEnd w:id="39"/>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该项目2023年预定绩效数量目标全部实现。具体详见下表：</w:t>
      </w:r>
    </w:p>
    <w:p>
      <w:pPr>
        <w:spacing w:line="360" w:lineRule="auto"/>
        <w:ind w:firstLine="560" w:firstLineChars="200"/>
        <w:jc w:val="center"/>
        <w:rPr>
          <w:rFonts w:ascii="仿宋_GB2312" w:hAnsi="Times New Roman" w:eastAsia="仿宋_GB2312" w:cs="Times New Roman"/>
          <w:b/>
          <w:bCs/>
          <w:sz w:val="28"/>
          <w:szCs w:val="28"/>
        </w:rPr>
      </w:pPr>
      <w:r>
        <w:rPr>
          <w:rFonts w:hint="eastAsia" w:ascii="仿宋_GB2312" w:hAnsi="Times New Roman" w:eastAsia="仿宋_GB2312" w:cs="Times New Roman"/>
          <w:b/>
          <w:bCs/>
          <w:sz w:val="28"/>
          <w:szCs w:val="28"/>
        </w:rPr>
        <w:t>数量指标完成情况表</w:t>
      </w:r>
    </w:p>
    <w:tbl>
      <w:tblPr>
        <w:tblStyle w:val="18"/>
        <w:tblW w:w="8885" w:type="dxa"/>
        <w:jc w:val="center"/>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fixed"/>
        <w:tblCellMar>
          <w:top w:w="0" w:type="dxa"/>
          <w:left w:w="57" w:type="dxa"/>
          <w:bottom w:w="0" w:type="dxa"/>
          <w:right w:w="57" w:type="dxa"/>
        </w:tblCellMar>
      </w:tblPr>
      <w:tblGrid>
        <w:gridCol w:w="3008"/>
        <w:gridCol w:w="2870"/>
        <w:gridCol w:w="3007"/>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57" w:type="dxa"/>
            <w:bottom w:w="0" w:type="dxa"/>
            <w:right w:w="57" w:type="dxa"/>
          </w:tblCellMar>
        </w:tblPrEx>
        <w:trPr>
          <w:cantSplit/>
          <w:trHeight w:val="397" w:hRule="atLeast"/>
          <w:jc w:val="center"/>
        </w:trPr>
        <w:tc>
          <w:tcPr>
            <w:tcW w:w="3008" w:type="dxa"/>
            <w:shd w:val="clear" w:color="auto" w:fill="auto"/>
            <w:vAlign w:val="center"/>
          </w:tcPr>
          <w:p>
            <w:pPr>
              <w:spacing w:line="360" w:lineRule="auto"/>
              <w:ind w:firstLine="480" w:firstLineChars="200"/>
              <w:rPr>
                <w:rFonts w:ascii="仿宋_GB2312" w:hAnsi="Times New Roman" w:eastAsia="仿宋_GB2312" w:cs="Times New Roman"/>
                <w:b/>
                <w:bCs/>
                <w:sz w:val="24"/>
                <w:szCs w:val="24"/>
              </w:rPr>
            </w:pPr>
            <w:bookmarkStart w:id="40" w:name="_Toc72248676"/>
            <w:r>
              <w:rPr>
                <w:rFonts w:hint="eastAsia" w:ascii="仿宋_GB2312" w:hAnsi="Times New Roman" w:eastAsia="仿宋_GB2312" w:cs="Times New Roman"/>
                <w:b/>
                <w:bCs/>
                <w:sz w:val="24"/>
                <w:szCs w:val="24"/>
              </w:rPr>
              <w:t>三级指标</w:t>
            </w:r>
            <w:bookmarkEnd w:id="40"/>
          </w:p>
        </w:tc>
        <w:tc>
          <w:tcPr>
            <w:tcW w:w="2870" w:type="dxa"/>
            <w:shd w:val="clear" w:color="auto" w:fill="auto"/>
            <w:vAlign w:val="center"/>
          </w:tcPr>
          <w:p>
            <w:pPr>
              <w:spacing w:line="360" w:lineRule="auto"/>
              <w:ind w:firstLine="480" w:firstLineChars="200"/>
              <w:outlineLvl w:val="0"/>
              <w:rPr>
                <w:rFonts w:ascii="仿宋_GB2312" w:hAnsi="Times New Roman" w:eastAsia="仿宋_GB2312" w:cs="Times New Roman"/>
                <w:b/>
                <w:bCs/>
                <w:sz w:val="24"/>
                <w:szCs w:val="24"/>
              </w:rPr>
            </w:pPr>
            <w:bookmarkStart w:id="41" w:name="_Toc102746361"/>
            <w:bookmarkStart w:id="42" w:name="_Toc72248677"/>
            <w:r>
              <w:rPr>
                <w:rFonts w:hint="eastAsia" w:ascii="仿宋_GB2312" w:hAnsi="Times New Roman" w:eastAsia="仿宋_GB2312" w:cs="Times New Roman"/>
                <w:b/>
                <w:bCs/>
                <w:sz w:val="24"/>
                <w:szCs w:val="24"/>
              </w:rPr>
              <w:t>年度指标值</w:t>
            </w:r>
            <w:bookmarkEnd w:id="41"/>
            <w:bookmarkEnd w:id="42"/>
          </w:p>
        </w:tc>
        <w:tc>
          <w:tcPr>
            <w:tcW w:w="3007" w:type="dxa"/>
            <w:shd w:val="clear" w:color="auto" w:fill="auto"/>
            <w:vAlign w:val="center"/>
          </w:tcPr>
          <w:p>
            <w:pPr>
              <w:spacing w:line="360" w:lineRule="auto"/>
              <w:ind w:firstLine="480" w:firstLineChars="200"/>
              <w:outlineLvl w:val="0"/>
              <w:rPr>
                <w:rFonts w:ascii="仿宋_GB2312" w:hAnsi="Times New Roman" w:eastAsia="仿宋_GB2312" w:cs="Times New Roman"/>
                <w:b/>
                <w:bCs/>
                <w:sz w:val="24"/>
                <w:szCs w:val="24"/>
              </w:rPr>
            </w:pPr>
            <w:bookmarkStart w:id="43" w:name="_Toc102746362"/>
            <w:bookmarkStart w:id="44" w:name="_Toc72248678"/>
            <w:r>
              <w:rPr>
                <w:rFonts w:hint="eastAsia" w:ascii="仿宋_GB2312" w:hAnsi="Times New Roman" w:eastAsia="仿宋_GB2312" w:cs="Times New Roman"/>
                <w:b/>
                <w:bCs/>
                <w:sz w:val="24"/>
                <w:szCs w:val="24"/>
              </w:rPr>
              <w:t>实际完成值</w:t>
            </w:r>
            <w:bookmarkEnd w:id="43"/>
            <w:bookmarkEnd w:id="44"/>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57" w:type="dxa"/>
            <w:bottom w:w="0" w:type="dxa"/>
            <w:right w:w="57" w:type="dxa"/>
          </w:tblCellMar>
        </w:tblPrEx>
        <w:trPr>
          <w:cantSplit/>
          <w:trHeight w:val="397" w:hRule="atLeast"/>
          <w:jc w:val="center"/>
        </w:trPr>
        <w:tc>
          <w:tcPr>
            <w:tcW w:w="3008" w:type="dxa"/>
            <w:shd w:val="clear" w:color="auto" w:fill="auto"/>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稿件指标</w:t>
            </w:r>
          </w:p>
        </w:tc>
        <w:tc>
          <w:tcPr>
            <w:tcW w:w="2870" w:type="dxa"/>
            <w:shd w:val="clear" w:color="auto" w:fill="auto"/>
            <w:vAlign w:val="center"/>
          </w:tcPr>
          <w:p>
            <w:pPr>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网站图文稿件、视频及微博微信等新媒体发稿共计9496篇。</w:t>
            </w:r>
          </w:p>
        </w:tc>
        <w:tc>
          <w:tcPr>
            <w:tcW w:w="3007" w:type="dxa"/>
            <w:shd w:val="clear" w:color="auto" w:fill="auto"/>
            <w:vAlign w:val="center"/>
          </w:tcPr>
          <w:p>
            <w:pPr>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本年度共计发稿9500篇。</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57" w:type="dxa"/>
            <w:bottom w:w="0" w:type="dxa"/>
            <w:right w:w="57" w:type="dxa"/>
          </w:tblCellMar>
        </w:tblPrEx>
        <w:trPr>
          <w:cantSplit/>
          <w:trHeight w:val="964" w:hRule="atLeast"/>
          <w:jc w:val="center"/>
        </w:trPr>
        <w:tc>
          <w:tcPr>
            <w:tcW w:w="3008" w:type="dxa"/>
            <w:shd w:val="clear" w:color="auto" w:fill="auto"/>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被上级单位采用稿件指标</w:t>
            </w:r>
          </w:p>
        </w:tc>
        <w:tc>
          <w:tcPr>
            <w:tcW w:w="2870" w:type="dxa"/>
            <w:shd w:val="clear" w:color="auto" w:fill="auto"/>
            <w:vAlign w:val="center"/>
          </w:tcPr>
          <w:p>
            <w:pPr>
              <w:jc w:val="left"/>
              <w:rPr>
                <w:rFonts w:ascii="仿宋_GB2312" w:hAnsi="Times New Roman" w:eastAsia="仿宋_GB2312" w:cs="Times New Roman"/>
                <w:sz w:val="24"/>
                <w:szCs w:val="24"/>
              </w:rPr>
            </w:pPr>
            <w:r>
              <w:rPr>
                <w:rFonts w:ascii="仿宋_GB2312" w:hAnsi="Times New Roman" w:eastAsia="仿宋_GB2312" w:cs="Times New Roman"/>
                <w:sz w:val="24"/>
                <w:szCs w:val="24"/>
              </w:rPr>
              <w:t>360</w:t>
            </w:r>
            <w:r>
              <w:rPr>
                <w:rFonts w:hint="eastAsia" w:ascii="仿宋_GB2312" w:hAnsi="Times New Roman" w:eastAsia="仿宋_GB2312" w:cs="Times New Roman"/>
                <w:sz w:val="24"/>
                <w:szCs w:val="24"/>
              </w:rPr>
              <w:t>篇</w:t>
            </w:r>
          </w:p>
        </w:tc>
        <w:tc>
          <w:tcPr>
            <w:tcW w:w="3007" w:type="dxa"/>
            <w:shd w:val="clear" w:color="auto" w:fill="auto"/>
            <w:vAlign w:val="center"/>
          </w:tcPr>
          <w:p>
            <w:pPr>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被上级单位采用稿件355篇。</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57" w:type="dxa"/>
            <w:bottom w:w="0" w:type="dxa"/>
            <w:right w:w="57" w:type="dxa"/>
          </w:tblCellMar>
        </w:tblPrEx>
        <w:trPr>
          <w:cantSplit/>
          <w:trHeight w:val="397" w:hRule="atLeast"/>
          <w:jc w:val="center"/>
        </w:trPr>
        <w:tc>
          <w:tcPr>
            <w:tcW w:w="3008" w:type="dxa"/>
            <w:shd w:val="clear" w:color="auto" w:fill="auto"/>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影视作品指标</w:t>
            </w:r>
          </w:p>
        </w:tc>
        <w:tc>
          <w:tcPr>
            <w:tcW w:w="2870" w:type="dxa"/>
            <w:shd w:val="clear" w:color="auto" w:fill="auto"/>
            <w:vAlign w:val="center"/>
          </w:tcPr>
          <w:p>
            <w:pPr>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专项视频18部，其中微电影1部，微视频3部、微动漫12部、短视频2部。</w:t>
            </w:r>
          </w:p>
        </w:tc>
        <w:tc>
          <w:tcPr>
            <w:tcW w:w="3007" w:type="dxa"/>
            <w:shd w:val="clear" w:color="auto" w:fill="auto"/>
            <w:vAlign w:val="center"/>
          </w:tcPr>
          <w:p>
            <w:pPr>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完成专项视频18部，包括“院警副书记保卫医院主心骨”等12部微动漫，“诉源治理显成效化解矛盾在源头”等2部微视频，“以人为本真心育人”等3部短视频，以及“在路上”微电影1部。</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57" w:type="dxa"/>
            <w:bottom w:w="0" w:type="dxa"/>
            <w:right w:w="57" w:type="dxa"/>
          </w:tblCellMar>
        </w:tblPrEx>
        <w:trPr>
          <w:cantSplit/>
          <w:trHeight w:val="397" w:hRule="atLeast"/>
          <w:jc w:val="center"/>
        </w:trPr>
        <w:tc>
          <w:tcPr>
            <w:tcW w:w="3008" w:type="dxa"/>
            <w:shd w:val="clear" w:color="auto" w:fill="auto"/>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数据分析报告指标</w:t>
            </w:r>
          </w:p>
        </w:tc>
        <w:tc>
          <w:tcPr>
            <w:tcW w:w="2870" w:type="dxa"/>
            <w:shd w:val="clear" w:color="auto" w:fill="auto"/>
            <w:vAlign w:val="center"/>
          </w:tcPr>
          <w:p>
            <w:pPr>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对全市政法单位网络宣传信息进行分析研判，全年报送各类分析报告330期。</w:t>
            </w:r>
          </w:p>
        </w:tc>
        <w:tc>
          <w:tcPr>
            <w:tcW w:w="3007" w:type="dxa"/>
            <w:shd w:val="clear" w:color="auto" w:fill="auto"/>
            <w:vAlign w:val="center"/>
          </w:tcPr>
          <w:p>
            <w:pPr>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对全市政法单位网络宣传信息进行分析研判，全年报送各类分析报告335期。</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color w:val="000000"/>
          <w:kern w:val="0"/>
          <w:sz w:val="32"/>
          <w:szCs w:val="32"/>
        </w:rPr>
      </w:pPr>
      <w:bookmarkStart w:id="45" w:name="_Toc14351494"/>
      <w:r>
        <w:rPr>
          <w:rFonts w:hint="eastAsia" w:ascii="仿宋_GB2312" w:hAnsi="Times New Roman" w:eastAsia="仿宋_GB2312" w:cs="Times New Roman"/>
          <w:color w:val="000000"/>
          <w:kern w:val="0"/>
          <w:sz w:val="32"/>
          <w:szCs w:val="32"/>
        </w:rPr>
        <w:t>评价认为，该项目2023年设定的绩效数量目标基本实现，个别指标与年初设定绩效目标存在差异。</w:t>
      </w:r>
    </w:p>
    <w:bookmarkEnd w:id="45"/>
    <w:p>
      <w:pPr>
        <w:pStyle w:val="2"/>
        <w:spacing w:line="360" w:lineRule="auto"/>
        <w:ind w:firstLine="643"/>
        <w:rPr>
          <w:rFonts w:ascii="仿宋_GB2312"/>
          <w:b/>
          <w:color w:val="000000"/>
          <w:kern w:val="0"/>
          <w:sz w:val="32"/>
          <w:szCs w:val="32"/>
        </w:rPr>
      </w:pPr>
      <w:bookmarkStart w:id="46" w:name="_Toc14351495"/>
      <w:bookmarkStart w:id="47" w:name="_Toc19112440"/>
      <w:bookmarkStart w:id="48" w:name="_Toc480969080"/>
      <w:r>
        <w:rPr>
          <w:rFonts w:ascii="仿宋_GB2312"/>
          <w:b/>
          <w:color w:val="000000"/>
          <w:kern w:val="0"/>
          <w:sz w:val="32"/>
          <w:szCs w:val="32"/>
        </w:rPr>
        <w:t>2</w:t>
      </w:r>
      <w:r>
        <w:rPr>
          <w:rFonts w:hint="eastAsia" w:ascii="仿宋_GB2312"/>
          <w:b/>
          <w:color w:val="000000"/>
          <w:kern w:val="0"/>
          <w:sz w:val="32"/>
          <w:szCs w:val="32"/>
        </w:rPr>
        <w:t>、项目产出质量分析</w:t>
      </w:r>
      <w:bookmarkEnd w:id="46"/>
      <w:bookmarkEnd w:id="47"/>
      <w:bookmarkEnd w:id="48"/>
    </w:p>
    <w:p>
      <w:pPr>
        <w:spacing w:line="360" w:lineRule="auto"/>
        <w:ind w:firstLine="560" w:firstLineChars="200"/>
        <w:jc w:val="center"/>
        <w:rPr>
          <w:rFonts w:ascii="仿宋_GB2312" w:hAnsi="Times New Roman" w:eastAsia="仿宋_GB2312" w:cs="Times New Roman"/>
          <w:b/>
          <w:bCs/>
          <w:sz w:val="28"/>
          <w:szCs w:val="28"/>
        </w:rPr>
      </w:pPr>
      <w:r>
        <w:rPr>
          <w:rFonts w:hint="eastAsia" w:ascii="仿宋_GB2312" w:hAnsi="Times New Roman" w:eastAsia="仿宋_GB2312" w:cs="Times New Roman"/>
          <w:b/>
          <w:bCs/>
          <w:sz w:val="28"/>
          <w:szCs w:val="28"/>
        </w:rPr>
        <w:t>质量指标完成情况表</w:t>
      </w:r>
    </w:p>
    <w:tbl>
      <w:tblPr>
        <w:tblStyle w:val="18"/>
        <w:tblW w:w="8885" w:type="dxa"/>
        <w:jc w:val="center"/>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fixed"/>
        <w:tblCellMar>
          <w:top w:w="0" w:type="dxa"/>
          <w:left w:w="57" w:type="dxa"/>
          <w:bottom w:w="0" w:type="dxa"/>
          <w:right w:w="57" w:type="dxa"/>
        </w:tblCellMar>
      </w:tblPr>
      <w:tblGrid>
        <w:gridCol w:w="3008"/>
        <w:gridCol w:w="2870"/>
        <w:gridCol w:w="3007"/>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57" w:type="dxa"/>
            <w:bottom w:w="0" w:type="dxa"/>
            <w:right w:w="57" w:type="dxa"/>
          </w:tblCellMar>
        </w:tblPrEx>
        <w:trPr>
          <w:cantSplit/>
          <w:trHeight w:val="397" w:hRule="atLeast"/>
          <w:jc w:val="center"/>
        </w:trPr>
        <w:tc>
          <w:tcPr>
            <w:tcW w:w="3008" w:type="dxa"/>
            <w:shd w:val="clear" w:color="auto" w:fill="auto"/>
            <w:vAlign w:val="center"/>
          </w:tcPr>
          <w:p>
            <w:pPr>
              <w:spacing w:line="360" w:lineRule="auto"/>
              <w:ind w:firstLine="480" w:firstLineChars="200"/>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三级指标</w:t>
            </w:r>
          </w:p>
        </w:tc>
        <w:tc>
          <w:tcPr>
            <w:tcW w:w="2870" w:type="dxa"/>
            <w:shd w:val="clear" w:color="auto" w:fill="auto"/>
            <w:vAlign w:val="center"/>
          </w:tcPr>
          <w:p>
            <w:pPr>
              <w:spacing w:line="360" w:lineRule="auto"/>
              <w:ind w:firstLine="480" w:firstLineChars="200"/>
              <w:outlineLvl w:val="0"/>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年度指标值</w:t>
            </w:r>
          </w:p>
        </w:tc>
        <w:tc>
          <w:tcPr>
            <w:tcW w:w="3007" w:type="dxa"/>
            <w:shd w:val="clear" w:color="auto" w:fill="auto"/>
            <w:vAlign w:val="center"/>
          </w:tcPr>
          <w:p>
            <w:pPr>
              <w:spacing w:line="360" w:lineRule="auto"/>
              <w:ind w:firstLine="480" w:firstLineChars="200"/>
              <w:outlineLvl w:val="0"/>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实际完成值</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57" w:type="dxa"/>
            <w:bottom w:w="0" w:type="dxa"/>
            <w:right w:w="57" w:type="dxa"/>
          </w:tblCellMar>
        </w:tblPrEx>
        <w:trPr>
          <w:cantSplit/>
          <w:trHeight w:val="1491" w:hRule="atLeast"/>
          <w:jc w:val="center"/>
        </w:trPr>
        <w:tc>
          <w:tcPr>
            <w:tcW w:w="3008" w:type="dxa"/>
            <w:shd w:val="clear" w:color="auto" w:fill="auto"/>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原创数量指标</w:t>
            </w:r>
          </w:p>
        </w:tc>
        <w:tc>
          <w:tcPr>
            <w:tcW w:w="2870" w:type="dxa"/>
            <w:shd w:val="clear" w:color="auto" w:fill="auto"/>
            <w:vAlign w:val="center"/>
          </w:tcPr>
          <w:p>
            <w:pPr>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原创稿件、原创视频共计1080篇；原创作品被中国长安网采用30篇以上。</w:t>
            </w:r>
          </w:p>
        </w:tc>
        <w:tc>
          <w:tcPr>
            <w:tcW w:w="3007" w:type="dxa"/>
            <w:shd w:val="clear" w:color="auto" w:fill="auto"/>
            <w:vAlign w:val="center"/>
          </w:tcPr>
          <w:p>
            <w:pPr>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本年度共计完成原创类稿件及视频1081篇。</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57" w:type="dxa"/>
            <w:bottom w:w="0" w:type="dxa"/>
            <w:right w:w="57" w:type="dxa"/>
          </w:tblCellMar>
        </w:tblPrEx>
        <w:trPr>
          <w:cantSplit/>
          <w:trHeight w:val="1413" w:hRule="atLeast"/>
          <w:jc w:val="center"/>
        </w:trPr>
        <w:tc>
          <w:tcPr>
            <w:tcW w:w="3008" w:type="dxa"/>
            <w:shd w:val="clear" w:color="auto" w:fill="auto"/>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影视作品指标</w:t>
            </w:r>
          </w:p>
        </w:tc>
        <w:tc>
          <w:tcPr>
            <w:tcW w:w="2870" w:type="dxa"/>
            <w:shd w:val="clear" w:color="auto" w:fill="auto"/>
            <w:vAlign w:val="center"/>
          </w:tcPr>
          <w:p>
            <w:pPr>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符合中央政法委平安中国”三微“大赛要求，并被推荐参赛的作品3部。</w:t>
            </w:r>
          </w:p>
        </w:tc>
        <w:tc>
          <w:tcPr>
            <w:tcW w:w="3007" w:type="dxa"/>
            <w:shd w:val="clear" w:color="auto" w:fill="auto"/>
            <w:vAlign w:val="center"/>
          </w:tcPr>
          <w:p>
            <w:pPr>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本年度被推荐参加“2024年北京国际电影节”的作品3部，包括微动漫“公益诉讼守护美好生活”，微视频“爱你所爱行你所行”，微电影“在路上”。</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57" w:type="dxa"/>
            <w:bottom w:w="0" w:type="dxa"/>
            <w:right w:w="57" w:type="dxa"/>
          </w:tblCellMar>
        </w:tblPrEx>
        <w:trPr>
          <w:cantSplit/>
          <w:trHeight w:val="1832" w:hRule="atLeast"/>
          <w:jc w:val="center"/>
        </w:trPr>
        <w:tc>
          <w:tcPr>
            <w:tcW w:w="3008" w:type="dxa"/>
            <w:shd w:val="clear" w:color="auto" w:fill="auto"/>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数据分析报告指标</w:t>
            </w:r>
          </w:p>
        </w:tc>
        <w:tc>
          <w:tcPr>
            <w:tcW w:w="2870" w:type="dxa"/>
            <w:shd w:val="clear" w:color="auto" w:fill="auto"/>
            <w:vAlign w:val="center"/>
          </w:tcPr>
          <w:p>
            <w:pPr>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准时上报，内容准确，分析合理。</w:t>
            </w:r>
          </w:p>
        </w:tc>
        <w:tc>
          <w:tcPr>
            <w:tcW w:w="3007" w:type="dxa"/>
            <w:shd w:val="clear" w:color="auto" w:fill="auto"/>
            <w:vAlign w:val="center"/>
          </w:tcPr>
          <w:p>
            <w:pPr>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本年度准时上报，内容准确，分析合理。</w:t>
            </w:r>
          </w:p>
        </w:tc>
      </w:tr>
    </w:tbl>
    <w:p>
      <w:pPr>
        <w:pageBreakBefore w:val="0"/>
        <w:widowControl w:val="0"/>
        <w:kinsoku/>
        <w:wordWrap/>
        <w:overflowPunct/>
        <w:topLinePunct w:val="0"/>
        <w:bidi w:val="0"/>
        <w:snapToGrid/>
        <w:spacing w:line="560" w:lineRule="exact"/>
        <w:ind w:firstLine="640" w:firstLineChars="200"/>
        <w:textAlignment w:val="auto"/>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评价认为，该项目2023年设定的绩效质量目标基本实现。</w:t>
      </w:r>
    </w:p>
    <w:p>
      <w:pPr>
        <w:pStyle w:val="2"/>
        <w:pageBreakBefore w:val="0"/>
        <w:widowControl w:val="0"/>
        <w:kinsoku/>
        <w:wordWrap/>
        <w:overflowPunct/>
        <w:topLinePunct w:val="0"/>
        <w:bidi w:val="0"/>
        <w:snapToGrid/>
        <w:spacing w:line="560" w:lineRule="exact"/>
        <w:ind w:firstLine="643"/>
        <w:textAlignment w:val="auto"/>
        <w:rPr>
          <w:rFonts w:ascii="仿宋_GB2312"/>
          <w:b/>
          <w:color w:val="000000"/>
          <w:kern w:val="0"/>
          <w:sz w:val="32"/>
          <w:szCs w:val="32"/>
        </w:rPr>
      </w:pPr>
      <w:r>
        <w:rPr>
          <w:rFonts w:hint="eastAsia" w:ascii="仿宋_GB2312"/>
          <w:b/>
          <w:color w:val="000000"/>
          <w:kern w:val="0"/>
          <w:sz w:val="32"/>
          <w:szCs w:val="32"/>
        </w:rPr>
        <w:t>3、项目产出时效分析</w:t>
      </w:r>
    </w:p>
    <w:p>
      <w:pPr>
        <w:pStyle w:val="2"/>
        <w:pageBreakBefore w:val="0"/>
        <w:widowControl w:val="0"/>
        <w:kinsoku/>
        <w:wordWrap/>
        <w:overflowPunct/>
        <w:topLinePunct w:val="0"/>
        <w:bidi w:val="0"/>
        <w:snapToGrid/>
        <w:spacing w:line="560" w:lineRule="exact"/>
        <w:ind w:firstLine="640"/>
        <w:textAlignment w:val="auto"/>
        <w:rPr>
          <w:rFonts w:ascii="仿宋_GB2312"/>
          <w:color w:val="000000"/>
          <w:kern w:val="0"/>
          <w:sz w:val="32"/>
          <w:szCs w:val="32"/>
        </w:rPr>
      </w:pPr>
      <w:bookmarkStart w:id="49" w:name="_Toc19112444"/>
      <w:bookmarkStart w:id="50" w:name="_Toc14351499"/>
      <w:bookmarkStart w:id="51" w:name="_Toc480969085"/>
      <w:r>
        <w:rPr>
          <w:rFonts w:hint="eastAsia" w:ascii="仿宋_GB2312"/>
          <w:color w:val="000000"/>
          <w:kern w:val="0"/>
          <w:sz w:val="32"/>
          <w:szCs w:val="32"/>
        </w:rPr>
        <w:t>按月考核，确保年终圆满完成全年工作任务。</w:t>
      </w:r>
    </w:p>
    <w:p>
      <w:pPr>
        <w:pStyle w:val="2"/>
        <w:pageBreakBefore w:val="0"/>
        <w:widowControl w:val="0"/>
        <w:kinsoku/>
        <w:wordWrap/>
        <w:overflowPunct/>
        <w:topLinePunct w:val="0"/>
        <w:bidi w:val="0"/>
        <w:snapToGrid/>
        <w:spacing w:line="560" w:lineRule="exact"/>
        <w:ind w:firstLine="643"/>
        <w:textAlignment w:val="auto"/>
        <w:rPr>
          <w:rFonts w:ascii="仿宋_GB2312"/>
          <w:b/>
          <w:color w:val="000000"/>
          <w:kern w:val="0"/>
          <w:sz w:val="32"/>
          <w:szCs w:val="32"/>
        </w:rPr>
      </w:pPr>
      <w:r>
        <w:rPr>
          <w:rFonts w:hint="eastAsia" w:ascii="仿宋_GB2312"/>
          <w:b/>
          <w:color w:val="000000"/>
          <w:kern w:val="0"/>
          <w:sz w:val="32"/>
          <w:szCs w:val="32"/>
        </w:rPr>
        <w:t>4、项目产出成本分析</w:t>
      </w:r>
    </w:p>
    <w:p>
      <w:pPr>
        <w:pageBreakBefore w:val="0"/>
        <w:widowControl w:val="0"/>
        <w:kinsoku/>
        <w:wordWrap/>
        <w:overflowPunct/>
        <w:topLinePunct w:val="0"/>
        <w:bidi w:val="0"/>
        <w:snapToGrid/>
        <w:spacing w:line="560" w:lineRule="exact"/>
        <w:ind w:firstLine="640" w:firstLineChars="200"/>
        <w:textAlignment w:val="auto"/>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该项目预算批复金额为791.89万元，实际支出790.37万元，预算执行率99.81%，基本完成年初预算目标。</w:t>
      </w:r>
    </w:p>
    <w:bookmarkEnd w:id="49"/>
    <w:bookmarkEnd w:id="50"/>
    <w:bookmarkEnd w:id="51"/>
    <w:p>
      <w:pPr>
        <w:pStyle w:val="4"/>
        <w:pageBreakBefore w:val="0"/>
        <w:widowControl w:val="0"/>
        <w:kinsoku/>
        <w:wordWrap/>
        <w:overflowPunct/>
        <w:topLinePunct w:val="0"/>
        <w:bidi w:val="0"/>
        <w:snapToGrid/>
        <w:spacing w:line="560" w:lineRule="exact"/>
        <w:ind w:firstLine="640"/>
        <w:textAlignment w:val="auto"/>
        <w:rPr>
          <w:rFonts w:ascii="楷体" w:hAnsi="楷体" w:eastAsia="楷体"/>
          <w:b w:val="0"/>
        </w:rPr>
      </w:pPr>
      <w:bookmarkStart w:id="52" w:name="_Toc19112448"/>
      <w:bookmarkStart w:id="53" w:name="_Toc480969086"/>
      <w:bookmarkStart w:id="54" w:name="_Toc102746365"/>
      <w:bookmarkStart w:id="55" w:name="_Toc14351501"/>
      <w:r>
        <w:rPr>
          <w:rFonts w:hint="eastAsia" w:ascii="楷体" w:hAnsi="楷体" w:eastAsia="楷体"/>
          <w:b w:val="0"/>
        </w:rPr>
        <w:t>（四）项目效益情况</w:t>
      </w:r>
      <w:bookmarkEnd w:id="52"/>
      <w:bookmarkEnd w:id="53"/>
      <w:bookmarkEnd w:id="54"/>
      <w:bookmarkEnd w:id="55"/>
    </w:p>
    <w:p>
      <w:pPr>
        <w:pageBreakBefore w:val="0"/>
        <w:widowControl w:val="0"/>
        <w:kinsoku/>
        <w:wordWrap/>
        <w:overflowPunct/>
        <w:topLinePunct w:val="0"/>
        <w:bidi w:val="0"/>
        <w:snapToGrid/>
        <w:spacing w:line="560" w:lineRule="exact"/>
        <w:ind w:firstLine="640" w:firstLineChars="200"/>
        <w:textAlignment w:val="auto"/>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项目效益指标，满分</w:t>
      </w:r>
      <w:r>
        <w:rPr>
          <w:rFonts w:hint="eastAsia" w:ascii="仿宋_GB2312" w:hAnsi="Times New Roman" w:eastAsia="仿宋_GB2312" w:cs="Times New Roman"/>
          <w:color w:val="000000"/>
          <w:kern w:val="0"/>
          <w:sz w:val="32"/>
          <w:szCs w:val="32"/>
          <w:lang w:val="en-US" w:eastAsia="zh-CN"/>
        </w:rPr>
        <w:t>30</w:t>
      </w:r>
      <w:r>
        <w:rPr>
          <w:rFonts w:hint="eastAsia" w:ascii="仿宋_GB2312" w:hAnsi="Times New Roman" w:eastAsia="仿宋_GB2312" w:cs="Times New Roman"/>
          <w:color w:val="000000"/>
          <w:kern w:val="0"/>
          <w:sz w:val="32"/>
          <w:szCs w:val="32"/>
        </w:rPr>
        <w:t>.00分，评价得分为</w:t>
      </w:r>
      <w:r>
        <w:rPr>
          <w:rFonts w:hint="eastAsia" w:ascii="仿宋_GB2312" w:hAnsi="Times New Roman" w:eastAsia="仿宋_GB2312" w:cs="Times New Roman"/>
          <w:color w:val="000000"/>
          <w:kern w:val="0"/>
          <w:sz w:val="32"/>
          <w:szCs w:val="32"/>
          <w:lang w:val="en-US" w:eastAsia="zh-CN"/>
        </w:rPr>
        <w:t>24.6</w:t>
      </w:r>
      <w:r>
        <w:rPr>
          <w:rFonts w:ascii="仿宋_GB2312" w:hAnsi="Times New Roman" w:eastAsia="仿宋_GB2312" w:cs="Times New Roman"/>
          <w:color w:val="000000"/>
          <w:kern w:val="0"/>
          <w:sz w:val="32"/>
          <w:szCs w:val="32"/>
        </w:rPr>
        <w:t>0</w:t>
      </w:r>
      <w:r>
        <w:rPr>
          <w:rFonts w:hint="eastAsia" w:ascii="仿宋_GB2312" w:hAnsi="Times New Roman" w:eastAsia="仿宋_GB2312" w:cs="Times New Roman"/>
          <w:color w:val="000000"/>
          <w:kern w:val="0"/>
          <w:sz w:val="32"/>
          <w:szCs w:val="32"/>
        </w:rPr>
        <w:t>分，项目效益基本达到了预期目标。</w:t>
      </w:r>
    </w:p>
    <w:p>
      <w:pPr>
        <w:pStyle w:val="2"/>
        <w:pageBreakBefore w:val="0"/>
        <w:widowControl w:val="0"/>
        <w:kinsoku/>
        <w:wordWrap/>
        <w:overflowPunct/>
        <w:topLinePunct w:val="0"/>
        <w:bidi w:val="0"/>
        <w:snapToGrid/>
        <w:spacing w:line="560" w:lineRule="exact"/>
        <w:ind w:firstLine="643"/>
        <w:textAlignment w:val="auto"/>
        <w:rPr>
          <w:rFonts w:ascii="仿宋_GB2312"/>
          <w:b/>
          <w:color w:val="000000"/>
          <w:kern w:val="0"/>
          <w:sz w:val="32"/>
          <w:szCs w:val="32"/>
        </w:rPr>
      </w:pPr>
      <w:r>
        <w:rPr>
          <w:rFonts w:hint="eastAsia" w:ascii="仿宋_GB2312"/>
          <w:b/>
          <w:color w:val="000000"/>
          <w:kern w:val="0"/>
          <w:sz w:val="32"/>
          <w:szCs w:val="32"/>
        </w:rPr>
        <w:t>1、项目实施的效益情况</w:t>
      </w:r>
    </w:p>
    <w:p>
      <w:pPr>
        <w:pageBreakBefore w:val="0"/>
        <w:widowControl w:val="0"/>
        <w:kinsoku/>
        <w:wordWrap/>
        <w:overflowPunct/>
        <w:topLinePunct w:val="0"/>
        <w:bidi w:val="0"/>
        <w:snapToGrid/>
        <w:spacing w:line="560" w:lineRule="exact"/>
        <w:ind w:firstLine="640" w:firstLineChars="200"/>
        <w:textAlignment w:val="auto"/>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本年度网站总发稿量</w:t>
      </w:r>
      <w:r>
        <w:rPr>
          <w:rFonts w:ascii="仿宋_GB2312" w:hAnsi="Times New Roman" w:eastAsia="仿宋_GB2312" w:cs="Times New Roman"/>
          <w:color w:val="000000"/>
          <w:kern w:val="0"/>
          <w:sz w:val="32"/>
          <w:szCs w:val="32"/>
        </w:rPr>
        <w:t>10758</w:t>
      </w:r>
      <w:r>
        <w:rPr>
          <w:rFonts w:hint="eastAsia" w:ascii="仿宋_GB2312" w:hAnsi="Times New Roman" w:eastAsia="仿宋_GB2312" w:cs="Times New Roman"/>
          <w:color w:val="000000"/>
          <w:kern w:val="0"/>
          <w:sz w:val="32"/>
          <w:szCs w:val="32"/>
        </w:rPr>
        <w:t>篇，网站总浏览量504.46万人次，网站月均流量达</w:t>
      </w:r>
      <w:r>
        <w:rPr>
          <w:rFonts w:ascii="仿宋_GB2312" w:hAnsi="Times New Roman" w:eastAsia="仿宋_GB2312" w:cs="Times New Roman"/>
          <w:color w:val="000000"/>
          <w:kern w:val="0"/>
          <w:sz w:val="32"/>
          <w:szCs w:val="32"/>
        </w:rPr>
        <w:t>42</w:t>
      </w:r>
      <w:r>
        <w:rPr>
          <w:rFonts w:hint="eastAsia" w:ascii="仿宋_GB2312" w:hAnsi="Times New Roman" w:eastAsia="仿宋_GB2312" w:cs="Times New Roman"/>
          <w:color w:val="000000"/>
          <w:kern w:val="0"/>
          <w:sz w:val="32"/>
          <w:szCs w:val="32"/>
        </w:rPr>
        <w:t>万人次。</w:t>
      </w:r>
    </w:p>
    <w:p>
      <w:pPr>
        <w:pageBreakBefore w:val="0"/>
        <w:widowControl w:val="0"/>
        <w:kinsoku/>
        <w:wordWrap/>
        <w:overflowPunct/>
        <w:topLinePunct w:val="0"/>
        <w:bidi w:val="0"/>
        <w:snapToGrid/>
        <w:spacing w:line="560" w:lineRule="exact"/>
        <w:ind w:firstLine="640" w:firstLineChars="200"/>
        <w:textAlignment w:val="auto"/>
        <w:rPr>
          <w:rFonts w:ascii="仿宋_GB2312" w:hAnsi="Times New Roman" w:eastAsia="仿宋_GB2312" w:cs="仿宋_GB2312"/>
          <w:kern w:val="0"/>
          <w:sz w:val="32"/>
          <w:szCs w:val="32"/>
        </w:rPr>
      </w:pPr>
      <w:r>
        <w:rPr>
          <w:rFonts w:hint="eastAsia" w:ascii="仿宋_GB2312" w:hAnsi="Times New Roman" w:eastAsia="仿宋_GB2312" w:cs="仿宋_GB2312"/>
          <w:kern w:val="0"/>
          <w:sz w:val="32"/>
          <w:szCs w:val="32"/>
        </w:rPr>
        <w:t>通过与政法各单位合作策划专题、开展视频报道，打造品牌原创栏目，与中国长安网、北京政法网群矩阵各单位以及新浪、今日头条等平台合作运营新媒体等形式，使相关栏目的浏览量稳中有升，从而切实提高了网站的服务效果。</w:t>
      </w:r>
    </w:p>
    <w:p>
      <w:pPr>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Times New Roman" w:eastAsia="仿宋_GB2312" w:cs="仿宋_GB2312"/>
          <w:kern w:val="0"/>
          <w:sz w:val="32"/>
          <w:szCs w:val="32"/>
        </w:rPr>
      </w:pPr>
      <w:r>
        <w:rPr>
          <w:rFonts w:hint="eastAsia" w:ascii="仿宋_GB2312" w:hAnsi="Times New Roman" w:eastAsia="仿宋_GB2312" w:cs="仿宋_GB2312"/>
          <w:kern w:val="0"/>
          <w:sz w:val="32"/>
          <w:szCs w:val="32"/>
        </w:rPr>
        <w:t>网站获2023年度中国最具影响力政法网站奖；北京政法（新媒体矩阵）获2023年度中国最具影响力政法新媒体奖；“您是我的光，我像您的影子——记北京公安英烈子女崔申迪”获评网络正能量文字。结合中国长安网要求，紧密围绕中央、市委、市委政法委中心工作，设置“学习宣传贯彻党的二十大精神”“贯彻落实习近平法治思想”“宣传学习贯彻习近平新时代中国特色社会主义思想主题教育”等多个主题，宣传全市各级政法单位开展工作情况，发挥了政务官微信息发布、服务群众的作用。</w:t>
      </w:r>
    </w:p>
    <w:p>
      <w:pPr>
        <w:pStyle w:val="2"/>
        <w:pageBreakBefore w:val="0"/>
        <w:widowControl w:val="0"/>
        <w:kinsoku/>
        <w:wordWrap/>
        <w:overflowPunct/>
        <w:topLinePunct w:val="0"/>
        <w:bidi w:val="0"/>
        <w:snapToGrid/>
        <w:spacing w:line="560" w:lineRule="exact"/>
        <w:ind w:firstLine="643"/>
        <w:textAlignment w:val="auto"/>
        <w:rPr>
          <w:rFonts w:ascii="仿宋_GB2312"/>
          <w:b/>
          <w:color w:val="000000"/>
          <w:kern w:val="0"/>
          <w:sz w:val="32"/>
          <w:szCs w:val="32"/>
        </w:rPr>
      </w:pPr>
      <w:r>
        <w:rPr>
          <w:rFonts w:hint="eastAsia" w:ascii="仿宋_GB2312"/>
          <w:b/>
          <w:color w:val="000000"/>
          <w:kern w:val="0"/>
          <w:sz w:val="32"/>
          <w:szCs w:val="32"/>
        </w:rPr>
        <w:t>2、</w:t>
      </w:r>
      <w:r>
        <w:rPr>
          <w:rFonts w:ascii="仿宋_GB2312"/>
          <w:b/>
          <w:color w:val="000000"/>
          <w:kern w:val="0"/>
          <w:sz w:val="32"/>
          <w:szCs w:val="32"/>
        </w:rPr>
        <w:t>服务对象满意度</w:t>
      </w:r>
    </w:p>
    <w:p>
      <w:pPr>
        <w:pStyle w:val="2"/>
        <w:pageBreakBefore w:val="0"/>
        <w:widowControl w:val="0"/>
        <w:kinsoku/>
        <w:wordWrap/>
        <w:overflowPunct/>
        <w:topLinePunct w:val="0"/>
        <w:bidi w:val="0"/>
        <w:snapToGrid/>
        <w:spacing w:line="560" w:lineRule="exact"/>
        <w:ind w:firstLine="640"/>
        <w:textAlignment w:val="auto"/>
        <w:rPr>
          <w:rFonts w:ascii="仿宋_GB2312" w:cs="仿宋_GB2312"/>
          <w:kern w:val="0"/>
          <w:sz w:val="32"/>
          <w:szCs w:val="32"/>
        </w:rPr>
      </w:pPr>
      <w:r>
        <w:rPr>
          <w:rFonts w:hint="eastAsia" w:ascii="仿宋_GB2312" w:cs="仿宋_GB2312"/>
          <w:kern w:val="0"/>
          <w:sz w:val="32"/>
          <w:szCs w:val="32"/>
        </w:rPr>
        <w:t>该项目得到市委政法委</w:t>
      </w:r>
      <w:r>
        <w:rPr>
          <w:rFonts w:hint="eastAsia" w:ascii="仿宋_GB2312" w:cs="仿宋_GB2312"/>
          <w:kern w:val="0"/>
          <w:sz w:val="32"/>
          <w:szCs w:val="32"/>
          <w:lang w:eastAsia="zh-CN"/>
        </w:rPr>
        <w:t>领导领导</w:t>
      </w:r>
      <w:r>
        <w:rPr>
          <w:rFonts w:hint="eastAsia" w:ascii="仿宋_GB2312" w:cs="仿宋_GB2312"/>
          <w:kern w:val="0"/>
          <w:sz w:val="32"/>
          <w:szCs w:val="32"/>
        </w:rPr>
        <w:t>的</w:t>
      </w:r>
      <w:r>
        <w:rPr>
          <w:rFonts w:hint="eastAsia" w:ascii="仿宋_GB2312" w:cs="仿宋_GB2312"/>
          <w:kern w:val="0"/>
          <w:sz w:val="32"/>
          <w:szCs w:val="32"/>
          <w:lang w:eastAsia="zh-CN"/>
        </w:rPr>
        <w:t>肯定</w:t>
      </w:r>
      <w:r>
        <w:rPr>
          <w:rFonts w:hint="eastAsia" w:ascii="仿宋_GB2312" w:cs="仿宋_GB2312"/>
          <w:kern w:val="0"/>
          <w:sz w:val="32"/>
          <w:szCs w:val="32"/>
        </w:rPr>
        <w:t>。在网站开展的满意度调查中，用户对网站总体满意度达98.92%。</w:t>
      </w:r>
    </w:p>
    <w:p>
      <w:pPr>
        <w:pStyle w:val="3"/>
        <w:pageBreakBefore w:val="0"/>
        <w:widowControl w:val="0"/>
        <w:kinsoku/>
        <w:wordWrap/>
        <w:overflowPunct/>
        <w:topLinePunct w:val="0"/>
        <w:bidi w:val="0"/>
        <w:snapToGrid/>
        <w:spacing w:line="560" w:lineRule="exact"/>
        <w:ind w:firstLine="640"/>
        <w:textAlignment w:val="auto"/>
        <w:rPr>
          <w:rFonts w:ascii="黑体" w:hAnsi="黑体" w:eastAsia="黑体" w:cs="Times New Roman"/>
          <w:b w:val="0"/>
          <w:sz w:val="32"/>
          <w:szCs w:val="32"/>
        </w:rPr>
      </w:pPr>
      <w:bookmarkStart w:id="56" w:name="_Toc424567097"/>
      <w:bookmarkStart w:id="57" w:name="_Toc102746366"/>
      <w:r>
        <w:rPr>
          <w:rFonts w:hint="eastAsia" w:ascii="黑体" w:hAnsi="黑体" w:eastAsia="黑体" w:cs="Times New Roman"/>
          <w:b w:val="0"/>
          <w:sz w:val="32"/>
          <w:szCs w:val="32"/>
        </w:rPr>
        <w:t>五、</w:t>
      </w:r>
      <w:bookmarkEnd w:id="56"/>
      <w:r>
        <w:rPr>
          <w:rFonts w:hint="eastAsia" w:ascii="黑体" w:hAnsi="黑体" w:eastAsia="黑体" w:cs="Times New Roman"/>
          <w:b w:val="0"/>
          <w:sz w:val="32"/>
          <w:szCs w:val="32"/>
        </w:rPr>
        <w:t>主要经验及做法、存在的问题</w:t>
      </w:r>
      <w:bookmarkEnd w:id="57"/>
    </w:p>
    <w:p>
      <w:pPr>
        <w:pageBreakBefore w:val="0"/>
        <w:widowControl w:val="0"/>
        <w:kinsoku/>
        <w:wordWrap/>
        <w:overflowPunct/>
        <w:topLinePunct w:val="0"/>
        <w:bidi w:val="0"/>
        <w:snapToGrid/>
        <w:spacing w:line="560" w:lineRule="exact"/>
        <w:ind w:firstLine="640" w:firstLineChars="200"/>
        <w:textAlignment w:val="auto"/>
        <w:rPr>
          <w:rFonts w:ascii="楷体" w:hAnsi="楷体" w:eastAsia="楷体" w:cs="Times New Roman"/>
          <w:color w:val="000000"/>
          <w:kern w:val="0"/>
          <w:sz w:val="32"/>
          <w:szCs w:val="32"/>
        </w:rPr>
      </w:pPr>
      <w:bookmarkStart w:id="58" w:name="_Toc19112465"/>
      <w:bookmarkStart w:id="59" w:name="_Toc475112423"/>
      <w:r>
        <w:rPr>
          <w:rFonts w:hint="eastAsia" w:ascii="楷体" w:hAnsi="楷体" w:eastAsia="楷体" w:cs="Times New Roman"/>
          <w:color w:val="000000"/>
          <w:kern w:val="0"/>
          <w:sz w:val="32"/>
          <w:szCs w:val="32"/>
        </w:rPr>
        <w:t>（一）主要经验及做法</w:t>
      </w:r>
    </w:p>
    <w:p>
      <w:pPr>
        <w:pageBreakBefore w:val="0"/>
        <w:widowControl w:val="0"/>
        <w:kinsoku/>
        <w:wordWrap/>
        <w:overflowPunct/>
        <w:topLinePunct w:val="0"/>
        <w:bidi w:val="0"/>
        <w:snapToGrid/>
        <w:spacing w:line="560" w:lineRule="exact"/>
        <w:ind w:firstLine="640" w:firstLineChars="200"/>
        <w:textAlignment w:val="auto"/>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1.</w:t>
      </w:r>
      <w:r>
        <w:rPr>
          <w:rFonts w:hint="eastAsia"/>
        </w:rPr>
        <w:t xml:space="preserve"> </w:t>
      </w:r>
      <w:r>
        <w:rPr>
          <w:rFonts w:hint="eastAsia" w:ascii="仿宋_GB2312" w:hAnsi="Times New Roman" w:eastAsia="仿宋_GB2312" w:cs="Times New Roman"/>
          <w:color w:val="000000"/>
          <w:kern w:val="0"/>
          <w:sz w:val="32"/>
          <w:szCs w:val="32"/>
        </w:rPr>
        <w:t>加强审核防护。项目组建专业的运维技术服务团队，采用“驻场运维+远程二线支持”的服务模式，充分发挥公司在重大突发事件和活动保障中积累的丰富经验，针对全国两会、春节等重点时期保障，运维团队充分做好了应急预案，在重保期内，，安排专人现场值守，7*24小时值班，并通过多种技术手段对北京政法网进行安全保障，保证了网站云端运行安全平稳，无任何安全事件发生。</w:t>
      </w:r>
    </w:p>
    <w:p>
      <w:pPr>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Times New Roman" w:eastAsia="仿宋_GB2312" w:cs="仿宋_GB2312"/>
          <w:kern w:val="0"/>
          <w:sz w:val="32"/>
          <w:szCs w:val="32"/>
        </w:rPr>
      </w:pPr>
      <w:r>
        <w:rPr>
          <w:rFonts w:hint="eastAsia" w:ascii="仿宋_GB2312" w:hAnsi="Times New Roman" w:eastAsia="仿宋_GB2312" w:cs="仿宋_GB2312"/>
          <w:kern w:val="0"/>
          <w:sz w:val="32"/>
          <w:szCs w:val="32"/>
        </w:rPr>
        <w:t>2.</w:t>
      </w:r>
      <w:r>
        <w:rPr>
          <w:rFonts w:hint="eastAsia"/>
        </w:rPr>
        <w:t xml:space="preserve"> </w:t>
      </w:r>
      <w:r>
        <w:rPr>
          <w:rFonts w:hint="eastAsia" w:ascii="仿宋_GB2312" w:hAnsi="Times New Roman" w:eastAsia="仿宋_GB2312" w:cs="仿宋_GB2312"/>
          <w:kern w:val="0"/>
          <w:sz w:val="32"/>
          <w:szCs w:val="32"/>
        </w:rPr>
        <w:t>推进网群建设。项目运维团队以中国长安网地方网群工作要求作为内容运维的核心指标之一。结合中国长安网要求，紧密围绕中央、市委、市委政法委中心工作，设置“学习宣传贯彻党的二十大精神”“贯彻落实习近平法治思想”“宣传学习贯彻习近平新时代中国特色社会主义思想主题教育”等多个主题，宣传全市各级政法单位开展工作情况，充分发挥了政务官微信息发布、服务群众的作用。</w:t>
      </w:r>
    </w:p>
    <w:p>
      <w:pPr>
        <w:pageBreakBefore w:val="0"/>
        <w:widowControl w:val="0"/>
        <w:kinsoku/>
        <w:wordWrap/>
        <w:overflowPunct/>
        <w:topLinePunct w:val="0"/>
        <w:bidi w:val="0"/>
        <w:snapToGrid/>
        <w:spacing w:line="560" w:lineRule="exact"/>
        <w:ind w:firstLine="640" w:firstLineChars="200"/>
        <w:textAlignment w:val="auto"/>
        <w:rPr>
          <w:rFonts w:ascii="楷体" w:hAnsi="楷体" w:eastAsia="楷体" w:cs="Times New Roman"/>
          <w:color w:val="000000"/>
          <w:kern w:val="0"/>
          <w:sz w:val="32"/>
          <w:szCs w:val="32"/>
        </w:rPr>
      </w:pPr>
      <w:r>
        <w:rPr>
          <w:rFonts w:hint="eastAsia" w:ascii="楷体" w:hAnsi="楷体" w:eastAsia="楷体" w:cs="Times New Roman"/>
          <w:color w:val="000000"/>
          <w:kern w:val="0"/>
          <w:sz w:val="32"/>
          <w:szCs w:val="32"/>
        </w:rPr>
        <w:t>（二）存在的问题</w:t>
      </w:r>
    </w:p>
    <w:p>
      <w:pPr>
        <w:pageBreakBefore w:val="0"/>
        <w:widowControl w:val="0"/>
        <w:kinsoku/>
        <w:wordWrap/>
        <w:overflowPunct/>
        <w:topLinePunct w:val="0"/>
        <w:bidi w:val="0"/>
        <w:snapToGrid/>
        <w:spacing w:line="560" w:lineRule="exact"/>
        <w:ind w:firstLine="64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1. 项目申报书与绩效目标表在总体目标表述方面不完全匹配。</w:t>
      </w:r>
    </w:p>
    <w:p>
      <w:pPr>
        <w:pageBreakBefore w:val="0"/>
        <w:widowControl w:val="0"/>
        <w:kinsoku/>
        <w:wordWrap/>
        <w:overflowPunct/>
        <w:topLinePunct w:val="0"/>
        <w:bidi w:val="0"/>
        <w:snapToGrid/>
        <w:spacing w:line="560" w:lineRule="exact"/>
        <w:ind w:firstLine="64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2. 预算实际执行进度与预期存在一定差异。</w:t>
      </w:r>
    </w:p>
    <w:p>
      <w:pPr>
        <w:pageBreakBefore w:val="0"/>
        <w:widowControl w:val="0"/>
        <w:kinsoku/>
        <w:wordWrap/>
        <w:overflowPunct/>
        <w:topLinePunct w:val="0"/>
        <w:bidi w:val="0"/>
        <w:snapToGrid/>
        <w:spacing w:line="560" w:lineRule="exact"/>
        <w:ind w:firstLine="64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3. 满意度调查结果的获取渠道及方式较为单一，用户反馈结果不够明确。</w:t>
      </w:r>
    </w:p>
    <w:bookmarkEnd w:id="58"/>
    <w:p>
      <w:pPr>
        <w:pStyle w:val="3"/>
        <w:pageBreakBefore w:val="0"/>
        <w:widowControl w:val="0"/>
        <w:kinsoku/>
        <w:wordWrap/>
        <w:overflowPunct/>
        <w:topLinePunct w:val="0"/>
        <w:bidi w:val="0"/>
        <w:snapToGrid/>
        <w:spacing w:line="560" w:lineRule="exact"/>
        <w:ind w:firstLine="640"/>
        <w:textAlignment w:val="auto"/>
        <w:rPr>
          <w:rFonts w:ascii="黑体" w:hAnsi="黑体" w:eastAsia="黑体" w:cs="Times New Roman"/>
          <w:b w:val="0"/>
          <w:sz w:val="32"/>
          <w:szCs w:val="32"/>
        </w:rPr>
      </w:pPr>
      <w:bookmarkStart w:id="60" w:name="_Toc437268049"/>
      <w:bookmarkStart w:id="61" w:name="_Toc102746367"/>
      <w:r>
        <w:rPr>
          <w:rFonts w:hint="eastAsia" w:ascii="黑体" w:hAnsi="黑体" w:eastAsia="黑体" w:cs="Times New Roman"/>
          <w:b w:val="0"/>
          <w:sz w:val="32"/>
          <w:szCs w:val="32"/>
        </w:rPr>
        <w:t>六、</w:t>
      </w:r>
      <w:bookmarkEnd w:id="60"/>
      <w:r>
        <w:rPr>
          <w:rFonts w:hint="eastAsia" w:ascii="黑体" w:hAnsi="黑体" w:eastAsia="黑体" w:cs="Times New Roman"/>
          <w:b w:val="0"/>
          <w:sz w:val="32"/>
          <w:szCs w:val="32"/>
        </w:rPr>
        <w:t>有关建议</w:t>
      </w:r>
      <w:bookmarkEnd w:id="61"/>
    </w:p>
    <w:p>
      <w:pPr>
        <w:pageBreakBefore w:val="0"/>
        <w:widowControl w:val="0"/>
        <w:kinsoku/>
        <w:wordWrap/>
        <w:overflowPunct/>
        <w:topLinePunct w:val="0"/>
        <w:bidi w:val="0"/>
        <w:snapToGrid/>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1. 进一步规范项目申报与绩效目标申报管理。</w:t>
      </w:r>
    </w:p>
    <w:p>
      <w:pPr>
        <w:pageBreakBefore w:val="0"/>
        <w:widowControl w:val="0"/>
        <w:kinsoku/>
        <w:wordWrap/>
        <w:overflowPunct/>
        <w:topLinePunct w:val="0"/>
        <w:bidi w:val="0"/>
        <w:snapToGrid/>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2. 根据业务实际情况设定合理的预算执行进度绩效目标。</w:t>
      </w:r>
    </w:p>
    <w:p>
      <w:pPr>
        <w:pageBreakBefore w:val="0"/>
        <w:widowControl w:val="0"/>
        <w:kinsoku/>
        <w:wordWrap/>
        <w:overflowPunct/>
        <w:topLinePunct w:val="0"/>
        <w:bidi w:val="0"/>
        <w:snapToGrid/>
        <w:spacing w:line="560" w:lineRule="exact"/>
        <w:ind w:firstLine="640" w:firstLineChars="200"/>
        <w:textAlignment w:val="auto"/>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3. 多途径开展满意度调查，在设定调查问卷前应明确调查目标，并合理设定“开放式”（填空）或“封闭式”（选择或问答）问题。</w:t>
      </w:r>
    </w:p>
    <w:bookmarkEnd w:id="59"/>
    <w:p>
      <w:pPr>
        <w:pStyle w:val="3"/>
        <w:pageBreakBefore w:val="0"/>
        <w:widowControl w:val="0"/>
        <w:kinsoku/>
        <w:wordWrap/>
        <w:overflowPunct/>
        <w:topLinePunct w:val="0"/>
        <w:bidi w:val="0"/>
        <w:snapToGrid/>
        <w:spacing w:line="560" w:lineRule="exact"/>
        <w:ind w:firstLine="640"/>
        <w:textAlignment w:val="auto"/>
        <w:rPr>
          <w:rFonts w:ascii="黑体" w:hAnsi="黑体" w:eastAsia="黑体" w:cs="Times New Roman"/>
          <w:b w:val="0"/>
          <w:sz w:val="32"/>
          <w:szCs w:val="32"/>
        </w:rPr>
      </w:pPr>
      <w:bookmarkStart w:id="62" w:name="_Toc102746368"/>
      <w:r>
        <w:rPr>
          <w:rFonts w:hint="eastAsia" w:ascii="黑体" w:hAnsi="黑体" w:eastAsia="黑体" w:cs="Times New Roman"/>
          <w:b w:val="0"/>
          <w:sz w:val="32"/>
          <w:szCs w:val="32"/>
        </w:rPr>
        <w:t>七、其他需要说明的问题</w:t>
      </w:r>
      <w:bookmarkEnd w:id="62"/>
      <w:bookmarkStart w:id="63" w:name="_GoBack"/>
      <w:bookmarkEnd w:id="63"/>
    </w:p>
    <w:p>
      <w:pPr>
        <w:pageBreakBefore w:val="0"/>
        <w:widowControl w:val="0"/>
        <w:kinsoku/>
        <w:wordWrap/>
        <w:overflowPunct/>
        <w:topLinePunct w:val="0"/>
        <w:bidi w:val="0"/>
        <w:snapToGrid/>
        <w:spacing w:line="560" w:lineRule="exact"/>
        <w:ind w:firstLine="640" w:firstLineChars="200"/>
        <w:textAlignment w:val="auto"/>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无。</w:t>
      </w:r>
    </w:p>
    <w:p>
      <w:pPr>
        <w:pageBreakBefore w:val="0"/>
        <w:widowControl w:val="0"/>
        <w:kinsoku/>
        <w:wordWrap/>
        <w:overflowPunct/>
        <w:topLinePunct w:val="0"/>
        <w:bidi w:val="0"/>
        <w:snapToGrid/>
        <w:spacing w:line="560" w:lineRule="exact"/>
        <w:ind w:firstLine="640" w:firstLineChars="200"/>
        <w:textAlignment w:val="auto"/>
        <w:rPr>
          <w:rFonts w:ascii="Times New Roman" w:hAnsi="Times New Roman" w:eastAsia="仿宋_GB2312" w:cs="Times New Roman"/>
          <w:bCs/>
          <w:sz w:val="32"/>
          <w:szCs w:val="32"/>
        </w:rPr>
      </w:pPr>
    </w:p>
    <w:p>
      <w:pPr>
        <w:pageBreakBefore w:val="0"/>
        <w:widowControl w:val="0"/>
        <w:kinsoku/>
        <w:wordWrap/>
        <w:overflowPunct/>
        <w:topLinePunct w:val="0"/>
        <w:bidi w:val="0"/>
        <w:snapToGrid/>
        <w:spacing w:line="560" w:lineRule="exact"/>
        <w:ind w:firstLine="640" w:firstLineChars="200"/>
        <w:textAlignment w:val="auto"/>
        <w:rPr>
          <w:rFonts w:ascii="Times New Roman" w:hAnsi="Times New Roman" w:eastAsia="仿宋_GB2312" w:cs="Times New Roman"/>
          <w:bCs/>
          <w:kern w:val="0"/>
          <w:sz w:val="32"/>
          <w:szCs w:val="32"/>
        </w:rPr>
      </w:pPr>
      <w:r>
        <w:rPr>
          <w:rFonts w:hint="eastAsia" w:ascii="仿宋_GB2312" w:hAnsi="黑体" w:eastAsia="仿宋_GB2312" w:cs="Times New Roman"/>
          <w:bCs/>
          <w:sz w:val="32"/>
          <w:szCs w:val="32"/>
        </w:rPr>
        <w:t>附件：</w:t>
      </w:r>
      <w:r>
        <w:rPr>
          <w:rFonts w:hint="eastAsia" w:ascii="Times New Roman" w:hAnsi="Times New Roman" w:eastAsia="仿宋_GB2312" w:cs="Times New Roman"/>
          <w:bCs/>
          <w:kern w:val="0"/>
          <w:sz w:val="32"/>
          <w:szCs w:val="32"/>
        </w:rPr>
        <w:t>评分表</w:t>
      </w:r>
    </w:p>
    <w:p>
      <w:pPr>
        <w:spacing w:line="360" w:lineRule="auto"/>
        <w:ind w:firstLine="640" w:firstLineChars="200"/>
        <w:rPr>
          <w:rFonts w:ascii="Times New Roman" w:hAnsi="Times New Roman" w:eastAsia="仿宋_GB2312" w:cs="Times New Roman"/>
          <w:bCs/>
          <w:kern w:val="0"/>
          <w:sz w:val="32"/>
          <w:szCs w:val="32"/>
        </w:rPr>
      </w:pPr>
    </w:p>
    <w:p>
      <w:pPr>
        <w:spacing w:line="360" w:lineRule="auto"/>
        <w:ind w:firstLine="640" w:firstLineChars="200"/>
        <w:rPr>
          <w:rFonts w:ascii="Times New Roman" w:hAnsi="Times New Roman" w:eastAsia="仿宋_GB2312" w:cs="Times New Roman"/>
          <w:bCs/>
          <w:kern w:val="0"/>
          <w:sz w:val="32"/>
          <w:szCs w:val="32"/>
        </w:rPr>
        <w:sectPr>
          <w:headerReference r:id="rId3" w:type="default"/>
          <w:footerReference r:id="rId4" w:type="default"/>
          <w:pgSz w:w="11906" w:h="16838"/>
          <w:pgMar w:top="1440" w:right="1474" w:bottom="1440" w:left="1588" w:header="851" w:footer="851" w:gutter="0"/>
          <w:cols w:space="425" w:num="1"/>
          <w:docGrid w:type="linesAndChars" w:linePitch="312" w:charSpace="0"/>
        </w:sectPr>
      </w:pPr>
    </w:p>
    <w:tbl>
      <w:tblPr>
        <w:tblStyle w:val="18"/>
        <w:tblW w:w="1396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34"/>
        <w:gridCol w:w="834"/>
        <w:gridCol w:w="834"/>
        <w:gridCol w:w="834"/>
        <w:gridCol w:w="930"/>
        <w:gridCol w:w="2537"/>
        <w:gridCol w:w="3916"/>
        <w:gridCol w:w="1067"/>
        <w:gridCol w:w="21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13969" w:type="dxa"/>
            <w:gridSpan w:val="9"/>
            <w:tcBorders>
              <w:top w:val="nil"/>
              <w:left w:val="nil"/>
              <w:bottom w:val="single" w:color="000000" w:sz="4" w:space="0"/>
              <w:right w:val="nil"/>
            </w:tcBorders>
            <w:shd w:val="clear" w:color="auto" w:fill="C7EDCC"/>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rPr>
              <w:t>北京政法网运维项目绩效评价指标体系及评分情况表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一级指标</w:t>
            </w: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二级指标</w:t>
            </w: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分值</w:t>
            </w: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三级指标</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分值</w:t>
            </w:r>
          </w:p>
        </w:tc>
        <w:tc>
          <w:tcPr>
            <w:tcW w:w="25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指标解释</w:t>
            </w: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评价要点</w:t>
            </w:r>
          </w:p>
        </w:tc>
        <w:tc>
          <w:tcPr>
            <w:tcW w:w="1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得分</w:t>
            </w:r>
          </w:p>
        </w:tc>
        <w:tc>
          <w:tcPr>
            <w:tcW w:w="21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扣分理由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决策　</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项目立项　</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3</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立项依据充分性</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1.5</w:t>
            </w:r>
          </w:p>
        </w:tc>
        <w:tc>
          <w:tcPr>
            <w:tcW w:w="25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项目立项是否符合法律法规、相关政策、发展规划以及部门职责，用以反映和考核项目立项依据情况。</w:t>
            </w: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①项目立项是否符合国家法律法规、国民经济发展规划和相关政策；</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 xml:space="preserve">1.50 </w:t>
            </w:r>
          </w:p>
        </w:tc>
        <w:tc>
          <w:tcPr>
            <w:tcW w:w="21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②项目立项是否符合行业发展规划和政策要求；</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③项目立项是否与部门职责范围相符，属于部门履职所需；</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④项目是否属于公共财政支持范围，是否符合中央、地方事权支出责任划分原则；</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⑤项目是否与相关部门同类项目或部门内部相关项目重复。</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立项程序规范性</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1.5</w:t>
            </w:r>
          </w:p>
        </w:tc>
        <w:tc>
          <w:tcPr>
            <w:tcW w:w="25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项目申请、设立过程是否符合相关要求，用以反映和考核项目立项的规范情况。</w:t>
            </w: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①项目是否按照规定的程序申请设立；</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 xml:space="preserve">1.36 </w:t>
            </w:r>
          </w:p>
        </w:tc>
        <w:tc>
          <w:tcPr>
            <w:tcW w:w="21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未见事前绩效评估和风险评估资料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②审批文件、材料是否符合相关要求；</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③事前是否已经过必要的可行性研究、专家论证、风险评估、绩效评估、集体决策。</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绩效目标　</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3</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绩效目标合理性</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1.5</w:t>
            </w:r>
          </w:p>
        </w:tc>
        <w:tc>
          <w:tcPr>
            <w:tcW w:w="25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项目设定的绩效目标是否依据充分，是否符合客观实际，用以反映和考核项目绩效目标与项目实施的相符情况。</w:t>
            </w: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（如未设定预算绩效目标，也可考核其他工作任务目标）</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 xml:space="preserve">1.34 </w:t>
            </w:r>
          </w:p>
        </w:tc>
        <w:tc>
          <w:tcPr>
            <w:tcW w:w="21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绩效目标与申报书不完全对应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①项目是否有绩效目标；</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②项目绩效目标与实际工作内容是否具有相关性；</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③项目预期产出效益和效果是否符合正常的业绩水平；</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④是否与预算确定的项目投资额或资金量相匹配。</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绩效指标明确性</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1.5</w:t>
            </w:r>
          </w:p>
        </w:tc>
        <w:tc>
          <w:tcPr>
            <w:tcW w:w="25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依据绩效目标设定的绩效指标是否清晰、细化、可衡量等，用以反映和考核项目绩效目标的明细化情况。</w:t>
            </w: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①是否将项目绩效目标细化分解为具体的绩效指标；</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 xml:space="preserve">1.30 </w:t>
            </w:r>
          </w:p>
        </w:tc>
        <w:tc>
          <w:tcPr>
            <w:tcW w:w="21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项目任务与绩效目标的对应性不够清晰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②是否通过清晰、可衡量的指标值予以体现；</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③是否与项目目标任务数或计划数相对应。</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资金投入</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4</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预算编制科学性</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w:t>
            </w:r>
          </w:p>
        </w:tc>
        <w:tc>
          <w:tcPr>
            <w:tcW w:w="25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项目预算编制是否经过科学论证、有明确标准，资金额度与年度目标是否相适应，用以反映和考核项目预算编制的科学性、合理性情况。</w:t>
            </w: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①预算编制是否经过科学论证；</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 xml:space="preserve">1.50 </w:t>
            </w:r>
          </w:p>
        </w:tc>
        <w:tc>
          <w:tcPr>
            <w:tcW w:w="21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预算评审有核减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②预算内容与项目内容是否匹配；</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③预算额度测算依据是否充分，是否按照标准编制；</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④预算确定的项目投资额或资金量是否与工作任务相匹配。</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资金分配合理性</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w:t>
            </w:r>
          </w:p>
        </w:tc>
        <w:tc>
          <w:tcPr>
            <w:tcW w:w="25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项目预算资金分配是否有测算依据，与补助单位或地方实际是否相适应，用以反映和考核项目预算资金分配的科学性、合理性情况。</w:t>
            </w: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①资金分配依据是否充分；</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 xml:space="preserve">1.90 </w:t>
            </w:r>
          </w:p>
        </w:tc>
        <w:tc>
          <w:tcPr>
            <w:tcW w:w="21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实际执行与年度预算不够匹配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②资金分配额度是否合理，与项目单位或地方实际是否相适应。</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过程</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资金管理</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资金到位率</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2.5</w:t>
            </w:r>
          </w:p>
        </w:tc>
        <w:tc>
          <w:tcPr>
            <w:tcW w:w="25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实际到位资金与预算资金的比率，用以反映和考核资金落实情况对项目实施的总体保障程度。</w:t>
            </w: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资金到位率=（实际到位资金/预算资金）×100%。</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 xml:space="preserve">2.50 </w:t>
            </w:r>
          </w:p>
        </w:tc>
        <w:tc>
          <w:tcPr>
            <w:tcW w:w="21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实际到位资金：一定时期（本年度或项目期）内落实到具体项目的资金。</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预算资金：一定时期（本年度或项目期）内预算安排到具体项目的资金。</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预算执行率</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2.5</w:t>
            </w:r>
          </w:p>
        </w:tc>
        <w:tc>
          <w:tcPr>
            <w:tcW w:w="25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项目预算资金是否按照计划执行，用以反映或考核项目预算执行情况。</w:t>
            </w: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预算执行率=（实际支出资金/实际到位资金）×100%。</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 xml:space="preserve">2.50 </w:t>
            </w:r>
          </w:p>
        </w:tc>
        <w:tc>
          <w:tcPr>
            <w:tcW w:w="21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实际支出资金：一定时期（本年度或项目期）内项目实际拨付的资金。</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资金使用合规性</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5</w:t>
            </w:r>
          </w:p>
        </w:tc>
        <w:tc>
          <w:tcPr>
            <w:tcW w:w="25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项目资金使用是否符合相关的财务管理制度规定，用以反映和考核项目资金的规范运行情况。</w:t>
            </w: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①是否符合国家财经法规和财务管理制度以及有关专项资金管理办法的规定；</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 xml:space="preserve">4.60 </w:t>
            </w:r>
          </w:p>
        </w:tc>
        <w:tc>
          <w:tcPr>
            <w:tcW w:w="21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②资金的拨付是否有完整的审批程序和手续；</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③是否符合项目预算批复或合同规定的用途；</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④是否存在截留、挤占、挪用、虚列支出等情况。</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组织实施</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管理制度健全性</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5</w:t>
            </w:r>
          </w:p>
        </w:tc>
        <w:tc>
          <w:tcPr>
            <w:tcW w:w="25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项目实施单位的财务和业务管理制度是否健全，用以反映和考核财务和业务管理制度对项目顺利实施的保障情况。</w:t>
            </w: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①是否已制定或具有相应的财务和业务管理制度；</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 xml:space="preserve">4.60 </w:t>
            </w:r>
          </w:p>
        </w:tc>
        <w:tc>
          <w:tcPr>
            <w:tcW w:w="21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制度需进一步完善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②财务和业务管理制度是否合法、合规、完整。</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制度执行有效性</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5</w:t>
            </w:r>
          </w:p>
        </w:tc>
        <w:tc>
          <w:tcPr>
            <w:tcW w:w="25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项目实施是否符合相关管理规定，用以反映和考核相关管理制度的有效执行情况。</w:t>
            </w: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①是否遵守相关法律法规和相关管理规定；</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 xml:space="preserve">3.80 </w:t>
            </w:r>
          </w:p>
        </w:tc>
        <w:tc>
          <w:tcPr>
            <w:tcW w:w="21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相关月度考核等监管信息不充分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②项目调整及支出调整手续是否完备；</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③项目合同书、验收报告、技术鉴定等资料是否齐全并及时归档；</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④项目实施的人员条件、场地设备、信息支撑等是否落实到位。</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产出</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产出数量</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12</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实际完成率</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12</w:t>
            </w:r>
          </w:p>
        </w:tc>
        <w:tc>
          <w:tcPr>
            <w:tcW w:w="25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项目实施的实际产出数与计划产出数的比率，用以反映和考核项目产出数量目标的实现程度。</w:t>
            </w: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实际完成率=（实际产出数/计划产出数）×100%。</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 xml:space="preserve">10.40 </w:t>
            </w:r>
          </w:p>
        </w:tc>
        <w:tc>
          <w:tcPr>
            <w:tcW w:w="21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实际执行与年度绩效指标期不够对应，绩效产出的标准不够明晰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实际产出数：一定时期（本年度或项目期）内项目实际产出的产品或提供的服务数量。</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计划产出数：项目绩效目标确定的在一定时期（本年度或项目期）内计划产出的产品或提供的服务数量。</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产出质量</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12</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质量达标率</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12</w:t>
            </w:r>
          </w:p>
        </w:tc>
        <w:tc>
          <w:tcPr>
            <w:tcW w:w="25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项目完成的质量达标产出数与实际产出数的比率，用以反映和考核项目产出质量目标的实现程度。</w:t>
            </w: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质量达标率=（质量达标产出数/实际产出数）×100%。</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 xml:space="preserve">10.40 </w:t>
            </w:r>
          </w:p>
        </w:tc>
        <w:tc>
          <w:tcPr>
            <w:tcW w:w="21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实际执行与年度绩效指标期不够对应，绩效产出的标准不够明晰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产出时效</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8</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完成及时性</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8</w:t>
            </w:r>
          </w:p>
        </w:tc>
        <w:tc>
          <w:tcPr>
            <w:tcW w:w="25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项目实际完成时间与计划完成时间的比较，用以反映和考核项目产出时效目标的实现程度。</w:t>
            </w: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实际完成时间：项目实施单位完成该项目实际所耗用的时间。</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 xml:space="preserve">8.00 </w:t>
            </w:r>
          </w:p>
        </w:tc>
        <w:tc>
          <w:tcPr>
            <w:tcW w:w="21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计划完成时间：按照项目实施计划或相关规定完成该项目所需的时间。</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产出成本</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8</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成本节约率</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8</w:t>
            </w:r>
          </w:p>
        </w:tc>
        <w:tc>
          <w:tcPr>
            <w:tcW w:w="25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完成项目计划工作目标的实际节约成本与计划成本的比率，用以反映和考核项目的成本节约程度。</w:t>
            </w: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成本节约率=[（计划成本-实际成本）/计划成本]×100%。</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 xml:space="preserve">6.00 </w:t>
            </w:r>
          </w:p>
        </w:tc>
        <w:tc>
          <w:tcPr>
            <w:tcW w:w="21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没有设定成本节约指标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实际成本：项目实施单位如期、保质、保量完成既定工作目标实际所耗费的支出。</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计划成本：项目实施单位为完成工作目标计划安排的支出，一般以项目预算为参考。</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效益　</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项目效益　</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30</w:t>
            </w: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实施效益</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w:t>
            </w:r>
          </w:p>
        </w:tc>
        <w:tc>
          <w:tcPr>
            <w:tcW w:w="25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项目实施所产生的效益。</w:t>
            </w: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项目实施所产生的社会效益、经济效益、生态效益、可持续影响等。可根据项目实际情况有选择地设置和细化。</w:t>
            </w:r>
          </w:p>
        </w:tc>
        <w:tc>
          <w:tcPr>
            <w:tcW w:w="1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 xml:space="preserve">17.00 </w:t>
            </w:r>
          </w:p>
        </w:tc>
        <w:tc>
          <w:tcPr>
            <w:tcW w:w="21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有关社会效益和生态效益的支撑材料不足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满意度</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w:t>
            </w:r>
          </w:p>
        </w:tc>
        <w:tc>
          <w:tcPr>
            <w:tcW w:w="25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社会公众或服务对象对项目实施效果的满意程度。</w:t>
            </w:r>
          </w:p>
        </w:tc>
        <w:tc>
          <w:tcPr>
            <w:tcW w:w="39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社会公众或服务对象是指因该项目实施而受到影响的部门（单位）、群体或个人。一般采取社会调查的方式。</w:t>
            </w:r>
          </w:p>
        </w:tc>
        <w:tc>
          <w:tcPr>
            <w:tcW w:w="1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 xml:space="preserve">7.60 </w:t>
            </w:r>
          </w:p>
        </w:tc>
        <w:tc>
          <w:tcPr>
            <w:tcW w:w="21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满意度调查信息不足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0719"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合计</w:t>
            </w:r>
          </w:p>
        </w:tc>
        <w:tc>
          <w:tcPr>
            <w:tcW w:w="1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 xml:space="preserve">86.30 </w:t>
            </w:r>
          </w:p>
        </w:tc>
        <w:tc>
          <w:tcPr>
            <w:tcW w:w="21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bl>
    <w:p>
      <w:pPr>
        <w:spacing w:line="360" w:lineRule="auto"/>
        <w:rPr>
          <w:rFonts w:ascii="Times New Roman" w:hAnsi="Times New Roman" w:eastAsia="仿宋_GB2312" w:cs="Times New Roman"/>
          <w:bCs/>
          <w:kern w:val="0"/>
          <w:sz w:val="32"/>
          <w:szCs w:val="32"/>
        </w:rPr>
      </w:pPr>
    </w:p>
    <w:sectPr>
      <w:pgSz w:w="16838" w:h="11906" w:orient="landscape"/>
      <w:pgMar w:top="1588" w:right="1440" w:bottom="1474" w:left="1440" w:header="851" w:footer="851"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tabs>
        <w:tab w:val="clear" w:pos="4153"/>
        <w:tab w:val="clear" w:pos="8306"/>
      </w:tabs>
      <w:ind w:firstLine="36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iMTkwMjhjYmQyNTdlMTRiMmUwNzIwZjc5N2IzNzIifQ=="/>
  </w:docVars>
  <w:rsids>
    <w:rsidRoot w:val="00000000"/>
    <w:rsid w:val="04483DDF"/>
    <w:rsid w:val="55EF2B23"/>
    <w:rsid w:val="73704232"/>
    <w:rsid w:val="7F7D47E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99"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qFormat="1" w:unhideWhenUsed="0" w:uiPriority="99" w:semiHidden="0" w:name="endnote reference"/>
    <w:lsdException w:qFormat="1" w:unhideWhenUsed="0" w:uiPriority="99"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paragraph" w:styleId="3">
    <w:name w:val="heading 1"/>
    <w:basedOn w:val="1"/>
    <w:next w:val="1"/>
    <w:link w:val="26"/>
    <w:qFormat/>
    <w:uiPriority w:val="9"/>
    <w:pPr>
      <w:keepNext/>
      <w:keepLines/>
      <w:spacing w:line="440" w:lineRule="exact"/>
      <w:ind w:firstLine="200" w:firstLineChars="200"/>
      <w:jc w:val="left"/>
      <w:outlineLvl w:val="0"/>
    </w:pPr>
    <w:rPr>
      <w:rFonts w:eastAsia="仿宋"/>
      <w:b/>
      <w:bCs/>
      <w:kern w:val="44"/>
      <w:sz w:val="28"/>
      <w:szCs w:val="44"/>
    </w:rPr>
  </w:style>
  <w:style w:type="paragraph" w:styleId="4">
    <w:name w:val="heading 2"/>
    <w:basedOn w:val="1"/>
    <w:next w:val="1"/>
    <w:link w:val="27"/>
    <w:qFormat/>
    <w:uiPriority w:val="9"/>
    <w:pPr>
      <w:keepNext/>
      <w:keepLines/>
      <w:spacing w:line="360" w:lineRule="auto"/>
      <w:ind w:firstLine="643" w:firstLineChars="200"/>
      <w:jc w:val="left"/>
      <w:outlineLvl w:val="1"/>
    </w:pPr>
    <w:rPr>
      <w:rFonts w:ascii="Times New Roman" w:hAnsi="Times New Roman" w:eastAsia="楷体_GB2312" w:cs="Times New Roman"/>
      <w:b/>
      <w:bCs/>
      <w:sz w:val="32"/>
      <w:szCs w:val="32"/>
    </w:rPr>
  </w:style>
  <w:style w:type="character" w:default="1" w:styleId="20">
    <w:name w:val="Default Paragraph Font"/>
    <w:qFormat/>
    <w:uiPriority w:val="1"/>
  </w:style>
  <w:style w:type="table" w:default="1" w:styleId="18">
    <w:name w:val="Normal Table"/>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cs="Times New Roman"/>
      <w:sz w:val="28"/>
    </w:rPr>
  </w:style>
  <w:style w:type="paragraph" w:styleId="5">
    <w:name w:val="annotation text"/>
    <w:basedOn w:val="1"/>
    <w:link w:val="33"/>
    <w:qFormat/>
    <w:uiPriority w:val="99"/>
    <w:pPr>
      <w:jc w:val="left"/>
    </w:pPr>
  </w:style>
  <w:style w:type="paragraph" w:styleId="6">
    <w:name w:val="toc 3"/>
    <w:basedOn w:val="1"/>
    <w:next w:val="1"/>
    <w:qFormat/>
    <w:uiPriority w:val="39"/>
    <w:pPr>
      <w:ind w:left="840" w:leftChars="400"/>
    </w:pPr>
  </w:style>
  <w:style w:type="paragraph" w:styleId="7">
    <w:name w:val="endnote text"/>
    <w:basedOn w:val="1"/>
    <w:link w:val="37"/>
    <w:qFormat/>
    <w:uiPriority w:val="99"/>
    <w:pPr>
      <w:snapToGrid w:val="0"/>
      <w:jc w:val="left"/>
    </w:pPr>
  </w:style>
  <w:style w:type="paragraph" w:styleId="8">
    <w:name w:val="Balloon Text"/>
    <w:basedOn w:val="1"/>
    <w:link w:val="32"/>
    <w:qFormat/>
    <w:uiPriority w:val="99"/>
    <w:rPr>
      <w:sz w:val="18"/>
      <w:szCs w:val="18"/>
    </w:rPr>
  </w:style>
  <w:style w:type="paragraph" w:styleId="9">
    <w:name w:val="footer"/>
    <w:basedOn w:val="1"/>
    <w:link w:val="29"/>
    <w:autoRedefine/>
    <w:qFormat/>
    <w:uiPriority w:val="99"/>
    <w:pPr>
      <w:tabs>
        <w:tab w:val="center" w:pos="4153"/>
        <w:tab w:val="right" w:pos="8306"/>
      </w:tabs>
      <w:snapToGrid w:val="0"/>
      <w:jc w:val="left"/>
    </w:pPr>
    <w:rPr>
      <w:sz w:val="18"/>
      <w:szCs w:val="18"/>
    </w:rPr>
  </w:style>
  <w:style w:type="paragraph" w:styleId="10">
    <w:name w:val="header"/>
    <w:basedOn w:val="1"/>
    <w:link w:val="28"/>
    <w:autoRedefine/>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qFormat/>
    <w:uiPriority w:val="39"/>
    <w:pPr>
      <w:tabs>
        <w:tab w:val="right" w:leader="dot" w:pos="8777"/>
      </w:tabs>
      <w:spacing w:line="520" w:lineRule="exact"/>
    </w:pPr>
    <w:rPr>
      <w:rFonts w:ascii="仿宋" w:hAnsi="仿宋" w:eastAsia="仿宋"/>
      <w:b/>
      <w:sz w:val="24"/>
      <w:szCs w:val="24"/>
    </w:rPr>
  </w:style>
  <w:style w:type="paragraph" w:styleId="12">
    <w:name w:val="Subtitle"/>
    <w:basedOn w:val="1"/>
    <w:next w:val="1"/>
    <w:link w:val="39"/>
    <w:autoRedefine/>
    <w:qFormat/>
    <w:uiPriority w:val="0"/>
    <w:pPr>
      <w:spacing w:line="312" w:lineRule="auto"/>
      <w:ind w:firstLine="200" w:firstLineChars="200"/>
      <w:jc w:val="left"/>
      <w:outlineLvl w:val="2"/>
    </w:pPr>
    <w:rPr>
      <w:rFonts w:ascii="Cambria" w:hAnsi="Cambria" w:eastAsia="黑体" w:cs="Times New Roman"/>
      <w:bCs/>
      <w:kern w:val="28"/>
      <w:sz w:val="24"/>
      <w:szCs w:val="32"/>
    </w:rPr>
  </w:style>
  <w:style w:type="paragraph" w:styleId="13">
    <w:name w:val="footnote text"/>
    <w:basedOn w:val="1"/>
    <w:link w:val="38"/>
    <w:autoRedefine/>
    <w:qFormat/>
    <w:uiPriority w:val="99"/>
    <w:pPr>
      <w:snapToGrid w:val="0"/>
      <w:jc w:val="left"/>
    </w:pPr>
    <w:rPr>
      <w:sz w:val="18"/>
      <w:szCs w:val="18"/>
    </w:rPr>
  </w:style>
  <w:style w:type="paragraph" w:styleId="14">
    <w:name w:val="toc 2"/>
    <w:basedOn w:val="1"/>
    <w:next w:val="1"/>
    <w:autoRedefine/>
    <w:qFormat/>
    <w:uiPriority w:val="39"/>
    <w:pPr>
      <w:tabs>
        <w:tab w:val="right" w:leader="dot" w:pos="8777"/>
      </w:tabs>
    </w:pPr>
  </w:style>
  <w:style w:type="paragraph" w:styleId="15">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16">
    <w:name w:val="Title"/>
    <w:basedOn w:val="1"/>
    <w:next w:val="1"/>
    <w:link w:val="31"/>
    <w:autoRedefine/>
    <w:qFormat/>
    <w:uiPriority w:val="0"/>
    <w:pPr>
      <w:spacing w:before="240" w:after="60"/>
      <w:jc w:val="center"/>
      <w:outlineLvl w:val="0"/>
    </w:pPr>
    <w:rPr>
      <w:rFonts w:ascii="Cambria" w:hAnsi="Cambria" w:eastAsia="宋体" w:cs="Times New Roman"/>
      <w:b/>
      <w:bCs/>
      <w:sz w:val="32"/>
      <w:szCs w:val="32"/>
    </w:rPr>
  </w:style>
  <w:style w:type="paragraph" w:styleId="17">
    <w:name w:val="annotation subject"/>
    <w:basedOn w:val="5"/>
    <w:next w:val="5"/>
    <w:link w:val="34"/>
    <w:autoRedefine/>
    <w:qFormat/>
    <w:uiPriority w:val="99"/>
    <w:rPr>
      <w:b/>
      <w:bCs/>
    </w:rPr>
  </w:style>
  <w:style w:type="table" w:styleId="19">
    <w:name w:val="Table Grid"/>
    <w:basedOn w:val="1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endnote reference"/>
    <w:basedOn w:val="20"/>
    <w:autoRedefine/>
    <w:qFormat/>
    <w:uiPriority w:val="99"/>
    <w:rPr>
      <w:vertAlign w:val="superscript"/>
    </w:rPr>
  </w:style>
  <w:style w:type="character" w:styleId="22">
    <w:name w:val="Emphasis"/>
    <w:basedOn w:val="20"/>
    <w:autoRedefine/>
    <w:qFormat/>
    <w:uiPriority w:val="20"/>
    <w:rPr>
      <w:i/>
      <w:iCs/>
    </w:rPr>
  </w:style>
  <w:style w:type="character" w:styleId="23">
    <w:name w:val="Hyperlink"/>
    <w:basedOn w:val="20"/>
    <w:autoRedefine/>
    <w:qFormat/>
    <w:uiPriority w:val="99"/>
    <w:rPr>
      <w:color w:val="0000FF"/>
      <w:u w:val="single"/>
    </w:rPr>
  </w:style>
  <w:style w:type="character" w:styleId="24">
    <w:name w:val="annotation reference"/>
    <w:basedOn w:val="20"/>
    <w:autoRedefine/>
    <w:qFormat/>
    <w:uiPriority w:val="99"/>
    <w:rPr>
      <w:sz w:val="21"/>
      <w:szCs w:val="21"/>
    </w:rPr>
  </w:style>
  <w:style w:type="character" w:styleId="25">
    <w:name w:val="footnote reference"/>
    <w:basedOn w:val="20"/>
    <w:autoRedefine/>
    <w:qFormat/>
    <w:uiPriority w:val="99"/>
    <w:rPr>
      <w:vertAlign w:val="superscript"/>
    </w:rPr>
  </w:style>
  <w:style w:type="character" w:customStyle="1" w:styleId="26">
    <w:name w:val="标题 1 字符"/>
    <w:basedOn w:val="20"/>
    <w:link w:val="3"/>
    <w:autoRedefine/>
    <w:qFormat/>
    <w:uiPriority w:val="9"/>
    <w:rPr>
      <w:rFonts w:eastAsia="仿宋"/>
      <w:b/>
      <w:bCs/>
      <w:kern w:val="44"/>
      <w:sz w:val="28"/>
      <w:szCs w:val="44"/>
    </w:rPr>
  </w:style>
  <w:style w:type="character" w:customStyle="1" w:styleId="27">
    <w:name w:val="标题 2 字符"/>
    <w:basedOn w:val="20"/>
    <w:link w:val="4"/>
    <w:autoRedefine/>
    <w:qFormat/>
    <w:uiPriority w:val="9"/>
    <w:rPr>
      <w:rFonts w:ascii="Times New Roman" w:hAnsi="Times New Roman" w:eastAsia="楷体_GB2312" w:cs="Times New Roman"/>
      <w:b/>
      <w:bCs/>
      <w:sz w:val="32"/>
      <w:szCs w:val="32"/>
    </w:rPr>
  </w:style>
  <w:style w:type="character" w:customStyle="1" w:styleId="28">
    <w:name w:val="页眉 字符"/>
    <w:basedOn w:val="20"/>
    <w:link w:val="10"/>
    <w:autoRedefine/>
    <w:qFormat/>
    <w:uiPriority w:val="99"/>
    <w:rPr>
      <w:sz w:val="18"/>
      <w:szCs w:val="18"/>
    </w:rPr>
  </w:style>
  <w:style w:type="character" w:customStyle="1" w:styleId="29">
    <w:name w:val="页脚 字符"/>
    <w:basedOn w:val="20"/>
    <w:link w:val="9"/>
    <w:autoRedefine/>
    <w:qFormat/>
    <w:uiPriority w:val="99"/>
    <w:rPr>
      <w:sz w:val="18"/>
      <w:szCs w:val="18"/>
    </w:rPr>
  </w:style>
  <w:style w:type="paragraph" w:customStyle="1" w:styleId="30">
    <w:name w:val="列出段落1"/>
    <w:basedOn w:val="1"/>
    <w:autoRedefine/>
    <w:qFormat/>
    <w:uiPriority w:val="99"/>
    <w:pPr>
      <w:ind w:firstLine="420" w:firstLineChars="200"/>
    </w:pPr>
  </w:style>
  <w:style w:type="character" w:customStyle="1" w:styleId="31">
    <w:name w:val="标题 字符"/>
    <w:basedOn w:val="20"/>
    <w:link w:val="16"/>
    <w:autoRedefine/>
    <w:qFormat/>
    <w:uiPriority w:val="0"/>
    <w:rPr>
      <w:rFonts w:ascii="Cambria" w:hAnsi="Cambria" w:eastAsia="宋体" w:cs="Times New Roman"/>
      <w:b/>
      <w:bCs/>
      <w:sz w:val="32"/>
      <w:szCs w:val="32"/>
    </w:rPr>
  </w:style>
  <w:style w:type="character" w:customStyle="1" w:styleId="32">
    <w:name w:val="批注框文本 字符"/>
    <w:basedOn w:val="20"/>
    <w:link w:val="8"/>
    <w:autoRedefine/>
    <w:qFormat/>
    <w:uiPriority w:val="99"/>
    <w:rPr>
      <w:sz w:val="18"/>
      <w:szCs w:val="18"/>
    </w:rPr>
  </w:style>
  <w:style w:type="character" w:customStyle="1" w:styleId="33">
    <w:name w:val="批注文字 字符"/>
    <w:basedOn w:val="20"/>
    <w:link w:val="5"/>
    <w:autoRedefine/>
    <w:qFormat/>
    <w:uiPriority w:val="99"/>
  </w:style>
  <w:style w:type="character" w:customStyle="1" w:styleId="34">
    <w:name w:val="批注主题 字符"/>
    <w:basedOn w:val="33"/>
    <w:link w:val="17"/>
    <w:autoRedefine/>
    <w:qFormat/>
    <w:uiPriority w:val="99"/>
    <w:rPr>
      <w:b/>
      <w:bCs/>
    </w:rPr>
  </w:style>
  <w:style w:type="paragraph" w:customStyle="1" w:styleId="35">
    <w:name w:val="修订1"/>
    <w:autoRedefine/>
    <w:qFormat/>
    <w:uiPriority w:val="99"/>
    <w:rPr>
      <w:rFonts w:ascii="Calibri" w:hAnsi="Calibri" w:eastAsia="宋体" w:cs="宋体"/>
      <w:kern w:val="2"/>
      <w:sz w:val="21"/>
      <w:szCs w:val="22"/>
      <w:lang w:val="en-US" w:eastAsia="zh-CN" w:bidi="ar-SA"/>
    </w:rPr>
  </w:style>
  <w:style w:type="paragraph" w:customStyle="1" w:styleId="36">
    <w:name w:val="TOC 标题1"/>
    <w:basedOn w:val="3"/>
    <w:next w:val="1"/>
    <w:autoRedefine/>
    <w:qFormat/>
    <w:uiPriority w:val="39"/>
    <w:pPr>
      <w:widowControl/>
      <w:spacing w:before="240" w:line="259" w:lineRule="auto"/>
      <w:ind w:firstLine="0" w:firstLineChars="0"/>
      <w:outlineLvl w:val="9"/>
    </w:pPr>
    <w:rPr>
      <w:rFonts w:ascii="Cambria" w:hAnsi="Cambria" w:eastAsia="宋体" w:cs="宋体"/>
      <w:b w:val="0"/>
      <w:bCs w:val="0"/>
      <w:color w:val="376092"/>
      <w:kern w:val="0"/>
      <w:sz w:val="32"/>
      <w:szCs w:val="32"/>
    </w:rPr>
  </w:style>
  <w:style w:type="character" w:customStyle="1" w:styleId="37">
    <w:name w:val="尾注文本 字符"/>
    <w:basedOn w:val="20"/>
    <w:link w:val="7"/>
    <w:autoRedefine/>
    <w:qFormat/>
    <w:uiPriority w:val="99"/>
  </w:style>
  <w:style w:type="character" w:customStyle="1" w:styleId="38">
    <w:name w:val="脚注文本 字符"/>
    <w:basedOn w:val="20"/>
    <w:link w:val="13"/>
    <w:autoRedefine/>
    <w:qFormat/>
    <w:uiPriority w:val="99"/>
    <w:rPr>
      <w:sz w:val="18"/>
      <w:szCs w:val="18"/>
    </w:rPr>
  </w:style>
  <w:style w:type="character" w:customStyle="1" w:styleId="39">
    <w:name w:val="副标题 字符"/>
    <w:link w:val="12"/>
    <w:autoRedefine/>
    <w:qFormat/>
    <w:uiPriority w:val="0"/>
    <w:rPr>
      <w:rFonts w:ascii="Cambria" w:hAnsi="Cambria" w:eastAsia="黑体" w:cs="Times New Roman"/>
      <w:bCs/>
      <w:kern w:val="28"/>
      <w:sz w:val="24"/>
      <w:szCs w:val="32"/>
    </w:rPr>
  </w:style>
  <w:style w:type="character" w:customStyle="1" w:styleId="40">
    <w:name w:val="副标题 Char1"/>
    <w:basedOn w:val="20"/>
    <w:autoRedefine/>
    <w:qFormat/>
    <w:uiPriority w:val="11"/>
    <w:rPr>
      <w:rFonts w:ascii="Cambria" w:hAnsi="Cambria" w:eastAsia="宋体" w:cs="宋体"/>
      <w:b/>
      <w:bCs/>
      <w:kern w:val="28"/>
      <w:sz w:val="32"/>
      <w:szCs w:val="32"/>
    </w:rPr>
  </w:style>
  <w:style w:type="character" w:customStyle="1" w:styleId="41">
    <w:name w:val="ask-title"/>
    <w:basedOn w:val="20"/>
    <w:autoRedefine/>
    <w:qFormat/>
    <w:uiPriority w:val="0"/>
  </w:style>
  <w:style w:type="paragraph" w:styleId="42">
    <w:name w:val="List Paragraph"/>
    <w:basedOn w:val="1"/>
    <w:autoRedefine/>
    <w:qFormat/>
    <w:uiPriority w:val="99"/>
    <w:pPr>
      <w:ind w:firstLine="420" w:firstLineChars="200"/>
    </w:pPr>
  </w:style>
  <w:style w:type="character" w:customStyle="1" w:styleId="43">
    <w:name w:val="font31"/>
    <w:basedOn w:val="20"/>
    <w:autoRedefine/>
    <w:qFormat/>
    <w:uiPriority w:val="0"/>
    <w:rPr>
      <w:rFonts w:hint="eastAsia" w:ascii="等线" w:hAnsi="等线" w:eastAsia="等线" w:cs="等线"/>
      <w:b/>
      <w:bCs/>
      <w:color w:val="000000"/>
      <w:sz w:val="20"/>
      <w:szCs w:val="20"/>
      <w:u w:val="none"/>
    </w:rPr>
  </w:style>
  <w:style w:type="character" w:customStyle="1" w:styleId="44">
    <w:name w:val="font41"/>
    <w:basedOn w:val="20"/>
    <w:autoRedefine/>
    <w:qFormat/>
    <w:uiPriority w:val="0"/>
    <w:rPr>
      <w:rFonts w:hint="eastAsia" w:ascii="宋体" w:hAnsi="宋体" w:eastAsia="宋体" w:cs="宋体"/>
      <w:b/>
      <w:bCs/>
      <w:color w:val="000000"/>
      <w:sz w:val="20"/>
      <w:szCs w:val="20"/>
      <w:u w:val="none"/>
    </w:rPr>
  </w:style>
  <w:style w:type="character" w:customStyle="1" w:styleId="45">
    <w:name w:val="font71"/>
    <w:basedOn w:val="20"/>
    <w:autoRedefine/>
    <w:qFormat/>
    <w:uiPriority w:val="0"/>
    <w:rPr>
      <w:rFonts w:hint="eastAsia" w:ascii="等线" w:hAnsi="等线" w:eastAsia="等线" w:cs="等线"/>
      <w:color w:val="000000"/>
      <w:sz w:val="20"/>
      <w:szCs w:val="20"/>
      <w:u w:val="none"/>
    </w:rPr>
  </w:style>
  <w:style w:type="character" w:customStyle="1" w:styleId="46">
    <w:name w:val="font51"/>
    <w:basedOn w:val="20"/>
    <w:autoRedefine/>
    <w:qFormat/>
    <w:uiPriority w:val="0"/>
    <w:rPr>
      <w:rFonts w:hint="eastAsia" w:ascii="宋体" w:hAnsi="宋体" w:eastAsia="宋体" w:cs="宋体"/>
      <w:color w:val="000000"/>
      <w:sz w:val="20"/>
      <w:szCs w:val="20"/>
      <w:u w:val="none"/>
    </w:rPr>
  </w:style>
  <w:style w:type="paragraph" w:customStyle="1" w:styleId="47">
    <w:name w:val="修订2"/>
    <w:autoRedefine/>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46689-ACCD-4543-800D-C143D27761A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17</Pages>
  <Words>8037</Words>
  <Characters>8415</Characters>
  <Paragraphs>663</Paragraphs>
  <TotalTime>12</TotalTime>
  <ScaleCrop>false</ScaleCrop>
  <LinksUpToDate>false</LinksUpToDate>
  <CharactersWithSpaces>8447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2020-06-08T06:47:00Z</dcterms:created>
  <dc:creator>user</dc:creator>
  <cp:lastModifiedBy>user</cp:lastModifiedBy>
  <cp:lastPrinted>2021-05-28T05:38:00Z</cp:lastPrinted>
  <dcterms:modified xsi:type="dcterms:W3CDTF">2024-08-16T04:50:26Z</dcterms:modified>
  <cp:revision>289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8A4649589F8B4A28B33F4337ADAE7202</vt:lpwstr>
  </property>
</Properties>
</file>