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nts/font1.odttf" ContentType="application/vnd.openxmlformats-officedocument.obfuscatedFont"/>
  <Override PartName="/word/fonts/font2.odttf" ContentType="application/vnd.openxmlformats-officedocument.obfuscatedFont"/>
  <Override PartName="/word/fonts/font3.odttf" ContentType="application/vnd.openxmlformats-officedocument.obfuscatedFont"/>
  <Override PartName="/word/fonts/font4.odttf" ContentType="application/vnd.openxmlformats-officedocument.obfuscatedFont"/>
  <Override PartName="/word/footer1.xml" ContentType="application/vnd.openxmlformats-officedocument.wordprocessingml.footer+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spacing w:line="360" w:lineRule="auto"/>
        <w:jc w:val="center"/>
        <w:rPr>
          <w:rFonts w:ascii="方正小标宋简体" w:eastAsia="方正小标宋简体"/>
          <w:sz w:val="36"/>
          <w:szCs w:val="36"/>
        </w:rPr>
      </w:pPr>
    </w:p>
    <w:p>
      <w:pPr>
        <w:spacing w:line="360" w:lineRule="auto"/>
        <w:jc w:val="center"/>
        <w:rPr>
          <w:rFonts w:ascii="方正小标宋简体" w:eastAsia="方正小标宋简体"/>
          <w:sz w:val="36"/>
          <w:szCs w:val="36"/>
        </w:rPr>
      </w:pPr>
    </w:p>
    <w:p>
      <w:pPr>
        <w:spacing w:line="360" w:lineRule="auto"/>
        <w:jc w:val="center"/>
        <w:rPr>
          <w:rFonts w:ascii="方正小标宋简体" w:eastAsia="方正小标宋简体"/>
          <w:sz w:val="36"/>
          <w:szCs w:val="36"/>
        </w:rPr>
      </w:pPr>
    </w:p>
    <w:p>
      <w:pPr>
        <w:spacing w:line="360" w:lineRule="auto"/>
        <w:jc w:val="center"/>
        <w:rPr>
          <w:rFonts w:ascii="方正小标宋简体" w:eastAsia="方正小标宋简体"/>
          <w:sz w:val="36"/>
          <w:szCs w:val="36"/>
        </w:rPr>
      </w:pPr>
      <w:r>
        <w:rPr>
          <w:rFonts w:hint="eastAsia" w:ascii="方正小标宋简体" w:eastAsia="方正小标宋简体"/>
          <w:sz w:val="36"/>
          <w:szCs w:val="36"/>
        </w:rPr>
        <w:t>中国人民抗日战争纪念馆</w:t>
      </w:r>
    </w:p>
    <w:p>
      <w:pPr>
        <w:spacing w:line="360" w:lineRule="auto"/>
        <w:jc w:val="center"/>
        <w:rPr>
          <w:rFonts w:ascii="方正小标宋简体" w:eastAsia="方正小标宋简体"/>
          <w:sz w:val="36"/>
          <w:szCs w:val="36"/>
        </w:rPr>
      </w:pPr>
      <w:r>
        <w:rPr>
          <w:rFonts w:hint="eastAsia" w:ascii="方正小标宋简体" w:eastAsia="方正小标宋简体"/>
          <w:sz w:val="36"/>
          <w:szCs w:val="36"/>
        </w:rPr>
        <w:t>项目绩效自评报告</w:t>
      </w:r>
    </w:p>
    <w:p>
      <w:pPr>
        <w:snapToGrid w:val="0"/>
        <w:spacing w:line="580" w:lineRule="exact"/>
        <w:jc w:val="center"/>
        <w:rPr>
          <w:rFonts w:ascii="方正小标宋简体" w:hAnsi="方正小标宋简体" w:eastAsia="方正小标宋简体" w:cs="方正小标宋简体"/>
          <w:bCs/>
          <w:sz w:val="36"/>
          <w:szCs w:val="44"/>
        </w:rPr>
      </w:pPr>
    </w:p>
    <w:p>
      <w:pPr>
        <w:pStyle w:val="2"/>
        <w:ind w:firstLine="720"/>
        <w:rPr>
          <w:rFonts w:ascii="方正小标宋简体" w:hAnsi="方正小标宋简体" w:eastAsia="方正小标宋简体" w:cs="方正小标宋简体"/>
          <w:bCs/>
          <w:sz w:val="36"/>
          <w:szCs w:val="44"/>
        </w:rPr>
      </w:pPr>
    </w:p>
    <w:p>
      <w:pPr>
        <w:pStyle w:val="2"/>
        <w:ind w:firstLine="720"/>
        <w:rPr>
          <w:rFonts w:ascii="方正小标宋简体" w:hAnsi="方正小标宋简体" w:eastAsia="方正小标宋简体" w:cs="方正小标宋简体"/>
          <w:bCs/>
          <w:sz w:val="36"/>
          <w:szCs w:val="44"/>
        </w:rPr>
      </w:pPr>
    </w:p>
    <w:p>
      <w:pPr>
        <w:pStyle w:val="2"/>
        <w:ind w:firstLine="720"/>
        <w:rPr>
          <w:rFonts w:ascii="方正小标宋简体" w:hAnsi="方正小标宋简体" w:eastAsia="方正小标宋简体" w:cs="方正小标宋简体"/>
          <w:bCs/>
          <w:sz w:val="36"/>
          <w:szCs w:val="44"/>
        </w:rPr>
      </w:pPr>
    </w:p>
    <w:p>
      <w:pPr>
        <w:pStyle w:val="2"/>
        <w:ind w:firstLine="720"/>
        <w:rPr>
          <w:rFonts w:ascii="方正小标宋简体" w:hAnsi="方正小标宋简体" w:eastAsia="方正小标宋简体" w:cs="方正小标宋简体"/>
          <w:bCs/>
          <w:sz w:val="36"/>
          <w:szCs w:val="44"/>
        </w:rPr>
      </w:pPr>
    </w:p>
    <w:p>
      <w:pPr>
        <w:pStyle w:val="2"/>
        <w:ind w:firstLine="720"/>
        <w:rPr>
          <w:rFonts w:ascii="方正小标宋简体" w:hAnsi="方正小标宋简体" w:eastAsia="方正小标宋简体" w:cs="方正小标宋简体"/>
          <w:bCs/>
          <w:sz w:val="36"/>
          <w:szCs w:val="44"/>
        </w:rPr>
      </w:pPr>
    </w:p>
    <w:p>
      <w:pPr>
        <w:pStyle w:val="2"/>
        <w:ind w:firstLine="720"/>
        <w:rPr>
          <w:rFonts w:ascii="方正小标宋简体" w:hAnsi="方正小标宋简体" w:eastAsia="方正小标宋简体" w:cs="方正小标宋简体"/>
          <w:bCs/>
          <w:sz w:val="36"/>
          <w:szCs w:val="44"/>
        </w:rPr>
      </w:pPr>
    </w:p>
    <w:p>
      <w:pPr>
        <w:pStyle w:val="2"/>
        <w:ind w:firstLine="720"/>
        <w:rPr>
          <w:rFonts w:ascii="方正小标宋简体" w:hAnsi="方正小标宋简体" w:eastAsia="方正小标宋简体" w:cs="方正小标宋简体"/>
          <w:bCs/>
          <w:sz w:val="36"/>
          <w:szCs w:val="44"/>
        </w:rPr>
      </w:pPr>
    </w:p>
    <w:p>
      <w:pPr>
        <w:spacing w:line="560" w:lineRule="exact"/>
        <w:ind w:firstLine="643" w:firstLineChars="200"/>
        <w:rPr>
          <w:rFonts w:ascii="黑体" w:hAnsi="黑体" w:eastAsia="黑体"/>
          <w:b/>
          <w:bCs/>
          <w:sz w:val="32"/>
          <w:szCs w:val="32"/>
          <w:u w:val="single"/>
        </w:rPr>
      </w:pPr>
      <w:r>
        <w:rPr>
          <w:rFonts w:hint="eastAsia" w:ascii="黑体" w:hAnsi="黑体" w:eastAsia="黑体"/>
          <w:b/>
          <w:bCs/>
          <w:sz w:val="32"/>
          <w:szCs w:val="32"/>
        </w:rPr>
        <w:t>项目名称：</w:t>
      </w:r>
      <w:r>
        <w:rPr>
          <w:rFonts w:hint="eastAsia" w:ascii="黑体" w:hAnsi="黑体" w:eastAsia="黑体"/>
          <w:b/>
          <w:bCs/>
          <w:sz w:val="32"/>
          <w:szCs w:val="32"/>
          <w:u w:val="single"/>
        </w:rPr>
        <w:t>中央补助</w:t>
      </w:r>
      <w:r>
        <w:rPr>
          <w:rFonts w:hint="eastAsia" w:ascii="黑体" w:hAnsi="黑体" w:eastAsia="黑体"/>
          <w:b/>
          <w:bCs/>
          <w:sz w:val="32"/>
          <w:szCs w:val="32"/>
          <w:u w:val="single"/>
          <w:lang w:eastAsia="zh-CN"/>
        </w:rPr>
        <w:t>地方博物馆</w:t>
      </w:r>
      <w:r>
        <w:rPr>
          <w:rFonts w:hint="eastAsia" w:ascii="黑体" w:hAnsi="黑体" w:eastAsia="黑体"/>
          <w:b/>
          <w:bCs/>
          <w:sz w:val="32"/>
          <w:szCs w:val="32"/>
          <w:u w:val="single"/>
        </w:rPr>
        <w:t>免费开放项目</w:t>
      </w:r>
    </w:p>
    <w:p>
      <w:pPr>
        <w:spacing w:line="560" w:lineRule="exact"/>
        <w:ind w:firstLine="643" w:firstLineChars="200"/>
        <w:rPr>
          <w:rFonts w:ascii="黑体" w:hAnsi="黑体" w:eastAsia="黑体"/>
          <w:b/>
          <w:bCs/>
          <w:sz w:val="32"/>
          <w:szCs w:val="32"/>
          <w:u w:val="single"/>
        </w:rPr>
      </w:pPr>
      <w:r>
        <w:rPr>
          <w:rFonts w:hint="eastAsia" w:ascii="黑体" w:hAnsi="黑体" w:eastAsia="黑体"/>
          <w:b/>
          <w:bCs/>
          <w:sz w:val="32"/>
          <w:szCs w:val="32"/>
        </w:rPr>
        <w:t>预算年度：</w:t>
      </w:r>
      <w:r>
        <w:rPr>
          <w:rFonts w:hint="eastAsia" w:ascii="黑体" w:hAnsi="黑体" w:eastAsia="黑体"/>
          <w:b/>
          <w:bCs/>
          <w:sz w:val="32"/>
          <w:szCs w:val="32"/>
          <w:u w:val="single"/>
        </w:rPr>
        <w:t>2</w:t>
      </w:r>
      <w:r>
        <w:rPr>
          <w:rFonts w:ascii="黑体" w:hAnsi="黑体" w:eastAsia="黑体"/>
          <w:b/>
          <w:bCs/>
          <w:sz w:val="32"/>
          <w:szCs w:val="32"/>
          <w:u w:val="single"/>
        </w:rPr>
        <w:t>0</w:t>
      </w:r>
      <w:r>
        <w:rPr>
          <w:rFonts w:hint="eastAsia" w:ascii="黑体" w:hAnsi="黑体" w:eastAsia="黑体"/>
          <w:b/>
          <w:bCs/>
          <w:sz w:val="32"/>
          <w:szCs w:val="32"/>
          <w:u w:val="single"/>
        </w:rPr>
        <w:t>23年</w:t>
      </w:r>
    </w:p>
    <w:p>
      <w:pPr>
        <w:spacing w:line="560" w:lineRule="exact"/>
        <w:ind w:firstLine="643" w:firstLineChars="200"/>
        <w:rPr>
          <w:rFonts w:ascii="黑体" w:hAnsi="黑体" w:eastAsia="黑体" w:cs="仿宋_GB2312"/>
          <w:b/>
          <w:sz w:val="32"/>
          <w:szCs w:val="32"/>
          <w:u w:val="single"/>
        </w:rPr>
      </w:pPr>
      <w:r>
        <w:rPr>
          <w:rFonts w:hint="eastAsia" w:ascii="黑体" w:hAnsi="黑体" w:eastAsia="黑体" w:cs="仿宋_GB2312"/>
          <w:b/>
          <w:sz w:val="32"/>
          <w:szCs w:val="32"/>
        </w:rPr>
        <w:t>项目单位：</w:t>
      </w:r>
      <w:r>
        <w:rPr>
          <w:rFonts w:ascii="黑体" w:hAnsi="黑体" w:eastAsia="黑体"/>
          <w:b/>
          <w:bCs/>
          <w:sz w:val="32"/>
          <w:szCs w:val="32"/>
          <w:u w:val="single"/>
        </w:rPr>
        <w:t>中国人民抗日战争纪念馆</w:t>
      </w:r>
    </w:p>
    <w:p>
      <w:pPr>
        <w:spacing w:line="560" w:lineRule="exact"/>
        <w:ind w:firstLine="643" w:firstLineChars="200"/>
        <w:rPr>
          <w:rFonts w:ascii="黑体" w:hAnsi="黑体" w:eastAsia="黑体" w:cs="仿宋_GB2312"/>
          <w:b/>
          <w:sz w:val="32"/>
          <w:szCs w:val="32"/>
          <w:u w:val="single"/>
        </w:rPr>
      </w:pPr>
      <w:r>
        <w:rPr>
          <w:rFonts w:hint="eastAsia" w:ascii="黑体" w:hAnsi="黑体" w:eastAsia="黑体" w:cs="仿宋_GB2312"/>
          <w:b/>
          <w:sz w:val="32"/>
          <w:szCs w:val="32"/>
        </w:rPr>
        <w:t>主管部门：</w:t>
      </w:r>
      <w:bookmarkStart w:id="0" w:name="_Hlk135051248"/>
      <w:r>
        <w:rPr>
          <w:rFonts w:hint="eastAsia" w:ascii="黑体" w:hAnsi="黑体" w:eastAsia="黑体" w:cs="仿宋_GB2312"/>
          <w:b/>
          <w:sz w:val="32"/>
          <w:szCs w:val="32"/>
          <w:u w:val="single"/>
        </w:rPr>
        <w:t>中国共产党北京市委员会宣传部</w:t>
      </w:r>
      <w:bookmarkEnd w:id="0"/>
    </w:p>
    <w:p>
      <w:pPr>
        <w:spacing w:line="560" w:lineRule="exact"/>
        <w:ind w:firstLine="643" w:firstLineChars="200"/>
        <w:jc w:val="left"/>
        <w:rPr>
          <w:rFonts w:ascii="黑体" w:hAnsi="黑体" w:eastAsia="黑体" w:cs="仿宋_GB2312"/>
          <w:b/>
          <w:sz w:val="32"/>
          <w:szCs w:val="32"/>
          <w:u w:val="single"/>
        </w:rPr>
      </w:pPr>
      <w:r>
        <w:rPr>
          <w:rFonts w:hint="eastAsia" w:ascii="黑体" w:hAnsi="黑体" w:eastAsia="黑体" w:cs="仿宋_GB2312"/>
          <w:b/>
          <w:sz w:val="32"/>
          <w:szCs w:val="32"/>
        </w:rPr>
        <w:t>评价</w:t>
      </w:r>
      <w:r>
        <w:rPr>
          <w:rFonts w:ascii="黑体" w:hAnsi="黑体" w:eastAsia="黑体" w:cs="仿宋_GB2312"/>
          <w:b/>
          <w:sz w:val="32"/>
          <w:szCs w:val="32"/>
        </w:rPr>
        <w:t>时间</w:t>
      </w:r>
      <w:r>
        <w:rPr>
          <w:rFonts w:hint="eastAsia" w:ascii="黑体" w:hAnsi="黑体" w:eastAsia="黑体" w:cs="仿宋_GB2312"/>
          <w:b/>
          <w:sz w:val="32"/>
          <w:szCs w:val="32"/>
        </w:rPr>
        <w:t>：</w:t>
      </w:r>
      <w:r>
        <w:rPr>
          <w:rFonts w:ascii="黑体" w:hAnsi="黑体" w:eastAsia="黑体" w:cs="仿宋_GB2312"/>
          <w:b/>
          <w:sz w:val="32"/>
          <w:szCs w:val="32"/>
          <w:u w:val="single"/>
        </w:rPr>
        <w:t>202</w:t>
      </w:r>
      <w:r>
        <w:rPr>
          <w:rFonts w:hint="eastAsia" w:ascii="黑体" w:hAnsi="黑体" w:eastAsia="黑体" w:cs="仿宋_GB2312"/>
          <w:b/>
          <w:sz w:val="32"/>
          <w:szCs w:val="32"/>
          <w:u w:val="single"/>
        </w:rPr>
        <w:t>4年4月</w:t>
      </w:r>
      <w:bookmarkStart w:id="1" w:name="_GoBack"/>
      <w:bookmarkEnd w:id="1"/>
    </w:p>
    <w:p>
      <w:pPr>
        <w:pStyle w:val="2"/>
        <w:ind w:firstLine="0" w:firstLineChars="0"/>
        <w:rPr>
          <w:rFonts w:ascii="方正小标宋简体" w:hAnsi="方正小标宋简体" w:eastAsia="方正小标宋简体" w:cs="方正小标宋简体"/>
          <w:bCs/>
          <w:sz w:val="36"/>
          <w:szCs w:val="44"/>
        </w:rPr>
      </w:pPr>
    </w:p>
    <w:p>
      <w:pPr>
        <w:tabs>
          <w:tab w:val="center" w:pos="4153"/>
        </w:tabs>
        <w:snapToGrid w:val="0"/>
        <w:spacing w:line="580" w:lineRule="exact"/>
        <w:jc w:val="center"/>
        <w:rPr>
          <w:rFonts w:ascii="黑体" w:hAnsi="黑体" w:eastAsia="黑体"/>
          <w:sz w:val="32"/>
          <w:szCs w:val="32"/>
        </w:rPr>
      </w:pPr>
      <w:r>
        <w:rPr>
          <w:rFonts w:hint="eastAsia" w:ascii="黑体" w:hAnsi="黑体" w:eastAsia="黑体"/>
          <w:sz w:val="32"/>
          <w:szCs w:val="32"/>
        </w:rPr>
        <w:t>项目绩效</w:t>
      </w:r>
      <w:r>
        <w:rPr>
          <w:rFonts w:hint="eastAsia" w:ascii="黑体" w:hAnsi="黑体" w:eastAsia="黑体" w:cs="宋体"/>
          <w:sz w:val="32"/>
          <w:szCs w:val="32"/>
        </w:rPr>
        <w:t>展示</w:t>
      </w:r>
    </w:p>
    <w:p>
      <w:pPr>
        <w:pStyle w:val="2"/>
        <w:ind w:firstLine="600"/>
        <w:rPr>
          <w:rFonts w:hint="eastAsia"/>
        </w:rPr>
      </w:pPr>
    </w:p>
    <w:p>
      <w:pPr>
        <w:jc w:val="center"/>
        <w:rPr>
          <w:rFonts w:ascii="方正小标宋简体" w:hAnsi="方正小标宋简体" w:eastAsia="方正小标宋简体" w:cs="方正小标宋简体"/>
          <w:sz w:val="36"/>
          <w:szCs w:val="44"/>
        </w:rPr>
      </w:pPr>
      <w:r>
        <w:drawing>
          <wp:inline distT="0" distB="0" distL="0" distR="0">
            <wp:extent cx="5274310" cy="3604895"/>
            <wp:effectExtent l="0" t="0" r="2540" b="0"/>
            <wp:docPr id="1071834256"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71834256" name="图片 1"/>
                    <pic:cNvPicPr>
                      <a:picLocks noChangeAspect="1"/>
                    </pic:cNvPicPr>
                  </pic:nvPicPr>
                  <pic:blipFill>
                    <a:blip r:embed="rId5"/>
                    <a:stretch>
                      <a:fillRect/>
                    </a:stretch>
                  </pic:blipFill>
                  <pic:spPr>
                    <a:xfrm>
                      <a:off x="0" y="0"/>
                      <a:ext cx="5274310" cy="3604895"/>
                    </a:xfrm>
                    <a:prstGeom prst="rect">
                      <a:avLst/>
                    </a:prstGeom>
                  </pic:spPr>
                </pic:pic>
              </a:graphicData>
            </a:graphic>
          </wp:inline>
        </w:drawing>
      </w:r>
    </w:p>
    <w:p>
      <w:pPr>
        <w:jc w:val="center"/>
        <w:rPr>
          <w:rFonts w:ascii="方正小标宋简体" w:hAnsi="方正小标宋简体" w:eastAsia="方正小标宋简体" w:cs="方正小标宋简体"/>
          <w:sz w:val="36"/>
          <w:szCs w:val="44"/>
        </w:rPr>
      </w:pPr>
    </w:p>
    <w:p>
      <w:pPr>
        <w:jc w:val="center"/>
        <w:rPr>
          <w:rFonts w:ascii="方正小标宋简体" w:hAnsi="方正小标宋简体" w:eastAsia="方正小标宋简体" w:cs="方正小标宋简体"/>
          <w:sz w:val="36"/>
          <w:szCs w:val="44"/>
        </w:rPr>
        <w:sectPr>
          <w:footerReference r:id="rId3" w:type="default"/>
          <w:pgSz w:w="11906" w:h="16838"/>
          <w:pgMar w:top="1440" w:right="1800" w:bottom="1440" w:left="1800" w:header="851" w:footer="992" w:gutter="0"/>
          <w:pgNumType w:start="0"/>
          <w:cols w:space="720" w:num="1"/>
          <w:titlePg/>
          <w:docGrid w:type="lines" w:linePitch="408" w:charSpace="0"/>
        </w:sectPr>
      </w:pPr>
      <w:r>
        <w:drawing>
          <wp:inline distT="0" distB="0" distL="0" distR="0">
            <wp:extent cx="5274310" cy="3480435"/>
            <wp:effectExtent l="0" t="0" r="2540" b="5715"/>
            <wp:docPr id="854798812"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54798812" name="图片 1"/>
                    <pic:cNvPicPr>
                      <a:picLocks noChangeAspect="1" noChangeArrowheads="1"/>
                    </pic:cNvPicPr>
                  </pic:nvPicPr>
                  <pic:blipFill>
                    <a:blip r:embed="rId6" cstate="print">
                      <a:extLst>
                        <a:ext uri="{28A0092B-C50C-407E-A947-70E740481C1C}">
                          <a14:useLocalDpi xmlns:a14="http://schemas.microsoft.com/office/drawing/2010/main" val="0"/>
                        </a:ext>
                      </a:extLst>
                    </a:blip>
                    <a:srcRect/>
                    <a:stretch>
                      <a:fillRect/>
                    </a:stretch>
                  </pic:blipFill>
                  <pic:spPr>
                    <a:xfrm>
                      <a:off x="0" y="0"/>
                      <a:ext cx="5274310" cy="3480435"/>
                    </a:xfrm>
                    <a:prstGeom prst="rect">
                      <a:avLst/>
                    </a:prstGeom>
                    <a:noFill/>
                    <a:ln>
                      <a:noFill/>
                    </a:ln>
                  </pic:spPr>
                </pic:pic>
              </a:graphicData>
            </a:graphic>
          </wp:inline>
        </w:drawing>
      </w:r>
    </w:p>
    <w:p>
      <w:pPr>
        <w:snapToGrid w:val="0"/>
        <w:spacing w:line="580" w:lineRule="exact"/>
        <w:ind w:firstLine="600" w:firstLineChars="200"/>
        <w:jc w:val="left"/>
        <w:rPr>
          <w:rFonts w:ascii="仿宋_GB2312"/>
          <w:szCs w:val="32"/>
        </w:rPr>
      </w:pPr>
      <w:r>
        <w:rPr>
          <w:rFonts w:hint="eastAsia" w:ascii="仿宋_GB2312"/>
          <w:szCs w:val="32"/>
        </w:rPr>
        <w:t>为积极推进预算绩效管理，提高财政资源配置效率和使用效益，中国人民抗日战争纪念馆（以下简称“抗战馆”）依照财政部《项目支出绩效评价管理办法》的通知（财预〔2020〕10号）、北京市财政局《北京市项目支出绩效评价管理办法》（京财绩效〔2020〕2146号）等文件的规定和要求，成立了绩效评价工作组，对“中央补助地方博物馆免费开放项目”项目开展了绩效自评。具体情况如下：</w:t>
      </w:r>
    </w:p>
    <w:p>
      <w:pPr>
        <w:pStyle w:val="3"/>
        <w:spacing w:before="0" w:after="0" w:line="560" w:lineRule="exact"/>
        <w:ind w:firstLine="602" w:firstLineChars="200"/>
        <w:rPr>
          <w:rFonts w:ascii="黑体" w:hAnsi="黑体" w:eastAsia="黑体" w:cs="黑体"/>
          <w:bCs w:val="0"/>
          <w:sz w:val="30"/>
          <w:szCs w:val="30"/>
        </w:rPr>
      </w:pPr>
      <w:r>
        <w:rPr>
          <w:rFonts w:hint="eastAsia" w:ascii="黑体" w:hAnsi="黑体" w:eastAsia="黑体" w:cs="黑体"/>
          <w:sz w:val="30"/>
          <w:szCs w:val="30"/>
        </w:rPr>
        <w:t>一、项目情况</w:t>
      </w:r>
    </w:p>
    <w:p>
      <w:pPr>
        <w:snapToGrid w:val="0"/>
        <w:spacing w:line="580" w:lineRule="exact"/>
        <w:ind w:firstLine="602" w:firstLineChars="200"/>
        <w:outlineLvl w:val="0"/>
        <w:rPr>
          <w:rFonts w:ascii="楷体_GB2312" w:hAnsi="楷体_GB2312" w:eastAsia="楷体_GB2312" w:cs="楷体_GB2312"/>
          <w:b/>
          <w:bCs/>
          <w:szCs w:val="32"/>
        </w:rPr>
      </w:pPr>
      <w:r>
        <w:rPr>
          <w:rFonts w:hint="eastAsia" w:ascii="楷体_GB2312" w:hAnsi="楷体_GB2312" w:eastAsia="楷体_GB2312" w:cs="楷体_GB2312"/>
          <w:b/>
          <w:bCs/>
          <w:szCs w:val="32"/>
        </w:rPr>
        <w:t>（一）项目背景</w:t>
      </w:r>
    </w:p>
    <w:p>
      <w:pPr>
        <w:snapToGrid w:val="0"/>
        <w:spacing w:line="580" w:lineRule="exact"/>
        <w:ind w:firstLine="600" w:firstLineChars="200"/>
        <w:jc w:val="left"/>
        <w:rPr>
          <w:rFonts w:ascii="仿宋_GB2312"/>
          <w:szCs w:val="32"/>
        </w:rPr>
      </w:pPr>
      <w:r>
        <w:rPr>
          <w:rFonts w:hint="eastAsia" w:ascii="仿宋_GB2312"/>
          <w:szCs w:val="32"/>
        </w:rPr>
        <w:t>2008年，为贯彻落实党的十七大精神，充分发挥博物馆、纪念馆宣传和传播先进文化的重要作用，加强公共文化服务体系建设和公民思想道德建设，中宣部、财政部、文旅部、国家文物局发布了《关于全国博物馆、纪念馆免费开放的通知》。根据文件精神，中国人民抗日战争纪念馆作为国家一级博物馆、全国优秀爱国主义教育示范基地、北京市优秀爱国主义教育基地、全国国防教育基地，开始全部免费开放。中央财政和北京市财政将免费开放相关经费纳入财政预算，予以保障。</w:t>
      </w:r>
    </w:p>
    <w:p>
      <w:pPr>
        <w:snapToGrid w:val="0"/>
        <w:spacing w:line="580" w:lineRule="exact"/>
        <w:ind w:firstLine="600" w:firstLineChars="200"/>
        <w:jc w:val="left"/>
        <w:rPr>
          <w:rFonts w:ascii="仿宋_GB2312"/>
          <w:szCs w:val="32"/>
        </w:rPr>
      </w:pPr>
      <w:r>
        <w:rPr>
          <w:rFonts w:hint="eastAsia" w:ascii="仿宋_GB2312"/>
          <w:szCs w:val="32"/>
        </w:rPr>
        <w:t>中央补助地方博物馆免费开放项目为中国人民抗日战争纪念馆延续项目，根据市财政局预算批复（京财科文指〔2023〕0225号）项目预算为170.00万元，项目绩效目标为补助免费开放所需经费支出，改善陈列布展，提升服务能力。</w:t>
      </w:r>
    </w:p>
    <w:p>
      <w:pPr>
        <w:snapToGrid w:val="0"/>
        <w:spacing w:line="580" w:lineRule="exact"/>
        <w:ind w:firstLine="602" w:firstLineChars="200"/>
        <w:outlineLvl w:val="0"/>
        <w:rPr>
          <w:rFonts w:ascii="楷体_GB2312" w:hAnsi="楷体_GB2312" w:eastAsia="楷体_GB2312" w:cs="楷体_GB2312"/>
          <w:b/>
          <w:bCs/>
          <w:szCs w:val="32"/>
        </w:rPr>
      </w:pPr>
      <w:r>
        <w:rPr>
          <w:rFonts w:hint="eastAsia" w:ascii="楷体_GB2312" w:hAnsi="楷体_GB2312" w:eastAsia="楷体_GB2312" w:cs="楷体_GB2312"/>
          <w:b/>
          <w:bCs/>
          <w:szCs w:val="32"/>
        </w:rPr>
        <w:t>（二）项目主要内容</w:t>
      </w:r>
    </w:p>
    <w:p>
      <w:pPr>
        <w:snapToGrid w:val="0"/>
        <w:spacing w:line="580" w:lineRule="exact"/>
        <w:ind w:firstLine="600" w:firstLineChars="200"/>
        <w:jc w:val="left"/>
        <w:rPr>
          <w:rFonts w:ascii="仿宋_GB2312"/>
          <w:szCs w:val="32"/>
        </w:rPr>
      </w:pPr>
      <w:r>
        <w:rPr>
          <w:rFonts w:hint="eastAsia" w:ascii="仿宋_GB2312"/>
          <w:szCs w:val="32"/>
        </w:rPr>
        <w:t>年度计划主要工作内容包括：</w:t>
      </w:r>
    </w:p>
    <w:p>
      <w:pPr>
        <w:snapToGrid w:val="0"/>
        <w:spacing w:line="580" w:lineRule="exact"/>
        <w:ind w:firstLine="600" w:firstLineChars="200"/>
        <w:jc w:val="left"/>
        <w:rPr>
          <w:rFonts w:ascii="仿宋_GB2312"/>
          <w:szCs w:val="32"/>
        </w:rPr>
      </w:pPr>
      <w:r>
        <w:rPr>
          <w:rFonts w:hint="eastAsia" w:ascii="仿宋_GB2312"/>
          <w:szCs w:val="32"/>
        </w:rPr>
        <w:t>一是保障日常运转经费。提升博物馆服务水平及知名度，设计制作纪念馆印章，印刷免费门票，完善数字化手语导览，对基本陈列进行日常维护，更换展厅零件设备及活动背板等。</w:t>
      </w:r>
    </w:p>
    <w:p>
      <w:pPr>
        <w:snapToGrid w:val="0"/>
        <w:spacing w:line="580" w:lineRule="exact"/>
        <w:ind w:firstLine="600" w:firstLineChars="200"/>
        <w:jc w:val="left"/>
        <w:rPr>
          <w:rFonts w:ascii="仿宋_GB2312"/>
          <w:szCs w:val="32"/>
        </w:rPr>
      </w:pPr>
      <w:r>
        <w:rPr>
          <w:rFonts w:hint="eastAsia" w:ascii="仿宋_GB2312"/>
          <w:szCs w:val="32"/>
        </w:rPr>
        <w:t>二是提升交流合作水平。通过前期澳门文物征集和考察调研工作，本年度拟计划联合澳门口述史协会举办“中国共产党抗战文物图片展”专题展。为提升国际二战博物馆协会对外水平，聘请专业翻译公司润色相关资料、文件、交流函等。</w:t>
      </w:r>
    </w:p>
    <w:p>
      <w:pPr>
        <w:snapToGrid w:val="0"/>
        <w:spacing w:line="580" w:lineRule="exact"/>
        <w:ind w:firstLine="600" w:firstLineChars="200"/>
        <w:jc w:val="left"/>
        <w:rPr>
          <w:rFonts w:ascii="仿宋_GB2312"/>
          <w:szCs w:val="32"/>
        </w:rPr>
      </w:pPr>
      <w:r>
        <w:rPr>
          <w:rFonts w:hint="eastAsia" w:ascii="仿宋_GB2312"/>
          <w:szCs w:val="32"/>
        </w:rPr>
        <w:t>三是提升博物馆安全等级。为提升馆内房屋安全使用等级，提升藏品安全，保障安全运转，计划将进行房屋结构检测鉴定、防雷装置检测、3处建筑竣工测绘工作。</w:t>
      </w:r>
    </w:p>
    <w:p>
      <w:pPr>
        <w:pStyle w:val="3"/>
        <w:spacing w:before="0" w:after="0" w:line="560" w:lineRule="exact"/>
        <w:ind w:firstLine="602" w:firstLineChars="200"/>
        <w:rPr>
          <w:rFonts w:ascii="黑体" w:hAnsi="黑体" w:eastAsia="黑体" w:cs="黑体"/>
          <w:sz w:val="30"/>
          <w:szCs w:val="30"/>
        </w:rPr>
      </w:pPr>
      <w:r>
        <w:rPr>
          <w:rFonts w:hint="eastAsia" w:ascii="黑体" w:hAnsi="黑体" w:eastAsia="黑体" w:cs="黑体"/>
          <w:sz w:val="30"/>
          <w:szCs w:val="30"/>
        </w:rPr>
        <w:t>二、绩效情况分析</w:t>
      </w:r>
    </w:p>
    <w:p>
      <w:pPr>
        <w:snapToGrid w:val="0"/>
        <w:spacing w:line="580" w:lineRule="exact"/>
        <w:ind w:firstLine="602" w:firstLineChars="200"/>
        <w:outlineLvl w:val="0"/>
        <w:rPr>
          <w:rFonts w:ascii="楷体_GB2312" w:hAnsi="楷体_GB2312" w:eastAsia="楷体_GB2312" w:cs="楷体_GB2312"/>
          <w:b/>
          <w:bCs/>
          <w:szCs w:val="32"/>
        </w:rPr>
      </w:pPr>
      <w:r>
        <w:rPr>
          <w:rFonts w:hint="eastAsia" w:ascii="楷体_GB2312" w:hAnsi="楷体_GB2312" w:eastAsia="楷体_GB2312" w:cs="楷体_GB2312"/>
          <w:b/>
          <w:bCs/>
          <w:szCs w:val="32"/>
        </w:rPr>
        <w:t>（一）资金投入情况分析</w:t>
      </w:r>
    </w:p>
    <w:p>
      <w:pPr>
        <w:snapToGrid w:val="0"/>
        <w:spacing w:line="580" w:lineRule="exact"/>
        <w:ind w:firstLine="600" w:firstLineChars="200"/>
        <w:rPr>
          <w:rFonts w:ascii="仿宋_GB2312"/>
          <w:szCs w:val="32"/>
        </w:rPr>
      </w:pPr>
      <w:r>
        <w:rPr>
          <w:rFonts w:hint="eastAsia" w:ascii="仿宋_GB2312"/>
          <w:szCs w:val="32"/>
        </w:rPr>
        <w:t>2023年项目批复预算为170.00万元，年度支出完成</w:t>
      </w:r>
      <w:r>
        <w:rPr>
          <w:rFonts w:ascii="仿宋_GB2312"/>
          <w:szCs w:val="32"/>
        </w:rPr>
        <w:t>138.29</w:t>
      </w:r>
      <w:r>
        <w:rPr>
          <w:rFonts w:hint="eastAsia" w:ascii="仿宋_GB2312"/>
          <w:szCs w:val="32"/>
        </w:rPr>
        <w:t>万元，结转资金31.71万元，预算执行率81.35%。</w:t>
      </w:r>
    </w:p>
    <w:p>
      <w:pPr>
        <w:snapToGrid w:val="0"/>
        <w:spacing w:line="580" w:lineRule="exact"/>
        <w:ind w:firstLine="602" w:firstLineChars="200"/>
        <w:outlineLvl w:val="0"/>
        <w:rPr>
          <w:rFonts w:ascii="楷体_GB2312" w:hAnsi="楷体_GB2312" w:eastAsia="楷体_GB2312" w:cs="楷体_GB2312"/>
          <w:b/>
          <w:bCs/>
          <w:szCs w:val="32"/>
        </w:rPr>
      </w:pPr>
      <w:r>
        <w:rPr>
          <w:rFonts w:hint="eastAsia" w:ascii="楷体_GB2312" w:hAnsi="楷体_GB2312" w:eastAsia="楷体_GB2312" w:cs="楷体_GB2312"/>
          <w:b/>
          <w:bCs/>
          <w:szCs w:val="32"/>
        </w:rPr>
        <w:t>（二）资金管理情况分析</w:t>
      </w:r>
    </w:p>
    <w:p>
      <w:pPr>
        <w:snapToGrid w:val="0"/>
        <w:spacing w:line="580" w:lineRule="exact"/>
        <w:ind w:firstLine="600" w:firstLineChars="200"/>
        <w:rPr>
          <w:rFonts w:ascii="仿宋_GB2312"/>
          <w:szCs w:val="32"/>
        </w:rPr>
      </w:pPr>
      <w:r>
        <w:rPr>
          <w:rFonts w:hint="eastAsia" w:ascii="仿宋_GB2312"/>
          <w:szCs w:val="32"/>
        </w:rPr>
        <w:t>抗战馆围绕绩效目标，按照《中央对地方博物馆纪念馆免费开放补助资金管理办法》合理安排资金使用，严格执行《抗战馆馆长办公会议事规则》《关于“三重一大”制度实施细则》《财务管理制度》等有关规定，确保资金规范使用，组织实施项目预算评审和绩效评价工作，提升资金使用效益，不断完善项目管理体系。</w:t>
      </w:r>
    </w:p>
    <w:p>
      <w:pPr>
        <w:snapToGrid w:val="0"/>
        <w:spacing w:line="580" w:lineRule="exact"/>
        <w:ind w:firstLine="602" w:firstLineChars="200"/>
        <w:outlineLvl w:val="0"/>
        <w:rPr>
          <w:rFonts w:ascii="仿宋_GB2312" w:hAnsi="仿宋_GB2312" w:cs="仿宋_GB2312"/>
          <w:szCs w:val="32"/>
        </w:rPr>
      </w:pPr>
      <w:r>
        <w:rPr>
          <w:rFonts w:hint="eastAsia" w:ascii="楷体_GB2312" w:hAnsi="楷体_GB2312" w:eastAsia="楷体_GB2312" w:cs="楷体_GB2312"/>
          <w:b/>
          <w:bCs/>
          <w:szCs w:val="32"/>
        </w:rPr>
        <w:t>（三）总体绩效目标完成情况分析</w:t>
      </w:r>
    </w:p>
    <w:p>
      <w:pPr>
        <w:snapToGrid w:val="0"/>
        <w:spacing w:line="580" w:lineRule="exact"/>
        <w:ind w:firstLine="640" w:firstLineChars="200"/>
        <w:rPr>
          <w:rFonts w:ascii="仿宋_GB2312"/>
          <w:szCs w:val="32"/>
        </w:rPr>
      </w:pPr>
      <w:r>
        <w:rPr>
          <w:rFonts w:hint="eastAsia" w:ascii="仿宋_GB2312" w:hAnsiTheme="minorEastAsia"/>
          <w:sz w:val="32"/>
          <w:szCs w:val="32"/>
        </w:rPr>
        <w:t>1.总体绩效目标：</w:t>
      </w:r>
      <w:r>
        <w:rPr>
          <w:rFonts w:hint="eastAsia" w:ascii="仿宋_GB2312"/>
          <w:szCs w:val="32"/>
        </w:rPr>
        <w:t>补助免费开放所需经费支出，改善陈列布展，提升服务能力。</w:t>
      </w:r>
    </w:p>
    <w:p>
      <w:pPr>
        <w:snapToGrid w:val="0"/>
        <w:spacing w:line="580" w:lineRule="exact"/>
        <w:ind w:firstLine="600" w:firstLineChars="200"/>
        <w:rPr>
          <w:rFonts w:ascii="仿宋_GB2312"/>
          <w:szCs w:val="32"/>
        </w:rPr>
      </w:pPr>
      <w:r>
        <w:rPr>
          <w:rFonts w:hint="eastAsia" w:ascii="仿宋_GB2312"/>
          <w:szCs w:val="32"/>
        </w:rPr>
        <w:t>2.总体绩效目标完成情况：在《现代教育报》上宣传“卢沟桥教育学苑研讨会”，印刷免费门票，制作打卡地印章、“数字化手语导览”项目亚克力插盒和二维码标牌、“纪念台湾光复78周年学术座谈会”活动背板等；完成抗战文物图片展，翻译润色相关资料、文件、交流函等；完成房产证专项测绘、房屋结构检测鉴定、防雷装置检测、主馆等3处建筑竣工测绘等。</w:t>
      </w:r>
    </w:p>
    <w:p>
      <w:pPr>
        <w:snapToGrid w:val="0"/>
        <w:spacing w:line="580" w:lineRule="exact"/>
        <w:ind w:firstLine="602" w:firstLineChars="200"/>
        <w:outlineLvl w:val="0"/>
        <w:rPr>
          <w:rFonts w:ascii="仿宋_GB2312"/>
          <w:szCs w:val="32"/>
        </w:rPr>
      </w:pPr>
      <w:r>
        <w:rPr>
          <w:rFonts w:hint="eastAsia" w:ascii="楷体_GB2312" w:hAnsi="楷体_GB2312" w:eastAsia="楷体_GB2312" w:cs="楷体_GB2312"/>
          <w:b/>
          <w:bCs/>
          <w:szCs w:val="32"/>
        </w:rPr>
        <w:t>（四）绩效指标完成情况分析</w:t>
      </w:r>
    </w:p>
    <w:p>
      <w:pPr>
        <w:snapToGrid w:val="0"/>
        <w:spacing w:line="580" w:lineRule="exact"/>
        <w:ind w:firstLine="600" w:firstLineChars="200"/>
        <w:rPr>
          <w:rFonts w:ascii="仿宋_GB2312"/>
          <w:szCs w:val="32"/>
        </w:rPr>
      </w:pPr>
      <w:r>
        <w:rPr>
          <w:rFonts w:hint="eastAsia" w:ascii="仿宋_GB2312"/>
          <w:szCs w:val="32"/>
        </w:rPr>
        <w:t>1.产出指标。资金支付计划170万元，完成138.29万元；支出计划完成率计划100%，完成81.35%；完成质量良好，实际良好。</w:t>
      </w:r>
    </w:p>
    <w:p>
      <w:pPr>
        <w:snapToGrid w:val="0"/>
        <w:spacing w:line="580" w:lineRule="exact"/>
        <w:ind w:firstLine="600" w:firstLineChars="200"/>
        <w:rPr>
          <w:rFonts w:ascii="仿宋_GB2312"/>
          <w:szCs w:val="32"/>
        </w:rPr>
      </w:pPr>
      <w:r>
        <w:rPr>
          <w:rFonts w:hint="eastAsia" w:ascii="仿宋_GB2312"/>
          <w:szCs w:val="32"/>
        </w:rPr>
        <w:t>2.效益指标。提升服务能力良好，实际值良好。</w:t>
      </w:r>
    </w:p>
    <w:p>
      <w:pPr>
        <w:pStyle w:val="2"/>
        <w:ind w:firstLine="640"/>
        <w:rPr>
          <w:rFonts w:ascii="仿宋_GB2312"/>
          <w:szCs w:val="32"/>
        </w:rPr>
      </w:pPr>
      <w:r>
        <w:rPr>
          <w:rFonts w:hint="eastAsia" w:ascii="仿宋_GB2312" w:hAnsiTheme="minorEastAsia"/>
          <w:sz w:val="32"/>
          <w:szCs w:val="32"/>
        </w:rPr>
        <w:t>（1）在澳门</w:t>
      </w:r>
      <w:r>
        <w:rPr>
          <w:rFonts w:hint="eastAsia" w:ascii="仿宋_GB2312"/>
          <w:szCs w:val="32"/>
        </w:rPr>
        <w:t>举办“中国共产党抗战文物图片展”。为纪念中国人民抗日战争暨世界反法西斯战争胜利78周年，使澳门同胞进一步了解抗日战争历史及其重要意义，中国人民抗日战争纪念馆与澳门口述历史协会联合主办“中国共产党抗战文物图片展”，9月3日在澳门市政署大楼画廊举行开幕式。</w:t>
      </w:r>
    </w:p>
    <w:p>
      <w:pPr>
        <w:pStyle w:val="2"/>
        <w:ind w:firstLine="600"/>
        <w:rPr>
          <w:rFonts w:ascii="仿宋_GB2312"/>
          <w:szCs w:val="32"/>
        </w:rPr>
      </w:pPr>
      <w:r>
        <w:rPr>
          <w:rFonts w:hint="eastAsia" w:ascii="仿宋_GB2312"/>
          <w:szCs w:val="32"/>
        </w:rPr>
        <w:t>此次展览中，澳门口述历史协会的团队根据对澳门民众抗战历史的最新研究成果，特别推出了“南陲守土 澳门人的抗战”作为展览的特色内容。团队从海量的澳门抗战文物图片中精选了40多幅历史图片，从“同仇敌忾救亡赈难”“共赴国难热血奉献”两部分展现当年澳门同胞与祖国同呼吸共命运的抗战风貌。</w:t>
      </w:r>
    </w:p>
    <w:p>
      <w:pPr>
        <w:pStyle w:val="2"/>
        <w:ind w:firstLine="600"/>
        <w:rPr>
          <w:rFonts w:ascii="仿宋_GB2312"/>
          <w:szCs w:val="32"/>
        </w:rPr>
      </w:pPr>
      <w:r>
        <w:rPr>
          <w:rFonts w:hint="eastAsia" w:ascii="仿宋_GB2312"/>
          <w:szCs w:val="32"/>
        </w:rPr>
        <w:t>图片展全景式展现中国共产党率领人民进行艰苦卓绝的伟大斗争，共同回顾中国共产党在抗战期间发挥的中流砥柱作用，更配合展出澳门民众在当年艰苦岁月中，用满腔爱国热情倾尽全力投入抗战洪流的场景。这将继续激励人们牢记历史，珍爱和平，勿忘国耻，圆梦中华。</w:t>
      </w:r>
    </w:p>
    <w:p>
      <w:pPr>
        <w:snapToGrid w:val="0"/>
        <w:spacing w:line="580" w:lineRule="exact"/>
        <w:ind w:firstLine="600" w:firstLineChars="200"/>
        <w:rPr>
          <w:rFonts w:ascii="仿宋_GB2312" w:hAnsiTheme="minorEastAsia"/>
          <w:sz w:val="32"/>
          <w:szCs w:val="32"/>
        </w:rPr>
      </w:pPr>
      <w:r>
        <w:rPr>
          <w:rFonts w:hint="eastAsia" w:ascii="仿宋_GB2312"/>
          <w:szCs w:val="32"/>
        </w:rPr>
        <w:t>此次展览9月22日闭幕，为期二十天参观总人数达到一万二千人次，社会反响热烈，历史及社会效益显著。</w:t>
      </w:r>
    </w:p>
    <w:p>
      <w:pPr>
        <w:pStyle w:val="2"/>
        <w:ind w:firstLine="640"/>
        <w:rPr>
          <w:rFonts w:ascii="仿宋_GB2312"/>
          <w:szCs w:val="32"/>
        </w:rPr>
      </w:pPr>
      <w:r>
        <w:rPr>
          <w:rFonts w:hint="eastAsia" w:ascii="仿宋_GB2312" w:hAnsiTheme="minorEastAsia"/>
          <w:sz w:val="32"/>
          <w:szCs w:val="32"/>
        </w:rPr>
        <w:t>（2）展厅内制作</w:t>
      </w:r>
      <w:r>
        <w:rPr>
          <w:rFonts w:ascii="仿宋_GB2312"/>
          <w:szCs w:val="32"/>
        </w:rPr>
        <w:t>“数字化手语导览”</w:t>
      </w:r>
      <w:r>
        <w:rPr>
          <w:rFonts w:hint="eastAsia" w:ascii="仿宋_GB2312"/>
          <w:szCs w:val="32"/>
        </w:rPr>
        <w:t>二维码标识牌。为进一步完善残疾人社会保障制度和关爱服务体系，促进残疾人事业全面发展，北京市手语研究会与中国人民抗日战争纪念馆、故宫博物院、天坛公园联合为听障人士制作数字化手语导览，让听障人士畅“听”抗战故事，感悟抗战精神，领略抗战文化，畅享文博服务，并在线下基本陈列《伟大胜利 历史贡献》布设导览二维码，将50个手语导览一一安装在相应展陈位置，为进一步改进残障人士观展体验。北京市残疾人联合会副理事长董连民授予中国人民抗日战争纪念馆“手语服务示范景区”牌匾，社会效益显著。</w:t>
      </w:r>
    </w:p>
    <w:p>
      <w:pPr>
        <w:pStyle w:val="2"/>
        <w:ind w:firstLine="640"/>
        <w:rPr>
          <w:rFonts w:ascii="仿宋_GB2312"/>
          <w:szCs w:val="32"/>
        </w:rPr>
      </w:pPr>
      <w:r>
        <w:rPr>
          <w:rFonts w:hint="eastAsia" w:ascii="仿宋_GB2312" w:hAnsiTheme="minorEastAsia"/>
          <w:sz w:val="32"/>
          <w:szCs w:val="32"/>
        </w:rPr>
        <w:t>（3）开展</w:t>
      </w:r>
      <w:r>
        <w:rPr>
          <w:rFonts w:hint="eastAsia" w:ascii="仿宋_GB2312"/>
          <w:szCs w:val="32"/>
        </w:rPr>
        <w:t>“纪念台湾光复78周年学术座谈会”，与会嘉宾围绕台湾光复的历史背景与现实意义、充分发挥青年在两岸交往中的积极作用、两岸同胞同心共圆中国梦、进一步发挥好对台交流基地作用等议题展开讨论。此次活动对于两岸同胞共同牢记历史、鉴往知来，弘扬伟大的民族精神，共担民族大义，共圆民族复兴伟大梦想具有重要意义，历史效益显著。</w:t>
      </w:r>
    </w:p>
    <w:p>
      <w:pPr>
        <w:snapToGrid w:val="0"/>
        <w:spacing w:line="580" w:lineRule="exact"/>
        <w:ind w:firstLine="640" w:firstLineChars="200"/>
        <w:rPr>
          <w:rFonts w:ascii="仿宋_GB2312"/>
          <w:szCs w:val="32"/>
        </w:rPr>
      </w:pPr>
      <w:r>
        <w:rPr>
          <w:rFonts w:hint="eastAsia" w:ascii="仿宋_GB2312" w:hAnsiTheme="minorEastAsia"/>
          <w:sz w:val="32"/>
          <w:szCs w:val="32"/>
        </w:rPr>
        <w:t>（4）</w:t>
      </w:r>
      <w:r>
        <w:rPr>
          <w:rFonts w:hint="eastAsia" w:ascii="仿宋_GB2312"/>
          <w:szCs w:val="32"/>
        </w:rPr>
        <w:t>举办了卢沟桥教育学苑交流研讨活动，并在《现代教育报》上宣传，数十名中小学校长围绕“弘扬抗战精神 担当育人使命”这一主题，展开了深入探讨，是抗战馆与卢沟桥教育学苑建立协同育人交流研讨运行机制的一次有益探索，更好地发挥纪念馆资源以文化人、以史育人的重要作用，在馆校合作中，进一步提升爱国主义教育实效，教育效益显著。</w:t>
      </w:r>
    </w:p>
    <w:p>
      <w:pPr>
        <w:pStyle w:val="2"/>
        <w:ind w:firstLine="640"/>
        <w:rPr>
          <w:rFonts w:ascii="仿宋_GB2312"/>
          <w:szCs w:val="32"/>
        </w:rPr>
      </w:pPr>
      <w:r>
        <w:rPr>
          <w:rFonts w:hint="eastAsia" w:ascii="仿宋_GB2312" w:hAnsiTheme="minorEastAsia"/>
          <w:sz w:val="32"/>
          <w:szCs w:val="32"/>
        </w:rPr>
        <w:t>（5）</w:t>
      </w:r>
      <w:r>
        <w:rPr>
          <w:rFonts w:hint="eastAsia" w:ascii="仿宋_GB2312"/>
          <w:szCs w:val="32"/>
        </w:rPr>
        <w:t>印刷免费门票，制作打卡地印章。为保障安全检查、观众参观体验，全年印刷门票10万张，发放10万张；为满足观众参观需求，定制印章10套置于展厅前台供观众打卡盖章，提升服务质量效益显著。</w:t>
      </w:r>
    </w:p>
    <w:p>
      <w:pPr>
        <w:pStyle w:val="2"/>
        <w:ind w:firstLine="640"/>
        <w:rPr>
          <w:rFonts w:ascii="仿宋_GB2312"/>
          <w:szCs w:val="32"/>
        </w:rPr>
      </w:pPr>
      <w:r>
        <w:rPr>
          <w:rFonts w:hint="eastAsia" w:ascii="仿宋_GB2312" w:hAnsiTheme="minorEastAsia"/>
          <w:sz w:val="32"/>
          <w:szCs w:val="32"/>
        </w:rPr>
        <w:t>（6）完成馆内安全检测专班任务。</w:t>
      </w:r>
      <w:r>
        <w:rPr>
          <w:rFonts w:hint="eastAsia" w:ascii="仿宋_GB2312"/>
          <w:szCs w:val="32"/>
        </w:rPr>
        <w:t>为提升馆内房屋安全使用等级，提升藏品安全，保障安全运转，进行房屋结构检测鉴定、防雷装置检测、3处建筑竣工测绘工作。形成主馆一期、二期、资料中心、直燃机房、传达室、活动室、办公配套用房的房屋结构综合安全性鉴定报告共8份，房屋面积测算技术报告书共12份，防雷检测报告1份。通过此次专班任务，充分掌握馆内各建筑物数据，保障了馆内运转的基础工作。</w:t>
      </w:r>
    </w:p>
    <w:p>
      <w:pPr>
        <w:snapToGrid w:val="0"/>
        <w:spacing w:line="580" w:lineRule="exact"/>
        <w:ind w:firstLine="600" w:firstLineChars="200"/>
        <w:rPr>
          <w:rFonts w:hint="eastAsia" w:ascii="仿宋_GB2312"/>
          <w:szCs w:val="32"/>
          <w:lang w:val="en-US" w:eastAsia="zh-CN"/>
        </w:rPr>
      </w:pPr>
      <w:r>
        <w:rPr>
          <w:rFonts w:hint="eastAsia" w:ascii="仿宋_GB2312"/>
          <w:szCs w:val="32"/>
        </w:rPr>
        <w:t>3.满意度指标。观众满意度≥80%</w:t>
      </w:r>
      <w:r>
        <w:rPr>
          <w:rFonts w:hint="eastAsia" w:ascii="仿宋_GB2312"/>
          <w:szCs w:val="32"/>
        </w:rPr>
        <w:tab/>
      </w:r>
      <w:r>
        <w:rPr>
          <w:rFonts w:hint="eastAsia" w:ascii="仿宋_GB2312"/>
          <w:szCs w:val="32"/>
          <w:lang w:val="en-US" w:eastAsia="zh-CN"/>
        </w:rPr>
        <w:t>.</w:t>
      </w:r>
    </w:p>
    <w:p>
      <w:pPr>
        <w:snapToGrid w:val="0"/>
        <w:spacing w:line="580" w:lineRule="exact"/>
        <w:ind w:firstLine="600" w:firstLineChars="200"/>
        <w:rPr>
          <w:rFonts w:ascii="仿宋_GB2312"/>
          <w:szCs w:val="32"/>
        </w:rPr>
      </w:pPr>
      <w:r>
        <w:rPr>
          <w:rFonts w:hint="eastAsia" w:ascii="仿宋_GB2312"/>
          <w:szCs w:val="32"/>
          <w:lang w:eastAsia="zh-CN"/>
        </w:rPr>
        <w:t>通过观众现场满意度采访调查及展厅内留言簿填写情况，实际观众满意度在</w:t>
      </w:r>
      <w:r>
        <w:rPr>
          <w:rFonts w:hint="eastAsia" w:ascii="仿宋_GB2312"/>
          <w:szCs w:val="32"/>
          <w:lang w:val="en-US" w:eastAsia="zh-CN"/>
        </w:rPr>
        <w:t>90</w:t>
      </w:r>
      <w:r>
        <w:rPr>
          <w:rFonts w:hint="eastAsia" w:ascii="仿宋_GB2312"/>
          <w:szCs w:val="32"/>
        </w:rPr>
        <w:t>%</w:t>
      </w:r>
      <w:r>
        <w:rPr>
          <w:rFonts w:hint="eastAsia" w:ascii="仿宋_GB2312"/>
          <w:szCs w:val="32"/>
          <w:lang w:eastAsia="zh-CN"/>
        </w:rPr>
        <w:t>以上，满意度指标达标</w:t>
      </w:r>
      <w:r>
        <w:rPr>
          <w:rFonts w:hint="eastAsia" w:ascii="仿宋_GB2312"/>
          <w:szCs w:val="32"/>
        </w:rPr>
        <w:t>。</w:t>
      </w:r>
    </w:p>
    <w:p>
      <w:pPr>
        <w:pStyle w:val="3"/>
        <w:spacing w:before="0" w:after="0" w:line="560" w:lineRule="exact"/>
        <w:ind w:firstLine="602" w:firstLineChars="200"/>
        <w:rPr>
          <w:rFonts w:ascii="黑体" w:hAnsi="黑体" w:eastAsia="黑体" w:cs="黑体"/>
          <w:sz w:val="30"/>
          <w:szCs w:val="30"/>
        </w:rPr>
      </w:pPr>
      <w:r>
        <w:rPr>
          <w:rFonts w:hint="eastAsia" w:ascii="黑体" w:hAnsi="黑体" w:eastAsia="黑体" w:cs="黑体"/>
          <w:sz w:val="30"/>
          <w:szCs w:val="30"/>
        </w:rPr>
        <w:t>三、绩效管理存在的问题及改进措施</w:t>
      </w:r>
    </w:p>
    <w:p>
      <w:pPr>
        <w:snapToGrid w:val="0"/>
        <w:spacing w:line="580" w:lineRule="exact"/>
        <w:ind w:firstLine="600" w:firstLineChars="200"/>
        <w:rPr>
          <w:rFonts w:hint="eastAsia" w:ascii="仿宋_GB2312"/>
          <w:szCs w:val="32"/>
        </w:rPr>
      </w:pPr>
      <w:r>
        <w:rPr>
          <w:rFonts w:hint="eastAsia" w:ascii="仿宋_GB2312"/>
          <w:szCs w:val="32"/>
        </w:rPr>
        <w:t>本项目基本完成了年度绩效目标，但年度绩效产出指标未完全根据项目工作内容制定，绩效指标与工作内容匹配度及支出方向关联度需提高。</w:t>
      </w:r>
    </w:p>
    <w:p>
      <w:pPr>
        <w:snapToGrid w:val="0"/>
        <w:spacing w:line="580" w:lineRule="exact"/>
        <w:ind w:firstLine="600" w:firstLineChars="200"/>
        <w:rPr>
          <w:rFonts w:ascii="仿宋_GB2312"/>
          <w:szCs w:val="32"/>
        </w:rPr>
      </w:pPr>
      <w:r>
        <w:rPr>
          <w:rFonts w:hint="eastAsia" w:ascii="仿宋_GB2312"/>
          <w:szCs w:val="32"/>
          <w:lang w:eastAsia="zh-CN"/>
        </w:rPr>
        <w:t>改进措施：年初</w:t>
      </w:r>
      <w:r>
        <w:rPr>
          <w:rFonts w:hint="eastAsia" w:ascii="仿宋_GB2312"/>
          <w:szCs w:val="32"/>
        </w:rPr>
        <w:t>今后认真分解、细化工作任务，清晰明确预期产出，</w:t>
      </w:r>
      <w:r>
        <w:rPr>
          <w:rFonts w:hint="eastAsia" w:ascii="仿宋_GB2312"/>
          <w:szCs w:val="32"/>
          <w:lang w:eastAsia="zh-CN"/>
        </w:rPr>
        <w:t>划分效益指标，</w:t>
      </w:r>
      <w:r>
        <w:rPr>
          <w:rFonts w:hint="eastAsia" w:ascii="仿宋_GB2312"/>
          <w:szCs w:val="32"/>
        </w:rPr>
        <w:t>进一步提高绩效产出指标的科学性。</w:t>
      </w:r>
    </w:p>
    <w:p>
      <w:pPr>
        <w:pStyle w:val="3"/>
        <w:spacing w:before="0" w:after="0" w:line="560" w:lineRule="exact"/>
        <w:ind w:firstLine="602" w:firstLineChars="200"/>
        <w:rPr>
          <w:rFonts w:ascii="黑体" w:hAnsi="黑体" w:eastAsia="黑体" w:cs="黑体"/>
          <w:sz w:val="30"/>
          <w:szCs w:val="30"/>
        </w:rPr>
      </w:pPr>
      <w:r>
        <w:rPr>
          <w:rFonts w:hint="eastAsia" w:ascii="黑体" w:hAnsi="黑体" w:eastAsia="黑体" w:cs="黑体"/>
          <w:sz w:val="30"/>
          <w:szCs w:val="30"/>
        </w:rPr>
        <w:t>四、绩效自评结果拟应用和公开情况</w:t>
      </w:r>
    </w:p>
    <w:p>
      <w:pPr>
        <w:snapToGrid w:val="0"/>
        <w:spacing w:line="580" w:lineRule="exact"/>
        <w:ind w:firstLine="600" w:firstLineChars="200"/>
        <w:rPr>
          <w:rFonts w:ascii="仿宋_GB2312"/>
          <w:szCs w:val="32"/>
        </w:rPr>
      </w:pPr>
      <w:r>
        <w:rPr>
          <w:rFonts w:hint="eastAsia" w:ascii="仿宋_GB2312"/>
          <w:szCs w:val="32"/>
        </w:rPr>
        <w:t>项目绩效管理将促进部门增强责任和效益观念，提高财政资金支出管理水平和资金使用效益。</w:t>
      </w:r>
    </w:p>
    <w:p>
      <w:pPr>
        <w:pStyle w:val="3"/>
        <w:spacing w:before="0" w:after="0" w:line="560" w:lineRule="exact"/>
        <w:ind w:firstLine="602" w:firstLineChars="200"/>
        <w:rPr>
          <w:rFonts w:ascii="黑体" w:hAnsi="黑体" w:eastAsia="黑体" w:cs="黑体"/>
          <w:sz w:val="30"/>
          <w:szCs w:val="30"/>
        </w:rPr>
      </w:pPr>
      <w:r>
        <w:rPr>
          <w:rFonts w:hint="eastAsia" w:ascii="黑体" w:hAnsi="黑体" w:eastAsia="黑体" w:cs="黑体"/>
          <w:sz w:val="30"/>
          <w:szCs w:val="30"/>
        </w:rPr>
        <w:t>五、其他需要说明的问题</w:t>
      </w:r>
    </w:p>
    <w:p>
      <w:pPr>
        <w:snapToGrid w:val="0"/>
        <w:spacing w:line="580" w:lineRule="exact"/>
        <w:ind w:firstLine="600" w:firstLineChars="200"/>
      </w:pPr>
      <w:r>
        <w:rPr>
          <w:rFonts w:hint="eastAsia"/>
        </w:rPr>
        <w:t>无。</w:t>
      </w:r>
    </w:p>
    <w:p>
      <w:pPr>
        <w:pStyle w:val="3"/>
        <w:spacing w:before="0" w:after="0" w:line="560" w:lineRule="exact"/>
        <w:ind w:firstLine="602" w:firstLineChars="200"/>
        <w:rPr>
          <w:rFonts w:ascii="黑体" w:hAnsi="黑体" w:eastAsia="黑体" w:cs="黑体"/>
          <w:sz w:val="30"/>
          <w:szCs w:val="30"/>
        </w:rPr>
      </w:pPr>
      <w:r>
        <w:rPr>
          <w:rFonts w:hint="eastAsia" w:ascii="黑体" w:hAnsi="黑体" w:eastAsia="黑体" w:cs="黑体"/>
          <w:sz w:val="30"/>
          <w:szCs w:val="30"/>
        </w:rPr>
        <w:t>六、附件</w:t>
      </w:r>
    </w:p>
    <w:p>
      <w:pPr>
        <w:snapToGrid w:val="0"/>
        <w:spacing w:line="580" w:lineRule="exact"/>
        <w:ind w:firstLine="600" w:firstLineChars="200"/>
        <w:rPr>
          <w:rFonts w:ascii="黑体" w:hAnsi="黑体" w:eastAsia="黑体" w:cs="黑体"/>
          <w:lang w:val="en"/>
        </w:rPr>
      </w:pPr>
      <w:r>
        <w:rPr>
          <w:rFonts w:hint="eastAsia"/>
        </w:rPr>
        <w:t>转移支付区域（项目）绩效自评表</w:t>
      </w:r>
    </w:p>
    <w:sectPr>
      <w:pgSz w:w="11906" w:h="16838"/>
      <w:pgMar w:top="1440" w:right="1800" w:bottom="1440" w:left="1800" w:header="851" w:footer="992" w:gutter="0"/>
      <w:cols w:space="720"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AFF" w:usb1="C0007843" w:usb2="00000009" w:usb3="00000000" w:csb0="400001FF" w:csb1="FFFF0000"/>
  </w:font>
  <w:font w:name="黑体">
    <w:panose1 w:val="02010609060101010101"/>
    <w:charset w:val="86"/>
    <w:family w:val="auto"/>
    <w:pitch w:val="default"/>
    <w:sig w:usb0="800002BF" w:usb1="38CF7CFA" w:usb2="00000016" w:usb3="00000000" w:csb0="00040001" w:csb1="00000000"/>
    <w:embedRegular r:id="rId1" w:fontKey="{C698C2C9-7A99-4A43-9D55-9DE9AF45760A}"/>
  </w:font>
  <w:font w:name="Courier New">
    <w:panose1 w:val="02070309020205020404"/>
    <w:charset w:val="01"/>
    <w:family w:val="modern"/>
    <w:pitch w:val="default"/>
    <w:sig w:usb0="E0002A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00002FF" w:usb1="4000ACFF" w:usb2="00000001" w:usb3="00000000" w:csb0="2000019F" w:csb1="00000000"/>
  </w:font>
  <w:font w:name="仿宋">
    <w:panose1 w:val="02010609060101010101"/>
    <w:charset w:val="86"/>
    <w:family w:val="auto"/>
    <w:pitch w:val="default"/>
    <w:sig w:usb0="800002BF" w:usb1="38CF7CFA" w:usb2="00000016" w:usb3="00000000" w:csb0="00040001" w:csb1="00000000"/>
  </w:font>
  <w:font w:name="仿宋_GB2312">
    <w:altName w:val="仿宋"/>
    <w:panose1 w:val="02010609030101010101"/>
    <w:charset w:val="86"/>
    <w:family w:val="modern"/>
    <w:pitch w:val="default"/>
    <w:sig w:usb0="00000000" w:usb1="00000000" w:usb2="00000010" w:usb3="00000000" w:csb0="00040000" w:csb1="00000000"/>
    <w:embedRegular r:id="rId2" w:fontKey="{CE59571F-9CCC-487F-9A3A-322C159FDBDA}"/>
  </w:font>
  <w:font w:name="Cambria">
    <w:panose1 w:val="02040503050406030204"/>
    <w:charset w:val="00"/>
    <w:family w:val="roman"/>
    <w:pitch w:val="default"/>
    <w:sig w:usb0="E00002FF" w:usb1="400004FF" w:usb2="00000000" w:usb3="00000000" w:csb0="2000019F" w:csb1="00000000"/>
  </w:font>
  <w:font w:name="方正小标宋简体">
    <w:panose1 w:val="02000000000000000000"/>
    <w:charset w:val="86"/>
    <w:family w:val="script"/>
    <w:pitch w:val="default"/>
    <w:sig w:usb0="00000001" w:usb1="080E0000" w:usb2="00000000" w:usb3="00000000" w:csb0="00040000" w:csb1="00000000"/>
    <w:embedRegular r:id="rId3" w:fontKey="{F2A36916-4C8F-4DCF-AEDF-839C6CDD74E6}"/>
  </w:font>
  <w:font w:name="楷体_GB2312">
    <w:altName w:val="楷体"/>
    <w:panose1 w:val="02010609030101010101"/>
    <w:charset w:val="86"/>
    <w:family w:val="modern"/>
    <w:pitch w:val="default"/>
    <w:sig w:usb0="00000000" w:usb1="00000000" w:usb2="00000010" w:usb3="00000000" w:csb0="00040000" w:csb1="00000000"/>
    <w:embedRegular r:id="rId4" w:fontKey="{347B7A7C-09CA-4791-BED2-8A59707BEC8B}"/>
  </w:font>
  <w:font w:name="楷体">
    <w:panose1 w:val="02010609060101010101"/>
    <w:charset w:val="86"/>
    <w:family w:val="auto"/>
    <w:pitch w:val="default"/>
    <w:sig w:usb0="800002BF" w:usb1="38CF7CFA" w:usb2="00000016" w:usb3="00000000" w:csb0="0004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sdt>
    <w:sdtPr>
      <w:id w:val="894708506"/>
      <w:docPartObj>
        <w:docPartGallery w:val="autotext"/>
      </w:docPartObj>
    </w:sdtPr>
    <w:sdtContent>
      <w:p>
        <w:pPr>
          <w:pStyle w:val="6"/>
          <w:jc w:val="center"/>
        </w:pPr>
        <w:r>
          <w:fldChar w:fldCharType="begin"/>
        </w:r>
        <w:r>
          <w:instrText xml:space="preserve">PAGE   \* MERGEFORMAT</w:instrText>
        </w:r>
        <w:r>
          <w:fldChar w:fldCharType="separate"/>
        </w:r>
        <w:r>
          <w:rPr>
            <w:lang w:val="zh-CN"/>
          </w:rPr>
          <w:t>2</w:t>
        </w:r>
        <w:r>
          <w:fldChar w:fldCharType="end"/>
        </w:r>
      </w:p>
    </w:sdtContent>
  </w:sdt>
</w:ft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00"/>
  <w:embedTrueTypeFonts/>
  <w:saveSubsetFonts/>
  <w:documentProtection w:edit="readOnly" w:enforcement="0"/>
  <w:defaultTabStop w:val="420"/>
  <w:drawingGridHorizontalSpacing w:val="150"/>
  <w:drawingGridVerticalSpacing w:val="204"/>
  <w:displayHorizontalDrawingGridEvery w:val="2"/>
  <w:displayVerticalDrawingGridEvery w:val="2"/>
  <w:noPunctuationKerning w:val="1"/>
  <w:characterSpacingControl w:val="compressPunctuation"/>
  <w:compat>
    <w:spaceForUL/>
    <w:balanceSingleByteDoubleByteWidth/>
    <w:doNotLeaveBackslashAlone/>
    <w:ulTrailSpace/>
    <w:doNotExpandShiftReturn/>
    <w:adjustLineHeightInTable/>
    <w:doNotWrapTextWithPunct/>
    <w:doNotUseEastAsianBreakRules/>
    <w:useFELayout/>
    <w:doNotUseIndentAsNumberingTabStop/>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commondata" w:val="eyJoZGlkIjoiYjg2ZTJkMDZkMzRmMjdhMWU1MGYwNjIzMGI3MGYyYTMifQ=="/>
  </w:docVars>
  <w:rsids>
    <w:rsidRoot w:val="00F57F82"/>
    <w:rsid w:val="000101E1"/>
    <w:rsid w:val="000732DA"/>
    <w:rsid w:val="00075CDC"/>
    <w:rsid w:val="000A18D3"/>
    <w:rsid w:val="000A30A9"/>
    <w:rsid w:val="000B1E8F"/>
    <w:rsid w:val="000B6964"/>
    <w:rsid w:val="00103D16"/>
    <w:rsid w:val="00111638"/>
    <w:rsid w:val="00111928"/>
    <w:rsid w:val="0012041C"/>
    <w:rsid w:val="00164D84"/>
    <w:rsid w:val="00173016"/>
    <w:rsid w:val="0017509C"/>
    <w:rsid w:val="001808CA"/>
    <w:rsid w:val="001A4E46"/>
    <w:rsid w:val="001E03FE"/>
    <w:rsid w:val="002123E8"/>
    <w:rsid w:val="00250053"/>
    <w:rsid w:val="0029569C"/>
    <w:rsid w:val="002A5FA7"/>
    <w:rsid w:val="002B3EEF"/>
    <w:rsid w:val="002B54E4"/>
    <w:rsid w:val="002E5562"/>
    <w:rsid w:val="002F6705"/>
    <w:rsid w:val="00301FC0"/>
    <w:rsid w:val="00336102"/>
    <w:rsid w:val="00336A16"/>
    <w:rsid w:val="00340723"/>
    <w:rsid w:val="003663A3"/>
    <w:rsid w:val="00366B62"/>
    <w:rsid w:val="00387DD5"/>
    <w:rsid w:val="003B0980"/>
    <w:rsid w:val="003B1A7B"/>
    <w:rsid w:val="003C6374"/>
    <w:rsid w:val="003D2CB9"/>
    <w:rsid w:val="003E19A4"/>
    <w:rsid w:val="00413F12"/>
    <w:rsid w:val="00493012"/>
    <w:rsid w:val="004D2137"/>
    <w:rsid w:val="00534C80"/>
    <w:rsid w:val="005D0CC1"/>
    <w:rsid w:val="005D1514"/>
    <w:rsid w:val="005D7CC3"/>
    <w:rsid w:val="006218A1"/>
    <w:rsid w:val="00625429"/>
    <w:rsid w:val="00682A10"/>
    <w:rsid w:val="006A30E4"/>
    <w:rsid w:val="006A74BF"/>
    <w:rsid w:val="006C1CEE"/>
    <w:rsid w:val="006D5A86"/>
    <w:rsid w:val="00707C2E"/>
    <w:rsid w:val="00722A7D"/>
    <w:rsid w:val="00724A6B"/>
    <w:rsid w:val="0073331B"/>
    <w:rsid w:val="00733C2D"/>
    <w:rsid w:val="00756C7F"/>
    <w:rsid w:val="007967F0"/>
    <w:rsid w:val="007B18FE"/>
    <w:rsid w:val="007D7E6E"/>
    <w:rsid w:val="00850797"/>
    <w:rsid w:val="00853FC4"/>
    <w:rsid w:val="008720F1"/>
    <w:rsid w:val="00882EFA"/>
    <w:rsid w:val="008B256C"/>
    <w:rsid w:val="008B2F56"/>
    <w:rsid w:val="008F0996"/>
    <w:rsid w:val="00903791"/>
    <w:rsid w:val="0090772E"/>
    <w:rsid w:val="009600BD"/>
    <w:rsid w:val="00961C83"/>
    <w:rsid w:val="009922BC"/>
    <w:rsid w:val="009B2FFA"/>
    <w:rsid w:val="009C3D7F"/>
    <w:rsid w:val="009E0D8C"/>
    <w:rsid w:val="009F26D1"/>
    <w:rsid w:val="00A02AF3"/>
    <w:rsid w:val="00A25077"/>
    <w:rsid w:val="00A610CC"/>
    <w:rsid w:val="00A8737E"/>
    <w:rsid w:val="00AA19AF"/>
    <w:rsid w:val="00B43EC5"/>
    <w:rsid w:val="00BC6882"/>
    <w:rsid w:val="00BD3FE0"/>
    <w:rsid w:val="00BE58CF"/>
    <w:rsid w:val="00C1171E"/>
    <w:rsid w:val="00CA5578"/>
    <w:rsid w:val="00CA7DAA"/>
    <w:rsid w:val="00D04826"/>
    <w:rsid w:val="00D33EEE"/>
    <w:rsid w:val="00D63908"/>
    <w:rsid w:val="00D8718A"/>
    <w:rsid w:val="00D93453"/>
    <w:rsid w:val="00DC49A3"/>
    <w:rsid w:val="00DC524D"/>
    <w:rsid w:val="00E071D6"/>
    <w:rsid w:val="00ED3E0F"/>
    <w:rsid w:val="00F015E4"/>
    <w:rsid w:val="00F361B3"/>
    <w:rsid w:val="00F57F82"/>
    <w:rsid w:val="00F75224"/>
    <w:rsid w:val="00F91EAE"/>
    <w:rsid w:val="00FA086C"/>
    <w:rsid w:val="00FA2093"/>
    <w:rsid w:val="00FA357A"/>
    <w:rsid w:val="037D0BC8"/>
    <w:rsid w:val="0845082D"/>
    <w:rsid w:val="09E965F2"/>
    <w:rsid w:val="0FF7AA4F"/>
    <w:rsid w:val="139840D3"/>
    <w:rsid w:val="143E091F"/>
    <w:rsid w:val="14865FC8"/>
    <w:rsid w:val="150C2DB0"/>
    <w:rsid w:val="1A7D29EA"/>
    <w:rsid w:val="1B5D63F1"/>
    <w:rsid w:val="1D994BCF"/>
    <w:rsid w:val="1E761F05"/>
    <w:rsid w:val="1F7BE1E6"/>
    <w:rsid w:val="1FC7205C"/>
    <w:rsid w:val="228B3D05"/>
    <w:rsid w:val="25F9755F"/>
    <w:rsid w:val="27F45D39"/>
    <w:rsid w:val="284E74F8"/>
    <w:rsid w:val="2ADB48E8"/>
    <w:rsid w:val="36687282"/>
    <w:rsid w:val="367793B2"/>
    <w:rsid w:val="3794FC37"/>
    <w:rsid w:val="38EF7AD8"/>
    <w:rsid w:val="3E1672E6"/>
    <w:rsid w:val="3EB9C2BB"/>
    <w:rsid w:val="3FEF6A07"/>
    <w:rsid w:val="3FFCD4B4"/>
    <w:rsid w:val="415F08D8"/>
    <w:rsid w:val="44E2230F"/>
    <w:rsid w:val="48B51347"/>
    <w:rsid w:val="491B45FA"/>
    <w:rsid w:val="4A55216A"/>
    <w:rsid w:val="4FE0696A"/>
    <w:rsid w:val="546F8569"/>
    <w:rsid w:val="55673508"/>
    <w:rsid w:val="59595A6F"/>
    <w:rsid w:val="597350B8"/>
    <w:rsid w:val="599330CA"/>
    <w:rsid w:val="5A7FCB1F"/>
    <w:rsid w:val="5FEAF7C9"/>
    <w:rsid w:val="60D5009F"/>
    <w:rsid w:val="64AC2E11"/>
    <w:rsid w:val="660721C9"/>
    <w:rsid w:val="661E6C75"/>
    <w:rsid w:val="67F75FF5"/>
    <w:rsid w:val="681D4831"/>
    <w:rsid w:val="692E4B19"/>
    <w:rsid w:val="69513EF7"/>
    <w:rsid w:val="6BF3256F"/>
    <w:rsid w:val="6CE7018A"/>
    <w:rsid w:val="6E3E3F2D"/>
    <w:rsid w:val="715B2F02"/>
    <w:rsid w:val="75BE21DE"/>
    <w:rsid w:val="76A548F2"/>
    <w:rsid w:val="7765772E"/>
    <w:rsid w:val="776F5E62"/>
    <w:rsid w:val="77867685"/>
    <w:rsid w:val="77EE7FE7"/>
    <w:rsid w:val="781F36B6"/>
    <w:rsid w:val="790627AD"/>
    <w:rsid w:val="79DFF8C4"/>
    <w:rsid w:val="7ADC59FA"/>
    <w:rsid w:val="7AFF2FC3"/>
    <w:rsid w:val="7BF6B4C5"/>
    <w:rsid w:val="7DDD794F"/>
    <w:rsid w:val="7DFA6624"/>
    <w:rsid w:val="7DFD8AD7"/>
    <w:rsid w:val="7DFEFB95"/>
    <w:rsid w:val="7ECD6B9A"/>
    <w:rsid w:val="7FBA576D"/>
    <w:rsid w:val="7FDE47D5"/>
    <w:rsid w:val="7FFC7CB2"/>
    <w:rsid w:val="7FFD003D"/>
    <w:rsid w:val="94BFC172"/>
    <w:rsid w:val="9BFA614C"/>
    <w:rsid w:val="AAFDD6AA"/>
    <w:rsid w:val="BAFE1E17"/>
    <w:rsid w:val="BBDF5B5A"/>
    <w:rsid w:val="BBE428C2"/>
    <w:rsid w:val="BFBF52D7"/>
    <w:rsid w:val="D2FF8E00"/>
    <w:rsid w:val="DF6E82F1"/>
    <w:rsid w:val="DFCEE0CE"/>
    <w:rsid w:val="DFFF7077"/>
    <w:rsid w:val="EEBF76D9"/>
    <w:rsid w:val="F36EF6AC"/>
    <w:rsid w:val="F6FDCC0E"/>
    <w:rsid w:val="F767D450"/>
    <w:rsid w:val="F76FB1DB"/>
    <w:rsid w:val="F7FBEBBF"/>
    <w:rsid w:val="F9F3FBF0"/>
    <w:rsid w:val="FB9F8FA2"/>
    <w:rsid w:val="FDB5389F"/>
    <w:rsid w:val="FDFF12BB"/>
    <w:rsid w:val="FFAFB80B"/>
    <w:rsid w:val="FFDF4FA5"/>
    <w:rsid w:val="FFF9F86D"/>
  </w:rsids>
  <m:mathPr>
    <m:mathFont m:val="Cambria Math"/>
    <m:brkBin m:val="before"/>
    <m:brkBinSub m:val="--"/>
    <m:smallFrac m:val="1"/>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宋体" w:cs="Times New Roman"/>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iPriority="0" w:semiHidden="0" w:name="heading 2"/>
    <w:lsdException w:qFormat="1" w:uiPriority="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unhideWhenUsed="0" w:uiPriority="0" w:semiHidden="0" w:name="toc 1"/>
    <w:lsdException w:unhideWhenUsed="0" w:uiPriority="0"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unhideWhenUsed="0" w:uiPriority="0" w:semiHidden="0" w:name="Normal Indent"/>
    <w:lsdException w:unhideWhenUsed="0" w:uiPriority="0" w:semiHidden="0" w:name="footnote text"/>
    <w:lsdException w:unhideWhenUsed="0" w:uiPriority="0" w:semiHidden="0" w:name="annotation text"/>
    <w:lsdException w:qFormat="1" w:unhideWhenUsed="0" w:uiPriority="0" w:semiHidden="0" w:name="header"/>
    <w:lsdException w:qFormat="1" w:unhideWhenUsed="0" w:uiPriority="99"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qFormat="1" w:uiPriority="1" w:name="Default Paragraph Font"/>
    <w:lsdException w:unhideWhenUsed="0" w:uiPriority="0" w:semiHidden="0" w:name="Body Text"/>
    <w:lsdException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unhideWhenUsed="0" w:uiPriority="0"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unhideWhenUsed="0" w:uiPriority="0" w:semiHidden="0" w:name="Plain Text"/>
    <w:lsdException w:unhideWhenUsed="0" w:uiPriority="0" w:semiHidden="0" w:name="E-mail Signature"/>
    <w:lsdException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qFormat="1" w:uiPriority="99" w:name="Normal Table"/>
    <w:lsdException w:unhideWhenUsed="0" w:uiPriority="0" w:semiHidden="0" w:name="annotation subject"/>
    <w:lsdException w:uiPriority="0" w:name="Table Simple 1"/>
    <w:lsdException w:uiPriority="0" w:name="Table Simple 2"/>
    <w:lsdException w:uiPriority="0" w:name="Table Simple 3"/>
    <w:lsdException w:uiPriority="0" w:name="Table Classic 1"/>
    <w:lsdException w:uiPriority="0" w:name="Table Classic 2"/>
    <w:lsdException w:uiPriority="0" w:name="Table Classic 3"/>
    <w:lsdException w:uiPriority="0" w:name="Table Classic 4"/>
    <w:lsdException w:uiPriority="0" w:name="Table Colorful 1"/>
    <w:lsdException w:uiPriority="0" w:name="Table Colorful 2"/>
    <w:lsdException w:uiPriority="0" w:name="Table Colorful 3"/>
    <w:lsdException w:uiPriority="0" w:name="Table Columns 1"/>
    <w:lsdException w:uiPriority="0" w:name="Table Columns 2"/>
    <w:lsdException w:uiPriority="0" w:name="Table Columns 3"/>
    <w:lsdException w:uiPriority="0" w:name="Table Columns 4"/>
    <w:lsdException w:uiPriority="0" w:name="Table Columns 5"/>
    <w:lsdException w:uiPriority="0" w:name="Table Grid 1"/>
    <w:lsdException w:uiPriority="0" w:name="Table Grid 2"/>
    <w:lsdException w:uiPriority="0" w:name="Table Grid 3"/>
    <w:lsdException w:uiPriority="0" w:name="Table Grid 4"/>
    <w:lsdException w:uiPriority="0" w:name="Table Grid 5"/>
    <w:lsdException w:uiPriority="0" w:name="Table Grid 6"/>
    <w:lsdException w:uiPriority="0" w:name="Table Grid 7"/>
    <w:lsdException w:uiPriority="0" w:name="Table Grid 8"/>
    <w:lsdException w:uiPriority="0" w:name="Table List 1"/>
    <w:lsdException w:uiPriority="0" w:name="Table List 2"/>
    <w:lsdException w:uiPriority="0" w:name="Table List 3"/>
    <w:lsdException w:uiPriority="0" w:name="Table List 4"/>
    <w:lsdException w:uiPriority="0" w:name="Table List 5"/>
    <w:lsdException w:uiPriority="0" w:name="Table List 6"/>
    <w:lsdException w:uiPriority="0" w:name="Table List 7"/>
    <w:lsdException w:uiPriority="0" w:name="Table List 8"/>
    <w:lsdException w:uiPriority="0" w:name="Table 3D effects 1"/>
    <w:lsdException w:uiPriority="0" w:name="Table 3D effects 2"/>
    <w:lsdException w:uiPriority="0" w:name="Table 3D effects 3"/>
    <w:lsdException w:uiPriority="0" w:name="Table Contemporary"/>
    <w:lsdException w:uiPriority="0" w:name="Table Elegant"/>
    <w:lsdException w:uiPriority="0" w:name="Table Professional"/>
    <w:lsdException w:uiPriority="0" w:name="Table Subtle 1"/>
    <w:lsdException w:uiPriority="0" w:name="Table Subtle 2"/>
    <w:lsdException w:uiPriority="0" w:name="Table Web 1"/>
    <w:lsdException w:uiPriority="0" w:name="Table Web 2"/>
    <w:lsdException w:uiPriority="0" w:name="Table Web 3"/>
    <w:lsdException w:qFormat="1" w:unhideWhenUsed="0" w:uiPriority="0" w:semiHidden="0" w:name="Balloon Text"/>
    <w:lsdException w:unhideWhenUsed="0" w:uiPriority="0" w:semiHidden="0" w:name="Table Grid"/>
    <w:lsdException w:uiPriority="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next w:val="2"/>
    <w:autoRedefine/>
    <w:qFormat/>
    <w:uiPriority w:val="0"/>
    <w:pPr>
      <w:widowControl w:val="0"/>
      <w:jc w:val="both"/>
    </w:pPr>
    <w:rPr>
      <w:rFonts w:ascii="Times New Roman" w:hAnsi="Times New Roman" w:eastAsia="仿宋_GB2312" w:cs="Times New Roman"/>
      <w:kern w:val="2"/>
      <w:sz w:val="30"/>
      <w:szCs w:val="24"/>
      <w:lang w:val="en-US" w:eastAsia="zh-CN" w:bidi="ar-SA"/>
    </w:rPr>
  </w:style>
  <w:style w:type="paragraph" w:styleId="3">
    <w:name w:val="heading 1"/>
    <w:basedOn w:val="1"/>
    <w:next w:val="1"/>
    <w:link w:val="14"/>
    <w:autoRedefine/>
    <w:qFormat/>
    <w:uiPriority w:val="0"/>
    <w:pPr>
      <w:keepNext/>
      <w:keepLines/>
      <w:spacing w:before="340" w:after="330" w:line="578" w:lineRule="auto"/>
      <w:outlineLvl w:val="0"/>
    </w:pPr>
    <w:rPr>
      <w:b/>
      <w:bCs/>
      <w:kern w:val="44"/>
      <w:sz w:val="44"/>
      <w:szCs w:val="44"/>
    </w:rPr>
  </w:style>
  <w:style w:type="paragraph" w:styleId="4">
    <w:name w:val="heading 2"/>
    <w:basedOn w:val="1"/>
    <w:next w:val="1"/>
    <w:link w:val="13"/>
    <w:autoRedefine/>
    <w:unhideWhenUsed/>
    <w:qFormat/>
    <w:uiPriority w:val="0"/>
    <w:pPr>
      <w:keepNext/>
      <w:keepLines/>
      <w:spacing w:before="260" w:after="260" w:line="416" w:lineRule="auto"/>
      <w:outlineLvl w:val="1"/>
    </w:pPr>
    <w:rPr>
      <w:rFonts w:asciiTheme="majorHAnsi" w:hAnsiTheme="majorHAnsi" w:eastAsiaTheme="majorEastAsia" w:cstheme="majorBidi"/>
      <w:b/>
      <w:bCs/>
      <w:sz w:val="32"/>
      <w:szCs w:val="32"/>
    </w:rPr>
  </w:style>
  <w:style w:type="character" w:default="1" w:styleId="9">
    <w:name w:val="Default Paragraph Font"/>
    <w:autoRedefine/>
    <w:semiHidden/>
    <w:unhideWhenUsed/>
    <w:qFormat/>
    <w:uiPriority w:val="1"/>
  </w:style>
  <w:style w:type="table" w:default="1" w:styleId="8">
    <w:name w:val="Normal Table"/>
    <w:autoRedefine/>
    <w:semiHidden/>
    <w:unhideWhenUsed/>
    <w:qFormat/>
    <w:uiPriority w:val="99"/>
    <w:tblPr>
      <w:tblCellMar>
        <w:top w:w="0" w:type="dxa"/>
        <w:left w:w="108" w:type="dxa"/>
        <w:bottom w:w="0" w:type="dxa"/>
        <w:right w:w="108" w:type="dxa"/>
      </w:tblCellMar>
    </w:tblPr>
  </w:style>
  <w:style w:type="paragraph" w:customStyle="1" w:styleId="2">
    <w:name w:val="正文+缩进"/>
    <w:basedOn w:val="1"/>
    <w:autoRedefine/>
    <w:qFormat/>
    <w:uiPriority w:val="0"/>
    <w:pPr>
      <w:ind w:firstLine="200" w:firstLineChars="200"/>
    </w:pPr>
  </w:style>
  <w:style w:type="paragraph" w:styleId="5">
    <w:name w:val="Balloon Text"/>
    <w:basedOn w:val="1"/>
    <w:link w:val="12"/>
    <w:autoRedefine/>
    <w:qFormat/>
    <w:uiPriority w:val="0"/>
    <w:rPr>
      <w:sz w:val="18"/>
      <w:szCs w:val="18"/>
    </w:rPr>
  </w:style>
  <w:style w:type="paragraph" w:styleId="6">
    <w:name w:val="footer"/>
    <w:basedOn w:val="1"/>
    <w:link w:val="10"/>
    <w:autoRedefine/>
    <w:qFormat/>
    <w:uiPriority w:val="99"/>
    <w:pPr>
      <w:tabs>
        <w:tab w:val="center" w:pos="4153"/>
        <w:tab w:val="right" w:pos="8306"/>
      </w:tabs>
      <w:snapToGrid w:val="0"/>
      <w:jc w:val="left"/>
    </w:pPr>
    <w:rPr>
      <w:sz w:val="18"/>
      <w:szCs w:val="18"/>
    </w:rPr>
  </w:style>
  <w:style w:type="paragraph" w:styleId="7">
    <w:name w:val="header"/>
    <w:basedOn w:val="1"/>
    <w:link w:val="11"/>
    <w:autoRedefine/>
    <w:qFormat/>
    <w:uiPriority w:val="0"/>
    <w:pPr>
      <w:pBdr>
        <w:bottom w:val="single" w:color="auto" w:sz="6" w:space="1"/>
      </w:pBdr>
      <w:tabs>
        <w:tab w:val="center" w:pos="4153"/>
        <w:tab w:val="right" w:pos="8306"/>
      </w:tabs>
      <w:snapToGrid w:val="0"/>
      <w:jc w:val="center"/>
    </w:pPr>
    <w:rPr>
      <w:sz w:val="18"/>
      <w:szCs w:val="18"/>
    </w:rPr>
  </w:style>
  <w:style w:type="character" w:customStyle="1" w:styleId="10">
    <w:name w:val="页脚 字符"/>
    <w:basedOn w:val="9"/>
    <w:link w:val="6"/>
    <w:autoRedefine/>
    <w:qFormat/>
    <w:uiPriority w:val="99"/>
    <w:rPr>
      <w:rFonts w:eastAsia="仿宋_GB2312"/>
      <w:kern w:val="2"/>
      <w:sz w:val="18"/>
      <w:szCs w:val="18"/>
    </w:rPr>
  </w:style>
  <w:style w:type="character" w:customStyle="1" w:styleId="11">
    <w:name w:val="页眉 字符"/>
    <w:basedOn w:val="9"/>
    <w:link w:val="7"/>
    <w:qFormat/>
    <w:uiPriority w:val="0"/>
    <w:rPr>
      <w:rFonts w:eastAsia="仿宋_GB2312"/>
      <w:kern w:val="2"/>
      <w:sz w:val="18"/>
      <w:szCs w:val="18"/>
    </w:rPr>
  </w:style>
  <w:style w:type="character" w:customStyle="1" w:styleId="12">
    <w:name w:val="批注框文本 字符"/>
    <w:basedOn w:val="9"/>
    <w:link w:val="5"/>
    <w:autoRedefine/>
    <w:qFormat/>
    <w:uiPriority w:val="0"/>
    <w:rPr>
      <w:rFonts w:eastAsia="仿宋_GB2312"/>
      <w:kern w:val="2"/>
      <w:sz w:val="18"/>
      <w:szCs w:val="18"/>
    </w:rPr>
  </w:style>
  <w:style w:type="character" w:customStyle="1" w:styleId="13">
    <w:name w:val="标题 2 字符"/>
    <w:basedOn w:val="9"/>
    <w:link w:val="4"/>
    <w:autoRedefine/>
    <w:qFormat/>
    <w:uiPriority w:val="0"/>
    <w:rPr>
      <w:rFonts w:asciiTheme="majorHAnsi" w:hAnsiTheme="majorHAnsi" w:eastAsiaTheme="majorEastAsia" w:cstheme="majorBidi"/>
      <w:b/>
      <w:bCs/>
      <w:kern w:val="2"/>
      <w:sz w:val="32"/>
      <w:szCs w:val="32"/>
    </w:rPr>
  </w:style>
  <w:style w:type="character" w:customStyle="1" w:styleId="14">
    <w:name w:val="标题 1 字符"/>
    <w:basedOn w:val="9"/>
    <w:link w:val="3"/>
    <w:autoRedefine/>
    <w:qFormat/>
    <w:uiPriority w:val="0"/>
    <w:rPr>
      <w:rFonts w:eastAsia="仿宋_GB2312"/>
      <w:b/>
      <w:bCs/>
      <w:kern w:val="44"/>
      <w:sz w:val="44"/>
      <w:szCs w:val="44"/>
    </w:rPr>
  </w:style>
</w:styles>
</file>

<file path=word/_rels/document.xml.rels><?xml version="1.0" encoding="UTF-8" standalone="yes"?>
<Relationships xmlns="http://schemas.openxmlformats.org/package/2006/relationships"><Relationship Id="rId7" Type="http://schemas.openxmlformats.org/officeDocument/2006/relationships/fontTable" Target="fontTable.xml"/><Relationship Id="rId6" Type="http://schemas.openxmlformats.org/officeDocument/2006/relationships/image" Target="media/image2.png"/><Relationship Id="rId5" Type="http://schemas.openxmlformats.org/officeDocument/2006/relationships/image" Target="media/image1.png"/><Relationship Id="rId4" Type="http://schemas.openxmlformats.org/officeDocument/2006/relationships/theme" Target="theme/theme1.xml"/><Relationship Id="rId3" Type="http://schemas.openxmlformats.org/officeDocument/2006/relationships/footer" Target="footer1.xml"/><Relationship Id="rId2" Type="http://schemas.openxmlformats.org/officeDocument/2006/relationships/settings" Target="settings.xml"/><Relationship Id="rId1" Type="http://schemas.openxmlformats.org/officeDocument/2006/relationships/styles" Target="styles.xml"/></Relationships>
</file>

<file path=word/_rels/fontTable.xml.rels><?xml version="1.0" encoding="UTF-8" standalone="yes"?>
<Relationships xmlns="http://schemas.openxmlformats.org/package/2006/relationships"><Relationship Id="rId4" Type="http://schemas.openxmlformats.org/officeDocument/2006/relationships/font" Target="fonts/font4.odttf"/><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s>
</file>

<file path=word/theme/theme1.xml><?xml version="1.0" encoding="utf-8"?>
<a:theme xmlns:a="http://schemas.openxmlformats.org/drawingml/2006/main" name="Office 主题">
  <a:themeElements>
    <a:clrScheme name="Office">
      <a:dk1>
        <a:sysClr val="windowText" lastClr="000000"/>
      </a:dk1>
      <a:lt1>
        <a:sysClr val="window" lastClr="CCE8C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theme>
</file>

<file path=docProps/app.xml><?xml version="1.0" encoding="utf-8"?>
<Properties xmlns="http://schemas.openxmlformats.org/officeDocument/2006/extended-properties" xmlns:vt="http://schemas.openxmlformats.org/officeDocument/2006/docPropsVTypes">
  <Template>Normal.dotm</Template>
  <Company>Microsoft</Company>
  <Pages>8</Pages>
  <Words>450</Words>
  <Characters>2571</Characters>
  <Lines>21</Lines>
  <Paragraphs>6</Paragraphs>
  <TotalTime>42</TotalTime>
  <ScaleCrop>false</ScaleCrop>
  <LinksUpToDate>false</LinksUpToDate>
  <CharactersWithSpaces>3015</CharactersWithSpaces>
  <Application>WPS Office_12.1.0.16412_F1E327BC-269C-435d-A152-05C5408002CA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2019-02-18T14:26:00Z</dcterms:created>
  <dc:creator>lhn</dc:creator>
  <cp:lastModifiedBy>抗战馆财务部</cp:lastModifiedBy>
  <cp:lastPrinted>2023-02-26T01:51:00Z</cp:lastPrinted>
  <dcterms:modified xsi:type="dcterms:W3CDTF">2024-04-03T08:27:38Z</dcterms:modified>
  <dc:title>财政支出绩效评价报告</dc:title>
  <cp:revision>31</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2052-12.1.0.16412</vt:lpwstr>
  </property>
  <property fmtid="{D5CDD505-2E9C-101B-9397-08002B2CF9AE}" pid="3" name="ICV">
    <vt:lpwstr>CCD7597DC14242399B7C01247504440A_13</vt:lpwstr>
  </property>
</Properties>
</file>