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136"/>
        <w:gridCol w:w="287"/>
        <w:gridCol w:w="253"/>
        <w:gridCol w:w="335"/>
        <w:gridCol w:w="345"/>
        <w:gridCol w:w="491"/>
        <w:gridCol w:w="699"/>
      </w:tblGrid>
      <w:tr w:rsidR="00C57830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830" w:rsidRDefault="005F2A4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57830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830" w:rsidRDefault="005F2A4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5783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党建类项目</w:t>
            </w:r>
          </w:p>
        </w:tc>
      </w:tr>
      <w:tr w:rsidR="00C5783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C57830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张旭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63199736</w:t>
            </w:r>
          </w:p>
        </w:tc>
      </w:tr>
      <w:tr w:rsidR="00C57830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5783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5.070000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5.070000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376097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46.87%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4.69</w:t>
            </w:r>
          </w:p>
        </w:tc>
      </w:tr>
      <w:tr w:rsidR="00C5783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5.070000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5.070000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376097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C5783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57830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57830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57830">
        <w:trPr>
          <w:trHeight w:hRule="exact" w:val="186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通过购置学习材料、组织观展观影等方式，推进支部规范化建设，强化党风廉政建设，引导中心党员干部牢固树立“四个意识”，增强“四个自信”，做到“两个维护”，提高党员干部及所有员工廉洁意识和爱党爱国情怀，激发党支部创造力、凝聚力和战斗力，发挥党支部战斗堡垒作用和党员先锋模范作用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全年组织党小组学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次、主题党日活动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次，党员大会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，其中观影参展活动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次、购买《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廉政警钟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》《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习近平关于党风廉政建设和反腐败斗争论述摘编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》等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反腐倡廉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书籍，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推进支部规范化建设，强化党风廉政建设，发挥党支部战斗堡垒作用。</w:t>
            </w:r>
          </w:p>
        </w:tc>
      </w:tr>
      <w:tr w:rsidR="00C57830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F2A46" w:rsidTr="00567FE7">
        <w:trPr>
          <w:trHeight w:val="79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Pr="005F2A46" w:rsidRDefault="005F2A46" w:rsidP="00567FE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活动预算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不超5.07万元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实际支出2.38万元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由于2024年办公楼计划搬迁，建设党建文化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墙工作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未开展，预算执行率偏低。</w:t>
            </w:r>
          </w:p>
        </w:tc>
      </w:tr>
      <w:bookmarkEnd w:id="0"/>
      <w:tr w:rsidR="005F2A46" w:rsidTr="00567FE7">
        <w:trPr>
          <w:trHeight w:val="7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活动次数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≥12次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全年组织爱党爱国活动12次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F2A46" w:rsidTr="00567FE7">
        <w:trPr>
          <w:trHeight w:val="7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主题明确率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全年活动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均主题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明确100%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F2A46" w:rsidTr="00567FE7">
        <w:trPr>
          <w:trHeight w:val="7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font11"/>
                <w:rFonts w:hint="default"/>
                <w:lang w:bidi="ar"/>
              </w:rPr>
              <w:t>活动开展及时性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全年活动均按计划开展，及时性100%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A46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A46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7830">
        <w:trPr>
          <w:trHeight w:hRule="exact" w:val="97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提高员工爱国爱党意识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党员和员工的爱国爱党情怀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显著提升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7830">
        <w:trPr>
          <w:trHeight w:hRule="exact" w:val="11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推进支部规范化建设、强化党风廉政建设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支部规范化建设、强化党风廉政建设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稳步推进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7830">
        <w:trPr>
          <w:trHeight w:hRule="exact" w:val="69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员工满意度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员工满意度达到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7830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5F2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93.69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830" w:rsidRDefault="00C5783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57830" w:rsidRDefault="00C57830"/>
    <w:sectPr w:rsidR="00C57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ODljMDU4ZTA0OThkNDA0ODU3ZmIwYmZjZTZhZDIifQ=="/>
  </w:docVars>
  <w:rsids>
    <w:rsidRoot w:val="78112733"/>
    <w:rsid w:val="002B6B2A"/>
    <w:rsid w:val="004C6C84"/>
    <w:rsid w:val="005F2A46"/>
    <w:rsid w:val="00A9180C"/>
    <w:rsid w:val="00C57830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0EED12D3"/>
    <w:rsid w:val="117C1FCB"/>
    <w:rsid w:val="13CA330C"/>
    <w:rsid w:val="13EC7CD0"/>
    <w:rsid w:val="14D651C5"/>
    <w:rsid w:val="16FC64EB"/>
    <w:rsid w:val="18406C5E"/>
    <w:rsid w:val="187D5329"/>
    <w:rsid w:val="1C462BAA"/>
    <w:rsid w:val="1DF5197B"/>
    <w:rsid w:val="1E3D4808"/>
    <w:rsid w:val="22684718"/>
    <w:rsid w:val="24F05029"/>
    <w:rsid w:val="260733C5"/>
    <w:rsid w:val="26AC2B80"/>
    <w:rsid w:val="28241904"/>
    <w:rsid w:val="28822A4B"/>
    <w:rsid w:val="2A3058DE"/>
    <w:rsid w:val="2DE30251"/>
    <w:rsid w:val="2E1441D6"/>
    <w:rsid w:val="2E4560F5"/>
    <w:rsid w:val="2FA10F19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C684301"/>
    <w:rsid w:val="3E6A6FBB"/>
    <w:rsid w:val="3EF36562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437F7D"/>
    <w:rsid w:val="5DEE7349"/>
    <w:rsid w:val="5F702A21"/>
    <w:rsid w:val="60822ABB"/>
    <w:rsid w:val="62CF753A"/>
    <w:rsid w:val="62E35A7A"/>
    <w:rsid w:val="65D61F4D"/>
    <w:rsid w:val="66BC2B4E"/>
    <w:rsid w:val="67696832"/>
    <w:rsid w:val="677F59D1"/>
    <w:rsid w:val="681C5653"/>
    <w:rsid w:val="6A302436"/>
    <w:rsid w:val="6A3F1ACC"/>
    <w:rsid w:val="6B6757F2"/>
    <w:rsid w:val="6DCA3B30"/>
    <w:rsid w:val="6F7F2187"/>
    <w:rsid w:val="714C3766"/>
    <w:rsid w:val="722F0F15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327907"/>
    <w:rsid w:val="7A5925AE"/>
    <w:rsid w:val="7AF75032"/>
    <w:rsid w:val="7B7D3315"/>
    <w:rsid w:val="7C24736B"/>
    <w:rsid w:val="7CBC0D5A"/>
    <w:rsid w:val="7DA1632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E46D7A-A6F5-4973-A336-9359091A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9385A3FAC42248E0877997F4169D91EE</vt:lpwstr>
  </property>
</Properties>
</file>