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32C" w:rsidRDefault="0026332C" w:rsidP="0026332C">
      <w:pPr>
        <w:spacing w:line="560" w:lineRule="exact"/>
        <w:jc w:val="center"/>
        <w:rPr>
          <w:rFonts w:ascii="方正小标宋简体" w:eastAsia="方正小标宋简体" w:hAnsi="方正小标宋简体" w:cs="方正小标宋简体"/>
          <w:sz w:val="36"/>
          <w:szCs w:val="36"/>
        </w:rPr>
      </w:pPr>
      <w:r w:rsidRPr="007C57A3">
        <w:rPr>
          <w:rFonts w:ascii="方正小标宋简体" w:eastAsia="方正小标宋简体" w:hAnsi="方正小标宋简体" w:cs="方正小标宋简体" w:hint="eastAsia"/>
          <w:sz w:val="36"/>
          <w:szCs w:val="36"/>
        </w:rPr>
        <w:t>中央对北京彩票市场调控资金</w:t>
      </w:r>
      <w:r>
        <w:rPr>
          <w:rFonts w:ascii="方正小标宋简体" w:eastAsia="方正小标宋简体" w:hAnsi="方正小标宋简体" w:cs="方正小标宋简体" w:hint="eastAsia"/>
          <w:sz w:val="36"/>
          <w:szCs w:val="36"/>
        </w:rPr>
        <w:t>转移支付</w:t>
      </w:r>
    </w:p>
    <w:p w:rsidR="0026332C" w:rsidRDefault="0026332C" w:rsidP="0026332C">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26332C" w:rsidRPr="0026332C" w:rsidRDefault="0026332C" w:rsidP="0026332C">
      <w:pPr>
        <w:tabs>
          <w:tab w:val="left" w:pos="7938"/>
        </w:tabs>
        <w:spacing w:line="560" w:lineRule="exact"/>
        <w:rPr>
          <w:rFonts w:eastAsia="仿宋_GB2312"/>
          <w:sz w:val="32"/>
          <w:szCs w:val="32"/>
        </w:rPr>
      </w:pPr>
    </w:p>
    <w:p w:rsidR="0026332C" w:rsidRPr="005F39A1" w:rsidRDefault="005F39A1" w:rsidP="005F39A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r w:rsidR="00285EC1">
        <w:rPr>
          <w:rFonts w:ascii="黑体" w:eastAsia="黑体" w:hAnsi="黑体" w:hint="eastAsia"/>
          <w:sz w:val="32"/>
          <w:szCs w:val="32"/>
        </w:rPr>
        <w:t xml:space="preserve"> </w:t>
      </w:r>
    </w:p>
    <w:p w:rsidR="005F39A1" w:rsidRDefault="005F39A1" w:rsidP="005F39A1">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w:t>
      </w:r>
      <w:r w:rsidRPr="00227B87">
        <w:rPr>
          <w:rFonts w:ascii="楷体_GB2312" w:eastAsia="楷体_GB2312" w:hAnsi="楷体_GB2312" w:cs="楷体_GB2312" w:hint="eastAsia"/>
          <w:sz w:val="32"/>
          <w:szCs w:val="32"/>
        </w:rPr>
        <w:t>彩票市场调控资金</w:t>
      </w:r>
      <w:r>
        <w:rPr>
          <w:rFonts w:ascii="楷体_GB2312" w:eastAsia="楷体_GB2312" w:hAnsi="楷体_GB2312" w:cs="楷体_GB2312" w:hint="eastAsia"/>
          <w:sz w:val="32"/>
          <w:szCs w:val="32"/>
        </w:rPr>
        <w:t>转移支付概况</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2023年北京市彩票市场调控资金实际到位3671.</w:t>
      </w:r>
      <w:r>
        <w:rPr>
          <w:rFonts w:ascii="仿宋_GB2312" w:eastAsia="仿宋_GB2312" w:hAnsi="仿宋"/>
          <w:sz w:val="32"/>
          <w:szCs w:val="32"/>
        </w:rPr>
        <w:t>30</w:t>
      </w:r>
      <w:r>
        <w:rPr>
          <w:rFonts w:ascii="仿宋_GB2312" w:eastAsia="仿宋_GB2312" w:hAnsi="仿宋" w:hint="eastAsia"/>
          <w:sz w:val="32"/>
          <w:szCs w:val="32"/>
        </w:rPr>
        <w:t>万元，其中2023年北京市彩票市场调控资金到位3607</w:t>
      </w:r>
      <w:r>
        <w:rPr>
          <w:rFonts w:ascii="仿宋_GB2312" w:eastAsia="仿宋_GB2312" w:hAnsi="仿宋"/>
          <w:sz w:val="32"/>
          <w:szCs w:val="32"/>
        </w:rPr>
        <w:t>.00</w:t>
      </w:r>
      <w:r>
        <w:rPr>
          <w:rFonts w:ascii="仿宋_GB2312" w:eastAsia="仿宋_GB2312" w:hAnsi="仿宋" w:hint="eastAsia"/>
          <w:sz w:val="32"/>
          <w:szCs w:val="32"/>
        </w:rPr>
        <w:t>万元，2022年结转结余资金到位64.</w:t>
      </w:r>
      <w:r>
        <w:rPr>
          <w:rFonts w:ascii="仿宋_GB2312" w:eastAsia="仿宋_GB2312" w:hAnsi="仿宋"/>
          <w:sz w:val="32"/>
          <w:szCs w:val="32"/>
        </w:rPr>
        <w:t>30</w:t>
      </w:r>
      <w:r>
        <w:rPr>
          <w:rFonts w:ascii="仿宋_GB2312" w:eastAsia="仿宋_GB2312" w:hAnsi="仿宋" w:hint="eastAsia"/>
          <w:sz w:val="32"/>
          <w:szCs w:val="32"/>
        </w:rPr>
        <w:t>万元，用于支持基层彩票销售场所发展、促进彩票市场均衡发展、优化北京地区彩票品种及游戏结构、有效规范彩票市场秩序。</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度彩票市场调控资金分两次下达至市体彩中心。根据《北京市财政局关于批复北京市体育彩票管理中心2023年预算的函》（京财综指〔2023〕224号）文件要求，市财政局下达市体彩中心2023年度彩票市场调控资金3242.00万元，该项资金主要用于采购体育彩票电脑系统终端机、打造客户购彩体验新场景、进一步开拓商业综合体及其他场所体验展示中心、广告投放等方面。</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5月，根据《北京市财政局关于下达北京市体育彩票管理中心2023年彩票市场调控资金的函》（京财综指〔2023〕1131号）文件要求，市财政局下达市体彩中心2023年度彩票市场调控资金365.00万元，该项资金主要用于规范彩票市场秩序、提升彩票销售场所能力、宣传国家彩票公益属性和社会责任等方面。</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2022年彩票市场调控资金结余64.30万元，主要用于采</w:t>
      </w:r>
      <w:r>
        <w:rPr>
          <w:rFonts w:ascii="仿宋_GB2312" w:eastAsia="仿宋_GB2312" w:hAnsi="仿宋" w:hint="eastAsia"/>
          <w:sz w:val="32"/>
          <w:szCs w:val="32"/>
        </w:rPr>
        <w:lastRenderedPageBreak/>
        <w:t>购体育彩票电脑系统终端机以及电视节目广告投放等方面。</w:t>
      </w:r>
    </w:p>
    <w:p w:rsidR="0026332C" w:rsidRDefault="005F39A1" w:rsidP="0026332C">
      <w:pPr>
        <w:spacing w:line="560" w:lineRule="exact"/>
        <w:ind w:firstLineChars="200" w:firstLine="640"/>
        <w:rPr>
          <w:rFonts w:ascii="楷体" w:eastAsia="楷体" w:hAnsi="楷体"/>
          <w:sz w:val="32"/>
          <w:szCs w:val="32"/>
        </w:rPr>
      </w:pPr>
      <w:r>
        <w:rPr>
          <w:rFonts w:ascii="楷体" w:eastAsia="楷体" w:hAnsi="楷体" w:hint="eastAsia"/>
          <w:sz w:val="32"/>
          <w:szCs w:val="32"/>
        </w:rPr>
        <w:t>（二</w:t>
      </w:r>
      <w:r w:rsidR="0026332C">
        <w:rPr>
          <w:rFonts w:ascii="楷体" w:eastAsia="楷体" w:hAnsi="楷体" w:hint="eastAsia"/>
          <w:sz w:val="32"/>
          <w:szCs w:val="32"/>
        </w:rPr>
        <w:t>）资金投入情况分析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1.项目资金到位情况分析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度彩票市场调控资金分两次下达至市体彩中心。根据《北京市财政局关于批复北京市体育彩票管理中心2023年预算的函》（京财综指〔2023〕224号）文件要求，市财政局下达市体彩中心2023年度彩票市场调控资金3242.00万元，该项资金主要用于采购体育彩票电脑系统终端机、打造客户购彩体验新场景、进一步开拓商业综合体及其他场所体验展示中心、广告投放等方面。2023年5月，根据《北京市财政局关于下达北京市体育彩票管理中心2023年彩票市场调控资金的函》（京财综指〔2023〕1131号）文件要求，市财政局下达市体彩中心2023年度彩票市场调控资金365.00万元，该项资金主要用于规范彩票市场秩序、提升彩票销售场所能力、宣传国家彩票公益属性和社会责任等方面。此外，2022年彩票市场调控资金结余64.</w:t>
      </w:r>
      <w:r>
        <w:rPr>
          <w:rFonts w:ascii="仿宋_GB2312" w:eastAsia="仿宋_GB2312" w:hAnsi="仿宋"/>
          <w:sz w:val="32"/>
          <w:szCs w:val="32"/>
        </w:rPr>
        <w:t>30</w:t>
      </w:r>
      <w:r>
        <w:rPr>
          <w:rFonts w:ascii="仿宋_GB2312" w:eastAsia="仿宋_GB2312" w:hAnsi="仿宋" w:hint="eastAsia"/>
          <w:sz w:val="32"/>
          <w:szCs w:val="32"/>
        </w:rPr>
        <w:t>万元，主要用于采购体育彩票电脑系统终端机以及电视节目广告投放等方面。项目资金到位总额3,671.</w:t>
      </w:r>
      <w:r>
        <w:rPr>
          <w:rFonts w:ascii="仿宋_GB2312" w:eastAsia="仿宋_GB2312" w:hAnsi="仿宋"/>
          <w:sz w:val="32"/>
          <w:szCs w:val="32"/>
        </w:rPr>
        <w:t>30</w:t>
      </w:r>
      <w:r>
        <w:rPr>
          <w:rFonts w:ascii="仿宋_GB2312" w:eastAsia="仿宋_GB2312" w:hAnsi="仿宋" w:hint="eastAsia"/>
          <w:sz w:val="32"/>
          <w:szCs w:val="32"/>
        </w:rPr>
        <w:t>万元。</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2.项目资金执行情况分析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市体彩中心2023年度彩票市场调控资金预算拨付金额3607.00万元，实际执行金额2230.09万元，年末结转结余1376.91万元，预算执行比率61.83%。使用项目分别为：</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（1）展示体验中心建设项目预算金额621.00万元，执行金额455.31万元，预算执行比率73.32%；</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（2）商业综合体建设（第二期）项目预算金额99.00万元，执行金额87.29万元，预算执行比率88.17%；</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（3）实体店形象建设和维护项目预算金额700.00万元，执行金额0.00万元，预算执行比率0.00%；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（4）实体店奖池公告项目预算金额324.00万元，执行金额127.72万元，预算执行比率39.42%；</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（5）公交电视广告项目预算金额300.00万元，执行金额300.00万元，预算执行比率100%;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（6）电台广播广告项目预算金额250.00万元，执行金额250.00万元，预算执行比率100%；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（7）户外大屏广告项目预算金额300.00万元，执行金额288.00万元，预算执行比率96.00%;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（8）地铁灯箱广告项目预算金额223.00万元，执行金额217.03万元，预算执行比率97.32%；</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（9）OTV广告项目预算金额200.00万元，执行金额180.00万元，预算执行比率90.00%；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（10）体育彩票电脑系统终端机项目预算金额225.00万元，执行金额224.99万元，预算执行比率100%;</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（11）体彩进社区项目预算金额150.00万元，执行金额0.00万元，预算执行比率0.00%。</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（12）棋类赛事推广项目预算金额80.00万元，执行金额79.80万元，预算执行比率99.75%;</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（13）公益体彩百姓身边活动项目预算金额115.00万元，执行金额0.00万元，预算执行比率0.00%；</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（14）非理性购彩预防宣传项目预算金额20.00万元，</w:t>
      </w:r>
      <w:r>
        <w:rPr>
          <w:rFonts w:ascii="仿宋_GB2312" w:eastAsia="仿宋_GB2312" w:hAnsi="仿宋" w:hint="eastAsia"/>
          <w:sz w:val="32"/>
          <w:szCs w:val="32"/>
        </w:rPr>
        <w:lastRenderedPageBreak/>
        <w:t>执行金额19.95万元，预算执行比率99.75%。</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此外，市体彩中心结转使用2022年度彩票市场调控资金预算拨付金额64.</w:t>
      </w:r>
      <w:r>
        <w:rPr>
          <w:rFonts w:ascii="仿宋_GB2312" w:eastAsia="仿宋_GB2312" w:hAnsi="仿宋"/>
          <w:sz w:val="32"/>
          <w:szCs w:val="32"/>
        </w:rPr>
        <w:t>30</w:t>
      </w:r>
      <w:r>
        <w:rPr>
          <w:rFonts w:ascii="仿宋_GB2312" w:eastAsia="仿宋_GB2312" w:hAnsi="仿宋" w:hint="eastAsia"/>
          <w:sz w:val="32"/>
          <w:szCs w:val="32"/>
        </w:rPr>
        <w:t>万元，实际执行金额64.12万元，年末结余0.1</w:t>
      </w:r>
      <w:r>
        <w:rPr>
          <w:rFonts w:ascii="仿宋_GB2312" w:eastAsia="仿宋_GB2312" w:hAnsi="仿宋"/>
          <w:sz w:val="32"/>
          <w:szCs w:val="32"/>
        </w:rPr>
        <w:t>8</w:t>
      </w:r>
      <w:r>
        <w:rPr>
          <w:rFonts w:ascii="仿宋_GB2312" w:eastAsia="仿宋_GB2312" w:hAnsi="仿宋" w:hint="eastAsia"/>
          <w:sz w:val="32"/>
          <w:szCs w:val="32"/>
        </w:rPr>
        <w:t>万元，预算执行比率99.72%。使用项目分别为：</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（1）体育彩票电脑系统终端机项目预算金额3.90万元，执行金额3.90万元，预算执行比率100%;</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（2）广告投放项目预算金额60.22万元，执行金额60.22元，预算执行比率100%；</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（3）专家劳务费项目预算金额0.18万元，执行金额0.00万元，预算执行比率0.00%。</w:t>
      </w:r>
    </w:p>
    <w:p w:rsidR="0026332C" w:rsidRDefault="0026332C" w:rsidP="0026332C">
      <w:pPr>
        <w:spacing w:line="550" w:lineRule="exact"/>
        <w:ind w:firstLineChars="200" w:firstLine="640"/>
        <w:rPr>
          <w:rFonts w:ascii="楷体" w:eastAsia="楷体" w:hAnsi="楷体"/>
          <w:sz w:val="32"/>
          <w:szCs w:val="32"/>
        </w:rPr>
      </w:pPr>
      <w:r>
        <w:rPr>
          <w:rFonts w:ascii="楷体" w:eastAsia="楷体" w:hAnsi="楷体" w:hint="eastAsia"/>
          <w:sz w:val="32"/>
          <w:szCs w:val="32"/>
        </w:rPr>
        <w:t>（</w:t>
      </w:r>
      <w:r w:rsidR="005F39A1">
        <w:rPr>
          <w:rFonts w:ascii="楷体" w:eastAsia="楷体" w:hAnsi="楷体" w:hint="eastAsia"/>
          <w:sz w:val="32"/>
          <w:szCs w:val="32"/>
        </w:rPr>
        <w:t>三）</w:t>
      </w:r>
      <w:r>
        <w:rPr>
          <w:rFonts w:ascii="楷体" w:eastAsia="楷体" w:hAnsi="楷体" w:hint="eastAsia"/>
          <w:sz w:val="32"/>
          <w:szCs w:val="32"/>
        </w:rPr>
        <w:t>资金管理情况分析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彩票市场调控资金为财政预算内资金，市体彩中心严格遵照北京市财政局批复的预算金额、科目、用途执行；严格按照《政府采购法》及相关财务管理规定管理和使用资金。资金管理严格遵守中心财务管理制度和预算支出管理的相关要求，严格履行中心的内控流程，各类款项的拨付手续规范，做到了专款专用，符合项目预算和合同规定的用途，无截留、挤占、挪用、虚列支出情况。</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彩票市场调控资金与部门预算一并开展全过程预算绩效管理，包括项目立项环节预算评审，项目事前绩效评估，2023年度中期开展绩效运行监控工作，2024年开展项目绩效自评工作。</w:t>
      </w:r>
    </w:p>
    <w:p w:rsidR="005F39A1" w:rsidRPr="005F39A1" w:rsidRDefault="005F39A1" w:rsidP="005F39A1">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二、绩效目标实现情况</w:t>
      </w:r>
    </w:p>
    <w:p w:rsidR="0026332C" w:rsidRDefault="0026332C" w:rsidP="0026332C">
      <w:pPr>
        <w:spacing w:line="560" w:lineRule="exact"/>
        <w:ind w:firstLineChars="200" w:firstLine="640"/>
        <w:rPr>
          <w:rFonts w:ascii="楷体" w:eastAsia="楷体" w:hAnsi="楷体"/>
          <w:sz w:val="32"/>
          <w:szCs w:val="32"/>
        </w:rPr>
      </w:pPr>
      <w:r>
        <w:rPr>
          <w:rFonts w:ascii="楷体" w:eastAsia="楷体" w:hAnsi="楷体" w:hint="eastAsia"/>
          <w:sz w:val="32"/>
          <w:szCs w:val="32"/>
        </w:rPr>
        <w:t>（</w:t>
      </w:r>
      <w:r w:rsidR="005F39A1">
        <w:rPr>
          <w:rFonts w:ascii="楷体" w:eastAsia="楷体" w:hAnsi="楷体" w:hint="eastAsia"/>
          <w:sz w:val="32"/>
          <w:szCs w:val="32"/>
        </w:rPr>
        <w:t>一</w:t>
      </w:r>
      <w:r>
        <w:rPr>
          <w:rFonts w:ascii="楷体" w:eastAsia="楷体" w:hAnsi="楷体" w:hint="eastAsia"/>
          <w:sz w:val="32"/>
          <w:szCs w:val="32"/>
        </w:rPr>
        <w:t>）总体绩效目标完成情况分析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1.2022年结转使用资金完成情况</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2022年结转结余资金64.30万元，主要用于两项工作，一是采购传统终端机（双屏）2台，配套客显装置5套，设备验收入库时间为2023年2月16日，产品质量合格率为100%。为销售机构日常业务开展提供了重要基础设备保障，网点销售业务效率得到显著提升，采购任务完成率100%；二是投放电视节目广告，拍摄制作2023年体彩追梦人电视宣传片1个，为15位追梦人拍摄人物形象宣传片各1个，总时长不少于60分钟，并在北京电视台体育休闲频道节目中播放宣传片不少于2次。截至2023年12月31日，相关内容策划制作工作已完成，根据国家体育总局体育彩票管理中心“体彩追梦人”工作统一要求，安排后续播出。</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2.2023年资金总体目标完成情况</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（1）完成彩票销售终端机采购与更新，为基层彩票销售场所发展提供有力硬件支持。</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通过一系列宣传促销活动，线上、地铁灯箱、户外大屏等广告投放，展示体育彩票的社会责任及公益属性，提升品牌知名度及美誉度，选择多渠道进行广告投放，为支持体育及社会公益事业发展筹集更多的体彩公益金。</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开拓商业综合体或其他场所体验展示中心，实现渠道多业态布局、优化渠道结构、扩大购彩群体；为进一步促进体彩行业规范化，打造良好的品牌形象，采购实体店形象建设和维护服务，实现实体店形象的有效提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（4）通过开展非理性购彩预防宣传、棋类赛事推广等活动，展示体育彩票品牌理念，助力实现中国体彩彩票“负责</w:t>
      </w:r>
      <w:r>
        <w:rPr>
          <w:rFonts w:ascii="仿宋_GB2312" w:eastAsia="仿宋_GB2312" w:hAnsi="仿宋" w:hint="eastAsia"/>
          <w:sz w:val="32"/>
          <w:szCs w:val="32"/>
        </w:rPr>
        <w:lastRenderedPageBreak/>
        <w:t>任、可信赖、高质量发展的国家公益彩票”发展战略。</w:t>
      </w:r>
    </w:p>
    <w:p w:rsidR="0026332C" w:rsidRDefault="005F39A1" w:rsidP="0026332C">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（二</w:t>
      </w:r>
      <w:r w:rsidR="0026332C">
        <w:rPr>
          <w:rFonts w:ascii="仿宋_GB2312" w:eastAsia="仿宋_GB2312" w:hAnsi="楷体" w:hint="eastAsia"/>
          <w:sz w:val="32"/>
          <w:szCs w:val="32"/>
        </w:rPr>
        <w:t>）</w:t>
      </w:r>
      <w:r w:rsidRPr="005F39A1">
        <w:rPr>
          <w:rFonts w:ascii="仿宋_GB2312" w:eastAsia="仿宋_GB2312" w:hAnsi="楷体" w:hint="eastAsia"/>
          <w:sz w:val="32"/>
          <w:szCs w:val="32"/>
        </w:rPr>
        <w:t>绩效指标</w:t>
      </w:r>
      <w:r w:rsidR="0026332C" w:rsidRPr="005F39A1">
        <w:rPr>
          <w:rFonts w:ascii="仿宋_GB2312" w:eastAsia="仿宋_GB2312" w:hAnsi="楷体" w:hint="eastAsia"/>
          <w:sz w:val="32"/>
          <w:szCs w:val="32"/>
        </w:rPr>
        <w:t>完成情况分析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1.产出指标完成情况分析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（1）数量指标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①彩票销售额</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2023年北京市彩票销售额达108.24亿元，是上年销售额72.88亿元的148.52%。</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②投注终端数量</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2023年北京市投注终端机数量3889台，是上年投注终端机数量3284台的118.42%。</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③彩票销售场所数量</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2023年本市彩票销售场所3782家，是上年销售场所数量3080的122.79%。</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④彩票品种数量</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北京体彩在售彩票品种共计4种，包括：数字型（排列3、排列5、七星彩）、乐透型（超级大乐透）、竞猜型（足彩胜平负、任选9场、足球4场进球、足球6场半全场胜平负、足球单场竞猜、单场胜负过关、竞彩）、即开型。</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（2）质量指标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①延时开奖等彩票销售安全事故发生率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2023年北京市全年彩票销售业务有序正常开展，未发生延时开奖等彩票销售安全事故发生率。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②项目按期完成率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项目按期完成率100%。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③项目验收合格率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项目验收合格率100%。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（3）时效指标</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开设、调整、停止彩票游戏前向社会发布公告及时率100%。</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2.效益指标完成情况分析</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）社会效益</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①彩票公益金筹集量</w:t>
      </w:r>
    </w:p>
    <w:p w:rsidR="0026332C" w:rsidRDefault="0026332C" w:rsidP="0026332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2023年共筹集公益金26.02亿元，同比增长43.20%（2022年为18.17亿元）。其中中央公益金12.87亿元，同比增长42.84%（2022年9.01亿元），市级筹集彩票公益金13.15亿元，同比增长43.40%（2022年9.17亿元）。</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②国家彩票公益属性和社会责任宣传力度</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国家彩票公益属性和社会责任宣传力度逐步提升，有效提升了超级大乐透、7星彩等玩法社会知晓度；通过电台广播、户外广告、地铁灯箱广告、楼宇广告、OTV广告发布体育彩票相关宣传内容，增加体彩各类产品品牌曝光度、美誉度。通过开展活动宣传推广工作，树立体育彩票公益、公信的品牌形象，树立体彩品牌“公益、健康、乐活、进取”的统一形象。</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③有效维护市场秩序</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2023年北京体彩整体市场秩序良好，彩票销售安全有序进行。市体彩中心全年多次组织并开展各类安全合规销售检查，包括渠道合规风险识别门店风险核查、实体店合规销售专项治理清查、竞猜游戏安全合规检查等。中心依据《彩票</w:t>
      </w:r>
      <w:r>
        <w:rPr>
          <w:rFonts w:ascii="仿宋_GB2312" w:eastAsia="仿宋_GB2312" w:hAnsi="仿宋" w:hint="eastAsia"/>
          <w:sz w:val="32"/>
          <w:szCs w:val="32"/>
        </w:rPr>
        <w:lastRenderedPageBreak/>
        <w:t>管理条例》《彩票管理实施细则》及《代销合同》，对问题实体店给予相应处理，情节严重的取消代销资格，列入黑名单，有效维护了北京市体育彩票市场秩序。</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④购彩便利性和舒适性</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通过渠道实体店的软硬件升级运维，彩民的购彩便利性和舒适性显著提升。</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3.满意度指标完成情况分析</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我中心对市场调控资金使用项目开展满意度调研，综合满意度为9</w:t>
      </w:r>
      <w:r>
        <w:rPr>
          <w:rFonts w:ascii="仿宋_GB2312" w:eastAsia="仿宋_GB2312" w:hAnsi="仿宋"/>
          <w:sz w:val="32"/>
          <w:szCs w:val="32"/>
        </w:rPr>
        <w:t>0</w:t>
      </w:r>
      <w:r>
        <w:rPr>
          <w:rFonts w:ascii="仿宋_GB2312" w:eastAsia="仿宋_GB2312" w:hAnsi="仿宋" w:hint="eastAsia"/>
          <w:sz w:val="32"/>
          <w:szCs w:val="32"/>
        </w:rPr>
        <w:t>%。</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①彩民满意度</w:t>
      </w:r>
    </w:p>
    <w:p w:rsidR="0026332C" w:rsidRDefault="0026332C" w:rsidP="0026332C">
      <w:pPr>
        <w:spacing w:line="550" w:lineRule="exact"/>
        <w:ind w:firstLineChars="200" w:firstLine="640"/>
        <w:rPr>
          <w:rFonts w:ascii="仿宋_GB2312" w:eastAsia="仿宋_GB2312" w:hAnsi="仿宋"/>
          <w:sz w:val="32"/>
          <w:szCs w:val="32"/>
        </w:rPr>
      </w:pPr>
      <w:r>
        <w:rPr>
          <w:rFonts w:ascii="仿宋_GB2312" w:eastAsia="仿宋_GB2312" w:hAnsi="仿宋" w:hint="eastAsia"/>
          <w:sz w:val="32"/>
          <w:szCs w:val="32"/>
        </w:rPr>
        <w:t>彩民对北京市体育彩票事业满意度为90%。</w:t>
      </w:r>
    </w:p>
    <w:p w:rsidR="00285EC1" w:rsidRDefault="00285EC1" w:rsidP="00285EC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285EC1" w:rsidRDefault="00285EC1" w:rsidP="00285EC1">
      <w:pPr>
        <w:spacing w:line="560" w:lineRule="exact"/>
        <w:ind w:firstLineChars="200" w:firstLine="640"/>
        <w:rPr>
          <w:rFonts w:ascii="仿宋_GB2312" w:eastAsia="仿宋_GB2312" w:hAnsi="仿宋"/>
          <w:sz w:val="32"/>
          <w:szCs w:val="32"/>
        </w:rPr>
      </w:pPr>
      <w:r w:rsidRPr="00FE2267">
        <w:rPr>
          <w:rFonts w:ascii="仿宋_GB2312" w:eastAsia="仿宋_GB2312" w:hAnsi="仿宋" w:hint="eastAsia"/>
          <w:sz w:val="32"/>
          <w:szCs w:val="32"/>
        </w:rPr>
        <w:t>市体彩中心按照《彩票市场调控资金管理办法》（财综〔2021〕17号）的要求，将彩票市场调控资金主要用于</w:t>
      </w:r>
      <w:r w:rsidR="005F39A1" w:rsidRPr="00FE2267">
        <w:rPr>
          <w:rFonts w:ascii="仿宋_GB2312" w:eastAsia="仿宋_GB2312" w:hAnsi="仿宋" w:hint="eastAsia"/>
          <w:sz w:val="32"/>
          <w:szCs w:val="32"/>
        </w:rPr>
        <w:t>改善彩票业务设施</w:t>
      </w:r>
      <w:r w:rsidR="00FE2267" w:rsidRPr="00FE2267">
        <w:rPr>
          <w:rFonts w:ascii="仿宋_GB2312" w:eastAsia="仿宋_GB2312" w:hAnsi="仿宋" w:hint="eastAsia"/>
          <w:sz w:val="32"/>
          <w:szCs w:val="32"/>
        </w:rPr>
        <w:t>、</w:t>
      </w:r>
      <w:r w:rsidR="00FE2267" w:rsidRPr="00FE2267">
        <w:rPr>
          <w:rFonts w:ascii="仿宋_GB2312" w:eastAsia="仿宋_GB2312" w:hAnsi="仿宋" w:hint="eastAsia"/>
          <w:sz w:val="32"/>
          <w:szCs w:val="32"/>
        </w:rPr>
        <w:t>宣传国家彩票公益属性和社会责任</w:t>
      </w:r>
      <w:r w:rsidRPr="00FE2267">
        <w:rPr>
          <w:rFonts w:ascii="仿宋_GB2312" w:eastAsia="仿宋_GB2312" w:hAnsi="仿宋" w:hint="eastAsia"/>
          <w:sz w:val="32"/>
          <w:szCs w:val="32"/>
        </w:rPr>
        <w:t>等方面，项目资金无截留、挤占、挪用</w:t>
      </w:r>
      <w:r w:rsidR="00FE2267" w:rsidRPr="00FE2267">
        <w:rPr>
          <w:rFonts w:ascii="仿宋_GB2312" w:eastAsia="仿宋_GB2312" w:hAnsi="仿宋" w:hint="eastAsia"/>
          <w:sz w:val="32"/>
          <w:szCs w:val="32"/>
        </w:rPr>
        <w:t>、虚列</w:t>
      </w:r>
      <w:bookmarkStart w:id="0" w:name="_GoBack"/>
      <w:bookmarkEnd w:id="0"/>
      <w:r w:rsidR="00FE2267" w:rsidRPr="00FE2267">
        <w:rPr>
          <w:rFonts w:ascii="仿宋_GB2312" w:eastAsia="仿宋_GB2312" w:hAnsi="仿宋" w:hint="eastAsia"/>
          <w:sz w:val="32"/>
          <w:szCs w:val="32"/>
        </w:rPr>
        <w:t>支出情况，项目绩效目标未出现偏离情况。通过本项目的实施，</w:t>
      </w:r>
      <w:r w:rsidR="00FE2267" w:rsidRPr="00FE2267">
        <w:rPr>
          <w:rFonts w:ascii="仿宋_GB2312" w:eastAsia="仿宋_GB2312" w:hAnsi="仿宋" w:hint="eastAsia"/>
          <w:sz w:val="32"/>
          <w:szCs w:val="32"/>
        </w:rPr>
        <w:t>实现</w:t>
      </w:r>
      <w:r w:rsidR="00FE2267" w:rsidRPr="00FE2267">
        <w:rPr>
          <w:rFonts w:ascii="仿宋_GB2312" w:eastAsia="仿宋_GB2312" w:hAnsi="仿宋" w:hint="eastAsia"/>
          <w:sz w:val="32"/>
          <w:szCs w:val="32"/>
        </w:rPr>
        <w:t>了</w:t>
      </w:r>
      <w:r w:rsidR="00FE2267" w:rsidRPr="00FE2267">
        <w:rPr>
          <w:rFonts w:ascii="仿宋_GB2312" w:eastAsia="仿宋_GB2312" w:hAnsi="仿宋" w:hint="eastAsia"/>
          <w:sz w:val="32"/>
          <w:szCs w:val="32"/>
        </w:rPr>
        <w:t>新旧销售系统之间的切换和数据互通，确保</w:t>
      </w:r>
      <w:r w:rsidR="00FE2267" w:rsidRPr="00FE2267">
        <w:rPr>
          <w:rFonts w:ascii="仿宋_GB2312" w:eastAsia="仿宋_GB2312" w:hAnsi="仿宋" w:hint="eastAsia"/>
          <w:sz w:val="32"/>
          <w:szCs w:val="32"/>
        </w:rPr>
        <w:t>了</w:t>
      </w:r>
      <w:r w:rsidR="00FE2267" w:rsidRPr="00FE2267">
        <w:rPr>
          <w:rFonts w:ascii="仿宋_GB2312" w:eastAsia="仿宋_GB2312" w:hAnsi="仿宋" w:hint="eastAsia"/>
          <w:sz w:val="32"/>
          <w:szCs w:val="32"/>
        </w:rPr>
        <w:t>系统平滑切换和稳定运行</w:t>
      </w:r>
      <w:r w:rsidR="00FE2267" w:rsidRPr="00FE2267">
        <w:rPr>
          <w:rFonts w:ascii="仿宋_GB2312" w:eastAsia="仿宋_GB2312" w:hAnsi="仿宋" w:hint="eastAsia"/>
          <w:sz w:val="32"/>
          <w:szCs w:val="32"/>
        </w:rPr>
        <w:t>，</w:t>
      </w:r>
      <w:r w:rsidR="00FE2267" w:rsidRPr="00FE2267">
        <w:rPr>
          <w:rFonts w:ascii="仿宋_GB2312" w:eastAsia="仿宋_GB2312" w:hAnsi="仿宋" w:hint="eastAsia"/>
          <w:sz w:val="32"/>
          <w:szCs w:val="32"/>
        </w:rPr>
        <w:t>加大</w:t>
      </w:r>
      <w:r w:rsidR="00FE2267" w:rsidRPr="00FE2267">
        <w:rPr>
          <w:rFonts w:ascii="仿宋_GB2312" w:eastAsia="仿宋_GB2312" w:hAnsi="仿宋" w:hint="eastAsia"/>
          <w:sz w:val="32"/>
          <w:szCs w:val="32"/>
        </w:rPr>
        <w:t>了</w:t>
      </w:r>
      <w:r w:rsidR="00FE2267" w:rsidRPr="00FE2267">
        <w:rPr>
          <w:rFonts w:ascii="仿宋_GB2312" w:eastAsia="仿宋_GB2312" w:hAnsi="仿宋" w:hint="eastAsia"/>
          <w:sz w:val="32"/>
          <w:szCs w:val="32"/>
        </w:rPr>
        <w:t>公益宣传力度，树立</w:t>
      </w:r>
      <w:r w:rsidR="00FE2267" w:rsidRPr="00FE2267">
        <w:rPr>
          <w:rFonts w:ascii="仿宋_GB2312" w:eastAsia="仿宋_GB2312" w:hAnsi="仿宋" w:hint="eastAsia"/>
          <w:sz w:val="32"/>
          <w:szCs w:val="32"/>
        </w:rPr>
        <w:t>了</w:t>
      </w:r>
      <w:r w:rsidR="00FE2267" w:rsidRPr="00FE2267">
        <w:rPr>
          <w:rFonts w:ascii="仿宋_GB2312" w:eastAsia="仿宋_GB2312" w:hAnsi="仿宋" w:hint="eastAsia"/>
          <w:sz w:val="32"/>
          <w:szCs w:val="32"/>
        </w:rPr>
        <w:t>彩票公益形象，强化提升</w:t>
      </w:r>
      <w:r w:rsidR="00FE2267" w:rsidRPr="00FE2267">
        <w:rPr>
          <w:rFonts w:ascii="仿宋_GB2312" w:eastAsia="仿宋_GB2312" w:hAnsi="仿宋" w:hint="eastAsia"/>
          <w:sz w:val="32"/>
          <w:szCs w:val="32"/>
        </w:rPr>
        <w:t>了</w:t>
      </w:r>
      <w:r w:rsidR="00FE2267" w:rsidRPr="00FE2267">
        <w:rPr>
          <w:rFonts w:ascii="仿宋_GB2312" w:eastAsia="仿宋_GB2312" w:hAnsi="仿宋" w:hint="eastAsia"/>
          <w:sz w:val="32"/>
          <w:szCs w:val="32"/>
        </w:rPr>
        <w:t>彩票公益属性和社会责任</w:t>
      </w:r>
      <w:r w:rsidRPr="00FE2267">
        <w:rPr>
          <w:rFonts w:ascii="仿宋_GB2312" w:eastAsia="仿宋_GB2312" w:hAnsi="仿宋" w:hint="eastAsia"/>
          <w:sz w:val="32"/>
          <w:szCs w:val="32"/>
        </w:rPr>
        <w:t>。</w:t>
      </w:r>
    </w:p>
    <w:p w:rsidR="005F39A1" w:rsidRPr="00FE2267" w:rsidRDefault="005F39A1" w:rsidP="00285EC1">
      <w:pPr>
        <w:spacing w:line="560" w:lineRule="exact"/>
        <w:ind w:firstLineChars="200" w:firstLine="640"/>
        <w:rPr>
          <w:rFonts w:ascii="仿宋_GB2312" w:eastAsia="仿宋_GB2312" w:hAnsi="仿宋"/>
          <w:sz w:val="32"/>
          <w:szCs w:val="32"/>
        </w:rPr>
      </w:pPr>
    </w:p>
    <w:p w:rsidR="009B5B18" w:rsidRDefault="009B5B18" w:rsidP="0026332C">
      <w:pPr>
        <w:jc w:val="right"/>
      </w:pPr>
    </w:p>
    <w:sectPr w:rsidR="009B5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6B5" w:rsidRDefault="00AE66B5" w:rsidP="0026332C">
      <w:r>
        <w:separator/>
      </w:r>
    </w:p>
  </w:endnote>
  <w:endnote w:type="continuationSeparator" w:id="0">
    <w:p w:rsidR="00AE66B5" w:rsidRDefault="00AE66B5" w:rsidP="0026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6B5" w:rsidRDefault="00AE66B5" w:rsidP="0026332C">
      <w:r>
        <w:separator/>
      </w:r>
    </w:p>
  </w:footnote>
  <w:footnote w:type="continuationSeparator" w:id="0">
    <w:p w:rsidR="00AE66B5" w:rsidRDefault="00AE66B5" w:rsidP="00263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B1A"/>
    <w:rsid w:val="00157DC5"/>
    <w:rsid w:val="0026332C"/>
    <w:rsid w:val="00285EC1"/>
    <w:rsid w:val="005B5C48"/>
    <w:rsid w:val="005F39A1"/>
    <w:rsid w:val="00653B1A"/>
    <w:rsid w:val="009B5B18"/>
    <w:rsid w:val="00AE66B5"/>
    <w:rsid w:val="00BA027D"/>
    <w:rsid w:val="00FE2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D0D8C"/>
  <w15:chartTrackingRefBased/>
  <w15:docId w15:val="{29036AD1-8563-46CA-AAAB-E3A26F717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32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332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6332C"/>
    <w:rPr>
      <w:sz w:val="18"/>
      <w:szCs w:val="18"/>
    </w:rPr>
  </w:style>
  <w:style w:type="paragraph" w:styleId="a5">
    <w:name w:val="footer"/>
    <w:basedOn w:val="a"/>
    <w:link w:val="a6"/>
    <w:uiPriority w:val="99"/>
    <w:unhideWhenUsed/>
    <w:rsid w:val="0026332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6332C"/>
    <w:rPr>
      <w:sz w:val="18"/>
      <w:szCs w:val="18"/>
    </w:rPr>
  </w:style>
  <w:style w:type="paragraph" w:styleId="a7">
    <w:name w:val="List Paragraph"/>
    <w:basedOn w:val="a"/>
    <w:uiPriority w:val="34"/>
    <w:qFormat/>
    <w:rsid w:val="00285EC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643</Words>
  <Characters>3666</Characters>
  <Application>Microsoft Office Word</Application>
  <DocSecurity>0</DocSecurity>
  <Lines>30</Lines>
  <Paragraphs>8</Paragraphs>
  <ScaleCrop>false</ScaleCrop>
  <Company>Lenovo</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2024-06-07T04:32:00Z</dcterms:created>
  <dcterms:modified xsi:type="dcterms:W3CDTF">2024-06-07T07:47:00Z</dcterms:modified>
</cp:coreProperties>
</file>