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650" w:rsidRDefault="00847650" w:rsidP="00847650">
      <w:pPr>
        <w:jc w:val="center"/>
        <w:rPr>
          <w:rFonts w:ascii="黑体" w:eastAsia="黑体" w:hAnsi="黑体" w:cs="黑体"/>
          <w:sz w:val="36"/>
          <w:szCs w:val="36"/>
        </w:rPr>
      </w:pPr>
      <w:r>
        <w:rPr>
          <w:rFonts w:ascii="黑体" w:eastAsia="黑体" w:hAnsi="黑体" w:cs="黑体" w:hint="eastAsia"/>
          <w:sz w:val="36"/>
          <w:szCs w:val="36"/>
        </w:rPr>
        <w:t>北京市体育彩票管理中心2023年度</w:t>
      </w:r>
    </w:p>
    <w:p w:rsidR="00847650" w:rsidRDefault="00847650" w:rsidP="00847650">
      <w:pPr>
        <w:jc w:val="center"/>
        <w:rPr>
          <w:rFonts w:ascii="黑体" w:eastAsia="黑体" w:hAnsi="黑体" w:cs="黑体"/>
          <w:sz w:val="36"/>
          <w:szCs w:val="36"/>
        </w:rPr>
      </w:pPr>
      <w:r>
        <w:rPr>
          <w:rFonts w:ascii="黑体" w:eastAsia="黑体" w:hAnsi="黑体" w:cs="黑体" w:hint="eastAsia"/>
          <w:sz w:val="36"/>
          <w:szCs w:val="36"/>
        </w:rPr>
        <w:t>部门整体绩效评价报告</w:t>
      </w:r>
    </w:p>
    <w:p w:rsidR="00847650" w:rsidRDefault="00847650" w:rsidP="00847650">
      <w:pPr>
        <w:spacing w:line="360" w:lineRule="auto"/>
        <w:ind w:firstLineChars="200" w:firstLine="640"/>
        <w:outlineLvl w:val="0"/>
        <w:rPr>
          <w:rFonts w:ascii="黑体" w:eastAsia="黑体" w:hAnsi="黑体" w:cs="宋体"/>
          <w:color w:val="000000"/>
          <w:kern w:val="0"/>
          <w:sz w:val="32"/>
          <w:szCs w:val="32"/>
        </w:rPr>
      </w:pPr>
      <w:bookmarkStart w:id="0" w:name="_Toc17572"/>
      <w:r>
        <w:rPr>
          <w:rFonts w:ascii="黑体" w:eastAsia="黑体" w:hAnsi="黑体" w:cs="宋体" w:hint="eastAsia"/>
          <w:color w:val="000000"/>
          <w:kern w:val="0"/>
          <w:sz w:val="32"/>
          <w:szCs w:val="32"/>
        </w:rPr>
        <w:t>一、部门概况</w:t>
      </w:r>
      <w:bookmarkEnd w:id="0"/>
    </w:p>
    <w:p w:rsidR="00847650" w:rsidRDefault="00847650" w:rsidP="00847650">
      <w:pPr>
        <w:spacing w:line="360" w:lineRule="auto"/>
        <w:ind w:firstLineChars="200" w:firstLine="643"/>
        <w:outlineLvl w:val="1"/>
        <w:rPr>
          <w:rFonts w:ascii="楷体_GB2312" w:eastAsia="楷体_GB2312"/>
          <w:b/>
          <w:bCs/>
          <w:sz w:val="32"/>
          <w:szCs w:val="32"/>
        </w:rPr>
      </w:pPr>
      <w:bookmarkStart w:id="1" w:name="_Toc1162"/>
      <w:r>
        <w:rPr>
          <w:rFonts w:ascii="楷体_GB2312" w:eastAsia="楷体_GB2312" w:hint="eastAsia"/>
          <w:b/>
          <w:bCs/>
          <w:sz w:val="32"/>
          <w:szCs w:val="32"/>
        </w:rPr>
        <w:t>（一）机构设置及职责工作任务情况</w:t>
      </w:r>
      <w:bookmarkEnd w:id="1"/>
    </w:p>
    <w:p w:rsidR="00847650" w:rsidRDefault="00847650" w:rsidP="00847650">
      <w:pPr>
        <w:spacing w:line="360" w:lineRule="auto"/>
        <w:ind w:firstLineChars="200" w:firstLine="643"/>
        <w:outlineLvl w:val="2"/>
        <w:rPr>
          <w:rFonts w:ascii="仿宋_GB2312" w:eastAsia="仿宋_GB2312"/>
          <w:b/>
          <w:bCs/>
          <w:sz w:val="32"/>
          <w:szCs w:val="32"/>
        </w:rPr>
      </w:pPr>
      <w:r>
        <w:rPr>
          <w:rFonts w:ascii="仿宋_GB2312" w:eastAsia="仿宋_GB2312" w:hint="eastAsia"/>
          <w:b/>
          <w:bCs/>
          <w:sz w:val="32"/>
          <w:szCs w:val="32"/>
        </w:rPr>
        <w:t>1.机构设置</w:t>
      </w:r>
    </w:p>
    <w:p w:rsidR="00847650" w:rsidRDefault="00847650" w:rsidP="00847650">
      <w:pPr>
        <w:spacing w:line="360" w:lineRule="auto"/>
        <w:ind w:firstLineChars="200" w:firstLine="640"/>
        <w:rPr>
          <w:rFonts w:ascii="仿宋_GB2312" w:eastAsia="仿宋_GB2312"/>
          <w:sz w:val="32"/>
          <w:szCs w:val="32"/>
        </w:rPr>
      </w:pPr>
      <w:r>
        <w:rPr>
          <w:rFonts w:ascii="仿宋_GB2312" w:eastAsia="仿宋_GB2312" w:hint="eastAsia"/>
          <w:sz w:val="32"/>
          <w:szCs w:val="32"/>
        </w:rPr>
        <w:t>北京市体育彩票管理中心（以下简称“市体彩中心”或“中心”）于1995年批准设立，负责北京地区体育彩票的销售管理工作。根据《中共北京市委机构编制委员会关于市体育局所属事业单位改革有关事项的批复》（京编委〔2021〕87号）等文件，</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为北京市体育局依法设立的财政补助事业单位（公益二类），为一级预算部门，无下属单位，内设8个部门，具体为综合部、财务部、党办、技术运营部、项目管理部、责任彩票部、渠道管理部和品牌建设部。截至2</w:t>
      </w:r>
      <w:r>
        <w:rPr>
          <w:rFonts w:ascii="仿宋_GB2312" w:eastAsia="仿宋_GB2312"/>
          <w:sz w:val="32"/>
          <w:szCs w:val="32"/>
        </w:rPr>
        <w:t>02</w:t>
      </w:r>
      <w:r>
        <w:rPr>
          <w:rFonts w:ascii="仿宋_GB2312" w:eastAsia="仿宋_GB2312" w:hint="eastAsia"/>
          <w:sz w:val="32"/>
          <w:szCs w:val="32"/>
        </w:rPr>
        <w:t>3年12月31日，</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事业编制6</w:t>
      </w:r>
      <w:r>
        <w:rPr>
          <w:rFonts w:ascii="仿宋_GB2312" w:eastAsia="仿宋_GB2312"/>
          <w:sz w:val="32"/>
          <w:szCs w:val="32"/>
        </w:rPr>
        <w:t>0</w:t>
      </w:r>
      <w:r>
        <w:rPr>
          <w:rFonts w:ascii="仿宋_GB2312" w:eastAsia="仿宋_GB2312" w:hint="eastAsia"/>
          <w:sz w:val="32"/>
          <w:szCs w:val="32"/>
        </w:rPr>
        <w:t>人，编内实有人员54人，编外人员2人。年末实有人数较上一年度增加19人,具体原因为2023年</w:t>
      </w:r>
      <w:proofErr w:type="gramStart"/>
      <w:r>
        <w:rPr>
          <w:rFonts w:ascii="仿宋_GB2312" w:eastAsia="仿宋_GB2312" w:hint="eastAsia"/>
          <w:sz w:val="32"/>
          <w:szCs w:val="32"/>
        </w:rPr>
        <w:t>市体彩中心</w:t>
      </w:r>
      <w:proofErr w:type="gramEnd"/>
      <w:r>
        <w:rPr>
          <w:rFonts w:ascii="仿宋_GB2312" w:eastAsia="仿宋_GB2312"/>
          <w:sz w:val="32"/>
          <w:szCs w:val="32"/>
        </w:rPr>
        <w:t>通过公开招聘与规范编外用工相结合的方式，解决</w:t>
      </w:r>
      <w:r>
        <w:rPr>
          <w:rFonts w:ascii="仿宋_GB2312" w:eastAsia="仿宋_GB2312" w:hint="eastAsia"/>
          <w:sz w:val="32"/>
          <w:szCs w:val="32"/>
        </w:rPr>
        <w:t>了</w:t>
      </w:r>
      <w:r>
        <w:rPr>
          <w:rFonts w:ascii="仿宋_GB2312" w:eastAsia="仿宋_GB2312"/>
          <w:sz w:val="32"/>
          <w:szCs w:val="32"/>
        </w:rPr>
        <w:t>多年来编内用工不足、超范围编外用工等问题</w:t>
      </w:r>
      <w:r>
        <w:rPr>
          <w:rFonts w:ascii="仿宋_GB2312" w:eastAsia="仿宋_GB2312" w:hint="eastAsia"/>
          <w:sz w:val="32"/>
          <w:szCs w:val="32"/>
        </w:rPr>
        <w:t>。</w:t>
      </w:r>
    </w:p>
    <w:p w:rsidR="00847650" w:rsidRDefault="00847650" w:rsidP="00847650">
      <w:pPr>
        <w:spacing w:line="360" w:lineRule="auto"/>
        <w:ind w:firstLineChars="200" w:firstLine="643"/>
        <w:outlineLvl w:val="2"/>
        <w:rPr>
          <w:rFonts w:ascii="仿宋_GB2312" w:eastAsia="仿宋_GB2312"/>
          <w:b/>
          <w:bCs/>
          <w:sz w:val="32"/>
          <w:szCs w:val="32"/>
        </w:rPr>
      </w:pPr>
      <w:r>
        <w:rPr>
          <w:rFonts w:ascii="仿宋_GB2312" w:eastAsia="仿宋_GB2312" w:hint="eastAsia"/>
          <w:b/>
          <w:bCs/>
          <w:sz w:val="32"/>
          <w:szCs w:val="32"/>
        </w:rPr>
        <w:t>2.部门主要职责及工作任务</w:t>
      </w:r>
    </w:p>
    <w:p w:rsidR="00847650" w:rsidRDefault="00847650" w:rsidP="00847650">
      <w:pPr>
        <w:spacing w:line="360" w:lineRule="auto"/>
        <w:ind w:firstLineChars="200" w:firstLine="640"/>
        <w:rPr>
          <w:rFonts w:ascii="仿宋_GB2312" w:eastAsia="仿宋_GB2312"/>
          <w:sz w:val="32"/>
          <w:szCs w:val="32"/>
        </w:rPr>
      </w:pPr>
      <w:r>
        <w:rPr>
          <w:rFonts w:ascii="仿宋_GB2312" w:eastAsia="仿宋_GB2312" w:hint="eastAsia"/>
          <w:sz w:val="32"/>
          <w:szCs w:val="32"/>
        </w:rPr>
        <w:t>根据《中共北京市委机构编制委员会关于市体育局所属</w:t>
      </w:r>
      <w:r>
        <w:rPr>
          <w:rFonts w:ascii="仿宋_GB2312" w:eastAsia="仿宋_GB2312" w:hint="eastAsia"/>
          <w:sz w:val="32"/>
          <w:szCs w:val="32"/>
        </w:rPr>
        <w:lastRenderedPageBreak/>
        <w:t>事业单位改革有关事项的批复》（京编委〔2021〕87号）等文件，</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部门职责为：</w:t>
      </w:r>
    </w:p>
    <w:p w:rsidR="00847650" w:rsidRDefault="00847650" w:rsidP="00847650">
      <w:pPr>
        <w:pStyle w:val="a9"/>
        <w:jc w:val="center"/>
        <w:rPr>
          <w:rFonts w:ascii="黑体" w:eastAsia="黑体" w:hAnsi="黑体" w:cs="黑体"/>
          <w:sz w:val="24"/>
          <w:szCs w:val="24"/>
        </w:rPr>
      </w:pPr>
      <w:r>
        <w:rPr>
          <w:rFonts w:ascii="黑体" w:eastAsia="黑体" w:hAnsi="黑体" w:cs="黑体" w:hint="eastAsia"/>
          <w:sz w:val="24"/>
          <w:szCs w:val="24"/>
        </w:rPr>
        <w:t xml:space="preserve">表1 </w:t>
      </w:r>
      <w:proofErr w:type="gramStart"/>
      <w:r>
        <w:rPr>
          <w:rFonts w:ascii="黑体" w:eastAsia="黑体" w:hAnsi="黑体" w:cs="黑体" w:hint="eastAsia"/>
          <w:sz w:val="24"/>
          <w:szCs w:val="24"/>
        </w:rPr>
        <w:t>市体彩中心</w:t>
      </w:r>
      <w:proofErr w:type="gramEnd"/>
      <w:r>
        <w:rPr>
          <w:rFonts w:ascii="黑体" w:eastAsia="黑体" w:hAnsi="黑体" w:cs="黑体" w:hint="eastAsia"/>
          <w:sz w:val="24"/>
          <w:szCs w:val="24"/>
        </w:rPr>
        <w:t>部门职责</w:t>
      </w:r>
    </w:p>
    <w:tbl>
      <w:tblPr>
        <w:tblW w:w="8424" w:type="dxa"/>
        <w:tblInd w:w="98" w:type="dxa"/>
        <w:tblLayout w:type="fixed"/>
        <w:tblLook w:val="04A0" w:firstRow="1" w:lastRow="0" w:firstColumn="1" w:lastColumn="0" w:noHBand="0" w:noVBand="1"/>
      </w:tblPr>
      <w:tblGrid>
        <w:gridCol w:w="721"/>
        <w:gridCol w:w="7703"/>
      </w:tblGrid>
      <w:tr w:rsidR="00847650" w:rsidTr="00D80C45">
        <w:trPr>
          <w:trHeight w:val="646"/>
        </w:trPr>
        <w:tc>
          <w:tcPr>
            <w:tcW w:w="721" w:type="dxa"/>
            <w:tcBorders>
              <w:top w:val="single" w:sz="8" w:space="0" w:color="000000"/>
              <w:left w:val="nil"/>
              <w:bottom w:val="single" w:sz="8" w:space="0" w:color="000000"/>
              <w:right w:val="single" w:sz="4" w:space="0" w:color="000000"/>
            </w:tcBorders>
            <w:shd w:val="clear" w:color="auto" w:fill="auto"/>
            <w:noWrap/>
            <w:vAlign w:val="center"/>
          </w:tcPr>
          <w:p w:rsidR="00847650" w:rsidRDefault="00847650" w:rsidP="00D80C45">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序号</w:t>
            </w:r>
          </w:p>
        </w:tc>
        <w:tc>
          <w:tcPr>
            <w:tcW w:w="7703" w:type="dxa"/>
            <w:tcBorders>
              <w:top w:val="single" w:sz="8" w:space="0" w:color="000000"/>
              <w:left w:val="single" w:sz="4" w:space="0" w:color="000000"/>
              <w:bottom w:val="single" w:sz="8" w:space="0" w:color="000000"/>
              <w:right w:val="nil"/>
            </w:tcBorders>
            <w:shd w:val="clear" w:color="auto" w:fill="auto"/>
            <w:noWrap/>
            <w:vAlign w:val="center"/>
          </w:tcPr>
          <w:p w:rsidR="00847650" w:rsidRDefault="00847650" w:rsidP="00D80C45">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职责内容</w:t>
            </w:r>
          </w:p>
        </w:tc>
      </w:tr>
      <w:tr w:rsidR="00847650" w:rsidTr="00D80C45">
        <w:trPr>
          <w:trHeight w:val="870"/>
        </w:trPr>
        <w:tc>
          <w:tcPr>
            <w:tcW w:w="721" w:type="dxa"/>
            <w:tcBorders>
              <w:top w:val="single" w:sz="8" w:space="0" w:color="000000"/>
              <w:left w:val="nil"/>
              <w:bottom w:val="single" w:sz="4" w:space="0" w:color="000000"/>
              <w:right w:val="single" w:sz="4" w:space="0" w:color="000000"/>
            </w:tcBorders>
            <w:shd w:val="clear" w:color="auto" w:fill="auto"/>
            <w:noWrap/>
            <w:vAlign w:val="center"/>
          </w:tcPr>
          <w:p w:rsidR="00847650" w:rsidRDefault="00847650" w:rsidP="00D80C45">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7703" w:type="dxa"/>
            <w:tcBorders>
              <w:top w:val="single" w:sz="8" w:space="0" w:color="000000"/>
              <w:left w:val="single" w:sz="4" w:space="0" w:color="000000"/>
              <w:bottom w:val="single" w:sz="4" w:space="0" w:color="000000"/>
              <w:right w:val="nil"/>
            </w:tcBorders>
            <w:shd w:val="clear" w:color="auto" w:fill="auto"/>
            <w:noWrap/>
            <w:vAlign w:val="center"/>
          </w:tcPr>
          <w:p w:rsidR="00847650" w:rsidRDefault="00847650" w:rsidP="00D80C45">
            <w:pPr>
              <w:widowControl/>
              <w:textAlignment w:val="center"/>
              <w:rPr>
                <w:rFonts w:ascii="宋体" w:hAnsi="宋体" w:cs="宋体"/>
                <w:color w:val="000000"/>
                <w:kern w:val="0"/>
                <w:szCs w:val="21"/>
                <w:lang w:bidi="ar"/>
              </w:rPr>
            </w:pPr>
            <w:r>
              <w:rPr>
                <w:rFonts w:ascii="宋体" w:hAnsi="宋体" w:cs="宋体" w:hint="eastAsia"/>
                <w:color w:val="000000"/>
                <w:kern w:val="0"/>
                <w:szCs w:val="21"/>
                <w:lang w:bidi="ar"/>
              </w:rPr>
              <w:t>制定本行政区域体育彩票销售管理办法和工作规范；</w:t>
            </w:r>
          </w:p>
        </w:tc>
      </w:tr>
      <w:tr w:rsidR="00847650" w:rsidTr="00D80C45">
        <w:trPr>
          <w:trHeight w:val="870"/>
        </w:trPr>
        <w:tc>
          <w:tcPr>
            <w:tcW w:w="721" w:type="dxa"/>
            <w:tcBorders>
              <w:top w:val="single" w:sz="4" w:space="0" w:color="000000"/>
              <w:left w:val="nil"/>
              <w:bottom w:val="single" w:sz="4" w:space="0" w:color="000000"/>
              <w:right w:val="single" w:sz="4" w:space="0" w:color="000000"/>
            </w:tcBorders>
            <w:shd w:val="clear" w:color="auto" w:fill="auto"/>
            <w:noWrap/>
            <w:vAlign w:val="center"/>
          </w:tcPr>
          <w:p w:rsidR="00847650" w:rsidRDefault="00847650" w:rsidP="00D80C45">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7703" w:type="dxa"/>
            <w:tcBorders>
              <w:top w:val="single" w:sz="4" w:space="0" w:color="000000"/>
              <w:left w:val="single" w:sz="4" w:space="0" w:color="000000"/>
              <w:bottom w:val="single" w:sz="4" w:space="0" w:color="000000"/>
              <w:right w:val="nil"/>
            </w:tcBorders>
            <w:shd w:val="clear" w:color="auto" w:fill="auto"/>
            <w:noWrap/>
            <w:vAlign w:val="center"/>
          </w:tcPr>
          <w:p w:rsidR="00847650" w:rsidRDefault="00847650" w:rsidP="00D80C45">
            <w:pPr>
              <w:widowControl/>
              <w:textAlignment w:val="center"/>
              <w:rPr>
                <w:rFonts w:ascii="宋体" w:hAnsi="宋体" w:cs="宋体"/>
                <w:color w:val="000000"/>
                <w:kern w:val="0"/>
                <w:szCs w:val="21"/>
                <w:lang w:bidi="ar"/>
              </w:rPr>
            </w:pPr>
            <w:r>
              <w:rPr>
                <w:rFonts w:ascii="宋体" w:hAnsi="宋体" w:cs="宋体" w:hint="eastAsia"/>
                <w:color w:val="000000"/>
                <w:kern w:val="0"/>
                <w:szCs w:val="21"/>
                <w:lang w:bidi="ar"/>
              </w:rPr>
              <w:t>向体育彩票发行机构提出申请增加、停止或变更彩票品种审批事项的建议；</w:t>
            </w:r>
          </w:p>
        </w:tc>
      </w:tr>
      <w:tr w:rsidR="00847650" w:rsidTr="00D80C45">
        <w:trPr>
          <w:trHeight w:val="870"/>
        </w:trPr>
        <w:tc>
          <w:tcPr>
            <w:tcW w:w="721" w:type="dxa"/>
            <w:tcBorders>
              <w:top w:val="single" w:sz="4" w:space="0" w:color="000000"/>
              <w:left w:val="nil"/>
              <w:bottom w:val="single" w:sz="4" w:space="0" w:color="000000"/>
              <w:right w:val="single" w:sz="4" w:space="0" w:color="000000"/>
            </w:tcBorders>
            <w:shd w:val="clear" w:color="auto" w:fill="auto"/>
            <w:noWrap/>
            <w:vAlign w:val="center"/>
          </w:tcPr>
          <w:p w:rsidR="00847650" w:rsidRDefault="00847650" w:rsidP="00D80C45">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7703" w:type="dxa"/>
            <w:tcBorders>
              <w:top w:val="single" w:sz="4" w:space="0" w:color="000000"/>
              <w:left w:val="single" w:sz="4" w:space="0" w:color="000000"/>
              <w:bottom w:val="single" w:sz="4" w:space="0" w:color="000000"/>
              <w:right w:val="nil"/>
            </w:tcBorders>
            <w:shd w:val="clear" w:color="auto" w:fill="auto"/>
            <w:noWrap/>
            <w:vAlign w:val="center"/>
          </w:tcPr>
          <w:p w:rsidR="00847650" w:rsidRDefault="00847650" w:rsidP="00D80C45">
            <w:pPr>
              <w:widowControl/>
              <w:textAlignment w:val="center"/>
              <w:rPr>
                <w:rFonts w:ascii="宋体" w:hAnsi="宋体" w:cs="宋体"/>
                <w:color w:val="000000"/>
                <w:szCs w:val="21"/>
              </w:rPr>
            </w:pPr>
            <w:r>
              <w:rPr>
                <w:rFonts w:ascii="宋体" w:hAnsi="宋体" w:cs="宋体" w:hint="eastAsia"/>
                <w:color w:val="000000"/>
                <w:kern w:val="0"/>
                <w:szCs w:val="21"/>
                <w:lang w:bidi="ar"/>
              </w:rPr>
              <w:t>向同级财政部门提出本行政区域彩票品种的销售实施方案，经核准后组织实施；</w:t>
            </w:r>
          </w:p>
        </w:tc>
      </w:tr>
      <w:tr w:rsidR="00847650" w:rsidTr="00D80C45">
        <w:trPr>
          <w:trHeight w:val="870"/>
        </w:trPr>
        <w:tc>
          <w:tcPr>
            <w:tcW w:w="721" w:type="dxa"/>
            <w:tcBorders>
              <w:top w:val="single" w:sz="4" w:space="0" w:color="000000"/>
              <w:left w:val="nil"/>
              <w:bottom w:val="single" w:sz="4" w:space="0" w:color="000000"/>
              <w:right w:val="single" w:sz="4" w:space="0" w:color="000000"/>
            </w:tcBorders>
            <w:shd w:val="clear" w:color="auto" w:fill="auto"/>
            <w:noWrap/>
            <w:vAlign w:val="center"/>
          </w:tcPr>
          <w:p w:rsidR="00847650" w:rsidRDefault="00847650" w:rsidP="00D80C45">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4</w:t>
            </w:r>
          </w:p>
        </w:tc>
        <w:tc>
          <w:tcPr>
            <w:tcW w:w="7703" w:type="dxa"/>
            <w:tcBorders>
              <w:top w:val="single" w:sz="4" w:space="0" w:color="000000"/>
              <w:left w:val="single" w:sz="4" w:space="0" w:color="000000"/>
              <w:bottom w:val="single" w:sz="4" w:space="0" w:color="000000"/>
              <w:right w:val="nil"/>
            </w:tcBorders>
            <w:shd w:val="clear" w:color="auto" w:fill="auto"/>
            <w:noWrap/>
            <w:vAlign w:val="center"/>
          </w:tcPr>
          <w:p w:rsidR="00847650" w:rsidRDefault="00847650" w:rsidP="00D80C45">
            <w:pPr>
              <w:widowControl/>
              <w:textAlignment w:val="center"/>
              <w:rPr>
                <w:rFonts w:ascii="宋体" w:hAnsi="宋体" w:cs="宋体"/>
                <w:color w:val="000000"/>
                <w:kern w:val="0"/>
                <w:szCs w:val="21"/>
                <w:lang w:bidi="ar"/>
              </w:rPr>
            </w:pPr>
            <w:r>
              <w:rPr>
                <w:rFonts w:ascii="宋体" w:hAnsi="宋体" w:cs="宋体" w:hint="eastAsia"/>
                <w:color w:val="000000"/>
                <w:kern w:val="0"/>
                <w:szCs w:val="21"/>
                <w:lang w:bidi="ar"/>
              </w:rPr>
              <w:t>负责本行政区域体育彩票销售系统的建设、运营和维护；</w:t>
            </w:r>
          </w:p>
        </w:tc>
      </w:tr>
      <w:tr w:rsidR="00847650" w:rsidTr="00D80C45">
        <w:trPr>
          <w:trHeight w:val="870"/>
        </w:trPr>
        <w:tc>
          <w:tcPr>
            <w:tcW w:w="721" w:type="dxa"/>
            <w:tcBorders>
              <w:top w:val="single" w:sz="4" w:space="0" w:color="000000"/>
              <w:left w:val="nil"/>
              <w:bottom w:val="single" w:sz="4" w:space="0" w:color="000000"/>
              <w:right w:val="single" w:sz="4" w:space="0" w:color="000000"/>
            </w:tcBorders>
            <w:shd w:val="clear" w:color="auto" w:fill="auto"/>
            <w:noWrap/>
            <w:vAlign w:val="center"/>
          </w:tcPr>
          <w:p w:rsidR="00847650" w:rsidRDefault="00847650" w:rsidP="00D80C45">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5</w:t>
            </w:r>
          </w:p>
        </w:tc>
        <w:tc>
          <w:tcPr>
            <w:tcW w:w="7703" w:type="dxa"/>
            <w:tcBorders>
              <w:top w:val="single" w:sz="4" w:space="0" w:color="000000"/>
              <w:left w:val="single" w:sz="4" w:space="0" w:color="000000"/>
              <w:bottom w:val="single" w:sz="4" w:space="0" w:color="000000"/>
              <w:right w:val="nil"/>
            </w:tcBorders>
            <w:shd w:val="clear" w:color="auto" w:fill="auto"/>
            <w:noWrap/>
            <w:vAlign w:val="center"/>
          </w:tcPr>
          <w:p w:rsidR="00847650" w:rsidRDefault="00847650" w:rsidP="00D80C45">
            <w:pPr>
              <w:widowControl/>
              <w:textAlignment w:val="center"/>
              <w:rPr>
                <w:rFonts w:ascii="宋体" w:hAnsi="宋体" w:cs="宋体"/>
                <w:color w:val="000000"/>
                <w:kern w:val="0"/>
                <w:szCs w:val="21"/>
                <w:lang w:bidi="ar"/>
              </w:rPr>
            </w:pPr>
            <w:r>
              <w:rPr>
                <w:rFonts w:ascii="宋体" w:hAnsi="宋体" w:cs="宋体" w:hint="eastAsia"/>
                <w:color w:val="000000"/>
                <w:kern w:val="0"/>
                <w:szCs w:val="21"/>
                <w:lang w:bidi="ar"/>
              </w:rPr>
              <w:t>负责实施本行政区域体育彩票的销售系统数据管理、彩票资金结算、彩票销售渠道和场所规划、彩票物流管理、彩票开奖兑奖；</w:t>
            </w:r>
          </w:p>
        </w:tc>
      </w:tr>
      <w:tr w:rsidR="00847650" w:rsidTr="00D80C45">
        <w:trPr>
          <w:trHeight w:val="870"/>
        </w:trPr>
        <w:tc>
          <w:tcPr>
            <w:tcW w:w="721" w:type="dxa"/>
            <w:tcBorders>
              <w:top w:val="single" w:sz="4" w:space="0" w:color="000000"/>
              <w:left w:val="nil"/>
              <w:bottom w:val="single" w:sz="8" w:space="0" w:color="000000"/>
              <w:right w:val="single" w:sz="4" w:space="0" w:color="000000"/>
            </w:tcBorders>
            <w:shd w:val="clear" w:color="auto" w:fill="auto"/>
            <w:noWrap/>
            <w:vAlign w:val="center"/>
          </w:tcPr>
          <w:p w:rsidR="00847650" w:rsidRDefault="00847650" w:rsidP="00D80C45">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7703" w:type="dxa"/>
            <w:tcBorders>
              <w:top w:val="single" w:sz="4" w:space="0" w:color="000000"/>
              <w:left w:val="single" w:sz="4" w:space="0" w:color="000000"/>
              <w:bottom w:val="single" w:sz="8" w:space="0" w:color="000000"/>
              <w:right w:val="nil"/>
            </w:tcBorders>
            <w:shd w:val="clear" w:color="auto" w:fill="auto"/>
            <w:noWrap/>
            <w:vAlign w:val="center"/>
          </w:tcPr>
          <w:p w:rsidR="00847650" w:rsidRDefault="00847650" w:rsidP="00D80C45">
            <w:pPr>
              <w:widowControl/>
              <w:textAlignment w:val="center"/>
              <w:rPr>
                <w:rFonts w:ascii="宋体" w:hAnsi="宋体" w:cs="宋体"/>
                <w:color w:val="000000"/>
                <w:kern w:val="0"/>
                <w:szCs w:val="21"/>
                <w:lang w:bidi="ar"/>
              </w:rPr>
            </w:pPr>
            <w:r>
              <w:rPr>
                <w:rFonts w:ascii="宋体" w:hAnsi="宋体" w:cs="宋体" w:hint="eastAsia"/>
                <w:color w:val="000000"/>
                <w:kern w:val="0"/>
                <w:szCs w:val="21"/>
                <w:lang w:bidi="ar"/>
              </w:rPr>
              <w:t>负责组织实施本行政区域体育彩票的形象建设、彩票代销、营销宣传、业务培训与合作、人才队伍建设等工作。</w:t>
            </w:r>
          </w:p>
        </w:tc>
      </w:tr>
    </w:tbl>
    <w:p w:rsidR="00847650" w:rsidRDefault="00847650" w:rsidP="00847650">
      <w:pPr>
        <w:spacing w:before="160" w:line="360" w:lineRule="auto"/>
        <w:ind w:firstLineChars="200" w:firstLine="643"/>
        <w:outlineLvl w:val="1"/>
        <w:rPr>
          <w:rFonts w:ascii="楷体_GB2312" w:eastAsia="楷体_GB2312"/>
          <w:b/>
          <w:bCs/>
          <w:sz w:val="32"/>
          <w:szCs w:val="32"/>
        </w:rPr>
      </w:pPr>
      <w:bookmarkStart w:id="2" w:name="_Toc7043"/>
      <w:r>
        <w:rPr>
          <w:rFonts w:ascii="楷体_GB2312" w:eastAsia="楷体_GB2312" w:hint="eastAsia"/>
          <w:b/>
          <w:bCs/>
          <w:sz w:val="32"/>
          <w:szCs w:val="32"/>
        </w:rPr>
        <w:t>（二）部门整体绩效目标设立情况</w:t>
      </w:r>
      <w:bookmarkEnd w:id="2"/>
    </w:p>
    <w:p w:rsidR="00847650" w:rsidRDefault="00847650" w:rsidP="00847650">
      <w:pPr>
        <w:spacing w:line="360" w:lineRule="auto"/>
        <w:ind w:firstLineChars="200" w:firstLine="643"/>
        <w:outlineLvl w:val="2"/>
        <w:rPr>
          <w:rFonts w:ascii="仿宋_GB2312" w:eastAsia="仿宋_GB2312"/>
          <w:b/>
          <w:bCs/>
          <w:sz w:val="32"/>
          <w:szCs w:val="32"/>
        </w:rPr>
      </w:pPr>
      <w:r>
        <w:rPr>
          <w:rFonts w:ascii="仿宋_GB2312" w:eastAsia="仿宋_GB2312" w:hint="eastAsia"/>
          <w:b/>
          <w:bCs/>
          <w:sz w:val="32"/>
          <w:szCs w:val="32"/>
        </w:rPr>
        <w:t>1.部门整体支出年度目标</w:t>
      </w:r>
    </w:p>
    <w:p w:rsidR="00847650" w:rsidRDefault="00847650" w:rsidP="00847650">
      <w:pPr>
        <w:spacing w:line="360" w:lineRule="auto"/>
        <w:ind w:firstLineChars="200" w:firstLine="640"/>
        <w:rPr>
          <w:rFonts w:ascii="仿宋_GB2312" w:eastAsia="仿宋_GB2312" w:hAnsi="宋体" w:cs="宋体"/>
          <w:color w:val="0000FF"/>
          <w:kern w:val="0"/>
          <w:sz w:val="32"/>
          <w:szCs w:val="32"/>
        </w:rPr>
      </w:pPr>
      <w:r>
        <w:rPr>
          <w:rFonts w:ascii="仿宋_GB2312" w:eastAsia="仿宋_GB2312" w:hAnsi="宋体" w:cs="宋体" w:hint="eastAsia"/>
          <w:kern w:val="0"/>
          <w:sz w:val="32"/>
          <w:szCs w:val="32"/>
        </w:rPr>
        <w:t>2</w:t>
      </w:r>
      <w:r>
        <w:rPr>
          <w:rFonts w:ascii="仿宋_GB2312" w:eastAsia="仿宋_GB2312" w:hAnsi="宋体" w:cs="宋体"/>
          <w:kern w:val="0"/>
          <w:sz w:val="32"/>
          <w:szCs w:val="32"/>
        </w:rPr>
        <w:t>02</w:t>
      </w:r>
      <w:r>
        <w:rPr>
          <w:rFonts w:ascii="仿宋_GB2312" w:eastAsia="仿宋_GB2312" w:hAnsi="宋体" w:cs="宋体" w:hint="eastAsia"/>
          <w:kern w:val="0"/>
          <w:sz w:val="32"/>
          <w:szCs w:val="32"/>
        </w:rPr>
        <w:t>3年是全面贯彻落实党的二十大精神的开局之年，也是北京体彩转型发展的关键时期，</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围绕国家体育总局体育彩票管理中心（以下简称“总局中心”）、北京市体育局（以下简称“市体育局”）等领导部门部署规划，结合工作实际，制定了部门整体支出绩效目标。2</w:t>
      </w:r>
      <w:r>
        <w:rPr>
          <w:rFonts w:ascii="仿宋_GB2312" w:eastAsia="仿宋_GB2312" w:hAnsi="宋体" w:cs="宋体"/>
          <w:kern w:val="0"/>
          <w:sz w:val="32"/>
          <w:szCs w:val="32"/>
        </w:rPr>
        <w:t>02</w:t>
      </w:r>
      <w:r>
        <w:rPr>
          <w:rFonts w:ascii="仿宋_GB2312" w:eastAsia="仿宋_GB2312" w:hAnsi="宋体" w:cs="宋体" w:hint="eastAsia"/>
          <w:kern w:val="0"/>
          <w:sz w:val="32"/>
          <w:szCs w:val="32"/>
        </w:rPr>
        <w:t>3年部门整体支出年度目标分为四个方面，分别为：</w:t>
      </w:r>
      <w:r>
        <w:rPr>
          <w:rFonts w:ascii="仿宋_GB2312" w:eastAsia="仿宋_GB2312" w:hAnsi="宋体" w:cs="宋体" w:hint="eastAsia"/>
          <w:b/>
          <w:bCs/>
          <w:kern w:val="0"/>
          <w:sz w:val="32"/>
          <w:szCs w:val="32"/>
        </w:rPr>
        <w:t>一是</w:t>
      </w:r>
      <w:r>
        <w:rPr>
          <w:rFonts w:ascii="仿宋_GB2312" w:eastAsia="仿宋_GB2312" w:hAnsi="宋体" w:cs="宋体" w:hint="eastAsia"/>
          <w:kern w:val="0"/>
          <w:sz w:val="32"/>
          <w:szCs w:val="32"/>
        </w:rPr>
        <w:t>年度销售任务</w:t>
      </w:r>
      <w:r>
        <w:rPr>
          <w:rFonts w:ascii="仿宋_GB2312" w:eastAsia="仿宋_GB2312" w:hAnsi="宋体" w:cs="宋体"/>
          <w:kern w:val="0"/>
          <w:sz w:val="32"/>
          <w:szCs w:val="32"/>
        </w:rPr>
        <w:t>77</w:t>
      </w:r>
      <w:r>
        <w:rPr>
          <w:rFonts w:ascii="仿宋_GB2312" w:eastAsia="仿宋_GB2312" w:hAnsi="宋体" w:cs="宋体" w:hint="eastAsia"/>
          <w:kern w:val="0"/>
          <w:sz w:val="32"/>
          <w:szCs w:val="32"/>
        </w:rPr>
        <w:t>亿元，为支持体育及社会公益事业发展筹集更多的体彩公</w:t>
      </w:r>
      <w:r>
        <w:rPr>
          <w:rFonts w:ascii="仿宋_GB2312" w:eastAsia="仿宋_GB2312" w:hAnsi="宋体" w:cs="宋体" w:hint="eastAsia"/>
          <w:kern w:val="0"/>
          <w:sz w:val="32"/>
          <w:szCs w:val="32"/>
        </w:rPr>
        <w:lastRenderedPageBreak/>
        <w:t>益金，预计筹集地方公益金</w:t>
      </w:r>
      <w:r>
        <w:rPr>
          <w:rFonts w:ascii="仿宋_GB2312" w:eastAsia="仿宋_GB2312" w:hAnsi="宋体" w:cs="宋体"/>
          <w:kern w:val="0"/>
          <w:sz w:val="32"/>
          <w:szCs w:val="32"/>
        </w:rPr>
        <w:t>9.26</w:t>
      </w:r>
      <w:r>
        <w:rPr>
          <w:rFonts w:ascii="仿宋_GB2312" w:eastAsia="仿宋_GB2312" w:hAnsi="宋体" w:cs="宋体" w:hint="eastAsia"/>
          <w:kern w:val="0"/>
          <w:sz w:val="32"/>
          <w:szCs w:val="32"/>
        </w:rPr>
        <w:t>亿元，本级业务费</w:t>
      </w:r>
      <w:r>
        <w:rPr>
          <w:rFonts w:ascii="仿宋_GB2312" w:eastAsia="仿宋_GB2312" w:hAnsi="宋体" w:cs="宋体"/>
          <w:kern w:val="0"/>
          <w:sz w:val="32"/>
          <w:szCs w:val="32"/>
        </w:rPr>
        <w:t>2.43</w:t>
      </w:r>
      <w:r>
        <w:rPr>
          <w:rFonts w:ascii="仿宋_GB2312" w:eastAsia="仿宋_GB2312" w:hAnsi="宋体" w:cs="宋体" w:hint="eastAsia"/>
          <w:kern w:val="0"/>
          <w:sz w:val="32"/>
          <w:szCs w:val="32"/>
        </w:rPr>
        <w:t>亿元；</w:t>
      </w:r>
      <w:r>
        <w:rPr>
          <w:rFonts w:ascii="仿宋_GB2312" w:eastAsia="仿宋_GB2312" w:hAnsi="宋体" w:cs="宋体" w:hint="eastAsia"/>
          <w:b/>
          <w:bCs/>
          <w:kern w:val="0"/>
          <w:sz w:val="32"/>
          <w:szCs w:val="32"/>
        </w:rPr>
        <w:t>二是</w:t>
      </w:r>
      <w:r>
        <w:rPr>
          <w:rFonts w:ascii="仿宋_GB2312" w:eastAsia="仿宋_GB2312" w:hAnsi="宋体" w:cs="宋体" w:hint="eastAsia"/>
          <w:kern w:val="0"/>
          <w:sz w:val="32"/>
          <w:szCs w:val="32"/>
        </w:rPr>
        <w:t>提升体育彩票影响力，扩大彩民群体；</w:t>
      </w:r>
      <w:r>
        <w:rPr>
          <w:rFonts w:ascii="仿宋_GB2312" w:eastAsia="仿宋_GB2312" w:hAnsi="宋体" w:cs="宋体" w:hint="eastAsia"/>
          <w:b/>
          <w:bCs/>
          <w:kern w:val="0"/>
          <w:sz w:val="32"/>
          <w:szCs w:val="32"/>
        </w:rPr>
        <w:t>三是</w:t>
      </w:r>
      <w:r>
        <w:rPr>
          <w:rFonts w:ascii="仿宋_GB2312" w:eastAsia="仿宋_GB2312" w:hAnsi="宋体" w:cs="宋体" w:hint="eastAsia"/>
          <w:kern w:val="0"/>
          <w:sz w:val="32"/>
          <w:szCs w:val="32"/>
        </w:rPr>
        <w:t>确保北京体彩市场销售安全，满足市场相关需要，保证彩票销售业务正常运行；</w:t>
      </w:r>
      <w:r>
        <w:rPr>
          <w:rFonts w:ascii="仿宋_GB2312" w:eastAsia="仿宋_GB2312" w:hAnsi="宋体" w:cs="宋体" w:hint="eastAsia"/>
          <w:b/>
          <w:bCs/>
          <w:kern w:val="0"/>
          <w:sz w:val="32"/>
          <w:szCs w:val="32"/>
        </w:rPr>
        <w:t>四是</w:t>
      </w:r>
      <w:r>
        <w:rPr>
          <w:rFonts w:ascii="仿宋_GB2312" w:eastAsia="仿宋_GB2312" w:hAnsi="宋体" w:cs="宋体" w:hint="eastAsia"/>
          <w:kern w:val="0"/>
          <w:sz w:val="32"/>
          <w:szCs w:val="32"/>
        </w:rPr>
        <w:t>保证彩票销售系统的稳定、安全运行。</w:t>
      </w:r>
    </w:p>
    <w:p w:rsidR="00847650" w:rsidRDefault="00847650" w:rsidP="00847650">
      <w:pPr>
        <w:spacing w:line="360" w:lineRule="auto"/>
        <w:ind w:firstLineChars="200" w:firstLine="643"/>
        <w:outlineLvl w:val="2"/>
        <w:rPr>
          <w:rFonts w:ascii="仿宋_GB2312" w:eastAsia="仿宋_GB2312"/>
          <w:b/>
          <w:bCs/>
          <w:sz w:val="32"/>
          <w:szCs w:val="32"/>
        </w:rPr>
      </w:pPr>
      <w:r>
        <w:rPr>
          <w:rFonts w:ascii="仿宋_GB2312" w:eastAsia="仿宋_GB2312" w:hint="eastAsia"/>
          <w:b/>
          <w:bCs/>
          <w:sz w:val="32"/>
          <w:szCs w:val="32"/>
        </w:rPr>
        <w:t>2.部门整体支出绩效指标</w:t>
      </w:r>
    </w:p>
    <w:p w:rsidR="00847650" w:rsidRDefault="00847650" w:rsidP="00847650">
      <w:pPr>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根据年度总体目标分解设置了三级指标，具体详见表2。</w:t>
      </w:r>
    </w:p>
    <w:p w:rsidR="00847650" w:rsidRDefault="00847650" w:rsidP="00847650">
      <w:pPr>
        <w:spacing w:line="600" w:lineRule="exact"/>
        <w:ind w:firstLineChars="200" w:firstLine="480"/>
        <w:jc w:val="center"/>
        <w:rPr>
          <w:rFonts w:ascii="黑体" w:eastAsia="黑体" w:hAnsi="黑体"/>
          <w:sz w:val="24"/>
        </w:rPr>
      </w:pPr>
      <w:r>
        <w:rPr>
          <w:rFonts w:ascii="黑体" w:eastAsia="黑体" w:hAnsi="黑体" w:hint="eastAsia"/>
          <w:sz w:val="24"/>
        </w:rPr>
        <w:t>表2 部门整体绩效目标情况表</w:t>
      </w:r>
    </w:p>
    <w:tbl>
      <w:tblPr>
        <w:tblW w:w="8784" w:type="dxa"/>
        <w:tblInd w:w="113" w:type="dxa"/>
        <w:tblLook w:val="04A0" w:firstRow="1" w:lastRow="0" w:firstColumn="1" w:lastColumn="0" w:noHBand="0" w:noVBand="1"/>
      </w:tblPr>
      <w:tblGrid>
        <w:gridCol w:w="762"/>
        <w:gridCol w:w="793"/>
        <w:gridCol w:w="4110"/>
        <w:gridCol w:w="3119"/>
      </w:tblGrid>
      <w:tr w:rsidR="00847650" w:rsidTr="00D80C45">
        <w:trPr>
          <w:trHeight w:val="20"/>
          <w:tblHeader/>
        </w:trPr>
        <w:tc>
          <w:tcPr>
            <w:tcW w:w="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7650" w:rsidRDefault="00847650" w:rsidP="00D80C45">
            <w:pPr>
              <w:widowControl/>
              <w:adjustRightInd w:val="0"/>
              <w:snapToGrid w:val="0"/>
              <w:jc w:val="center"/>
              <w:rPr>
                <w:rFonts w:ascii="宋体" w:hAnsi="宋体"/>
                <w:b/>
                <w:bCs/>
                <w:kern w:val="0"/>
                <w:szCs w:val="21"/>
              </w:rPr>
            </w:pPr>
            <w:r>
              <w:rPr>
                <w:rFonts w:ascii="宋体" w:hAnsi="宋体" w:hint="eastAsia"/>
                <w:b/>
                <w:bCs/>
                <w:kern w:val="0"/>
              </w:rPr>
              <w:t>一级指标</w:t>
            </w:r>
          </w:p>
        </w:tc>
        <w:tc>
          <w:tcPr>
            <w:tcW w:w="793" w:type="dxa"/>
            <w:tcBorders>
              <w:top w:val="single" w:sz="4" w:space="0" w:color="000000"/>
              <w:left w:val="nil"/>
              <w:bottom w:val="single" w:sz="4" w:space="0" w:color="000000"/>
              <w:right w:val="single" w:sz="4" w:space="0" w:color="000000"/>
            </w:tcBorders>
            <w:shd w:val="clear" w:color="auto" w:fill="auto"/>
            <w:vAlign w:val="center"/>
          </w:tcPr>
          <w:p w:rsidR="00847650" w:rsidRDefault="00847650" w:rsidP="00D80C45">
            <w:pPr>
              <w:widowControl/>
              <w:adjustRightInd w:val="0"/>
              <w:snapToGrid w:val="0"/>
              <w:jc w:val="center"/>
              <w:rPr>
                <w:rFonts w:ascii="宋体" w:hAnsi="宋体"/>
                <w:b/>
                <w:bCs/>
                <w:kern w:val="0"/>
              </w:rPr>
            </w:pPr>
            <w:r>
              <w:rPr>
                <w:rFonts w:ascii="宋体" w:hAnsi="宋体" w:hint="eastAsia"/>
                <w:b/>
                <w:bCs/>
                <w:kern w:val="0"/>
              </w:rPr>
              <w:t>二级指标</w:t>
            </w:r>
          </w:p>
        </w:tc>
        <w:tc>
          <w:tcPr>
            <w:tcW w:w="4110" w:type="dxa"/>
            <w:tcBorders>
              <w:top w:val="single" w:sz="4" w:space="0" w:color="000000"/>
              <w:left w:val="nil"/>
              <w:bottom w:val="single" w:sz="4" w:space="0" w:color="000000"/>
              <w:right w:val="single" w:sz="4" w:space="0" w:color="000000"/>
            </w:tcBorders>
            <w:shd w:val="clear" w:color="auto" w:fill="auto"/>
            <w:vAlign w:val="center"/>
          </w:tcPr>
          <w:p w:rsidR="00847650" w:rsidRDefault="00847650" w:rsidP="00D80C45">
            <w:pPr>
              <w:widowControl/>
              <w:adjustRightInd w:val="0"/>
              <w:snapToGrid w:val="0"/>
              <w:jc w:val="center"/>
              <w:rPr>
                <w:rFonts w:ascii="宋体" w:hAnsi="宋体"/>
                <w:b/>
                <w:bCs/>
                <w:kern w:val="0"/>
              </w:rPr>
            </w:pPr>
            <w:r>
              <w:rPr>
                <w:rFonts w:ascii="宋体" w:hAnsi="宋体" w:hint="eastAsia"/>
                <w:b/>
                <w:bCs/>
                <w:kern w:val="0"/>
              </w:rPr>
              <w:t>三级指标</w:t>
            </w:r>
          </w:p>
        </w:tc>
        <w:tc>
          <w:tcPr>
            <w:tcW w:w="3119" w:type="dxa"/>
            <w:tcBorders>
              <w:top w:val="single" w:sz="4" w:space="0" w:color="000000"/>
              <w:left w:val="nil"/>
              <w:bottom w:val="single" w:sz="4" w:space="0" w:color="000000"/>
              <w:right w:val="single" w:sz="4" w:space="0" w:color="000000"/>
            </w:tcBorders>
            <w:shd w:val="clear" w:color="auto" w:fill="auto"/>
            <w:vAlign w:val="center"/>
          </w:tcPr>
          <w:p w:rsidR="00847650" w:rsidRDefault="00847650" w:rsidP="00D80C45">
            <w:pPr>
              <w:widowControl/>
              <w:adjustRightInd w:val="0"/>
              <w:snapToGrid w:val="0"/>
              <w:jc w:val="center"/>
              <w:rPr>
                <w:rFonts w:ascii="宋体" w:hAnsi="宋体"/>
                <w:b/>
                <w:bCs/>
                <w:kern w:val="0"/>
              </w:rPr>
            </w:pPr>
            <w:r>
              <w:rPr>
                <w:rFonts w:ascii="宋体" w:hAnsi="宋体" w:hint="eastAsia"/>
                <w:b/>
                <w:bCs/>
                <w:kern w:val="0"/>
              </w:rPr>
              <w:t>指标值</w:t>
            </w:r>
          </w:p>
        </w:tc>
      </w:tr>
      <w:tr w:rsidR="00847650" w:rsidTr="00D80C45">
        <w:trPr>
          <w:trHeight w:val="20"/>
        </w:trPr>
        <w:tc>
          <w:tcPr>
            <w:tcW w:w="762" w:type="dxa"/>
            <w:vMerge w:val="restart"/>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center"/>
              <w:rPr>
                <w:rFonts w:ascii="宋体" w:hAnsi="宋体"/>
                <w:kern w:val="0"/>
              </w:rPr>
            </w:pPr>
            <w:r>
              <w:rPr>
                <w:rFonts w:ascii="宋体" w:hAnsi="宋体" w:hint="eastAsia"/>
                <w:kern w:val="0"/>
              </w:rPr>
              <w:t>产出</w:t>
            </w:r>
          </w:p>
          <w:p w:rsidR="00847650" w:rsidRDefault="00847650" w:rsidP="00D80C45">
            <w:pPr>
              <w:widowControl/>
              <w:adjustRightInd w:val="0"/>
              <w:snapToGrid w:val="0"/>
              <w:jc w:val="center"/>
              <w:rPr>
                <w:rFonts w:ascii="宋体" w:hAnsi="宋体"/>
                <w:kern w:val="0"/>
              </w:rPr>
            </w:pPr>
            <w:r>
              <w:rPr>
                <w:rFonts w:ascii="宋体" w:hAnsi="宋体" w:hint="eastAsia"/>
                <w:kern w:val="0"/>
              </w:rPr>
              <w:t>指标</w:t>
            </w:r>
          </w:p>
        </w:tc>
        <w:tc>
          <w:tcPr>
            <w:tcW w:w="793" w:type="dxa"/>
            <w:vMerge w:val="restart"/>
            <w:tcBorders>
              <w:top w:val="nil"/>
              <w:left w:val="nil"/>
              <w:right w:val="single" w:sz="4" w:space="0" w:color="000000"/>
            </w:tcBorders>
            <w:vAlign w:val="center"/>
          </w:tcPr>
          <w:p w:rsidR="00847650" w:rsidRDefault="00847650" w:rsidP="00D80C45">
            <w:pPr>
              <w:widowControl/>
              <w:adjustRightInd w:val="0"/>
              <w:snapToGrid w:val="0"/>
              <w:jc w:val="center"/>
              <w:rPr>
                <w:rFonts w:ascii="宋体" w:hAnsi="宋体"/>
                <w:kern w:val="0"/>
              </w:rPr>
            </w:pPr>
            <w:r>
              <w:rPr>
                <w:rFonts w:ascii="宋体" w:hAnsi="宋体" w:hint="eastAsia"/>
                <w:kern w:val="0"/>
              </w:rPr>
              <w:t>数量指标</w:t>
            </w: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体育彩票2023年全年销售额</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w:t>
            </w:r>
            <w:r>
              <w:rPr>
                <w:rFonts w:ascii="宋体" w:hAnsi="宋体"/>
                <w:kern w:val="0"/>
              </w:rPr>
              <w:t>77</w:t>
            </w:r>
            <w:r>
              <w:rPr>
                <w:rFonts w:ascii="宋体" w:hAnsi="宋体" w:hint="eastAsia"/>
                <w:kern w:val="0"/>
              </w:rPr>
              <w:t>亿元</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left w:val="nil"/>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实体店日常维护及管理</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≥2850家</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left w:val="nil"/>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合</w:t>
            </w:r>
            <w:proofErr w:type="gramStart"/>
            <w:r>
              <w:rPr>
                <w:rFonts w:ascii="宋体" w:hAnsi="宋体" w:hint="eastAsia"/>
                <w:kern w:val="0"/>
              </w:rPr>
              <w:t>规</w:t>
            </w:r>
            <w:proofErr w:type="gramEnd"/>
            <w:r>
              <w:rPr>
                <w:rFonts w:ascii="宋体" w:hAnsi="宋体" w:hint="eastAsia"/>
                <w:kern w:val="0"/>
              </w:rPr>
              <w:t>销售检查次数</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≥12次</w:t>
            </w:r>
          </w:p>
        </w:tc>
      </w:tr>
      <w:tr w:rsidR="00847650" w:rsidTr="00D80C45">
        <w:trPr>
          <w:trHeight w:val="9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left w:val="nil"/>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hAnsi="仿宋" w:hint="eastAsia"/>
              </w:rPr>
              <w:t>体</w:t>
            </w:r>
            <w:proofErr w:type="gramStart"/>
            <w:r>
              <w:rPr>
                <w:rFonts w:hAnsi="仿宋" w:hint="eastAsia"/>
              </w:rPr>
              <w:t>彩展示</w:t>
            </w:r>
            <w:proofErr w:type="gramEnd"/>
            <w:r>
              <w:rPr>
                <w:rFonts w:hAnsi="仿宋" w:hint="eastAsia"/>
              </w:rPr>
              <w:t>体验中心数量</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≥33家</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left w:val="nil"/>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“体彩+”门店数量</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≥600家</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left w:val="nil"/>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促销活动次数</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9次</w:t>
            </w:r>
          </w:p>
        </w:tc>
      </w:tr>
      <w:tr w:rsidR="00847650" w:rsidTr="00D80C45">
        <w:trPr>
          <w:trHeight w:val="9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left w:val="nil"/>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市场宣传推广活动次数</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≥10次</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专用设备购置数量</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≥51台/套</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全年组织爱党爱国活动</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≥12次</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val="restart"/>
            <w:tcBorders>
              <w:top w:val="nil"/>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质量指标</w:t>
            </w: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实体店服务</w:t>
            </w:r>
            <w:proofErr w:type="gramStart"/>
            <w:r>
              <w:rPr>
                <w:rFonts w:ascii="宋体" w:hAnsi="宋体" w:hint="eastAsia"/>
                <w:kern w:val="0"/>
              </w:rPr>
              <w:t>商考核</w:t>
            </w:r>
            <w:proofErr w:type="gramEnd"/>
            <w:r>
              <w:rPr>
                <w:rFonts w:ascii="宋体" w:hAnsi="宋体" w:hint="eastAsia"/>
                <w:kern w:val="0"/>
              </w:rPr>
              <w:t>通过率</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≥95%</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top w:val="nil"/>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信息系统运维合格率</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100%</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top w:val="nil"/>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设备验收合格率</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100%</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val="restart"/>
            <w:tcBorders>
              <w:top w:val="nil"/>
              <w:left w:val="nil"/>
              <w:bottom w:val="single" w:sz="4" w:space="0" w:color="000000"/>
              <w:right w:val="single" w:sz="4" w:space="0" w:color="000000"/>
            </w:tcBorders>
            <w:vAlign w:val="center"/>
          </w:tcPr>
          <w:p w:rsidR="00847650" w:rsidRDefault="00847650" w:rsidP="00D80C45">
            <w:pPr>
              <w:widowControl/>
              <w:adjustRightInd w:val="0"/>
              <w:snapToGrid w:val="0"/>
              <w:jc w:val="center"/>
              <w:rPr>
                <w:rFonts w:ascii="宋体" w:hAnsi="宋体"/>
                <w:kern w:val="0"/>
              </w:rPr>
            </w:pPr>
            <w:r>
              <w:rPr>
                <w:rFonts w:ascii="宋体" w:hAnsi="宋体" w:hint="eastAsia"/>
                <w:kern w:val="0"/>
              </w:rPr>
              <w:t>时效指标</w:t>
            </w: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活动举办及时率</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优</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top w:val="nil"/>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系统故障响应及时</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优</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center"/>
              <w:rPr>
                <w:rFonts w:ascii="宋体" w:hAnsi="宋体"/>
                <w:kern w:val="0"/>
              </w:rPr>
            </w:pPr>
            <w:r>
              <w:rPr>
                <w:rFonts w:ascii="宋体" w:hAnsi="宋体" w:hint="eastAsia"/>
                <w:kern w:val="0"/>
              </w:rPr>
              <w:t>成本指标</w:t>
            </w: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按照预算将各项支出严格控制在预算规定范围之内</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优</w:t>
            </w:r>
          </w:p>
        </w:tc>
      </w:tr>
      <w:tr w:rsidR="00847650" w:rsidTr="00D80C45">
        <w:trPr>
          <w:trHeight w:val="20"/>
        </w:trPr>
        <w:tc>
          <w:tcPr>
            <w:tcW w:w="762" w:type="dxa"/>
            <w:vMerge w:val="restart"/>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center"/>
              <w:rPr>
                <w:rFonts w:ascii="宋体" w:hAnsi="宋体"/>
                <w:kern w:val="0"/>
              </w:rPr>
            </w:pPr>
            <w:r>
              <w:rPr>
                <w:rFonts w:ascii="宋体" w:hAnsi="宋体" w:hint="eastAsia"/>
                <w:kern w:val="0"/>
              </w:rPr>
              <w:t>效益</w:t>
            </w:r>
          </w:p>
          <w:p w:rsidR="00847650" w:rsidRDefault="00847650" w:rsidP="00D80C45">
            <w:pPr>
              <w:widowControl/>
              <w:adjustRightInd w:val="0"/>
              <w:snapToGrid w:val="0"/>
              <w:jc w:val="center"/>
              <w:rPr>
                <w:rFonts w:ascii="宋体" w:hAnsi="宋体"/>
                <w:kern w:val="0"/>
              </w:rPr>
            </w:pPr>
            <w:r>
              <w:rPr>
                <w:rFonts w:ascii="宋体" w:hAnsi="宋体" w:hint="eastAsia"/>
                <w:kern w:val="0"/>
              </w:rPr>
              <w:t>指标</w:t>
            </w:r>
          </w:p>
        </w:tc>
        <w:tc>
          <w:tcPr>
            <w:tcW w:w="793" w:type="dxa"/>
            <w:vMerge w:val="restart"/>
            <w:tcBorders>
              <w:top w:val="nil"/>
              <w:left w:val="nil"/>
              <w:bottom w:val="single" w:sz="4" w:space="0" w:color="000000"/>
              <w:right w:val="single" w:sz="4" w:space="0" w:color="000000"/>
            </w:tcBorders>
            <w:vAlign w:val="center"/>
          </w:tcPr>
          <w:p w:rsidR="00847650" w:rsidRDefault="00847650" w:rsidP="00D80C45">
            <w:pPr>
              <w:widowControl/>
              <w:adjustRightInd w:val="0"/>
              <w:snapToGrid w:val="0"/>
              <w:jc w:val="center"/>
              <w:rPr>
                <w:rFonts w:ascii="宋体" w:hAnsi="宋体"/>
                <w:kern w:val="0"/>
              </w:rPr>
            </w:pPr>
            <w:r>
              <w:rPr>
                <w:rFonts w:ascii="宋体" w:hAnsi="宋体" w:hint="eastAsia"/>
                <w:kern w:val="0"/>
              </w:rPr>
              <w:t>效益指标</w:t>
            </w: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筹集地方公益金</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w:t>
            </w:r>
            <w:r>
              <w:rPr>
                <w:rFonts w:ascii="宋体" w:hAnsi="宋体"/>
                <w:kern w:val="0"/>
              </w:rPr>
              <w:t>9.26</w:t>
            </w:r>
            <w:r>
              <w:rPr>
                <w:rFonts w:ascii="宋体" w:hAnsi="宋体" w:hint="eastAsia"/>
                <w:kern w:val="0"/>
              </w:rPr>
              <w:t>亿元</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top w:val="nil"/>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系统稳定运行，保持业务健康发展</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优</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top w:val="nil"/>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促进体育彩票销售</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优</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top w:val="nil"/>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提升体</w:t>
            </w:r>
            <w:proofErr w:type="gramStart"/>
            <w:r>
              <w:rPr>
                <w:rFonts w:ascii="宋体" w:hAnsi="宋体" w:hint="eastAsia"/>
                <w:kern w:val="0"/>
              </w:rPr>
              <w:t>彩品牌</w:t>
            </w:r>
            <w:proofErr w:type="gramEnd"/>
            <w:r>
              <w:rPr>
                <w:rFonts w:ascii="宋体" w:hAnsi="宋体" w:hint="eastAsia"/>
                <w:kern w:val="0"/>
              </w:rPr>
              <w:t>认知与认可度</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优</w:t>
            </w:r>
          </w:p>
        </w:tc>
      </w:tr>
      <w:tr w:rsidR="00847650" w:rsidTr="00D80C45">
        <w:trPr>
          <w:trHeight w:val="20"/>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top w:val="nil"/>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系统稳定运行，保持业务健康发展</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优</w:t>
            </w:r>
          </w:p>
        </w:tc>
      </w:tr>
      <w:tr w:rsidR="00847650" w:rsidTr="00D80C45">
        <w:trPr>
          <w:trHeight w:val="397"/>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val="restart"/>
            <w:tcBorders>
              <w:top w:val="nil"/>
              <w:left w:val="nil"/>
              <w:bottom w:val="single" w:sz="4" w:space="0" w:color="000000"/>
              <w:right w:val="single" w:sz="4" w:space="0" w:color="000000"/>
            </w:tcBorders>
            <w:vAlign w:val="center"/>
          </w:tcPr>
          <w:p w:rsidR="00847650" w:rsidRDefault="00847650" w:rsidP="00D80C45">
            <w:pPr>
              <w:widowControl/>
              <w:adjustRightInd w:val="0"/>
              <w:snapToGrid w:val="0"/>
              <w:jc w:val="center"/>
              <w:rPr>
                <w:rFonts w:ascii="宋体" w:hAnsi="宋体"/>
                <w:kern w:val="0"/>
              </w:rPr>
            </w:pPr>
            <w:r>
              <w:rPr>
                <w:rFonts w:ascii="宋体" w:hAnsi="宋体" w:hint="eastAsia"/>
                <w:kern w:val="0"/>
              </w:rPr>
              <w:t>满意度指标</w:t>
            </w: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购彩者满意度</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≥80%</w:t>
            </w:r>
          </w:p>
        </w:tc>
      </w:tr>
      <w:tr w:rsidR="00847650" w:rsidTr="00D80C45">
        <w:trPr>
          <w:trHeight w:val="397"/>
        </w:trPr>
        <w:tc>
          <w:tcPr>
            <w:tcW w:w="762" w:type="dxa"/>
            <w:vMerge/>
            <w:tcBorders>
              <w:top w:val="nil"/>
              <w:left w:val="single" w:sz="4" w:space="0" w:color="000000"/>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793" w:type="dxa"/>
            <w:vMerge/>
            <w:tcBorders>
              <w:top w:val="nil"/>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szCs w:val="21"/>
              </w:rPr>
            </w:pPr>
          </w:p>
        </w:tc>
        <w:tc>
          <w:tcPr>
            <w:tcW w:w="4110"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网点满意度</w:t>
            </w:r>
          </w:p>
        </w:tc>
        <w:tc>
          <w:tcPr>
            <w:tcW w:w="3119" w:type="dxa"/>
            <w:tcBorders>
              <w:top w:val="single" w:sz="4" w:space="0" w:color="000000"/>
              <w:left w:val="nil"/>
              <w:bottom w:val="single" w:sz="4" w:space="0" w:color="000000"/>
              <w:right w:val="single" w:sz="4" w:space="0" w:color="000000"/>
            </w:tcBorders>
            <w:vAlign w:val="center"/>
          </w:tcPr>
          <w:p w:rsidR="00847650" w:rsidRDefault="00847650" w:rsidP="00D80C45">
            <w:pPr>
              <w:widowControl/>
              <w:adjustRightInd w:val="0"/>
              <w:snapToGrid w:val="0"/>
              <w:jc w:val="left"/>
              <w:rPr>
                <w:rFonts w:ascii="宋体" w:hAnsi="宋体"/>
                <w:kern w:val="0"/>
              </w:rPr>
            </w:pPr>
            <w:r>
              <w:rPr>
                <w:rFonts w:ascii="宋体" w:hAnsi="宋体" w:hint="eastAsia"/>
                <w:kern w:val="0"/>
              </w:rPr>
              <w:t>≥80%</w:t>
            </w:r>
          </w:p>
        </w:tc>
      </w:tr>
    </w:tbl>
    <w:p w:rsidR="00847650" w:rsidRDefault="00847650" w:rsidP="00847650">
      <w:pPr>
        <w:spacing w:line="360" w:lineRule="auto"/>
        <w:ind w:firstLineChars="200" w:firstLine="643"/>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3</w:t>
      </w:r>
      <w:r>
        <w:rPr>
          <w:rFonts w:ascii="仿宋_GB2312" w:eastAsia="仿宋_GB2312" w:hAnsi="宋体" w:cs="宋体"/>
          <w:b/>
          <w:bCs/>
          <w:kern w:val="0"/>
          <w:sz w:val="32"/>
          <w:szCs w:val="32"/>
        </w:rPr>
        <w:t>.</w:t>
      </w:r>
      <w:r>
        <w:rPr>
          <w:rFonts w:ascii="仿宋_GB2312" w:eastAsia="仿宋_GB2312" w:hAnsi="宋体" w:cs="宋体" w:hint="eastAsia"/>
          <w:b/>
          <w:bCs/>
          <w:kern w:val="0"/>
          <w:sz w:val="32"/>
          <w:szCs w:val="32"/>
        </w:rPr>
        <w:t>部门整体支出绩效目标及指标合理性分析</w:t>
      </w:r>
    </w:p>
    <w:p w:rsidR="00847650" w:rsidRDefault="00847650" w:rsidP="00847650">
      <w:pPr>
        <w:spacing w:line="360" w:lineRule="auto"/>
        <w:ind w:firstLineChars="200" w:firstLine="640"/>
        <w:rPr>
          <w:rFonts w:ascii="仿宋_GB2312" w:eastAsia="仿宋_GB2312" w:hAnsi="宋体" w:cs="宋体"/>
          <w:color w:val="0000FF"/>
          <w:kern w:val="0"/>
          <w:sz w:val="32"/>
          <w:szCs w:val="32"/>
        </w:rPr>
      </w:pPr>
      <w:r>
        <w:rPr>
          <w:rFonts w:ascii="仿宋_GB2312" w:eastAsia="仿宋_GB2312" w:hAnsi="宋体" w:cs="宋体" w:hint="eastAsia"/>
          <w:kern w:val="0"/>
          <w:sz w:val="32"/>
          <w:szCs w:val="32"/>
        </w:rPr>
        <w:t>2023年</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根据总局中心、市体育局和市财政局</w:t>
      </w:r>
      <w:r>
        <w:rPr>
          <w:rFonts w:ascii="仿宋_GB2312" w:eastAsia="仿宋_GB2312" w:hint="eastAsia"/>
          <w:sz w:val="32"/>
          <w:szCs w:val="32"/>
        </w:rPr>
        <w:lastRenderedPageBreak/>
        <w:t>工作要求，立足部门发展实际和体</w:t>
      </w:r>
      <w:proofErr w:type="gramStart"/>
      <w:r>
        <w:rPr>
          <w:rFonts w:ascii="仿宋_GB2312" w:eastAsia="仿宋_GB2312" w:hint="eastAsia"/>
          <w:sz w:val="32"/>
          <w:szCs w:val="32"/>
        </w:rPr>
        <w:t>彩行业</w:t>
      </w:r>
      <w:proofErr w:type="gramEnd"/>
      <w:r>
        <w:rPr>
          <w:rFonts w:ascii="仿宋_GB2312" w:eastAsia="仿宋_GB2312" w:hint="eastAsia"/>
          <w:sz w:val="32"/>
          <w:szCs w:val="32"/>
        </w:rPr>
        <w:t>发展规划，深入分析部门履职方式，围绕“风险、品牌、渠道”三个中心，聚焦重点任务，提炼总结部门整体绩效目标和衡量部门履职效能的关键核心绩效指标，通过优化渠道、突出品牌、强化宣传等综合施策，深化体育彩票消费人群、游戏品种和销售渠道的结构调整，提升体育彩票销售规模。</w:t>
      </w:r>
      <w:r>
        <w:rPr>
          <w:rFonts w:ascii="仿宋_GB2312" w:eastAsia="仿宋_GB2312" w:hAnsi="宋体" w:cs="宋体" w:hint="eastAsia"/>
          <w:kern w:val="0"/>
          <w:sz w:val="32"/>
          <w:szCs w:val="32"/>
        </w:rPr>
        <w:t>部门目标与部门职责任务匹配度较高，各项产出及效果指标设定较为合理性，与年度重点工作相关联，可衡量性较强，目标及指标设置较为合理。</w:t>
      </w:r>
    </w:p>
    <w:p w:rsidR="00847650" w:rsidRDefault="00847650" w:rsidP="00847650">
      <w:pPr>
        <w:spacing w:line="360" w:lineRule="auto"/>
        <w:ind w:firstLineChars="200" w:firstLine="640"/>
        <w:outlineLvl w:val="0"/>
        <w:rPr>
          <w:rFonts w:ascii="黑体" w:eastAsia="黑体" w:hAnsi="黑体" w:cs="宋体"/>
          <w:kern w:val="0"/>
          <w:sz w:val="32"/>
          <w:szCs w:val="32"/>
        </w:rPr>
      </w:pPr>
      <w:bookmarkStart w:id="3" w:name="_Toc14023"/>
      <w:r>
        <w:rPr>
          <w:rFonts w:ascii="黑体" w:eastAsia="黑体" w:hAnsi="黑体" w:cs="宋体" w:hint="eastAsia"/>
          <w:kern w:val="0"/>
          <w:sz w:val="32"/>
          <w:szCs w:val="32"/>
        </w:rPr>
        <w:t>二</w:t>
      </w:r>
      <w:r>
        <w:rPr>
          <w:rFonts w:ascii="黑体" w:eastAsia="黑体" w:hAnsi="黑体" w:cs="宋体"/>
          <w:kern w:val="0"/>
          <w:sz w:val="32"/>
          <w:szCs w:val="32"/>
        </w:rPr>
        <w:t>、</w:t>
      </w:r>
      <w:r>
        <w:rPr>
          <w:rFonts w:ascii="黑体" w:eastAsia="黑体" w:hAnsi="黑体" w:cs="宋体" w:hint="eastAsia"/>
          <w:kern w:val="0"/>
          <w:sz w:val="32"/>
          <w:szCs w:val="32"/>
        </w:rPr>
        <w:t>当年</w:t>
      </w:r>
      <w:r>
        <w:rPr>
          <w:rFonts w:ascii="黑体" w:eastAsia="黑体" w:hAnsi="黑体" w:cs="宋体"/>
          <w:kern w:val="0"/>
          <w:sz w:val="32"/>
          <w:szCs w:val="32"/>
        </w:rPr>
        <w:t>预算执行情况</w:t>
      </w:r>
      <w:bookmarkEnd w:id="3"/>
    </w:p>
    <w:p w:rsidR="00847650" w:rsidRDefault="00847650" w:rsidP="00847650">
      <w:pPr>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2023年年初支出预算数19,067.06万元</w:t>
      </w:r>
      <w:r>
        <w:rPr>
          <w:rFonts w:ascii="仿宋_GB2312" w:eastAsia="仿宋_GB2312" w:hAnsi="宋体" w:cs="宋体"/>
          <w:kern w:val="0"/>
          <w:sz w:val="32"/>
          <w:szCs w:val="32"/>
        </w:rPr>
        <w:t>，</w:t>
      </w:r>
      <w:r>
        <w:rPr>
          <w:rFonts w:ascii="仿宋_GB2312" w:eastAsia="仿宋_GB2312" w:hAnsi="宋体" w:cs="宋体" w:hint="eastAsia"/>
          <w:kern w:val="0"/>
          <w:sz w:val="32"/>
          <w:szCs w:val="32"/>
        </w:rPr>
        <w:t>其中</w:t>
      </w:r>
      <w:r>
        <w:rPr>
          <w:rFonts w:ascii="仿宋_GB2312" w:eastAsia="仿宋_GB2312" w:hAnsi="宋体" w:cs="宋体"/>
          <w:kern w:val="0"/>
          <w:sz w:val="32"/>
          <w:szCs w:val="32"/>
        </w:rPr>
        <w:t>，基本</w:t>
      </w:r>
      <w:r>
        <w:rPr>
          <w:rFonts w:ascii="仿宋_GB2312" w:eastAsia="仿宋_GB2312" w:hAnsi="宋体" w:cs="宋体" w:hint="eastAsia"/>
          <w:kern w:val="0"/>
          <w:sz w:val="32"/>
          <w:szCs w:val="32"/>
        </w:rPr>
        <w:t>支出</w:t>
      </w:r>
      <w:r>
        <w:rPr>
          <w:rFonts w:ascii="仿宋_GB2312" w:eastAsia="仿宋_GB2312" w:hAnsi="宋体" w:cs="宋体"/>
          <w:kern w:val="0"/>
          <w:sz w:val="32"/>
          <w:szCs w:val="32"/>
        </w:rPr>
        <w:t>预算数</w:t>
      </w:r>
      <w:r>
        <w:rPr>
          <w:rFonts w:ascii="仿宋_GB2312" w:eastAsia="仿宋_GB2312" w:hAnsi="宋体" w:cs="宋体" w:hint="eastAsia"/>
          <w:kern w:val="0"/>
          <w:sz w:val="32"/>
          <w:szCs w:val="32"/>
        </w:rPr>
        <w:t>2,406.72</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项目支出预算数16,060.3</w:t>
      </w:r>
      <w:r>
        <w:rPr>
          <w:rFonts w:ascii="仿宋_GB2312" w:eastAsia="仿宋_GB2312" w:hAnsi="宋体" w:cs="宋体"/>
          <w:kern w:val="0"/>
          <w:sz w:val="32"/>
          <w:szCs w:val="32"/>
        </w:rPr>
        <w:t>4</w:t>
      </w:r>
      <w:r>
        <w:rPr>
          <w:rFonts w:ascii="仿宋_GB2312" w:eastAsia="仿宋_GB2312" w:hAnsi="宋体" w:cs="宋体" w:hint="eastAsia"/>
          <w:kern w:val="0"/>
          <w:sz w:val="32"/>
          <w:szCs w:val="32"/>
        </w:rPr>
        <w:t>万元</w:t>
      </w:r>
      <w:r>
        <w:rPr>
          <w:rFonts w:ascii="仿宋_GB2312" w:eastAsia="仿宋_GB2312" w:hAnsi="宋体" w:cs="宋体"/>
          <w:kern w:val="0"/>
          <w:sz w:val="32"/>
          <w:szCs w:val="32"/>
        </w:rPr>
        <w:t>，其他支出</w:t>
      </w:r>
      <w:r>
        <w:rPr>
          <w:rFonts w:ascii="仿宋_GB2312" w:eastAsia="仿宋_GB2312" w:hAnsi="宋体" w:cs="宋体" w:hint="eastAsia"/>
          <w:kern w:val="0"/>
          <w:sz w:val="32"/>
          <w:szCs w:val="32"/>
        </w:rPr>
        <w:t>预算数600.00</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。全年支出预算数19,432.06万元，其中，基本支出预算数2,406.72</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，项目支出预算数16,425.3</w:t>
      </w:r>
      <w:r>
        <w:rPr>
          <w:rFonts w:ascii="仿宋_GB2312" w:eastAsia="仿宋_GB2312" w:hAnsi="宋体" w:cs="宋体"/>
          <w:kern w:val="0"/>
          <w:sz w:val="32"/>
          <w:szCs w:val="32"/>
        </w:rPr>
        <w:t>4</w:t>
      </w:r>
      <w:r>
        <w:rPr>
          <w:rFonts w:ascii="仿宋_GB2312" w:eastAsia="仿宋_GB2312" w:hAnsi="宋体" w:cs="宋体" w:hint="eastAsia"/>
          <w:kern w:val="0"/>
          <w:sz w:val="32"/>
          <w:szCs w:val="32"/>
        </w:rPr>
        <w:t>万元，</w:t>
      </w:r>
      <w:r>
        <w:rPr>
          <w:rFonts w:ascii="仿宋_GB2312" w:eastAsia="仿宋_GB2312" w:hAnsi="宋体" w:cs="宋体"/>
          <w:kern w:val="0"/>
          <w:sz w:val="32"/>
          <w:szCs w:val="32"/>
        </w:rPr>
        <w:t>其他支出</w:t>
      </w:r>
      <w:r>
        <w:rPr>
          <w:rFonts w:ascii="仿宋_GB2312" w:eastAsia="仿宋_GB2312" w:hAnsi="宋体" w:cs="宋体" w:hint="eastAsia"/>
          <w:kern w:val="0"/>
          <w:sz w:val="32"/>
          <w:szCs w:val="32"/>
        </w:rPr>
        <w:t>预算数600.00</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。全年支出决算数17,633.</w:t>
      </w:r>
      <w:r>
        <w:rPr>
          <w:rFonts w:ascii="仿宋_GB2312" w:eastAsia="仿宋_GB2312" w:hAnsi="宋体" w:cs="宋体"/>
          <w:kern w:val="0"/>
          <w:sz w:val="32"/>
          <w:szCs w:val="32"/>
        </w:rPr>
        <w:t>3</w:t>
      </w:r>
      <w:r>
        <w:rPr>
          <w:rFonts w:ascii="仿宋_GB2312" w:eastAsia="仿宋_GB2312" w:hAnsi="宋体" w:cs="宋体" w:hint="eastAsia"/>
          <w:kern w:val="0"/>
          <w:sz w:val="32"/>
          <w:szCs w:val="32"/>
        </w:rPr>
        <w:t>9</w:t>
      </w:r>
      <w:r>
        <w:rPr>
          <w:rFonts w:ascii="仿宋_GB2312" w:eastAsia="仿宋_GB2312" w:hAnsi="宋体" w:cs="宋体"/>
          <w:kern w:val="0"/>
          <w:sz w:val="32"/>
          <w:szCs w:val="32"/>
        </w:rPr>
        <w:t>万元，其中，基本支出</w:t>
      </w:r>
      <w:r>
        <w:rPr>
          <w:rFonts w:ascii="仿宋_GB2312" w:eastAsia="仿宋_GB2312" w:hAnsi="宋体" w:cs="宋体" w:hint="eastAsia"/>
          <w:kern w:val="0"/>
          <w:sz w:val="32"/>
          <w:szCs w:val="32"/>
        </w:rPr>
        <w:t>2,226.04万</w:t>
      </w:r>
      <w:r>
        <w:rPr>
          <w:rFonts w:ascii="仿宋_GB2312" w:eastAsia="仿宋_GB2312" w:hAnsi="宋体" w:cs="宋体"/>
          <w:kern w:val="0"/>
          <w:sz w:val="32"/>
          <w:szCs w:val="32"/>
        </w:rPr>
        <w:t>元，</w:t>
      </w:r>
      <w:r>
        <w:rPr>
          <w:rFonts w:ascii="仿宋_GB2312" w:eastAsia="仿宋_GB2312" w:hAnsi="宋体" w:cs="宋体" w:hint="eastAsia"/>
          <w:kern w:val="0"/>
          <w:sz w:val="32"/>
          <w:szCs w:val="32"/>
        </w:rPr>
        <w:t>项目支出14,807.35万元</w:t>
      </w:r>
      <w:r>
        <w:rPr>
          <w:rFonts w:ascii="仿宋_GB2312" w:eastAsia="仿宋_GB2312" w:hAnsi="宋体" w:cs="宋体"/>
          <w:kern w:val="0"/>
          <w:sz w:val="32"/>
          <w:szCs w:val="32"/>
        </w:rPr>
        <w:t>，其他支出</w:t>
      </w:r>
      <w:r>
        <w:rPr>
          <w:rFonts w:ascii="仿宋_GB2312" w:eastAsia="仿宋_GB2312" w:hAnsi="宋体" w:cs="宋体" w:hint="eastAsia"/>
          <w:kern w:val="0"/>
          <w:sz w:val="32"/>
          <w:szCs w:val="32"/>
        </w:rPr>
        <w:t>600.00</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2023年部门预算</w:t>
      </w:r>
      <w:r>
        <w:rPr>
          <w:rFonts w:ascii="仿宋_GB2312" w:eastAsia="仿宋_GB2312" w:hAnsi="宋体" w:cs="宋体"/>
          <w:kern w:val="0"/>
          <w:sz w:val="32"/>
          <w:szCs w:val="32"/>
        </w:rPr>
        <w:t>执行率为</w:t>
      </w:r>
      <w:r>
        <w:rPr>
          <w:rFonts w:ascii="仿宋_GB2312" w:eastAsia="仿宋_GB2312" w:hAnsi="宋体" w:cs="宋体" w:hint="eastAsia"/>
          <w:kern w:val="0"/>
          <w:sz w:val="32"/>
          <w:szCs w:val="32"/>
        </w:rPr>
        <w:t>90.74%。</w:t>
      </w:r>
    </w:p>
    <w:p w:rsidR="00847650" w:rsidRDefault="00847650" w:rsidP="00847650">
      <w:pPr>
        <w:spacing w:line="360" w:lineRule="auto"/>
        <w:ind w:leftChars="50" w:left="105" w:firstLineChars="150" w:firstLine="480"/>
        <w:outlineLvl w:val="0"/>
        <w:rPr>
          <w:rFonts w:ascii="黑体" w:eastAsia="黑体" w:hAnsi="黑体" w:cs="宋体"/>
          <w:kern w:val="0"/>
          <w:sz w:val="32"/>
          <w:szCs w:val="32"/>
        </w:rPr>
      </w:pPr>
      <w:bookmarkStart w:id="4" w:name="_Toc22496"/>
      <w:r>
        <w:rPr>
          <w:rFonts w:ascii="黑体" w:eastAsia="黑体" w:hAnsi="黑体" w:cs="宋体" w:hint="eastAsia"/>
          <w:kern w:val="0"/>
          <w:sz w:val="32"/>
          <w:szCs w:val="32"/>
        </w:rPr>
        <w:t>三</w:t>
      </w:r>
      <w:r>
        <w:rPr>
          <w:rFonts w:ascii="黑体" w:eastAsia="黑体" w:hAnsi="黑体" w:cs="宋体"/>
          <w:kern w:val="0"/>
          <w:sz w:val="32"/>
          <w:szCs w:val="32"/>
        </w:rPr>
        <w:t>、整体绩效目标实现情况</w:t>
      </w:r>
      <w:bookmarkEnd w:id="4"/>
    </w:p>
    <w:p w:rsidR="00847650" w:rsidRDefault="00847650" w:rsidP="00847650">
      <w:pPr>
        <w:spacing w:line="360" w:lineRule="auto"/>
        <w:ind w:leftChars="50" w:left="105" w:firstLineChars="150" w:firstLine="482"/>
        <w:outlineLvl w:val="1"/>
        <w:rPr>
          <w:rFonts w:ascii="楷体_GB2312" w:eastAsia="楷体_GB2312"/>
          <w:b/>
          <w:bCs/>
          <w:sz w:val="32"/>
          <w:szCs w:val="32"/>
        </w:rPr>
      </w:pPr>
      <w:bookmarkStart w:id="5" w:name="_Toc8597"/>
      <w:r>
        <w:rPr>
          <w:rFonts w:ascii="楷体_GB2312" w:eastAsia="楷体_GB2312" w:hint="eastAsia"/>
          <w:b/>
          <w:bCs/>
          <w:sz w:val="32"/>
          <w:szCs w:val="32"/>
        </w:rPr>
        <w:t>（一）产出完成情况分析</w:t>
      </w:r>
      <w:bookmarkEnd w:id="5"/>
    </w:p>
    <w:p w:rsidR="00847650" w:rsidRDefault="00847650" w:rsidP="00847650">
      <w:pPr>
        <w:spacing w:line="360" w:lineRule="auto"/>
        <w:ind w:firstLineChars="200" w:firstLine="643"/>
        <w:outlineLvl w:val="2"/>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1.产出数量</w:t>
      </w:r>
    </w:p>
    <w:p w:rsidR="00847650" w:rsidRDefault="00847650" w:rsidP="00847650">
      <w:pPr>
        <w:spacing w:line="360" w:lineRule="auto"/>
        <w:ind w:leftChars="50" w:left="105"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lastRenderedPageBreak/>
        <w:t>体育彩票销售方面</w:t>
      </w:r>
      <w:r>
        <w:rPr>
          <w:rFonts w:ascii="仿宋_GB2312" w:eastAsia="仿宋_GB2312" w:hAnsi="宋体" w:cs="宋体" w:hint="eastAsia"/>
          <w:kern w:val="0"/>
          <w:sz w:val="32"/>
          <w:szCs w:val="32"/>
        </w:rPr>
        <w:t>。2023年北京体彩年度销量108.24亿元，同比增长48.5</w:t>
      </w:r>
      <w:r>
        <w:rPr>
          <w:rFonts w:ascii="仿宋_GB2312" w:eastAsia="仿宋_GB2312" w:hAnsi="宋体" w:cs="宋体"/>
          <w:kern w:val="0"/>
          <w:sz w:val="32"/>
          <w:szCs w:val="32"/>
        </w:rPr>
        <w:t>2</w:t>
      </w:r>
      <w:r>
        <w:rPr>
          <w:rFonts w:ascii="仿宋_GB2312" w:eastAsia="仿宋_GB2312" w:hAnsi="宋体" w:cs="宋体" w:hint="eastAsia"/>
          <w:kern w:val="0"/>
          <w:sz w:val="32"/>
          <w:szCs w:val="32"/>
        </w:rPr>
        <w:t>%，体育彩票销售额指标完成率为</w:t>
      </w:r>
      <w:r>
        <w:rPr>
          <w:rFonts w:ascii="仿宋_GB2312" w:eastAsia="仿宋_GB2312" w:hAnsi="宋体" w:cs="宋体"/>
          <w:kern w:val="0"/>
          <w:sz w:val="32"/>
          <w:szCs w:val="32"/>
        </w:rPr>
        <w:t>140.57</w:t>
      </w:r>
      <w:r>
        <w:rPr>
          <w:rFonts w:ascii="仿宋_GB2312" w:eastAsia="仿宋_GB2312" w:hAnsi="宋体" w:cs="宋体" w:hint="eastAsia"/>
          <w:kern w:val="0"/>
          <w:sz w:val="32"/>
          <w:szCs w:val="32"/>
        </w:rPr>
        <w:t>%。</w:t>
      </w:r>
    </w:p>
    <w:p w:rsidR="00847650" w:rsidRDefault="00847650" w:rsidP="00847650">
      <w:pPr>
        <w:spacing w:line="360" w:lineRule="auto"/>
        <w:ind w:leftChars="50" w:left="105"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销售渠道管理方面</w:t>
      </w:r>
      <w:r>
        <w:rPr>
          <w:rFonts w:ascii="仿宋_GB2312" w:eastAsia="仿宋_GB2312" w:hAnsi="宋体" w:cs="宋体" w:hint="eastAsia"/>
          <w:kern w:val="0"/>
          <w:sz w:val="32"/>
          <w:szCs w:val="32"/>
        </w:rPr>
        <w:t>。为促进实体</w:t>
      </w:r>
      <w:proofErr w:type="gramStart"/>
      <w:r>
        <w:rPr>
          <w:rFonts w:ascii="仿宋_GB2312" w:eastAsia="仿宋_GB2312" w:hAnsi="宋体" w:cs="宋体" w:hint="eastAsia"/>
          <w:kern w:val="0"/>
          <w:sz w:val="32"/>
          <w:szCs w:val="32"/>
        </w:rPr>
        <w:t>店质量</w:t>
      </w:r>
      <w:proofErr w:type="gramEnd"/>
      <w:r>
        <w:rPr>
          <w:rFonts w:ascii="仿宋_GB2312" w:eastAsia="仿宋_GB2312" w:hAnsi="宋体" w:cs="宋体" w:hint="eastAsia"/>
          <w:kern w:val="0"/>
          <w:sz w:val="32"/>
          <w:szCs w:val="32"/>
        </w:rPr>
        <w:t>和服务水平提升，</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对实体店进行日常管理和服务，协助实体店做好销售工作，强化风险意识，狠抓安全生产，排查整治各类隐患，保障全年体育彩票销售工作平稳有序开展，2023年全市在售实体店3782家，同比上年增幅22.79%，实现彩票销售108.24亿元。</w:t>
      </w:r>
      <w:r>
        <w:rPr>
          <w:rFonts w:ascii="仿宋_GB2312" w:eastAsia="仿宋_GB2312" w:hAnsi="宋体" w:cs="宋体" w:hint="eastAsia"/>
          <w:b/>
          <w:bCs/>
          <w:kern w:val="0"/>
          <w:sz w:val="32"/>
          <w:szCs w:val="32"/>
        </w:rPr>
        <w:t>一是</w:t>
      </w:r>
      <w:r>
        <w:rPr>
          <w:rFonts w:ascii="仿宋_GB2312" w:eastAsia="仿宋_GB2312" w:hAnsi="宋体" w:cs="宋体" w:hint="eastAsia"/>
          <w:kern w:val="0"/>
          <w:sz w:val="32"/>
          <w:szCs w:val="32"/>
        </w:rPr>
        <w:t>对实体店进行日常管理和服务，协助实体店做好销售工作。</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通过公开招投标方式，遴选专业机构提供实体店日常管理服务，对全市16个行政区域内所有体彩实体店提供新增、撤销、移址、变更考察、即开配送、日常检查、通知传达、宣传品派发及终端机维修等日常管理。</w:t>
      </w:r>
      <w:r>
        <w:rPr>
          <w:rFonts w:ascii="仿宋_GB2312" w:eastAsia="仿宋_GB2312" w:hAnsi="宋体" w:cs="宋体" w:hint="eastAsia"/>
          <w:b/>
          <w:bCs/>
          <w:kern w:val="0"/>
          <w:sz w:val="32"/>
          <w:szCs w:val="32"/>
        </w:rPr>
        <w:t>二是</w:t>
      </w:r>
      <w:r>
        <w:rPr>
          <w:rFonts w:ascii="仿宋_GB2312" w:eastAsia="仿宋_GB2312" w:hAnsi="宋体" w:cs="宋体" w:hint="eastAsia"/>
          <w:kern w:val="0"/>
          <w:sz w:val="32"/>
          <w:szCs w:val="32"/>
        </w:rPr>
        <w:t>全面排查风险隐患，确保体育彩票安全发展。</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将“保安全、防风险”“牢牢守住体彩安全发展底线”作为工作的重中之重，深入调研分析体育彩票发展面临的主要风险，并研究制定防范措施，以市体育局名义发布《关于进一步加强体育彩票领域风险防控工作的实施意见》，着力防范化解体育彩票领域面临的突出问题和重大风险。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围绕体彩实体店和营销活动，聚焦设备设施故障、非法违规行为、安全管理缺陷等重大事故隐患，落实安</w:t>
      </w:r>
      <w:r>
        <w:rPr>
          <w:rFonts w:ascii="仿宋_GB2312" w:eastAsia="仿宋_GB2312" w:hAnsi="宋体" w:cs="宋体" w:hint="eastAsia"/>
          <w:kern w:val="0"/>
          <w:sz w:val="32"/>
          <w:szCs w:val="32"/>
        </w:rPr>
        <w:lastRenderedPageBreak/>
        <w:t>全生产主体责任和工作措施，对全市在售实体店进行三</w:t>
      </w:r>
      <w:proofErr w:type="gramStart"/>
      <w:r>
        <w:rPr>
          <w:rFonts w:ascii="仿宋_GB2312" w:eastAsia="仿宋_GB2312" w:hAnsi="宋体" w:cs="宋体" w:hint="eastAsia"/>
          <w:kern w:val="0"/>
          <w:sz w:val="32"/>
          <w:szCs w:val="32"/>
        </w:rPr>
        <w:t>轮次全</w:t>
      </w:r>
      <w:proofErr w:type="gramEnd"/>
      <w:r>
        <w:rPr>
          <w:rFonts w:ascii="仿宋_GB2312" w:eastAsia="仿宋_GB2312" w:hAnsi="宋体" w:cs="宋体" w:hint="eastAsia"/>
          <w:kern w:val="0"/>
          <w:sz w:val="32"/>
          <w:szCs w:val="32"/>
        </w:rPr>
        <w:t>覆盖检查，对存在问题的127家实体店要求限期整改，对未完成整改的，予以停机处理，待整改完成通过验收后恢复销售。三</w:t>
      </w:r>
      <w:r>
        <w:rPr>
          <w:rFonts w:ascii="仿宋_GB2312" w:eastAsia="仿宋_GB2312" w:hAnsi="宋体" w:cs="宋体" w:hint="eastAsia"/>
          <w:b/>
          <w:bCs/>
          <w:kern w:val="0"/>
          <w:sz w:val="32"/>
          <w:szCs w:val="32"/>
        </w:rPr>
        <w:t>是</w:t>
      </w:r>
      <w:r>
        <w:rPr>
          <w:rFonts w:ascii="仿宋_GB2312" w:eastAsia="仿宋_GB2312" w:hAnsi="宋体" w:cs="宋体" w:hint="eastAsia"/>
          <w:kern w:val="0"/>
          <w:sz w:val="32"/>
          <w:szCs w:val="32"/>
        </w:rPr>
        <w:t>优化渠道形象建设，对实体店进行升级换新。为规范试点形象基本要素，更换实体店内陈旧物料，2023年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通过对实体店排查走访、升级动员，确定改造目标后，进行门店测量、功能规划和物料制作，共为311家实体店进行升级安装，升级后购</w:t>
      </w:r>
      <w:proofErr w:type="gramStart"/>
      <w:r>
        <w:rPr>
          <w:rFonts w:ascii="仿宋_GB2312" w:eastAsia="仿宋_GB2312" w:hAnsi="宋体" w:cs="宋体" w:hint="eastAsia"/>
          <w:kern w:val="0"/>
          <w:sz w:val="32"/>
          <w:szCs w:val="32"/>
        </w:rPr>
        <w:t>彩环境</w:t>
      </w:r>
      <w:proofErr w:type="gramEnd"/>
      <w:r>
        <w:rPr>
          <w:rFonts w:ascii="仿宋_GB2312" w:eastAsia="仿宋_GB2312" w:hAnsi="宋体" w:cs="宋体" w:hint="eastAsia"/>
          <w:kern w:val="0"/>
          <w:sz w:val="32"/>
          <w:szCs w:val="32"/>
        </w:rPr>
        <w:t>得到提升，有助于提升代销者经营信心。</w:t>
      </w:r>
    </w:p>
    <w:p w:rsidR="00847650" w:rsidRDefault="00847650" w:rsidP="00847650">
      <w:pPr>
        <w:spacing w:line="360" w:lineRule="auto"/>
        <w:ind w:leftChars="50" w:left="105" w:firstLineChars="200" w:firstLine="643"/>
        <w:rPr>
          <w:rFonts w:ascii="仿宋_GB2312" w:eastAsia="仿宋_GB2312"/>
          <w:sz w:val="32"/>
          <w:szCs w:val="32"/>
        </w:rPr>
      </w:pPr>
      <w:r>
        <w:rPr>
          <w:rFonts w:ascii="仿宋_GB2312" w:eastAsia="仿宋_GB2312" w:hAnsi="宋体" w:cs="宋体" w:hint="eastAsia"/>
          <w:b/>
          <w:bCs/>
          <w:kern w:val="0"/>
          <w:sz w:val="32"/>
          <w:szCs w:val="32"/>
        </w:rPr>
        <w:t>渠道建设方面。</w:t>
      </w:r>
      <w:r>
        <w:rPr>
          <w:rFonts w:ascii="仿宋_GB2312" w:eastAsia="仿宋_GB2312" w:hAnsi="宋体" w:cs="宋体" w:hint="eastAsia"/>
          <w:kern w:val="0"/>
          <w:sz w:val="32"/>
          <w:szCs w:val="32"/>
        </w:rPr>
        <w:t>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不断创新发展模式，深耕传统渠道，拓展新型渠道，推动“体彩+”跨界融合，打造展示体验中心，</w:t>
      </w:r>
      <w:proofErr w:type="gramStart"/>
      <w:r>
        <w:rPr>
          <w:rFonts w:ascii="仿宋_GB2312" w:eastAsia="仿宋_GB2312" w:hAnsi="宋体" w:cs="宋体" w:hint="eastAsia"/>
          <w:kern w:val="0"/>
          <w:sz w:val="32"/>
          <w:szCs w:val="32"/>
        </w:rPr>
        <w:t>构建多元</w:t>
      </w:r>
      <w:proofErr w:type="gramEnd"/>
      <w:r>
        <w:rPr>
          <w:rFonts w:ascii="仿宋_GB2312" w:eastAsia="仿宋_GB2312" w:hAnsi="宋体" w:cs="宋体" w:hint="eastAsia"/>
          <w:kern w:val="0"/>
          <w:sz w:val="32"/>
          <w:szCs w:val="32"/>
        </w:rPr>
        <w:t>渠道体系，优化渠道结构和质量，有效提升管理效能。</w:t>
      </w:r>
      <w:r>
        <w:rPr>
          <w:rFonts w:ascii="仿宋_GB2312" w:eastAsia="仿宋_GB2312" w:hAnsi="宋体" w:cs="宋体" w:hint="eastAsia"/>
          <w:b/>
          <w:bCs/>
          <w:kern w:val="0"/>
          <w:sz w:val="32"/>
          <w:szCs w:val="32"/>
        </w:rPr>
        <w:t>一是</w:t>
      </w:r>
      <w:r>
        <w:rPr>
          <w:rFonts w:ascii="仿宋_GB2312" w:eastAsia="仿宋_GB2312" w:hAnsi="宋体" w:cs="宋体" w:hint="eastAsia"/>
          <w:kern w:val="0"/>
          <w:sz w:val="32"/>
          <w:szCs w:val="32"/>
        </w:rPr>
        <w:t>丰富渠道功能，开展“体彩+”门店建设。“体彩+”通过在实体店内提供增项服务，以及与跨界品牌进行合作营销，打造经营差异，提供更加多元化的购彩体验，实现新客户群体的“破圈”。且作为体</w:t>
      </w:r>
      <w:proofErr w:type="gramStart"/>
      <w:r>
        <w:rPr>
          <w:rFonts w:ascii="仿宋_GB2312" w:eastAsia="仿宋_GB2312" w:hAnsi="宋体" w:cs="宋体" w:hint="eastAsia"/>
          <w:kern w:val="0"/>
          <w:sz w:val="32"/>
          <w:szCs w:val="32"/>
        </w:rPr>
        <w:t>彩形象</w:t>
      </w:r>
      <w:proofErr w:type="gramEnd"/>
      <w:r>
        <w:rPr>
          <w:rFonts w:ascii="仿宋_GB2312" w:eastAsia="仿宋_GB2312" w:hAnsi="宋体" w:cs="宋体" w:hint="eastAsia"/>
          <w:kern w:val="0"/>
          <w:sz w:val="32"/>
          <w:szCs w:val="32"/>
        </w:rPr>
        <w:t>的展示窗口，实体店服务功能不断外延，也体现了体育彩票的责任担当。2023年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着力打造具有</w:t>
      </w:r>
      <w:r>
        <w:rPr>
          <w:rFonts w:ascii="仿宋_GB2312" w:eastAsia="仿宋_GB2312" w:hint="eastAsia"/>
          <w:sz w:val="32"/>
          <w:szCs w:val="32"/>
        </w:rPr>
        <w:t>北京文化气息的特色体彩店，鼓励有条件的实体店结合自身条件、周边环境、人流特征等因素，增加展示、体验、服务功能，打造完成100家乐小星主题赋能店和1500家体彩便民主题店，</w:t>
      </w:r>
      <w:r>
        <w:rPr>
          <w:rFonts w:ascii="仿宋_GB2312" w:eastAsia="仿宋_GB2312" w:hint="eastAsia"/>
          <w:sz w:val="32"/>
          <w:szCs w:val="32"/>
        </w:rPr>
        <w:lastRenderedPageBreak/>
        <w:t>开辟“体彩+行业”新领域，与北京海底</w:t>
      </w:r>
      <w:proofErr w:type="gramStart"/>
      <w:r>
        <w:rPr>
          <w:rFonts w:ascii="仿宋_GB2312" w:eastAsia="仿宋_GB2312" w:hint="eastAsia"/>
          <w:sz w:val="32"/>
          <w:szCs w:val="32"/>
        </w:rPr>
        <w:t>捞达成</w:t>
      </w:r>
      <w:proofErr w:type="gramEnd"/>
      <w:r>
        <w:rPr>
          <w:rFonts w:ascii="仿宋_GB2312" w:eastAsia="仿宋_GB2312" w:hint="eastAsia"/>
          <w:sz w:val="32"/>
          <w:szCs w:val="32"/>
        </w:rPr>
        <w:t>合作意向，自2023年10月26日起，“体彩+海底捞店”在北京相继营业，将年轻人喜爱的餐饮品牌与体</w:t>
      </w:r>
      <w:proofErr w:type="gramStart"/>
      <w:r>
        <w:rPr>
          <w:rFonts w:ascii="仿宋_GB2312" w:eastAsia="仿宋_GB2312" w:hint="eastAsia"/>
          <w:sz w:val="32"/>
          <w:szCs w:val="32"/>
        </w:rPr>
        <w:t>彩文化</w:t>
      </w:r>
      <w:proofErr w:type="gramEnd"/>
      <w:r>
        <w:rPr>
          <w:rFonts w:ascii="仿宋_GB2312" w:eastAsia="仿宋_GB2312" w:hint="eastAsia"/>
          <w:sz w:val="32"/>
          <w:szCs w:val="32"/>
        </w:rPr>
        <w:t>进行结合。</w:t>
      </w:r>
      <w:r>
        <w:rPr>
          <w:rFonts w:ascii="仿宋_GB2312" w:eastAsia="仿宋_GB2312" w:hint="eastAsia"/>
          <w:b/>
          <w:bCs/>
          <w:sz w:val="32"/>
          <w:szCs w:val="32"/>
        </w:rPr>
        <w:t>二是</w:t>
      </w:r>
      <w:r>
        <w:rPr>
          <w:rFonts w:ascii="仿宋_GB2312" w:eastAsia="仿宋_GB2312" w:hint="eastAsia"/>
          <w:sz w:val="32"/>
          <w:szCs w:val="32"/>
        </w:rPr>
        <w:t>打造展示体验中心，激发</w:t>
      </w:r>
      <w:proofErr w:type="gramStart"/>
      <w:r>
        <w:rPr>
          <w:rFonts w:ascii="仿宋_GB2312" w:eastAsia="仿宋_GB2312" w:hint="eastAsia"/>
          <w:sz w:val="32"/>
          <w:szCs w:val="32"/>
        </w:rPr>
        <w:t>购彩新势力</w:t>
      </w:r>
      <w:proofErr w:type="gramEnd"/>
      <w:r>
        <w:rPr>
          <w:rFonts w:ascii="仿宋_GB2312" w:eastAsia="仿宋_GB2312" w:hint="eastAsia"/>
          <w:sz w:val="32"/>
          <w:szCs w:val="32"/>
        </w:rPr>
        <w:t>。</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近年来不断探索在商业综合体内开展销售渠道建设，不同于街边传统体彩店，商业综合体内的展示体验中心装修风格独特，品牌标识鲜明亮丽，充分发挥了展示体育彩票品牌、</w:t>
      </w:r>
      <w:proofErr w:type="gramStart"/>
      <w:r>
        <w:rPr>
          <w:rFonts w:ascii="仿宋_GB2312" w:eastAsia="仿宋_GB2312" w:hint="eastAsia"/>
          <w:sz w:val="32"/>
          <w:szCs w:val="32"/>
        </w:rPr>
        <w:t>触达新</w:t>
      </w:r>
      <w:proofErr w:type="gramEnd"/>
      <w:r>
        <w:rPr>
          <w:rFonts w:ascii="仿宋_GB2312" w:eastAsia="仿宋_GB2312" w:hint="eastAsia"/>
          <w:sz w:val="32"/>
          <w:szCs w:val="32"/>
        </w:rPr>
        <w:t>消费群体、强化客户体验的功能。截至2023年末，</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已在西单大悦城、朝阳合生汇、金源燕</w:t>
      </w:r>
      <w:proofErr w:type="gramStart"/>
      <w:r>
        <w:rPr>
          <w:rFonts w:ascii="仿宋_GB2312" w:eastAsia="仿宋_GB2312" w:hint="eastAsia"/>
          <w:sz w:val="32"/>
          <w:szCs w:val="32"/>
        </w:rPr>
        <w:t>莎</w:t>
      </w:r>
      <w:proofErr w:type="gramEnd"/>
      <w:r>
        <w:rPr>
          <w:rFonts w:ascii="仿宋_GB2312" w:eastAsia="仿宋_GB2312" w:hint="eastAsia"/>
          <w:sz w:val="32"/>
          <w:szCs w:val="32"/>
        </w:rPr>
        <w:t>Mall等核心商</w:t>
      </w:r>
      <w:proofErr w:type="gramStart"/>
      <w:r>
        <w:rPr>
          <w:rFonts w:ascii="仿宋_GB2312" w:eastAsia="仿宋_GB2312" w:hint="eastAsia"/>
          <w:sz w:val="32"/>
          <w:szCs w:val="32"/>
        </w:rPr>
        <w:t>圈建成体彩展示</w:t>
      </w:r>
      <w:proofErr w:type="gramEnd"/>
      <w:r>
        <w:rPr>
          <w:rFonts w:ascii="仿宋_GB2312" w:eastAsia="仿宋_GB2312" w:hint="eastAsia"/>
          <w:sz w:val="32"/>
          <w:szCs w:val="32"/>
        </w:rPr>
        <w:t>体验中心43家，销售体育彩票1.55亿元，</w:t>
      </w:r>
      <w:proofErr w:type="gramStart"/>
      <w:r>
        <w:rPr>
          <w:rFonts w:ascii="仿宋_GB2312" w:eastAsia="仿宋_GB2312" w:hint="eastAsia"/>
          <w:sz w:val="32"/>
          <w:szCs w:val="32"/>
        </w:rPr>
        <w:t>有效触达人群</w:t>
      </w:r>
      <w:proofErr w:type="gramEnd"/>
      <w:r>
        <w:rPr>
          <w:rFonts w:ascii="仿宋_GB2312" w:eastAsia="仿宋_GB2312" w:hint="eastAsia"/>
          <w:sz w:val="32"/>
          <w:szCs w:val="32"/>
        </w:rPr>
        <w:t>约1500万人，其中年轻群体约占78.82%。</w:t>
      </w:r>
    </w:p>
    <w:p w:rsidR="00847650" w:rsidRDefault="00847650" w:rsidP="00847650">
      <w:pPr>
        <w:spacing w:line="360" w:lineRule="auto"/>
        <w:ind w:leftChars="50" w:left="105" w:firstLineChars="200" w:firstLine="643"/>
        <w:rPr>
          <w:rFonts w:ascii="仿宋_GB2312" w:eastAsia="仿宋_GB2312"/>
          <w:sz w:val="32"/>
          <w:szCs w:val="32"/>
        </w:rPr>
      </w:pPr>
      <w:r>
        <w:rPr>
          <w:rFonts w:ascii="仿宋_GB2312" w:eastAsia="仿宋_GB2312" w:hint="eastAsia"/>
          <w:b/>
          <w:bCs/>
          <w:sz w:val="32"/>
          <w:szCs w:val="32"/>
        </w:rPr>
        <w:t>品牌建设方面</w:t>
      </w:r>
      <w:r>
        <w:rPr>
          <w:rFonts w:ascii="仿宋_GB2312" w:eastAsia="仿宋_GB2312" w:hint="eastAsia"/>
          <w:sz w:val="32"/>
          <w:szCs w:val="32"/>
        </w:rPr>
        <w:t>。2023年</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以服务全年销售工作为导向，持续宣传体育彩票责任、公益公信理念，强化社会公众对“买体彩就是有趣、有益还有聊”的品牌认知，完成日常宣传推广、游戏营销、品牌活动落地、业务能力提升培训、广告投放等五大类工作，其中全年共开展游戏营销推广活动11场、品牌推广活动17项120余场、</w:t>
      </w:r>
      <w:proofErr w:type="gramStart"/>
      <w:r>
        <w:rPr>
          <w:rFonts w:ascii="仿宋_GB2312" w:eastAsia="仿宋_GB2312" w:hint="eastAsia"/>
          <w:sz w:val="32"/>
          <w:szCs w:val="32"/>
        </w:rPr>
        <w:t>组织线上线下业务</w:t>
      </w:r>
      <w:proofErr w:type="gramEnd"/>
      <w:r>
        <w:rPr>
          <w:rFonts w:ascii="仿宋_GB2312" w:eastAsia="仿宋_GB2312" w:hint="eastAsia"/>
          <w:sz w:val="32"/>
          <w:szCs w:val="32"/>
        </w:rPr>
        <w:t>能力提升培训500余次。</w:t>
      </w:r>
      <w:r>
        <w:rPr>
          <w:rFonts w:ascii="仿宋_GB2312" w:eastAsia="仿宋_GB2312" w:hint="eastAsia"/>
          <w:b/>
          <w:bCs/>
          <w:sz w:val="32"/>
          <w:szCs w:val="32"/>
        </w:rPr>
        <w:t>一是</w:t>
      </w:r>
      <w:r>
        <w:rPr>
          <w:rFonts w:ascii="仿宋_GB2312" w:eastAsia="仿宋_GB2312" w:hint="eastAsia"/>
          <w:sz w:val="32"/>
          <w:szCs w:val="32"/>
        </w:rPr>
        <w:t>加强日常宣传推广，提高品牌认知度。2023年</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通过运营官网、</w:t>
      </w:r>
      <w:proofErr w:type="gramStart"/>
      <w:r>
        <w:rPr>
          <w:rFonts w:ascii="仿宋_GB2312" w:eastAsia="仿宋_GB2312" w:hint="eastAsia"/>
          <w:sz w:val="32"/>
          <w:szCs w:val="32"/>
        </w:rPr>
        <w:t>官微等</w:t>
      </w:r>
      <w:proofErr w:type="gramEnd"/>
      <w:r>
        <w:rPr>
          <w:rFonts w:ascii="仿宋_GB2312" w:eastAsia="仿宋_GB2312" w:hint="eastAsia"/>
          <w:sz w:val="32"/>
          <w:szCs w:val="32"/>
        </w:rPr>
        <w:t>自媒体，推送总局中心新闻资讯累计5742篇，购买平面、网络等媒体资源，推送总局中心新闻资讯共计306篇，配合总局</w:t>
      </w:r>
      <w:r>
        <w:rPr>
          <w:rFonts w:ascii="仿宋_GB2312" w:eastAsia="仿宋_GB2312" w:hint="eastAsia"/>
          <w:sz w:val="32"/>
          <w:szCs w:val="32"/>
        </w:rPr>
        <w:lastRenderedPageBreak/>
        <w:t>中心印刷宣传品62版次，完成总局中心部署的品牌营销活动推广和日常宣贯工作。</w:t>
      </w:r>
      <w:r>
        <w:rPr>
          <w:rFonts w:ascii="仿宋_GB2312" w:eastAsia="仿宋_GB2312" w:hint="eastAsia"/>
          <w:b/>
          <w:bCs/>
          <w:sz w:val="32"/>
          <w:szCs w:val="32"/>
        </w:rPr>
        <w:t>二是</w:t>
      </w:r>
      <w:r>
        <w:rPr>
          <w:rFonts w:ascii="仿宋_GB2312" w:eastAsia="仿宋_GB2312" w:hint="eastAsia"/>
          <w:sz w:val="32"/>
          <w:szCs w:val="32"/>
        </w:rPr>
        <w:t>开展体育彩票游戏营销活动，提升销量和品牌影响力。2023年</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开展了新春营销推广、大乐透10亿元大派奖推广、“快乐周末”7星彩5000万元大派</w:t>
      </w:r>
      <w:proofErr w:type="gramStart"/>
      <w:r>
        <w:rPr>
          <w:rFonts w:ascii="仿宋_GB2312" w:eastAsia="仿宋_GB2312" w:hint="eastAsia"/>
          <w:sz w:val="32"/>
          <w:szCs w:val="32"/>
        </w:rPr>
        <w:t>奖推广</w:t>
      </w:r>
      <w:proofErr w:type="gramEnd"/>
      <w:r>
        <w:rPr>
          <w:rFonts w:ascii="仿宋_GB2312" w:eastAsia="仿宋_GB2312" w:hint="eastAsia"/>
          <w:sz w:val="32"/>
          <w:szCs w:val="32"/>
        </w:rPr>
        <w:t>等11场营销活动，覆盖乐透型、即开型、竞猜型游戏，活动期间游戏同比销量得到增长，其中乐透型、即开型、竞猜型游戏同比销量增长29.8%、50%、25%，覆盖消费群体规模上升。</w:t>
      </w:r>
      <w:r>
        <w:rPr>
          <w:rFonts w:ascii="仿宋_GB2312" w:eastAsia="仿宋_GB2312" w:hint="eastAsia"/>
          <w:b/>
          <w:bCs/>
          <w:sz w:val="32"/>
          <w:szCs w:val="32"/>
        </w:rPr>
        <w:t>三是</w:t>
      </w:r>
      <w:r>
        <w:rPr>
          <w:rFonts w:ascii="仿宋_GB2312" w:eastAsia="仿宋_GB2312" w:hint="eastAsia"/>
          <w:sz w:val="32"/>
          <w:szCs w:val="32"/>
        </w:rPr>
        <w:t>举办品牌推广活动，提升品牌价值。2023年</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与中国网球公开赛、世界花样滑冰大奖赛总决赛等多项国际知名体育赛事相结合，开展体</w:t>
      </w:r>
      <w:proofErr w:type="gramStart"/>
      <w:r>
        <w:rPr>
          <w:rFonts w:ascii="仿宋_GB2312" w:eastAsia="仿宋_GB2312" w:hint="eastAsia"/>
          <w:sz w:val="32"/>
          <w:szCs w:val="32"/>
        </w:rPr>
        <w:t>彩品牌</w:t>
      </w:r>
      <w:proofErr w:type="gramEnd"/>
      <w:r>
        <w:rPr>
          <w:rFonts w:ascii="仿宋_GB2312" w:eastAsia="仿宋_GB2312" w:hint="eastAsia"/>
          <w:sz w:val="32"/>
          <w:szCs w:val="32"/>
        </w:rPr>
        <w:t>推广活动提升体育</w:t>
      </w:r>
      <w:proofErr w:type="gramStart"/>
      <w:r>
        <w:rPr>
          <w:rFonts w:ascii="仿宋_GB2312" w:eastAsia="仿宋_GB2312" w:hint="eastAsia"/>
          <w:sz w:val="32"/>
          <w:szCs w:val="32"/>
        </w:rPr>
        <w:t>彩票公益</w:t>
      </w:r>
      <w:proofErr w:type="gramEnd"/>
      <w:r>
        <w:rPr>
          <w:rFonts w:ascii="仿宋_GB2312" w:eastAsia="仿宋_GB2312" w:hint="eastAsia"/>
          <w:sz w:val="32"/>
          <w:szCs w:val="32"/>
        </w:rPr>
        <w:t>公信的品牌价值，冠名希望杯青少年足球赛、北京男子手球队、北京田径队等，开展“北京体彩杯”系列赛事，带动体育彩票品牌感知度与认知度双提升。</w:t>
      </w:r>
    </w:p>
    <w:p w:rsidR="00847650" w:rsidRDefault="00847650" w:rsidP="00847650">
      <w:pPr>
        <w:spacing w:line="360" w:lineRule="auto"/>
        <w:ind w:leftChars="50" w:left="105" w:firstLineChars="200" w:firstLine="643"/>
        <w:rPr>
          <w:rFonts w:ascii="仿宋_GB2312" w:eastAsia="仿宋_GB2312" w:hAnsi="宋体" w:cs="宋体"/>
          <w:color w:val="0000FF"/>
          <w:kern w:val="0"/>
          <w:sz w:val="32"/>
          <w:szCs w:val="32"/>
        </w:rPr>
      </w:pPr>
      <w:r>
        <w:rPr>
          <w:rFonts w:ascii="仿宋_GB2312" w:eastAsia="仿宋_GB2312" w:hAnsi="宋体" w:cs="宋体" w:hint="eastAsia"/>
          <w:b/>
          <w:bCs/>
          <w:kern w:val="0"/>
          <w:sz w:val="32"/>
          <w:szCs w:val="32"/>
        </w:rPr>
        <w:t>系统建设运维方面</w:t>
      </w:r>
      <w:r>
        <w:rPr>
          <w:rFonts w:ascii="仿宋_GB2312" w:eastAsia="仿宋_GB2312" w:hAnsi="宋体" w:cs="宋体" w:hint="eastAsia"/>
          <w:kern w:val="0"/>
          <w:sz w:val="32"/>
          <w:szCs w:val="32"/>
        </w:rPr>
        <w:t>。</w:t>
      </w:r>
      <w:r>
        <w:rPr>
          <w:rFonts w:ascii="仿宋_GB2312" w:eastAsia="仿宋_GB2312" w:hint="eastAsia"/>
          <w:sz w:val="32"/>
          <w:szCs w:val="32"/>
        </w:rPr>
        <w:t>2023年</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在总局中心的部署指挥下，着眼于高质量发展，强化对系统的风险防控，保障彩票业务的安全、稳定、连续。</w:t>
      </w:r>
      <w:r>
        <w:rPr>
          <w:rFonts w:ascii="仿宋_GB2312" w:eastAsia="仿宋_GB2312" w:hint="eastAsia"/>
          <w:b/>
          <w:bCs/>
          <w:sz w:val="32"/>
          <w:szCs w:val="32"/>
        </w:rPr>
        <w:t>一是</w:t>
      </w:r>
      <w:r>
        <w:rPr>
          <w:rFonts w:ascii="仿宋_GB2312" w:eastAsia="仿宋_GB2312" w:hint="eastAsia"/>
          <w:sz w:val="32"/>
          <w:szCs w:val="32"/>
        </w:rPr>
        <w:t>保障生产连续稳定。</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通过采购专业的信息系统运维服务，确保设备正常运转、数据机房环境、办公IT环境符合安全生产的要求，保障彩票销售系统的稳定、安全运行。且2023年对中心动力电电缆进行了改造，消除了中心生产和办公潜在隐患。</w:t>
      </w:r>
      <w:r>
        <w:rPr>
          <w:rFonts w:ascii="仿宋_GB2312" w:eastAsia="仿宋_GB2312" w:hint="eastAsia"/>
          <w:b/>
          <w:bCs/>
          <w:sz w:val="32"/>
          <w:szCs w:val="32"/>
        </w:rPr>
        <w:t>二是</w:t>
      </w:r>
      <w:r>
        <w:rPr>
          <w:rFonts w:ascii="仿宋_GB2312" w:eastAsia="仿宋_GB2312" w:hint="eastAsia"/>
          <w:sz w:val="32"/>
          <w:szCs w:val="32"/>
        </w:rPr>
        <w:t>加强网络安全管理。2023年</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顺利完成两会、大</w:t>
      </w:r>
      <w:r>
        <w:rPr>
          <w:rFonts w:ascii="仿宋_GB2312" w:eastAsia="仿宋_GB2312" w:hint="eastAsia"/>
          <w:sz w:val="32"/>
          <w:szCs w:val="32"/>
        </w:rPr>
        <w:lastRenderedPageBreak/>
        <w:t>运会、亚运会等重点保障时段的办公及生产安全，全年开展多轮网络及信息安全自查工作，</w:t>
      </w:r>
      <w:proofErr w:type="gramStart"/>
      <w:r>
        <w:rPr>
          <w:rFonts w:ascii="仿宋_GB2312" w:eastAsia="仿宋_GB2312" w:hint="eastAsia"/>
          <w:sz w:val="32"/>
          <w:szCs w:val="32"/>
        </w:rPr>
        <w:t>且北单</w:t>
      </w:r>
      <w:proofErr w:type="gramEnd"/>
      <w:r>
        <w:rPr>
          <w:rFonts w:ascii="仿宋_GB2312" w:eastAsia="仿宋_GB2312" w:hint="eastAsia"/>
          <w:sz w:val="32"/>
          <w:szCs w:val="32"/>
        </w:rPr>
        <w:t>游戏交易系统和</w:t>
      </w:r>
      <w:proofErr w:type="gramStart"/>
      <w:r>
        <w:rPr>
          <w:rFonts w:ascii="仿宋_GB2312" w:eastAsia="仿宋_GB2312" w:hint="eastAsia"/>
          <w:sz w:val="32"/>
          <w:szCs w:val="32"/>
        </w:rPr>
        <w:t>中心官网分别</w:t>
      </w:r>
      <w:proofErr w:type="gramEnd"/>
      <w:r>
        <w:rPr>
          <w:rFonts w:ascii="仿宋_GB2312" w:eastAsia="仿宋_GB2312" w:hint="eastAsia"/>
          <w:sz w:val="32"/>
          <w:szCs w:val="32"/>
        </w:rPr>
        <w:t>通过三级和二级测评，中心网络安全监测和防护水平得到了整体提升。</w:t>
      </w:r>
      <w:r>
        <w:rPr>
          <w:rFonts w:ascii="仿宋_GB2312" w:eastAsia="仿宋_GB2312" w:hint="eastAsia"/>
          <w:b/>
          <w:bCs/>
          <w:sz w:val="32"/>
          <w:szCs w:val="32"/>
        </w:rPr>
        <w:t>三是</w:t>
      </w:r>
      <w:proofErr w:type="gramStart"/>
      <w:r>
        <w:rPr>
          <w:rFonts w:ascii="仿宋_GB2312" w:eastAsia="仿宋_GB2312" w:hint="eastAsia"/>
          <w:sz w:val="32"/>
          <w:szCs w:val="32"/>
        </w:rPr>
        <w:t>优化北单游戏</w:t>
      </w:r>
      <w:proofErr w:type="gramEnd"/>
      <w:r>
        <w:rPr>
          <w:rFonts w:ascii="仿宋_GB2312" w:eastAsia="仿宋_GB2312" w:hint="eastAsia"/>
          <w:sz w:val="32"/>
          <w:szCs w:val="32"/>
        </w:rPr>
        <w:t>运营机制。2023年</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按照总局中心对竞猜游戏整体管理标准要求，进一步</w:t>
      </w:r>
      <w:proofErr w:type="gramStart"/>
      <w:r>
        <w:rPr>
          <w:rFonts w:ascii="仿宋_GB2312" w:eastAsia="仿宋_GB2312" w:hint="eastAsia"/>
          <w:sz w:val="32"/>
          <w:szCs w:val="32"/>
        </w:rPr>
        <w:t>优化北单游戏</w:t>
      </w:r>
      <w:proofErr w:type="gramEnd"/>
      <w:r>
        <w:rPr>
          <w:rFonts w:ascii="仿宋_GB2312" w:eastAsia="仿宋_GB2312" w:hint="eastAsia"/>
          <w:sz w:val="32"/>
          <w:szCs w:val="32"/>
        </w:rPr>
        <w:t>和运营机制，制定出台</w:t>
      </w:r>
      <w:proofErr w:type="gramStart"/>
      <w:r>
        <w:rPr>
          <w:rFonts w:ascii="仿宋_GB2312" w:eastAsia="仿宋_GB2312" w:hint="eastAsia"/>
          <w:sz w:val="32"/>
          <w:szCs w:val="32"/>
        </w:rPr>
        <w:t>了北单游戏</w:t>
      </w:r>
      <w:proofErr w:type="gramEnd"/>
      <w:r>
        <w:rPr>
          <w:rFonts w:ascii="仿宋_GB2312" w:eastAsia="仿宋_GB2312" w:hint="eastAsia"/>
          <w:sz w:val="32"/>
          <w:szCs w:val="32"/>
        </w:rPr>
        <w:t>《安全运营控制规范》《北单游戏风险库及发现问题清单库》等相关管理制度，</w:t>
      </w:r>
      <w:proofErr w:type="gramStart"/>
      <w:r>
        <w:rPr>
          <w:rFonts w:ascii="仿宋_GB2312" w:eastAsia="仿宋_GB2312" w:hint="eastAsia"/>
          <w:sz w:val="32"/>
          <w:szCs w:val="32"/>
        </w:rPr>
        <w:t>对北单游戏</w:t>
      </w:r>
      <w:proofErr w:type="gramEnd"/>
      <w:r>
        <w:rPr>
          <w:rFonts w:ascii="仿宋_GB2312" w:eastAsia="仿宋_GB2312" w:hint="eastAsia"/>
          <w:sz w:val="32"/>
          <w:szCs w:val="32"/>
        </w:rPr>
        <w:t>交易系统升级进行专家论证，制定具有可行性的技术改造方案，突破系统的开奖和售票性能瓶颈，弥补现有系统功能不足，提升应用维护能力，提高北京彩票销售的公信力。</w:t>
      </w:r>
      <w:r>
        <w:rPr>
          <w:rFonts w:ascii="仿宋_GB2312" w:eastAsia="仿宋_GB2312" w:hint="eastAsia"/>
          <w:b/>
          <w:bCs/>
          <w:sz w:val="32"/>
          <w:szCs w:val="32"/>
        </w:rPr>
        <w:t>四是</w:t>
      </w:r>
      <w:r>
        <w:rPr>
          <w:rFonts w:ascii="仿宋_GB2312" w:eastAsia="仿宋_GB2312" w:hint="eastAsia"/>
          <w:sz w:val="32"/>
          <w:szCs w:val="32"/>
        </w:rPr>
        <w:t>购置专用设备。2023年</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更新了防火墙、交换机、路由器、服务器等49台套专用设备，替换目前已达到使用年限、具有安全风险的旧设备，购置电缆1600米，以保证生产系统设备正常运转，依据北京市正版化软件的使用要求，采购安全软件，保证数据安全及日常办公业务正常开展。较预期目标相比，专用设备购置数量完成率为95.24%，因受各项因素影响2023年未开展办公楼改造，影响了视频监控管理平台的采购工作，未按计划采购</w:t>
      </w:r>
      <w:proofErr w:type="gramStart"/>
      <w:r>
        <w:rPr>
          <w:rFonts w:ascii="仿宋_GB2312" w:eastAsia="仿宋_GB2312" w:hint="eastAsia"/>
          <w:sz w:val="32"/>
          <w:szCs w:val="32"/>
        </w:rPr>
        <w:t>海康威视管理</w:t>
      </w:r>
      <w:proofErr w:type="gramEnd"/>
      <w:r>
        <w:rPr>
          <w:rFonts w:ascii="仿宋_GB2312" w:eastAsia="仿宋_GB2312" w:hint="eastAsia"/>
          <w:sz w:val="32"/>
          <w:szCs w:val="32"/>
        </w:rPr>
        <w:t>平台服务器DS-VE22S-B。</w:t>
      </w:r>
    </w:p>
    <w:p w:rsidR="00847650" w:rsidRDefault="00847650" w:rsidP="00847650">
      <w:pPr>
        <w:spacing w:line="360" w:lineRule="auto"/>
        <w:ind w:leftChars="50" w:left="105" w:firstLineChars="200" w:firstLine="643"/>
        <w:rPr>
          <w:rFonts w:ascii="仿宋_GB2312" w:eastAsia="仿宋_GB2312" w:hAnsi="宋体" w:cs="宋体"/>
          <w:color w:val="0000FF"/>
          <w:kern w:val="0"/>
          <w:sz w:val="32"/>
          <w:szCs w:val="32"/>
        </w:rPr>
      </w:pPr>
      <w:r>
        <w:rPr>
          <w:rFonts w:ascii="仿宋_GB2312" w:eastAsia="仿宋_GB2312" w:hAnsi="宋体" w:cs="宋体" w:hint="eastAsia"/>
          <w:b/>
          <w:bCs/>
          <w:kern w:val="0"/>
          <w:sz w:val="32"/>
          <w:szCs w:val="32"/>
        </w:rPr>
        <w:t>党建方面。</w:t>
      </w:r>
      <w:r>
        <w:rPr>
          <w:rFonts w:ascii="仿宋_GB2312" w:eastAsia="仿宋_GB2312" w:hAnsi="宋体" w:cs="宋体" w:hint="eastAsia"/>
          <w:kern w:val="0"/>
          <w:sz w:val="32"/>
          <w:szCs w:val="32"/>
        </w:rPr>
        <w:t>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强化党建引领，推动主题教育与体彩事业发展，开展学习贯彻习近平新时代中国特色</w:t>
      </w:r>
      <w:r>
        <w:rPr>
          <w:rFonts w:ascii="仿宋_GB2312" w:eastAsia="仿宋_GB2312" w:hAnsi="宋体" w:cs="宋体" w:hint="eastAsia"/>
          <w:kern w:val="0"/>
          <w:sz w:val="32"/>
          <w:szCs w:val="32"/>
        </w:rPr>
        <w:lastRenderedPageBreak/>
        <w:t>社会主义思想主题教育，全年组织党小组学习2次、主题党日活动12次，党员大会10次，其中观影参展活动6次、购买《廉政警钟》《习近平关于党风廉政建设和反腐败斗争论述摘编》等反腐倡廉书籍，不断推进支部规范化建设，强化党风廉政建设，发挥党支部战斗堡垒作用。</w:t>
      </w:r>
    </w:p>
    <w:p w:rsidR="00847650" w:rsidRDefault="00847650" w:rsidP="00847650">
      <w:pPr>
        <w:spacing w:line="360" w:lineRule="auto"/>
        <w:ind w:firstLineChars="200" w:firstLine="643"/>
        <w:outlineLvl w:val="2"/>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2.产出</w:t>
      </w:r>
      <w:r>
        <w:rPr>
          <w:rFonts w:ascii="仿宋_GB2312" w:eastAsia="仿宋_GB2312" w:hAnsi="宋体" w:cs="宋体"/>
          <w:b/>
          <w:bCs/>
          <w:kern w:val="0"/>
          <w:sz w:val="32"/>
          <w:szCs w:val="32"/>
        </w:rPr>
        <w:t>质量</w:t>
      </w:r>
    </w:p>
    <w:p w:rsidR="00847650" w:rsidRDefault="00847650" w:rsidP="00847650">
      <w:pPr>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各项工作质量完成较好，实体店服务</w:t>
      </w:r>
      <w:proofErr w:type="gramStart"/>
      <w:r>
        <w:rPr>
          <w:rFonts w:ascii="仿宋_GB2312" w:eastAsia="仿宋_GB2312" w:hAnsi="宋体" w:cs="宋体" w:hint="eastAsia"/>
          <w:kern w:val="0"/>
          <w:sz w:val="32"/>
          <w:szCs w:val="32"/>
        </w:rPr>
        <w:t>商考核</w:t>
      </w:r>
      <w:proofErr w:type="gramEnd"/>
      <w:r>
        <w:rPr>
          <w:rFonts w:ascii="仿宋_GB2312" w:eastAsia="仿宋_GB2312" w:hAnsi="宋体" w:cs="宋体" w:hint="eastAsia"/>
          <w:kern w:val="0"/>
          <w:sz w:val="32"/>
          <w:szCs w:val="32"/>
        </w:rPr>
        <w:t>通过率、系统运维合格率、设备验收合格率均达到预期目标。</w:t>
      </w:r>
      <w:r>
        <w:rPr>
          <w:rFonts w:ascii="仿宋_GB2312" w:eastAsia="仿宋_GB2312" w:hAnsi="宋体" w:cs="宋体" w:hint="eastAsia"/>
          <w:b/>
          <w:bCs/>
          <w:kern w:val="0"/>
          <w:sz w:val="32"/>
          <w:szCs w:val="32"/>
        </w:rPr>
        <w:t>一是</w:t>
      </w:r>
      <w:r>
        <w:rPr>
          <w:rFonts w:ascii="仿宋_GB2312" w:eastAsia="仿宋_GB2312" w:hAnsi="宋体" w:cs="宋体" w:hint="eastAsia"/>
          <w:kern w:val="0"/>
          <w:sz w:val="32"/>
          <w:szCs w:val="32"/>
        </w:rPr>
        <w:t>实体店日常维护及管理服务供应商在完成全市体彩实体店新增、撤销、移址、属性变更、游戏升级等日常业务，及即开票配送服务、终端机维修保障工作、宣传品派发、热敏纸配送等工作后，</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按季度对服务商工作完成情况进行验收考核，确保项目工作完成质量达到标准要求，2023年实体店服务</w:t>
      </w:r>
      <w:proofErr w:type="gramStart"/>
      <w:r>
        <w:rPr>
          <w:rFonts w:ascii="仿宋_GB2312" w:eastAsia="仿宋_GB2312" w:hAnsi="宋体" w:cs="宋体" w:hint="eastAsia"/>
          <w:kern w:val="0"/>
          <w:sz w:val="32"/>
          <w:szCs w:val="32"/>
        </w:rPr>
        <w:t>商考核</w:t>
      </w:r>
      <w:proofErr w:type="gramEnd"/>
      <w:r>
        <w:rPr>
          <w:rFonts w:ascii="仿宋_GB2312" w:eastAsia="仿宋_GB2312" w:hAnsi="宋体" w:cs="宋体" w:hint="eastAsia"/>
          <w:kern w:val="0"/>
          <w:sz w:val="32"/>
          <w:szCs w:val="32"/>
        </w:rPr>
        <w:t>通过率100%，代销者、销售员对服务商专管员服务满意度、专业</w:t>
      </w:r>
      <w:proofErr w:type="gramStart"/>
      <w:r>
        <w:rPr>
          <w:rFonts w:ascii="仿宋_GB2312" w:eastAsia="仿宋_GB2312" w:hAnsi="宋体" w:cs="宋体" w:hint="eastAsia"/>
          <w:kern w:val="0"/>
          <w:sz w:val="32"/>
          <w:szCs w:val="32"/>
        </w:rPr>
        <w:t>性满意</w:t>
      </w:r>
      <w:proofErr w:type="gramEnd"/>
      <w:r>
        <w:rPr>
          <w:rFonts w:ascii="仿宋_GB2312" w:eastAsia="仿宋_GB2312" w:hAnsi="宋体" w:cs="宋体" w:hint="eastAsia"/>
          <w:kern w:val="0"/>
          <w:sz w:val="32"/>
          <w:szCs w:val="32"/>
        </w:rPr>
        <w:t>度、即开票配送服务满意度、宣传物料及热敏纸配送服务满意度、终端设备维修满意度等持续提升。</w:t>
      </w:r>
      <w:r>
        <w:rPr>
          <w:rFonts w:ascii="仿宋_GB2312" w:eastAsia="仿宋_GB2312" w:hAnsi="宋体" w:cs="宋体" w:hint="eastAsia"/>
          <w:b/>
          <w:bCs/>
          <w:kern w:val="0"/>
          <w:sz w:val="32"/>
          <w:szCs w:val="32"/>
        </w:rPr>
        <w:t>二是</w:t>
      </w:r>
      <w:r>
        <w:rPr>
          <w:rFonts w:ascii="仿宋_GB2312" w:eastAsia="仿宋_GB2312" w:hAnsi="宋体" w:cs="宋体" w:hint="eastAsia"/>
          <w:kern w:val="0"/>
          <w:sz w:val="32"/>
          <w:szCs w:val="32"/>
        </w:rPr>
        <w:t>系统运维、设备采购达到质量要求，验收合格率达到100%，生产机房动力电缆改造符合国家标准，机房监控、UPS、空调设备完好可用率达到99%，</w:t>
      </w:r>
      <w:proofErr w:type="gramStart"/>
      <w:r>
        <w:rPr>
          <w:rFonts w:ascii="仿宋_GB2312" w:eastAsia="仿宋_GB2312" w:hAnsi="宋体" w:cs="宋体" w:hint="eastAsia"/>
          <w:kern w:val="0"/>
          <w:sz w:val="32"/>
          <w:szCs w:val="32"/>
        </w:rPr>
        <w:t>北单游戏</w:t>
      </w:r>
      <w:proofErr w:type="gramEnd"/>
      <w:r>
        <w:rPr>
          <w:rFonts w:ascii="仿宋_GB2312" w:eastAsia="仿宋_GB2312" w:hAnsi="宋体" w:cs="宋体" w:hint="eastAsia"/>
          <w:kern w:val="0"/>
          <w:sz w:val="32"/>
          <w:szCs w:val="32"/>
        </w:rPr>
        <w:t>及系统连续稳定运行，业务完成率100%，保障了中心各项业务、生产系统的正常运转，保证彩票销售系统的安全稳</w:t>
      </w:r>
      <w:r>
        <w:rPr>
          <w:rFonts w:ascii="仿宋_GB2312" w:eastAsia="仿宋_GB2312" w:hAnsi="宋体" w:cs="宋体" w:hint="eastAsia"/>
          <w:kern w:val="0"/>
          <w:sz w:val="32"/>
          <w:szCs w:val="32"/>
        </w:rPr>
        <w:lastRenderedPageBreak/>
        <w:t>定。</w:t>
      </w:r>
    </w:p>
    <w:p w:rsidR="00847650" w:rsidRDefault="00847650" w:rsidP="00847650">
      <w:pPr>
        <w:spacing w:line="360" w:lineRule="auto"/>
        <w:ind w:firstLineChars="200" w:firstLine="643"/>
        <w:outlineLvl w:val="2"/>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3.产出进度</w:t>
      </w:r>
    </w:p>
    <w:p w:rsidR="00847650" w:rsidRDefault="00847650" w:rsidP="00847650">
      <w:pPr>
        <w:spacing w:line="360" w:lineRule="auto"/>
        <w:ind w:firstLineChars="200" w:firstLine="640"/>
        <w:rPr>
          <w:rFonts w:ascii="仿宋_GB2312" w:eastAsia="仿宋_GB2312" w:hAnsi="宋体" w:cs="宋体"/>
          <w:color w:val="0000FF"/>
          <w:kern w:val="0"/>
          <w:sz w:val="32"/>
          <w:szCs w:val="32"/>
        </w:rPr>
      </w:pPr>
      <w:r>
        <w:rPr>
          <w:rFonts w:ascii="仿宋_GB2312" w:eastAsia="仿宋_GB2312" w:hAnsi="宋体" w:cs="宋体"/>
          <w:kern w:val="0"/>
          <w:sz w:val="32"/>
          <w:szCs w:val="32"/>
        </w:rPr>
        <w:t>202</w:t>
      </w:r>
      <w:r>
        <w:rPr>
          <w:rFonts w:ascii="仿宋_GB2312" w:eastAsia="仿宋_GB2312" w:hAnsi="宋体" w:cs="宋体" w:hint="eastAsia"/>
          <w:kern w:val="0"/>
          <w:sz w:val="32"/>
          <w:szCs w:val="32"/>
        </w:rPr>
        <w:t>3</w:t>
      </w:r>
      <w:r>
        <w:rPr>
          <w:rFonts w:ascii="仿宋_GB2312" w:eastAsia="仿宋_GB2312" w:hAnsi="宋体" w:cs="宋体"/>
          <w:kern w:val="0"/>
          <w:sz w:val="32"/>
          <w:szCs w:val="32"/>
        </w:rPr>
        <w:t>年</w:t>
      </w:r>
      <w:proofErr w:type="gramStart"/>
      <w:r>
        <w:rPr>
          <w:rFonts w:ascii="仿宋_GB2312" w:eastAsia="仿宋_GB2312" w:hAnsi="宋体" w:cs="宋体"/>
          <w:kern w:val="0"/>
          <w:sz w:val="32"/>
          <w:szCs w:val="32"/>
        </w:rPr>
        <w:t>市体彩中心</w:t>
      </w:r>
      <w:proofErr w:type="gramEnd"/>
      <w:r>
        <w:rPr>
          <w:rFonts w:ascii="仿宋_GB2312" w:eastAsia="仿宋_GB2312" w:hAnsi="宋体" w:cs="宋体"/>
          <w:kern w:val="0"/>
          <w:sz w:val="32"/>
          <w:szCs w:val="32"/>
        </w:rPr>
        <w:t>各项工作完成较为及时，及时举办各项营销、推广活动，开展从业者培训，保障各项系统正常运转，促进</w:t>
      </w:r>
      <w:r>
        <w:rPr>
          <w:rFonts w:ascii="仿宋_GB2312" w:eastAsia="仿宋_GB2312" w:hAnsi="宋体" w:cs="宋体" w:hint="eastAsia"/>
          <w:kern w:val="0"/>
          <w:sz w:val="32"/>
          <w:szCs w:val="32"/>
        </w:rPr>
        <w:t>了</w:t>
      </w:r>
      <w:r>
        <w:rPr>
          <w:rFonts w:ascii="仿宋_GB2312" w:eastAsia="仿宋_GB2312" w:hAnsi="宋体" w:cs="宋体"/>
          <w:kern w:val="0"/>
          <w:sz w:val="32"/>
          <w:szCs w:val="32"/>
        </w:rPr>
        <w:t>市场健康发展。</w:t>
      </w:r>
      <w:r>
        <w:rPr>
          <w:rFonts w:ascii="仿宋_GB2312" w:eastAsia="仿宋_GB2312" w:hAnsi="宋体" w:cs="宋体" w:hint="eastAsia"/>
          <w:kern w:val="0"/>
          <w:sz w:val="32"/>
          <w:szCs w:val="32"/>
        </w:rPr>
        <w:t>评价时，抽查重点项目完成情况发现，个别项目中部分工作未按预期计划完成，</w:t>
      </w:r>
      <w:r>
        <w:rPr>
          <w:rFonts w:ascii="仿宋_GB2312" w:eastAsia="仿宋_GB2312" w:hAnsi="宋体" w:cs="宋体" w:hint="eastAsia"/>
          <w:b/>
          <w:bCs/>
          <w:kern w:val="0"/>
          <w:sz w:val="32"/>
          <w:szCs w:val="32"/>
        </w:rPr>
        <w:t>一是</w:t>
      </w:r>
      <w:r>
        <w:rPr>
          <w:rFonts w:ascii="仿宋_GB2312" w:eastAsia="仿宋_GB2312" w:hAnsi="宋体" w:cs="宋体" w:hint="eastAsia"/>
          <w:kern w:val="0"/>
          <w:sz w:val="32"/>
          <w:szCs w:val="32"/>
        </w:rPr>
        <w:t>专用设备及材料购置类项目中，因受</w:t>
      </w:r>
      <w:r>
        <w:rPr>
          <w:rFonts w:ascii="仿宋_GB2312" w:eastAsia="仿宋_GB2312" w:hint="eastAsia"/>
          <w:sz w:val="32"/>
          <w:szCs w:val="32"/>
        </w:rPr>
        <w:t>办公楼改造工作影响，未按预期采购视频监控管理平台；</w:t>
      </w:r>
      <w:r>
        <w:rPr>
          <w:rFonts w:ascii="仿宋_GB2312" w:eastAsia="仿宋_GB2312" w:hint="eastAsia"/>
          <w:b/>
          <w:bCs/>
          <w:sz w:val="32"/>
          <w:szCs w:val="32"/>
        </w:rPr>
        <w:t>二是</w:t>
      </w:r>
      <w:r>
        <w:rPr>
          <w:rFonts w:ascii="仿宋_GB2312" w:eastAsia="仿宋_GB2312" w:hint="eastAsia"/>
          <w:sz w:val="32"/>
          <w:szCs w:val="32"/>
        </w:rPr>
        <w:t>2023年度彩票市场调控资金项目原计划开展公益体彩百姓身边活动及</w:t>
      </w:r>
      <w:proofErr w:type="gramStart"/>
      <w:r>
        <w:rPr>
          <w:rFonts w:ascii="仿宋_GB2312" w:eastAsia="仿宋_GB2312" w:hint="eastAsia"/>
          <w:sz w:val="32"/>
          <w:szCs w:val="32"/>
        </w:rPr>
        <w:t>体彩进社区</w:t>
      </w:r>
      <w:proofErr w:type="gramEnd"/>
      <w:r>
        <w:rPr>
          <w:rFonts w:ascii="仿宋_GB2312" w:eastAsia="仿宋_GB2312" w:hint="eastAsia"/>
          <w:sz w:val="32"/>
          <w:szCs w:val="32"/>
        </w:rPr>
        <w:t>活动，因上述两项活动任务期为2年，调整至2024年实施</w:t>
      </w:r>
      <w:r>
        <w:rPr>
          <w:rFonts w:ascii="仿宋_GB2312" w:eastAsia="仿宋_GB2312" w:hAnsi="宋体" w:cs="宋体" w:hint="eastAsia"/>
          <w:kern w:val="0"/>
          <w:sz w:val="32"/>
          <w:szCs w:val="32"/>
        </w:rPr>
        <w:t>。</w:t>
      </w:r>
    </w:p>
    <w:p w:rsidR="00847650" w:rsidRDefault="00847650" w:rsidP="00847650">
      <w:pPr>
        <w:spacing w:line="360" w:lineRule="auto"/>
        <w:ind w:firstLineChars="200" w:firstLine="643"/>
        <w:outlineLvl w:val="2"/>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4.产出成本</w:t>
      </w:r>
    </w:p>
    <w:p w:rsidR="00847650" w:rsidRDefault="00847650" w:rsidP="00847650">
      <w:pPr>
        <w:spacing w:line="360" w:lineRule="auto"/>
        <w:ind w:firstLineChars="200" w:firstLine="643"/>
        <w:rPr>
          <w:rFonts w:ascii="仿宋_GB2312" w:eastAsia="仿宋_GB2312" w:hAnsi="宋体" w:cs="宋体"/>
          <w:color w:val="0000FF"/>
          <w:kern w:val="0"/>
          <w:sz w:val="32"/>
          <w:szCs w:val="32"/>
        </w:rPr>
      </w:pPr>
      <w:r>
        <w:rPr>
          <w:rFonts w:ascii="仿宋_GB2312" w:eastAsia="仿宋_GB2312" w:hAnsi="宋体" w:cs="宋体" w:hint="eastAsia"/>
          <w:b/>
          <w:bCs/>
          <w:kern w:val="0"/>
          <w:sz w:val="32"/>
          <w:szCs w:val="32"/>
        </w:rPr>
        <w:t>一是</w:t>
      </w:r>
      <w:r>
        <w:rPr>
          <w:rFonts w:ascii="仿宋_GB2312" w:eastAsia="仿宋_GB2312" w:hAnsi="宋体" w:cs="宋体" w:hint="eastAsia"/>
          <w:kern w:val="0"/>
          <w:sz w:val="32"/>
          <w:szCs w:val="32"/>
        </w:rPr>
        <w:t>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严格落实政府过“紧日子”要求，厉行勤俭节约，控制成本，按照预算将各项支出严格控制在规定范围之内，各项支出符合国家财经法规和财务管理制度规定以及有关专项资金管理办法的规定，支出前均按照内控流程要求进行审批。</w:t>
      </w:r>
      <w:r>
        <w:rPr>
          <w:rFonts w:ascii="仿宋_GB2312" w:eastAsia="仿宋_GB2312" w:hAnsi="宋体" w:cs="宋体" w:hint="eastAsia"/>
          <w:b/>
          <w:bCs/>
          <w:kern w:val="0"/>
          <w:sz w:val="32"/>
          <w:szCs w:val="32"/>
        </w:rPr>
        <w:t>二是</w:t>
      </w:r>
      <w:r>
        <w:rPr>
          <w:rFonts w:ascii="仿宋_GB2312" w:eastAsia="仿宋_GB2312" w:hAnsi="宋体" w:cs="宋体" w:hint="eastAsia"/>
          <w:kern w:val="0"/>
          <w:sz w:val="32"/>
          <w:szCs w:val="32"/>
        </w:rPr>
        <w:t>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严格落实政府采购法及部门内控管理的相关要求，严格履行政府采购程序，实现财政资金的节约和成本控制。</w:t>
      </w:r>
      <w:r>
        <w:rPr>
          <w:rFonts w:ascii="仿宋_GB2312" w:eastAsia="仿宋_GB2312" w:hAnsi="宋体" w:cs="宋体" w:hint="eastAsia"/>
          <w:b/>
          <w:bCs/>
          <w:kern w:val="0"/>
          <w:sz w:val="32"/>
          <w:szCs w:val="32"/>
        </w:rPr>
        <w:t>三是</w:t>
      </w:r>
      <w:r>
        <w:rPr>
          <w:rFonts w:ascii="仿宋_GB2312" w:eastAsia="仿宋_GB2312" w:hAnsi="宋体" w:cs="宋体" w:hint="eastAsia"/>
          <w:kern w:val="0"/>
          <w:sz w:val="32"/>
          <w:szCs w:val="32"/>
        </w:rPr>
        <w:t>“三公”经费、培训费等严格按预算执行，较2022年略有下降。2023年“三公”经费财政拨款执行数</w:t>
      </w:r>
      <w:r>
        <w:rPr>
          <w:rFonts w:ascii="仿宋_GB2312" w:eastAsia="仿宋_GB2312"/>
          <w:sz w:val="32"/>
          <w:szCs w:val="32"/>
        </w:rPr>
        <w:t>3.72</w:t>
      </w:r>
      <w:r>
        <w:rPr>
          <w:rFonts w:ascii="仿宋_GB2312" w:eastAsia="仿宋_GB2312" w:hint="eastAsia"/>
          <w:sz w:val="32"/>
          <w:szCs w:val="32"/>
        </w:rPr>
        <w:t>万元，比20</w:t>
      </w:r>
      <w:r>
        <w:rPr>
          <w:rFonts w:ascii="仿宋_GB2312" w:eastAsia="仿宋_GB2312"/>
          <w:sz w:val="32"/>
          <w:szCs w:val="32"/>
        </w:rPr>
        <w:t>22</w:t>
      </w:r>
      <w:r>
        <w:rPr>
          <w:rFonts w:ascii="仿宋_GB2312" w:eastAsia="仿宋_GB2312" w:hint="eastAsia"/>
          <w:sz w:val="32"/>
          <w:szCs w:val="32"/>
        </w:rPr>
        <w:t>年“三公”经费财政拨款决算数7.03万元,减少了</w:t>
      </w:r>
      <w:r>
        <w:rPr>
          <w:rFonts w:ascii="仿宋_GB2312" w:eastAsia="仿宋_GB2312"/>
          <w:sz w:val="32"/>
          <w:szCs w:val="32"/>
        </w:rPr>
        <w:t>3.31</w:t>
      </w:r>
      <w:r>
        <w:rPr>
          <w:rFonts w:ascii="仿宋_GB2312" w:eastAsia="仿宋_GB2312" w:hint="eastAsia"/>
          <w:sz w:val="32"/>
          <w:szCs w:val="32"/>
        </w:rPr>
        <w:t>万元。其中因公</w:t>
      </w:r>
      <w:r>
        <w:rPr>
          <w:rFonts w:ascii="仿宋_GB2312" w:eastAsia="仿宋_GB2312" w:hint="eastAsia"/>
          <w:sz w:val="32"/>
          <w:szCs w:val="32"/>
        </w:rPr>
        <w:lastRenderedPageBreak/>
        <w:t>出国（境）费用，202</w:t>
      </w:r>
      <w:r>
        <w:rPr>
          <w:rFonts w:ascii="仿宋_GB2312" w:eastAsia="仿宋_GB2312"/>
          <w:sz w:val="32"/>
          <w:szCs w:val="32"/>
        </w:rPr>
        <w:t>3</w:t>
      </w:r>
      <w:r>
        <w:rPr>
          <w:rFonts w:ascii="仿宋_GB2312" w:eastAsia="仿宋_GB2312" w:hint="eastAsia"/>
          <w:sz w:val="32"/>
          <w:szCs w:val="32"/>
        </w:rPr>
        <w:t>年财政拨款执行数0</w:t>
      </w:r>
      <w:r>
        <w:rPr>
          <w:rFonts w:ascii="仿宋_GB2312" w:eastAsia="仿宋_GB2312"/>
          <w:sz w:val="32"/>
          <w:szCs w:val="32"/>
        </w:rPr>
        <w:t>.00</w:t>
      </w:r>
      <w:r>
        <w:rPr>
          <w:rFonts w:ascii="仿宋_GB2312" w:eastAsia="仿宋_GB2312" w:hint="eastAsia"/>
          <w:sz w:val="32"/>
          <w:szCs w:val="32"/>
        </w:rPr>
        <w:t>万元，与20</w:t>
      </w:r>
      <w:r>
        <w:rPr>
          <w:rFonts w:ascii="仿宋_GB2312" w:eastAsia="仿宋_GB2312"/>
          <w:sz w:val="32"/>
          <w:szCs w:val="32"/>
        </w:rPr>
        <w:t>22</w:t>
      </w:r>
      <w:r>
        <w:rPr>
          <w:rFonts w:ascii="仿宋_GB2312" w:eastAsia="仿宋_GB2312" w:hint="eastAsia"/>
          <w:sz w:val="32"/>
          <w:szCs w:val="32"/>
        </w:rPr>
        <w:t>年财政拨款决算数0</w:t>
      </w:r>
      <w:r>
        <w:rPr>
          <w:rFonts w:ascii="仿宋_GB2312" w:eastAsia="仿宋_GB2312"/>
          <w:sz w:val="32"/>
          <w:szCs w:val="32"/>
        </w:rPr>
        <w:t>.00</w:t>
      </w:r>
      <w:r>
        <w:rPr>
          <w:rFonts w:ascii="仿宋_GB2312" w:eastAsia="仿宋_GB2312" w:hint="eastAsia"/>
          <w:sz w:val="32"/>
          <w:szCs w:val="32"/>
        </w:rPr>
        <w:t>万元持平；公务接待费，2023年财政拨款执行数0.00万元，与2022年财政拨款决算数0.00万元持平；公务用车购置和运行维护费，2023年财政拨款执行数3.72万元，比2022年财政拨款决算数7.03万元减少3.31万元，费用减少原因为</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贯彻落实国家方针政策，加强公务用车</w:t>
      </w:r>
      <w:r>
        <w:rPr>
          <w:rFonts w:ascii="仿宋_GB2312" w:eastAsia="仿宋_GB2312"/>
          <w:sz w:val="32"/>
          <w:szCs w:val="32"/>
        </w:rPr>
        <w:t>管理，</w:t>
      </w:r>
      <w:r>
        <w:rPr>
          <w:rFonts w:ascii="仿宋_GB2312" w:eastAsia="仿宋_GB2312" w:hint="eastAsia"/>
          <w:sz w:val="32"/>
          <w:szCs w:val="32"/>
        </w:rPr>
        <w:t>节能减排，公务用车运行维护费用下降。</w:t>
      </w:r>
    </w:p>
    <w:p w:rsidR="00847650" w:rsidRDefault="00847650" w:rsidP="00847650">
      <w:pPr>
        <w:spacing w:line="360" w:lineRule="auto"/>
        <w:ind w:leftChars="50" w:left="105" w:firstLineChars="150" w:firstLine="482"/>
        <w:outlineLvl w:val="1"/>
        <w:rPr>
          <w:rFonts w:ascii="楷体_GB2312" w:eastAsia="楷体_GB2312"/>
          <w:b/>
          <w:bCs/>
          <w:sz w:val="32"/>
          <w:szCs w:val="32"/>
        </w:rPr>
      </w:pPr>
      <w:bookmarkStart w:id="6" w:name="_Toc27754"/>
      <w:r>
        <w:rPr>
          <w:rFonts w:ascii="楷体_GB2312" w:eastAsia="楷体_GB2312" w:hint="eastAsia"/>
          <w:b/>
          <w:bCs/>
          <w:sz w:val="32"/>
          <w:szCs w:val="32"/>
        </w:rPr>
        <w:t>（二）效果</w:t>
      </w:r>
      <w:r>
        <w:rPr>
          <w:rFonts w:ascii="楷体_GB2312" w:eastAsia="楷体_GB2312"/>
          <w:b/>
          <w:bCs/>
          <w:sz w:val="32"/>
          <w:szCs w:val="32"/>
        </w:rPr>
        <w:t>实现情况分析</w:t>
      </w:r>
      <w:bookmarkEnd w:id="6"/>
    </w:p>
    <w:p w:rsidR="00847650" w:rsidRDefault="00847650" w:rsidP="00847650">
      <w:pPr>
        <w:spacing w:line="360" w:lineRule="auto"/>
        <w:ind w:firstLineChars="200" w:firstLine="643"/>
        <w:outlineLvl w:val="2"/>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1.经济</w:t>
      </w:r>
      <w:r>
        <w:rPr>
          <w:rFonts w:ascii="仿宋_GB2312" w:eastAsia="仿宋_GB2312" w:hAnsi="宋体" w:cs="宋体"/>
          <w:b/>
          <w:bCs/>
          <w:kern w:val="0"/>
          <w:sz w:val="32"/>
          <w:szCs w:val="32"/>
        </w:rPr>
        <w:t>效益</w:t>
      </w:r>
    </w:p>
    <w:p w:rsidR="00847650" w:rsidRDefault="00847650" w:rsidP="00847650">
      <w:pPr>
        <w:spacing w:line="360" w:lineRule="auto"/>
        <w:ind w:leftChars="50" w:left="105"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截至2023年年</w:t>
      </w:r>
      <w:proofErr w:type="gramStart"/>
      <w:r>
        <w:rPr>
          <w:rFonts w:ascii="仿宋_GB2312" w:eastAsia="仿宋_GB2312" w:hAnsi="宋体" w:cs="宋体" w:hint="eastAsia"/>
          <w:kern w:val="0"/>
          <w:sz w:val="32"/>
          <w:szCs w:val="32"/>
        </w:rPr>
        <w:t>底全市体</w:t>
      </w:r>
      <w:proofErr w:type="gramEnd"/>
      <w:r>
        <w:rPr>
          <w:rFonts w:ascii="仿宋_GB2312" w:eastAsia="仿宋_GB2312" w:hAnsi="宋体" w:cs="宋体" w:hint="eastAsia"/>
          <w:kern w:val="0"/>
          <w:sz w:val="32"/>
          <w:szCs w:val="32"/>
        </w:rPr>
        <w:t>彩网点共计3782家，全市体育彩票销量108.24亿元，同比增长48.5</w:t>
      </w:r>
      <w:r>
        <w:rPr>
          <w:rFonts w:ascii="仿宋_GB2312" w:eastAsia="仿宋_GB2312" w:hAnsi="宋体" w:cs="宋体"/>
          <w:kern w:val="0"/>
          <w:sz w:val="32"/>
          <w:szCs w:val="32"/>
        </w:rPr>
        <w:t>2</w:t>
      </w:r>
      <w:r>
        <w:rPr>
          <w:rFonts w:ascii="仿宋_GB2312" w:eastAsia="仿宋_GB2312" w:hAnsi="宋体" w:cs="宋体" w:hint="eastAsia"/>
          <w:kern w:val="0"/>
          <w:sz w:val="32"/>
          <w:szCs w:val="32"/>
        </w:rPr>
        <w:t>%，筹集地方公益金13.15亿元，以</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为主运营的区域联网单场游戏，</w:t>
      </w:r>
      <w:proofErr w:type="gramStart"/>
      <w:r>
        <w:rPr>
          <w:rFonts w:ascii="仿宋_GB2312" w:eastAsia="仿宋_GB2312" w:hAnsi="宋体" w:cs="宋体" w:hint="eastAsia"/>
          <w:kern w:val="0"/>
          <w:sz w:val="32"/>
          <w:szCs w:val="32"/>
        </w:rPr>
        <w:t>京津粤三</w:t>
      </w:r>
      <w:proofErr w:type="gramEnd"/>
      <w:r>
        <w:rPr>
          <w:rFonts w:ascii="仿宋_GB2312" w:eastAsia="仿宋_GB2312" w:hAnsi="宋体" w:cs="宋体" w:hint="eastAsia"/>
          <w:kern w:val="0"/>
          <w:sz w:val="32"/>
          <w:szCs w:val="32"/>
        </w:rPr>
        <w:t>地年度销量121.66亿元，创历史新高。</w:t>
      </w:r>
    </w:p>
    <w:p w:rsidR="00847650" w:rsidRDefault="00847650" w:rsidP="00847650">
      <w:pPr>
        <w:spacing w:line="360" w:lineRule="auto"/>
        <w:ind w:firstLineChars="200" w:firstLine="643"/>
        <w:outlineLvl w:val="2"/>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2.社会效益</w:t>
      </w:r>
    </w:p>
    <w:p w:rsidR="00847650" w:rsidRDefault="00847650" w:rsidP="00847650">
      <w:pPr>
        <w:spacing w:line="360" w:lineRule="auto"/>
        <w:ind w:leftChars="50" w:left="105" w:firstLineChars="200" w:firstLine="640"/>
        <w:rPr>
          <w:rFonts w:ascii="仿宋_GB2312" w:eastAsia="仿宋_GB2312" w:hAnsi="宋体" w:cs="宋体"/>
          <w:color w:val="0000FF"/>
          <w:kern w:val="0"/>
          <w:sz w:val="32"/>
          <w:szCs w:val="32"/>
        </w:rPr>
      </w:pPr>
      <w:r>
        <w:rPr>
          <w:rFonts w:ascii="仿宋_GB2312" w:eastAsia="仿宋_GB2312" w:hAnsi="宋体" w:cs="宋体" w:hint="eastAsia"/>
          <w:kern w:val="0"/>
          <w:sz w:val="32"/>
          <w:szCs w:val="32"/>
        </w:rPr>
        <w:t>经过二十多年的发展，北京市体育彩票已成为助推北京市社会公益事业和体育事业发展的重要支撑。北京市体育彩票近年来</w:t>
      </w:r>
      <w:r>
        <w:rPr>
          <w:rFonts w:ascii="仿宋_GB2312" w:eastAsia="仿宋_GB2312" w:hAnsi="仿宋_GB2312" w:cs="仿宋_GB2312" w:hint="eastAsia"/>
          <w:sz w:val="32"/>
          <w:szCs w:val="32"/>
        </w:rPr>
        <w:t>年销售规模不断提升，筹集的公益金规模也同步提升，市级方面通过与国际知名体育赛事合作，资助品牌赛事，冠名支持希望杯青少年足球赛、北京男子手球队、北京田径队等，支持竞技体育后备人才建设和青少年体育工作，丰富体育活动，为体育强国贡献力量。</w:t>
      </w:r>
    </w:p>
    <w:p w:rsidR="00847650" w:rsidRDefault="00847650" w:rsidP="00847650">
      <w:pPr>
        <w:spacing w:line="360" w:lineRule="auto"/>
        <w:ind w:firstLineChars="200" w:firstLine="643"/>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lastRenderedPageBreak/>
        <w:t>3.可持续</w:t>
      </w:r>
      <w:r>
        <w:rPr>
          <w:rFonts w:ascii="仿宋_GB2312" w:eastAsia="仿宋_GB2312" w:hAnsi="宋体" w:cs="宋体"/>
          <w:b/>
          <w:bCs/>
          <w:kern w:val="0"/>
          <w:sz w:val="32"/>
          <w:szCs w:val="32"/>
        </w:rPr>
        <w:t>性影响</w:t>
      </w:r>
    </w:p>
    <w:p w:rsidR="00847650" w:rsidRDefault="00847650" w:rsidP="00847650">
      <w:pPr>
        <w:tabs>
          <w:tab w:val="left" w:pos="7938"/>
        </w:tabs>
        <w:adjustRightInd w:val="0"/>
        <w:snapToGrid w:val="0"/>
        <w:spacing w:line="360" w:lineRule="auto"/>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一是</w:t>
      </w:r>
      <w:r>
        <w:rPr>
          <w:rFonts w:ascii="仿宋_GB2312" w:eastAsia="仿宋_GB2312" w:hAnsi="宋体" w:cs="宋体" w:hint="eastAsia"/>
          <w:kern w:val="0"/>
          <w:sz w:val="32"/>
          <w:szCs w:val="32"/>
        </w:rPr>
        <w:t>持续推进责任彩票管理体系建设。</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坚持“建设负责任、可信赖、高质量发展的国家公益彩票”总目标，使责任彩票理念内化于心、外化于行，把“理性购彩”的理念与广大购彩者和社会公众分享，积极征求一线工作者的意见建议，与基层从业人员上下联动，共同开展责任彩票工作，营造良好市场环境。此外，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与教育部门、民政部门共同明确在学校周边200米范围内不予增设体育彩票网点，积极回应社会关切。</w:t>
      </w:r>
    </w:p>
    <w:p w:rsidR="00847650" w:rsidRDefault="00847650" w:rsidP="00847650">
      <w:pPr>
        <w:tabs>
          <w:tab w:val="left" w:pos="7938"/>
        </w:tabs>
        <w:adjustRightInd w:val="0"/>
        <w:snapToGrid w:val="0"/>
        <w:spacing w:line="360" w:lineRule="auto"/>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二是</w:t>
      </w:r>
      <w:r>
        <w:rPr>
          <w:rFonts w:ascii="仿宋_GB2312" w:eastAsia="仿宋_GB2312" w:hAnsi="宋体" w:cs="宋体" w:hint="eastAsia"/>
          <w:kern w:val="0"/>
          <w:sz w:val="32"/>
          <w:szCs w:val="32"/>
        </w:rPr>
        <w:t>推动安全生产和风险防控机制建设。2023年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牢固树立底线思维，把保安全、防风险作为重点，积极开展工作，摸清北京市体育彩票行业存在的风险及形成原因，研究制定风险防范措施，印发《关于进一步加强体育彩票领域风险防控工作的实施意见》，部署全市体育彩票领域风险防控、行风治理、</w:t>
      </w:r>
      <w:proofErr w:type="gramStart"/>
      <w:r>
        <w:rPr>
          <w:rFonts w:ascii="仿宋_GB2312" w:eastAsia="仿宋_GB2312" w:hAnsi="宋体" w:cs="宋体" w:hint="eastAsia"/>
          <w:kern w:val="0"/>
          <w:sz w:val="32"/>
          <w:szCs w:val="32"/>
        </w:rPr>
        <w:t>接诉即办</w:t>
      </w:r>
      <w:proofErr w:type="gramEnd"/>
      <w:r>
        <w:rPr>
          <w:rFonts w:ascii="仿宋_GB2312" w:eastAsia="仿宋_GB2312" w:hAnsi="宋体" w:cs="宋体" w:hint="eastAsia"/>
          <w:kern w:val="0"/>
          <w:sz w:val="32"/>
          <w:szCs w:val="32"/>
        </w:rPr>
        <w:t>等重点工作，市区体育部门、</w:t>
      </w:r>
      <w:proofErr w:type="gramStart"/>
      <w:r>
        <w:rPr>
          <w:rFonts w:ascii="仿宋_GB2312" w:eastAsia="仿宋_GB2312" w:hAnsi="宋体" w:cs="宋体" w:hint="eastAsia"/>
          <w:kern w:val="0"/>
          <w:sz w:val="32"/>
          <w:szCs w:val="32"/>
        </w:rPr>
        <w:t>市体彩</w:t>
      </w:r>
      <w:proofErr w:type="gramEnd"/>
      <w:r>
        <w:rPr>
          <w:rFonts w:ascii="仿宋_GB2312" w:eastAsia="仿宋_GB2312" w:hAnsi="宋体" w:cs="宋体" w:hint="eastAsia"/>
          <w:kern w:val="0"/>
          <w:sz w:val="32"/>
          <w:szCs w:val="32"/>
        </w:rPr>
        <w:t>中心、服务商、专管员、代销者强化风险意识，提升风险防控能力，及时防范化解各类风险。狠抓安全生产，与各区体育局建立健全工作机制，强化市区联动，开展办公场所、销售网点、信息系统、营销现场的安全生产隐患大排查大整治，保障全市体彩系统安全稳定。</w:t>
      </w:r>
    </w:p>
    <w:p w:rsidR="00847650" w:rsidRDefault="00847650" w:rsidP="00847650">
      <w:pPr>
        <w:tabs>
          <w:tab w:val="left" w:pos="7938"/>
        </w:tabs>
        <w:adjustRightInd w:val="0"/>
        <w:snapToGrid w:val="0"/>
        <w:spacing w:line="360" w:lineRule="auto"/>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三是</w:t>
      </w:r>
      <w:r>
        <w:rPr>
          <w:rFonts w:ascii="仿宋_GB2312" w:eastAsia="仿宋_GB2312" w:hAnsi="宋体" w:cs="宋体" w:hint="eastAsia"/>
          <w:kern w:val="0"/>
          <w:sz w:val="32"/>
          <w:szCs w:val="32"/>
        </w:rPr>
        <w:t>不断提升体</w:t>
      </w:r>
      <w:proofErr w:type="gramStart"/>
      <w:r>
        <w:rPr>
          <w:rFonts w:ascii="仿宋_GB2312" w:eastAsia="仿宋_GB2312" w:hAnsi="宋体" w:cs="宋体" w:hint="eastAsia"/>
          <w:kern w:val="0"/>
          <w:sz w:val="32"/>
          <w:szCs w:val="32"/>
        </w:rPr>
        <w:t>彩品牌</w:t>
      </w:r>
      <w:proofErr w:type="gramEnd"/>
      <w:r>
        <w:rPr>
          <w:rFonts w:ascii="仿宋_GB2312" w:eastAsia="仿宋_GB2312" w:hAnsi="宋体" w:cs="宋体" w:hint="eastAsia"/>
          <w:kern w:val="0"/>
          <w:sz w:val="32"/>
          <w:szCs w:val="32"/>
        </w:rPr>
        <w:t>认知与认可度。2023年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继续深化体</w:t>
      </w:r>
      <w:proofErr w:type="gramStart"/>
      <w:r>
        <w:rPr>
          <w:rFonts w:ascii="仿宋_GB2312" w:eastAsia="仿宋_GB2312" w:hAnsi="宋体" w:cs="宋体" w:hint="eastAsia"/>
          <w:kern w:val="0"/>
          <w:sz w:val="32"/>
          <w:szCs w:val="32"/>
        </w:rPr>
        <w:t>彩品牌</w:t>
      </w:r>
      <w:proofErr w:type="gramEnd"/>
      <w:r>
        <w:rPr>
          <w:rFonts w:ascii="仿宋_GB2312" w:eastAsia="仿宋_GB2312" w:hAnsi="宋体" w:cs="宋体" w:hint="eastAsia"/>
          <w:kern w:val="0"/>
          <w:sz w:val="32"/>
          <w:szCs w:val="32"/>
        </w:rPr>
        <w:t>价值主张传递，通过支持体育赛事、公</w:t>
      </w:r>
      <w:r>
        <w:rPr>
          <w:rFonts w:ascii="仿宋_GB2312" w:eastAsia="仿宋_GB2312" w:hAnsi="宋体" w:cs="宋体" w:hint="eastAsia"/>
          <w:kern w:val="0"/>
          <w:sz w:val="32"/>
          <w:szCs w:val="32"/>
        </w:rPr>
        <w:lastRenderedPageBreak/>
        <w:t>益设施建设、公益宣传活动等，提升体</w:t>
      </w:r>
      <w:proofErr w:type="gramStart"/>
      <w:r>
        <w:rPr>
          <w:rFonts w:ascii="仿宋_GB2312" w:eastAsia="仿宋_GB2312" w:hAnsi="宋体" w:cs="宋体" w:hint="eastAsia"/>
          <w:kern w:val="0"/>
          <w:sz w:val="32"/>
          <w:szCs w:val="32"/>
        </w:rPr>
        <w:t>彩品牌</w:t>
      </w:r>
      <w:proofErr w:type="gramEnd"/>
      <w:r>
        <w:rPr>
          <w:rFonts w:ascii="仿宋_GB2312" w:eastAsia="仿宋_GB2312" w:hAnsi="宋体" w:cs="宋体" w:hint="eastAsia"/>
          <w:kern w:val="0"/>
          <w:sz w:val="32"/>
          <w:szCs w:val="32"/>
        </w:rPr>
        <w:t>形象，扭转公众对体彩的认知偏差，提高体育彩票品牌影响力、号召力。拓展新客群，落地年轻化的主题活动，打造快闪店、市集、</w:t>
      </w:r>
      <w:proofErr w:type="gramStart"/>
      <w:r>
        <w:rPr>
          <w:rFonts w:ascii="仿宋_GB2312" w:eastAsia="仿宋_GB2312" w:hAnsi="宋体" w:cs="宋体" w:hint="eastAsia"/>
          <w:kern w:val="0"/>
          <w:sz w:val="32"/>
          <w:szCs w:val="32"/>
        </w:rPr>
        <w:t>网红打卡区</w:t>
      </w:r>
      <w:proofErr w:type="gramEnd"/>
      <w:r>
        <w:rPr>
          <w:rFonts w:ascii="仿宋_GB2312" w:eastAsia="仿宋_GB2312" w:hAnsi="宋体" w:cs="宋体" w:hint="eastAsia"/>
          <w:kern w:val="0"/>
          <w:sz w:val="32"/>
          <w:szCs w:val="32"/>
        </w:rPr>
        <w:t>等沉浸式体验场景，拥抱年轻人，加强新媒体宣传，制作一系列形式新颖、符合年轻人观看的短视频，目前</w:t>
      </w:r>
      <w:proofErr w:type="gramStart"/>
      <w:r>
        <w:rPr>
          <w:rFonts w:ascii="仿宋_GB2312" w:eastAsia="仿宋_GB2312" w:hAnsi="宋体" w:cs="宋体" w:hint="eastAsia"/>
          <w:kern w:val="0"/>
          <w:sz w:val="32"/>
          <w:szCs w:val="32"/>
        </w:rPr>
        <w:t>市体彩中心抖音</w:t>
      </w:r>
      <w:proofErr w:type="gramEnd"/>
      <w:r>
        <w:rPr>
          <w:rFonts w:ascii="仿宋_GB2312" w:eastAsia="仿宋_GB2312" w:hAnsi="宋体" w:cs="宋体" w:hint="eastAsia"/>
          <w:kern w:val="0"/>
          <w:sz w:val="32"/>
          <w:szCs w:val="32"/>
        </w:rPr>
        <w:t>号、视频号原创短视频播放量超过4400余万次。</w:t>
      </w:r>
    </w:p>
    <w:p w:rsidR="00847650" w:rsidRDefault="00847650" w:rsidP="00847650">
      <w:pPr>
        <w:tabs>
          <w:tab w:val="left" w:pos="7938"/>
        </w:tabs>
        <w:adjustRightInd w:val="0"/>
        <w:snapToGrid w:val="0"/>
        <w:spacing w:line="360" w:lineRule="auto"/>
        <w:ind w:firstLineChars="200" w:firstLine="643"/>
        <w:rPr>
          <w:rFonts w:ascii="仿宋_GB2312" w:eastAsia="仿宋_GB2312" w:hAnsi="仿宋"/>
          <w:sz w:val="32"/>
          <w:szCs w:val="32"/>
        </w:rPr>
      </w:pPr>
      <w:r>
        <w:rPr>
          <w:rFonts w:ascii="仿宋_GB2312" w:eastAsia="仿宋_GB2312" w:hAnsi="仿宋" w:hint="eastAsia"/>
          <w:b/>
          <w:bCs/>
          <w:sz w:val="32"/>
          <w:szCs w:val="32"/>
        </w:rPr>
        <w:t>四是</w:t>
      </w:r>
      <w:r>
        <w:rPr>
          <w:rFonts w:ascii="仿宋_GB2312" w:eastAsia="仿宋_GB2312" w:hAnsi="仿宋" w:hint="eastAsia"/>
          <w:sz w:val="32"/>
          <w:szCs w:val="32"/>
        </w:rPr>
        <w:t>系统稳定运行，保持业务健康发展。</w:t>
      </w:r>
      <w:r>
        <w:rPr>
          <w:rFonts w:ascii="仿宋_GB2312" w:eastAsia="仿宋_GB2312" w:hAnsi="宋体" w:cs="宋体" w:hint="eastAsia"/>
          <w:kern w:val="0"/>
          <w:sz w:val="32"/>
          <w:szCs w:val="32"/>
        </w:rPr>
        <w:t>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通过对系统进行运维维护，更新配置专用设备，确保了全年服务和业务系统的连续性，生产和办公“零”中断、“零”事故。</w:t>
      </w:r>
    </w:p>
    <w:p w:rsidR="00847650" w:rsidRDefault="00847650" w:rsidP="00847650">
      <w:pPr>
        <w:spacing w:line="360" w:lineRule="auto"/>
        <w:ind w:firstLineChars="200" w:firstLine="643"/>
        <w:outlineLvl w:val="2"/>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4.服务对象</w:t>
      </w:r>
      <w:r>
        <w:rPr>
          <w:rFonts w:ascii="仿宋_GB2312" w:eastAsia="仿宋_GB2312" w:hAnsi="宋体" w:cs="宋体"/>
          <w:b/>
          <w:bCs/>
          <w:kern w:val="0"/>
          <w:sz w:val="32"/>
          <w:szCs w:val="32"/>
        </w:rPr>
        <w:t>满意度</w:t>
      </w:r>
    </w:p>
    <w:p w:rsidR="00847650" w:rsidRDefault="00847650" w:rsidP="00847650">
      <w:pPr>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及时回应群众关切，认真办理群众诉求，全年共接诉求事项149件，响应率100%，办结率100%，满意率100%。</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在工作中对渠道实体店、队伍、购彩者、品牌等方面开展了广泛的调研工作，各项</w:t>
      </w:r>
      <w:proofErr w:type="gramStart"/>
      <w:r>
        <w:rPr>
          <w:rFonts w:ascii="仿宋_GB2312" w:eastAsia="仿宋_GB2312" w:hAnsi="宋体" w:cs="宋体" w:hint="eastAsia"/>
          <w:kern w:val="0"/>
          <w:sz w:val="32"/>
          <w:szCs w:val="32"/>
        </w:rPr>
        <w:t>目执行</w:t>
      </w:r>
      <w:proofErr w:type="gramEnd"/>
      <w:r>
        <w:rPr>
          <w:rFonts w:ascii="仿宋_GB2312" w:eastAsia="仿宋_GB2312" w:hAnsi="宋体" w:cs="宋体" w:hint="eastAsia"/>
          <w:kern w:val="0"/>
          <w:sz w:val="32"/>
          <w:szCs w:val="32"/>
        </w:rPr>
        <w:t>中也对受益群体收集了满意度信息，渠道实体店、队伍等对</w:t>
      </w:r>
      <w:proofErr w:type="gramStart"/>
      <w:r>
        <w:rPr>
          <w:rFonts w:ascii="仿宋_GB2312" w:eastAsia="仿宋_GB2312" w:hAnsi="宋体" w:cs="宋体" w:hint="eastAsia"/>
          <w:kern w:val="0"/>
          <w:sz w:val="32"/>
          <w:szCs w:val="32"/>
        </w:rPr>
        <w:t>实体店运维</w:t>
      </w:r>
      <w:proofErr w:type="gramEnd"/>
      <w:r>
        <w:rPr>
          <w:rFonts w:ascii="仿宋_GB2312" w:eastAsia="仿宋_GB2312" w:hAnsi="宋体" w:cs="宋体" w:hint="eastAsia"/>
          <w:kern w:val="0"/>
          <w:sz w:val="32"/>
          <w:szCs w:val="32"/>
        </w:rPr>
        <w:t>的工作满意度较高，及时解决了实体店、代销者日常运营中的各类问题，服务态度得到认可。但目前缺少对购彩者、网点关于体</w:t>
      </w:r>
      <w:proofErr w:type="gramStart"/>
      <w:r>
        <w:rPr>
          <w:rFonts w:ascii="仿宋_GB2312" w:eastAsia="仿宋_GB2312" w:hAnsi="宋体" w:cs="宋体" w:hint="eastAsia"/>
          <w:kern w:val="0"/>
          <w:sz w:val="32"/>
          <w:szCs w:val="32"/>
        </w:rPr>
        <w:t>彩中心</w:t>
      </w:r>
      <w:proofErr w:type="gramEnd"/>
      <w:r>
        <w:rPr>
          <w:rFonts w:ascii="仿宋_GB2312" w:eastAsia="仿宋_GB2312" w:hAnsi="宋体" w:cs="宋体" w:hint="eastAsia"/>
          <w:kern w:val="0"/>
          <w:sz w:val="32"/>
          <w:szCs w:val="32"/>
        </w:rPr>
        <w:t>服务及工作情况的满意度调查机制。</w:t>
      </w:r>
    </w:p>
    <w:p w:rsidR="002C770A" w:rsidRPr="002C770A" w:rsidRDefault="002C770A" w:rsidP="002C770A">
      <w:pPr>
        <w:pStyle w:val="a0"/>
        <w:rPr>
          <w:rFonts w:hint="eastAsia"/>
        </w:rPr>
      </w:pPr>
    </w:p>
    <w:p w:rsidR="00AC5D63" w:rsidRDefault="00AC5D63" w:rsidP="00AC5D63">
      <w:pPr>
        <w:spacing w:line="360" w:lineRule="auto"/>
        <w:ind w:leftChars="50" w:left="105" w:firstLineChars="150" w:firstLine="480"/>
        <w:outlineLvl w:val="0"/>
        <w:rPr>
          <w:rFonts w:ascii="黑体" w:eastAsia="黑体" w:hAnsi="黑体" w:cs="宋体"/>
          <w:kern w:val="0"/>
          <w:sz w:val="32"/>
          <w:szCs w:val="32"/>
        </w:rPr>
      </w:pPr>
      <w:bookmarkStart w:id="7" w:name="_Toc18240"/>
      <w:r>
        <w:rPr>
          <w:rFonts w:ascii="黑体" w:eastAsia="黑体" w:hAnsi="黑体" w:cs="宋体" w:hint="eastAsia"/>
          <w:kern w:val="0"/>
          <w:sz w:val="32"/>
          <w:szCs w:val="32"/>
        </w:rPr>
        <w:lastRenderedPageBreak/>
        <w:t>四</w:t>
      </w:r>
      <w:r>
        <w:rPr>
          <w:rFonts w:ascii="黑体" w:eastAsia="黑体" w:hAnsi="黑体" w:cs="宋体"/>
          <w:kern w:val="0"/>
          <w:sz w:val="32"/>
          <w:szCs w:val="32"/>
        </w:rPr>
        <w:t>、预算管理</w:t>
      </w:r>
      <w:r>
        <w:rPr>
          <w:rFonts w:ascii="黑体" w:eastAsia="黑体" w:hAnsi="黑体" w:cs="宋体" w:hint="eastAsia"/>
          <w:kern w:val="0"/>
          <w:sz w:val="32"/>
          <w:szCs w:val="32"/>
        </w:rPr>
        <w:t>情况分</w:t>
      </w:r>
      <w:r>
        <w:rPr>
          <w:rFonts w:ascii="黑体" w:eastAsia="黑体" w:hAnsi="黑体" w:cs="宋体"/>
          <w:kern w:val="0"/>
          <w:sz w:val="32"/>
          <w:szCs w:val="32"/>
        </w:rPr>
        <w:t>析</w:t>
      </w:r>
      <w:bookmarkEnd w:id="7"/>
    </w:p>
    <w:p w:rsidR="00AC5D63" w:rsidRDefault="00AC5D63" w:rsidP="00AC5D63">
      <w:pPr>
        <w:spacing w:line="360" w:lineRule="auto"/>
        <w:ind w:leftChars="50" w:left="105" w:firstLineChars="150" w:firstLine="482"/>
        <w:outlineLvl w:val="1"/>
        <w:rPr>
          <w:rFonts w:ascii="楷体_GB2312" w:eastAsia="楷体_GB2312"/>
          <w:b/>
          <w:bCs/>
          <w:sz w:val="32"/>
          <w:szCs w:val="32"/>
        </w:rPr>
      </w:pPr>
      <w:bookmarkStart w:id="8" w:name="_Toc11051"/>
      <w:r>
        <w:rPr>
          <w:rFonts w:ascii="楷体_GB2312" w:eastAsia="楷体_GB2312" w:hint="eastAsia"/>
          <w:b/>
          <w:bCs/>
          <w:sz w:val="32"/>
          <w:szCs w:val="32"/>
        </w:rPr>
        <w:t>（一）财务管理</w:t>
      </w:r>
      <w:bookmarkEnd w:id="8"/>
    </w:p>
    <w:p w:rsidR="00AC5D63" w:rsidRDefault="00AC5D63" w:rsidP="00AC5D63">
      <w:pPr>
        <w:spacing w:line="360" w:lineRule="auto"/>
        <w:ind w:leftChars="50" w:left="105" w:firstLineChars="150" w:firstLine="482"/>
        <w:outlineLvl w:val="2"/>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1.财务</w:t>
      </w:r>
      <w:r>
        <w:rPr>
          <w:rFonts w:ascii="仿宋_GB2312" w:eastAsia="仿宋_GB2312" w:hAnsi="宋体" w:cs="宋体"/>
          <w:b/>
          <w:bCs/>
          <w:kern w:val="0"/>
          <w:sz w:val="32"/>
          <w:szCs w:val="32"/>
        </w:rPr>
        <w:t>管理制度健全性</w:t>
      </w:r>
    </w:p>
    <w:p w:rsidR="00AC5D63" w:rsidRDefault="00AC5D63" w:rsidP="00AC5D63">
      <w:pPr>
        <w:spacing w:line="360" w:lineRule="auto"/>
        <w:ind w:leftChars="50" w:left="105" w:firstLineChars="150" w:firstLine="480"/>
        <w:rPr>
          <w:rFonts w:ascii="仿宋_GB2312" w:eastAsia="仿宋_GB2312" w:hAnsi="宋体" w:cs="宋体"/>
          <w:color w:val="0000FF"/>
          <w:kern w:val="0"/>
          <w:sz w:val="32"/>
          <w:szCs w:val="32"/>
        </w:rPr>
      </w:pP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建立了较为完善的财务管理制度体系，每年通过内控评价、风险评估，结合法律法规、政策要求及部门实际工作，更新各项制度，完善制度体系。</w:t>
      </w:r>
      <w:r>
        <w:rPr>
          <w:rFonts w:ascii="仿宋_GB2312" w:eastAsia="仿宋_GB2312" w:hAnsi="宋体" w:cs="宋体" w:hint="eastAsia"/>
          <w:b/>
          <w:bCs/>
          <w:kern w:val="0"/>
          <w:sz w:val="32"/>
          <w:szCs w:val="32"/>
        </w:rPr>
        <w:t>一是</w:t>
      </w:r>
      <w:r>
        <w:rPr>
          <w:rFonts w:ascii="仿宋_GB2312" w:eastAsia="仿宋_GB2312" w:hAnsi="宋体" w:cs="宋体" w:hint="eastAsia"/>
          <w:kern w:val="0"/>
          <w:sz w:val="32"/>
          <w:szCs w:val="32"/>
        </w:rPr>
        <w:t>预算管理方面，</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修订完善了《北京市体育彩票管理中心预算管理办法》《北京市体育彩票管理中心预算绩效管理暂行办法》等相关制度文件，明确</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预算管理职责，从预算编制、审批、执行、调整、分析、决算、公开、监督检查和绩效管理等各环节，规范预算资金申请、使用和监管要求，提高财政资金投入的安全性、效率性和效益性。</w:t>
      </w:r>
      <w:r>
        <w:rPr>
          <w:rFonts w:ascii="仿宋_GB2312" w:eastAsia="仿宋_GB2312" w:hAnsi="宋体" w:cs="宋体" w:hint="eastAsia"/>
          <w:b/>
          <w:bCs/>
          <w:kern w:val="0"/>
          <w:sz w:val="32"/>
          <w:szCs w:val="32"/>
        </w:rPr>
        <w:t>二是</w:t>
      </w:r>
      <w:r>
        <w:rPr>
          <w:rFonts w:ascii="仿宋_GB2312" w:eastAsia="仿宋_GB2312" w:hAnsi="宋体" w:cs="宋体" w:hint="eastAsia"/>
          <w:kern w:val="0"/>
          <w:sz w:val="32"/>
          <w:szCs w:val="32"/>
        </w:rPr>
        <w:t>收支管理方面，</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修订完善了《北京市体育彩票管理中心财务收支审批管理办法》《体育彩票资金管理办法》等资金管理制度，明确了财务岗位要求和费用支出流程、审批权限等事项，此外，</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对会议费、培训费、差旅费、误餐费、公务卡等费用支出和报销修订了管理办法，</w:t>
      </w:r>
      <w:proofErr w:type="gramStart"/>
      <w:r>
        <w:rPr>
          <w:rFonts w:ascii="仿宋_GB2312" w:eastAsia="仿宋_GB2312" w:hAnsi="宋体" w:cs="宋体" w:hint="eastAsia"/>
          <w:kern w:val="0"/>
          <w:sz w:val="32"/>
          <w:szCs w:val="32"/>
        </w:rPr>
        <w:t>作出</w:t>
      </w:r>
      <w:proofErr w:type="gramEnd"/>
      <w:r>
        <w:rPr>
          <w:rFonts w:ascii="仿宋_GB2312" w:eastAsia="仿宋_GB2312" w:hAnsi="宋体" w:cs="宋体" w:hint="eastAsia"/>
          <w:kern w:val="0"/>
          <w:sz w:val="32"/>
          <w:szCs w:val="32"/>
        </w:rPr>
        <w:t>了具体详细的规定，保障了财务工作规范有序开展。</w:t>
      </w:r>
    </w:p>
    <w:p w:rsidR="00AC5D63" w:rsidRDefault="00AC5D63" w:rsidP="00AC5D63">
      <w:pPr>
        <w:spacing w:line="360" w:lineRule="auto"/>
        <w:ind w:leftChars="50" w:left="105" w:firstLineChars="150" w:firstLine="482"/>
        <w:outlineLvl w:val="2"/>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2.资金使用合</w:t>
      </w:r>
      <w:proofErr w:type="gramStart"/>
      <w:r>
        <w:rPr>
          <w:rFonts w:ascii="仿宋_GB2312" w:eastAsia="仿宋_GB2312" w:hAnsi="宋体" w:cs="宋体" w:hint="eastAsia"/>
          <w:b/>
          <w:bCs/>
          <w:kern w:val="0"/>
          <w:sz w:val="32"/>
          <w:szCs w:val="32"/>
        </w:rPr>
        <w:t>规</w:t>
      </w:r>
      <w:proofErr w:type="gramEnd"/>
      <w:r>
        <w:rPr>
          <w:rFonts w:ascii="仿宋_GB2312" w:eastAsia="仿宋_GB2312" w:hAnsi="宋体" w:cs="宋体" w:hint="eastAsia"/>
          <w:b/>
          <w:bCs/>
          <w:kern w:val="0"/>
          <w:sz w:val="32"/>
          <w:szCs w:val="32"/>
        </w:rPr>
        <w:t>性</w:t>
      </w:r>
      <w:r>
        <w:rPr>
          <w:rFonts w:ascii="仿宋_GB2312" w:eastAsia="仿宋_GB2312" w:hAnsi="宋体" w:cs="宋体"/>
          <w:b/>
          <w:bCs/>
          <w:kern w:val="0"/>
          <w:sz w:val="32"/>
          <w:szCs w:val="32"/>
        </w:rPr>
        <w:t>和安全性</w:t>
      </w:r>
    </w:p>
    <w:p w:rsidR="00AC5D63" w:rsidRDefault="00AC5D63" w:rsidP="00AC5D63">
      <w:pPr>
        <w:spacing w:line="360" w:lineRule="auto"/>
        <w:ind w:leftChars="50" w:left="105" w:firstLineChars="150" w:firstLine="480"/>
        <w:rPr>
          <w:rFonts w:ascii="仿宋_GB2312" w:eastAsia="仿宋_GB2312" w:hAnsi="宋体" w:cs="宋体"/>
          <w:color w:val="0000FF"/>
          <w:kern w:val="0"/>
          <w:sz w:val="32"/>
          <w:szCs w:val="32"/>
        </w:rPr>
      </w:pPr>
      <w:proofErr w:type="gramStart"/>
      <w:r>
        <w:rPr>
          <w:rFonts w:ascii="仿宋_GB2312" w:eastAsia="仿宋_GB2312" w:hAnsi="宋体" w:cs="宋体" w:hint="eastAsia"/>
          <w:kern w:val="0"/>
          <w:sz w:val="32"/>
          <w:szCs w:val="32"/>
        </w:rPr>
        <w:t>市体彩中心</w:t>
      </w:r>
      <w:proofErr w:type="gramEnd"/>
      <w:r>
        <w:rPr>
          <w:rFonts w:ascii="仿宋_GB2312" w:eastAsia="仿宋_GB2312" w:hAnsi="仿宋_GB2312" w:cs="仿宋_GB2312" w:hint="eastAsia"/>
          <w:bCs/>
          <w:sz w:val="32"/>
          <w:szCs w:val="32"/>
        </w:rPr>
        <w:t>严格遵守各项规章制度，</w:t>
      </w:r>
      <w:r>
        <w:rPr>
          <w:rFonts w:ascii="仿宋_GB2312" w:eastAsia="仿宋_GB2312" w:hAnsi="宋体" w:cs="宋体" w:hint="eastAsia"/>
          <w:kern w:val="0"/>
          <w:sz w:val="32"/>
          <w:szCs w:val="32"/>
        </w:rPr>
        <w:t>资金使用符合国家财经法规和财务管理制度规定以及有关资金管理办法的规</w:t>
      </w:r>
      <w:r>
        <w:rPr>
          <w:rFonts w:ascii="仿宋_GB2312" w:eastAsia="仿宋_GB2312" w:hAnsi="宋体" w:cs="宋体" w:hint="eastAsia"/>
          <w:kern w:val="0"/>
          <w:sz w:val="32"/>
          <w:szCs w:val="32"/>
        </w:rPr>
        <w:lastRenderedPageBreak/>
        <w:t>定，符合预算批复范围及合同约定；资金拨付有完整的审批程序和手续；重大支出均经过中心支委会集体决策通过，并全面、如实记录于会议纪要；无截留、挤占、挪用情况；政府采购事项，根据法律法规要求及部门内控流程，履行公开招投标或市场询价比价程序，资金使用符合政府采购程序和流程。</w:t>
      </w:r>
    </w:p>
    <w:p w:rsidR="00AC5D63" w:rsidRDefault="00AC5D63" w:rsidP="00AC5D63">
      <w:pPr>
        <w:spacing w:line="360" w:lineRule="auto"/>
        <w:ind w:leftChars="50" w:left="105" w:firstLineChars="150" w:firstLine="482"/>
        <w:outlineLvl w:val="2"/>
        <w:rPr>
          <w:rFonts w:ascii="仿宋_GB2312" w:eastAsia="仿宋_GB2312" w:hAnsi="宋体" w:cs="宋体"/>
          <w:b/>
          <w:bCs/>
          <w:kern w:val="0"/>
          <w:sz w:val="32"/>
          <w:szCs w:val="32"/>
        </w:rPr>
      </w:pPr>
      <w:r>
        <w:rPr>
          <w:rFonts w:ascii="仿宋_GB2312" w:eastAsia="仿宋_GB2312" w:hAnsi="宋体" w:cs="宋体"/>
          <w:b/>
          <w:bCs/>
          <w:kern w:val="0"/>
          <w:sz w:val="32"/>
          <w:szCs w:val="32"/>
        </w:rPr>
        <w:t>3.</w:t>
      </w:r>
      <w:r>
        <w:rPr>
          <w:rFonts w:ascii="仿宋_GB2312" w:eastAsia="仿宋_GB2312" w:hAnsi="宋体" w:cs="宋体" w:hint="eastAsia"/>
          <w:b/>
          <w:bCs/>
          <w:kern w:val="0"/>
          <w:sz w:val="32"/>
          <w:szCs w:val="32"/>
        </w:rPr>
        <w:t>会计</w:t>
      </w:r>
      <w:r>
        <w:rPr>
          <w:rFonts w:ascii="仿宋_GB2312" w:eastAsia="仿宋_GB2312" w:hAnsi="宋体" w:cs="宋体"/>
          <w:b/>
          <w:bCs/>
          <w:kern w:val="0"/>
          <w:sz w:val="32"/>
          <w:szCs w:val="32"/>
        </w:rPr>
        <w:t>基础信息完善性</w:t>
      </w:r>
    </w:p>
    <w:p w:rsidR="00AC5D63" w:rsidRDefault="00AC5D63" w:rsidP="00AC5D63">
      <w:pPr>
        <w:spacing w:line="360" w:lineRule="auto"/>
        <w:ind w:leftChars="50" w:left="105" w:firstLineChars="150" w:firstLine="480"/>
        <w:rPr>
          <w:rFonts w:ascii="仿宋_GB2312" w:eastAsia="仿宋_GB2312" w:hAnsi="宋体" w:cs="宋体"/>
          <w:color w:val="0000FF"/>
          <w:kern w:val="0"/>
          <w:sz w:val="32"/>
          <w:szCs w:val="32"/>
        </w:rPr>
      </w:pP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严格遵守《政府</w:t>
      </w:r>
      <w:r>
        <w:rPr>
          <w:rFonts w:ascii="仿宋_GB2312" w:eastAsia="仿宋_GB2312" w:hAnsi="宋体" w:cs="宋体"/>
          <w:kern w:val="0"/>
          <w:sz w:val="32"/>
          <w:szCs w:val="32"/>
        </w:rPr>
        <w:t>会计制度</w:t>
      </w:r>
      <w:r>
        <w:rPr>
          <w:rFonts w:ascii="仿宋_GB2312" w:eastAsia="仿宋_GB2312" w:hAnsi="宋体" w:cs="宋体" w:hint="eastAsia"/>
          <w:kern w:val="0"/>
          <w:sz w:val="32"/>
          <w:szCs w:val="32"/>
        </w:rPr>
        <w:t>》《体育彩票机构执行&lt;政府会计制度——行政事业单位会计科目和报表&gt;实施细则》《北京市体彩票管理中心体育彩票资金管理办法》等规章制度，规范财务基础，做好会计核算工作，会计基础信息较为完善、准确，如实反映财务状况和部门工作情况，财务信息真实完整，为内外部监管提供信息支持。通过抽查2023年度</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会计凭证账簿、记账凭证、经济业务原始凭证，数据真实准确，各类票据较为完整，报销审批手续完备，签字审批完整。</w:t>
      </w:r>
    </w:p>
    <w:p w:rsidR="00AC5D63" w:rsidRDefault="00AC5D63" w:rsidP="00AC5D63">
      <w:pPr>
        <w:spacing w:line="360" w:lineRule="auto"/>
        <w:ind w:leftChars="50" w:left="105" w:firstLineChars="150" w:firstLine="482"/>
        <w:outlineLvl w:val="1"/>
        <w:rPr>
          <w:rFonts w:ascii="楷体_GB2312" w:eastAsia="楷体_GB2312"/>
          <w:b/>
          <w:bCs/>
          <w:sz w:val="32"/>
          <w:szCs w:val="32"/>
        </w:rPr>
      </w:pPr>
      <w:bookmarkStart w:id="9" w:name="_Toc28375"/>
      <w:r>
        <w:rPr>
          <w:rFonts w:ascii="楷体_GB2312" w:eastAsia="楷体_GB2312" w:hint="eastAsia"/>
          <w:b/>
          <w:bCs/>
          <w:sz w:val="32"/>
          <w:szCs w:val="32"/>
        </w:rPr>
        <w:t>（二）资产管理</w:t>
      </w:r>
      <w:bookmarkEnd w:id="9"/>
    </w:p>
    <w:p w:rsidR="00AC5D63" w:rsidRDefault="00AC5D63" w:rsidP="00AC5D63">
      <w:pPr>
        <w:spacing w:line="360" w:lineRule="auto"/>
        <w:ind w:leftChars="50" w:left="105"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1.制度建设</w:t>
      </w:r>
    </w:p>
    <w:p w:rsidR="00AC5D63" w:rsidRDefault="00AC5D63" w:rsidP="00AC5D63">
      <w:pPr>
        <w:spacing w:line="360" w:lineRule="auto"/>
        <w:ind w:firstLineChars="200" w:firstLine="640"/>
        <w:rPr>
          <w:rFonts w:ascii="仿宋_GB2312" w:eastAsia="仿宋_GB2312" w:hAnsi="宋体" w:cs="宋体"/>
          <w:color w:val="0000FF"/>
          <w:kern w:val="0"/>
          <w:sz w:val="32"/>
          <w:szCs w:val="32"/>
        </w:rPr>
      </w:pPr>
      <w:r>
        <w:rPr>
          <w:rFonts w:ascii="仿宋_GB2312" w:eastAsia="仿宋_GB2312" w:hAnsi="宋体" w:cs="宋体" w:hint="eastAsia"/>
          <w:kern w:val="0"/>
          <w:sz w:val="32"/>
          <w:szCs w:val="32"/>
        </w:rPr>
        <w:t>为规范固定资产管理，维护资产安全完整，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根据《北京市行政事业单位固定资产管理暂行办法》（</w:t>
      </w:r>
      <w:proofErr w:type="gramStart"/>
      <w:r>
        <w:rPr>
          <w:rFonts w:ascii="仿宋_GB2312" w:eastAsia="仿宋_GB2312" w:hAnsi="宋体" w:cs="宋体" w:hint="eastAsia"/>
          <w:kern w:val="0"/>
          <w:sz w:val="32"/>
          <w:szCs w:val="32"/>
        </w:rPr>
        <w:t>京财绩效</w:t>
      </w:r>
      <w:proofErr w:type="gramEnd"/>
      <w:r>
        <w:rPr>
          <w:rFonts w:ascii="仿宋_GB2312" w:eastAsia="仿宋_GB2312" w:hAnsi="宋体" w:cs="宋体" w:hint="eastAsia"/>
          <w:kern w:val="0"/>
          <w:sz w:val="32"/>
          <w:szCs w:val="32"/>
        </w:rPr>
        <w:t>〔2007〕1959号）、《北京市市级行政事业单位国有资</w:t>
      </w:r>
      <w:r>
        <w:rPr>
          <w:rFonts w:ascii="仿宋_GB2312" w:eastAsia="仿宋_GB2312" w:hAnsi="宋体" w:cs="宋体" w:hint="eastAsia"/>
          <w:kern w:val="0"/>
          <w:sz w:val="32"/>
          <w:szCs w:val="32"/>
        </w:rPr>
        <w:lastRenderedPageBreak/>
        <w:t>产配置管理办法》（</w:t>
      </w:r>
      <w:proofErr w:type="gramStart"/>
      <w:r>
        <w:rPr>
          <w:rFonts w:ascii="仿宋_GB2312" w:eastAsia="仿宋_GB2312" w:hAnsi="宋体" w:cs="宋体" w:hint="eastAsia"/>
          <w:kern w:val="0"/>
          <w:sz w:val="32"/>
          <w:szCs w:val="32"/>
        </w:rPr>
        <w:t>京财资产</w:t>
      </w:r>
      <w:proofErr w:type="gramEnd"/>
      <w:r>
        <w:rPr>
          <w:rFonts w:ascii="仿宋_GB2312" w:eastAsia="仿宋_GB2312" w:hAnsi="宋体" w:cs="宋体" w:hint="eastAsia"/>
          <w:kern w:val="0"/>
          <w:sz w:val="32"/>
          <w:szCs w:val="32"/>
        </w:rPr>
        <w:t>〔2015〕129号）等有关要求，从固定资产管理、固定资产处置、固定资产盘点清查、国有资产技术鉴定等方面不断完善相关管理制度，每年对资产管理内控制度和内控管理流程进行完善修订，制度建设较为健全。</w:t>
      </w:r>
    </w:p>
    <w:p w:rsidR="00AC5D63" w:rsidRDefault="00AC5D63" w:rsidP="00AC5D63">
      <w:pPr>
        <w:spacing w:line="360" w:lineRule="auto"/>
        <w:ind w:leftChars="50" w:left="105"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2.管理措施</w:t>
      </w:r>
    </w:p>
    <w:p w:rsidR="00AC5D63" w:rsidRDefault="00AC5D63" w:rsidP="00AC5D63">
      <w:pPr>
        <w:spacing w:line="360" w:lineRule="auto"/>
        <w:ind w:leftChars="50" w:left="105" w:firstLineChars="200" w:firstLine="643"/>
        <w:rPr>
          <w:rFonts w:ascii="仿宋_GB2312" w:eastAsia="仿宋_GB2312" w:hAnsi="仿宋_GB2312" w:cs="仿宋_GB2312"/>
          <w:color w:val="0000FF"/>
          <w:kern w:val="0"/>
          <w:sz w:val="32"/>
          <w:szCs w:val="32"/>
          <w:highlight w:val="yellow"/>
        </w:rPr>
      </w:pPr>
      <w:r>
        <w:rPr>
          <w:rFonts w:ascii="仿宋_GB2312" w:eastAsia="仿宋_GB2312" w:hAnsi="仿宋_GB2312" w:cs="仿宋_GB2312" w:hint="eastAsia"/>
          <w:b/>
          <w:bCs/>
          <w:kern w:val="0"/>
          <w:sz w:val="32"/>
          <w:szCs w:val="32"/>
        </w:rPr>
        <w:t>一是</w:t>
      </w:r>
      <w:r>
        <w:rPr>
          <w:rFonts w:ascii="仿宋_GB2312" w:eastAsia="仿宋_GB2312" w:hAnsi="仿宋_GB2312" w:cs="仿宋_GB2312" w:hint="eastAsia"/>
          <w:kern w:val="0"/>
          <w:sz w:val="32"/>
          <w:szCs w:val="32"/>
        </w:rPr>
        <w:t>完善资产管理制度。</w:t>
      </w:r>
      <w:proofErr w:type="gramStart"/>
      <w:r>
        <w:rPr>
          <w:rFonts w:ascii="仿宋_GB2312" w:eastAsia="仿宋_GB2312" w:hAnsi="仿宋_GB2312" w:cs="仿宋_GB2312" w:hint="eastAsia"/>
          <w:kern w:val="0"/>
          <w:sz w:val="32"/>
          <w:szCs w:val="32"/>
        </w:rPr>
        <w:t>市体彩中心</w:t>
      </w:r>
      <w:proofErr w:type="gramEnd"/>
      <w:r>
        <w:rPr>
          <w:rFonts w:ascii="仿宋_GB2312" w:eastAsia="仿宋_GB2312" w:hAnsi="仿宋_GB2312" w:cs="仿宋_GB2312" w:hint="eastAsia"/>
          <w:color w:val="000000"/>
          <w:sz w:val="32"/>
          <w:szCs w:val="32"/>
        </w:rPr>
        <w:t>持续建立健全固定资产管理制度，每年通过内控评价、风险评估等方式提高管理水平，根据政策要求、管理需求完善固定资产相关管理制度，提升管理的有序性和约束力。</w:t>
      </w:r>
      <w:r>
        <w:rPr>
          <w:rFonts w:ascii="仿宋_GB2312" w:eastAsia="仿宋_GB2312" w:hAnsi="仿宋_GB2312" w:cs="仿宋_GB2312" w:hint="eastAsia"/>
          <w:b/>
          <w:bCs/>
          <w:color w:val="000000"/>
          <w:sz w:val="32"/>
          <w:szCs w:val="32"/>
        </w:rPr>
        <w:t>二是</w:t>
      </w:r>
      <w:r>
        <w:rPr>
          <w:rFonts w:ascii="仿宋_GB2312" w:eastAsia="仿宋_GB2312" w:hAnsi="仿宋_GB2312" w:cs="仿宋_GB2312" w:hint="eastAsia"/>
          <w:color w:val="000000"/>
          <w:sz w:val="32"/>
          <w:szCs w:val="32"/>
        </w:rPr>
        <w:t>落实“过紧日子”要求，严控资产配置。</w:t>
      </w:r>
      <w:proofErr w:type="gramStart"/>
      <w:r>
        <w:rPr>
          <w:rFonts w:ascii="仿宋_GB2312" w:eastAsia="仿宋_GB2312" w:hAnsi="仿宋_GB2312" w:cs="仿宋_GB2312" w:hint="eastAsia"/>
          <w:kern w:val="0"/>
          <w:sz w:val="32"/>
          <w:szCs w:val="32"/>
        </w:rPr>
        <w:t>市体彩中心</w:t>
      </w:r>
      <w:proofErr w:type="gramEnd"/>
      <w:r>
        <w:rPr>
          <w:rFonts w:ascii="仿宋_GB2312" w:eastAsia="仿宋_GB2312" w:hAnsi="仿宋_GB2312" w:cs="仿宋_GB2312" w:hint="eastAsia"/>
          <w:color w:val="000000"/>
          <w:sz w:val="32"/>
          <w:szCs w:val="32"/>
        </w:rPr>
        <w:t>严格把关资产配置审批程序，将资产配备与部门履职相适应，在有资产配置需求时，优先使用调剂的原则，从单位闲置资产中调剂使用，确需配置资产时，细化资产预算编制，资产管理与预算管理相结合，提高资产使用率。</w:t>
      </w:r>
      <w:r>
        <w:rPr>
          <w:rFonts w:ascii="仿宋_GB2312" w:eastAsia="仿宋_GB2312" w:hAnsi="仿宋_GB2312" w:cs="仿宋_GB2312" w:hint="eastAsia"/>
          <w:b/>
          <w:bCs/>
          <w:color w:val="000000"/>
          <w:sz w:val="32"/>
          <w:szCs w:val="32"/>
        </w:rPr>
        <w:t>三是</w:t>
      </w:r>
      <w:r>
        <w:rPr>
          <w:rFonts w:ascii="仿宋_GB2312" w:eastAsia="仿宋_GB2312" w:hAnsi="仿宋_GB2312" w:cs="仿宋_GB2312" w:hint="eastAsia"/>
          <w:color w:val="000000"/>
          <w:sz w:val="32"/>
          <w:szCs w:val="32"/>
        </w:rPr>
        <w:t>加强固定资产管理。</w:t>
      </w:r>
      <w:proofErr w:type="gramStart"/>
      <w:r>
        <w:rPr>
          <w:rFonts w:ascii="仿宋_GB2312" w:eastAsia="仿宋_GB2312" w:hAnsi="仿宋_GB2312" w:cs="仿宋_GB2312" w:hint="eastAsia"/>
          <w:kern w:val="0"/>
          <w:sz w:val="32"/>
          <w:szCs w:val="32"/>
        </w:rPr>
        <w:t>市体彩中心</w:t>
      </w:r>
      <w:proofErr w:type="gramEnd"/>
      <w:r>
        <w:rPr>
          <w:rFonts w:ascii="仿宋_GB2312" w:eastAsia="仿宋_GB2312" w:hAnsi="仿宋_GB2312" w:cs="仿宋_GB2312" w:hint="eastAsia"/>
          <w:color w:val="000000"/>
          <w:sz w:val="32"/>
          <w:szCs w:val="32"/>
        </w:rPr>
        <w:t>做好固定资产管理工作，定期清查固定资产，掌握单位固定资产情况，对达到报废标准且无法继续使用的资产及时进行报废处置。</w:t>
      </w:r>
    </w:p>
    <w:p w:rsidR="00AC5D63" w:rsidRDefault="00AC5D63" w:rsidP="00AC5D63">
      <w:pPr>
        <w:spacing w:line="360" w:lineRule="auto"/>
        <w:ind w:leftChars="50" w:left="105" w:firstLineChars="150" w:firstLine="482"/>
        <w:outlineLvl w:val="1"/>
        <w:rPr>
          <w:rFonts w:ascii="楷体_GB2312" w:eastAsia="楷体_GB2312"/>
          <w:b/>
          <w:bCs/>
          <w:sz w:val="32"/>
          <w:szCs w:val="32"/>
        </w:rPr>
      </w:pPr>
      <w:bookmarkStart w:id="10" w:name="_Toc12153"/>
      <w:r>
        <w:rPr>
          <w:rFonts w:ascii="楷体_GB2312" w:eastAsia="楷体_GB2312" w:hint="eastAsia"/>
          <w:b/>
          <w:bCs/>
          <w:sz w:val="32"/>
          <w:szCs w:val="32"/>
        </w:rPr>
        <w:t>（三）绩效管理</w:t>
      </w:r>
      <w:bookmarkEnd w:id="10"/>
    </w:p>
    <w:p w:rsidR="00AC5D63" w:rsidRDefault="00AC5D63" w:rsidP="00AC5D63">
      <w:pPr>
        <w:spacing w:line="360" w:lineRule="auto"/>
        <w:ind w:leftChars="50" w:left="105"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1.制度建设</w:t>
      </w:r>
    </w:p>
    <w:p w:rsidR="00AC5D63" w:rsidRDefault="00AC5D63" w:rsidP="00AC5D63">
      <w:pPr>
        <w:spacing w:line="360" w:lineRule="auto"/>
        <w:ind w:leftChars="50" w:left="105"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为规范预算绩效管理，建立科学的部门预算绩效管理体</w:t>
      </w:r>
      <w:r>
        <w:rPr>
          <w:rFonts w:ascii="仿宋_GB2312" w:eastAsia="仿宋_GB2312" w:hAnsi="仿宋_GB2312" w:cs="仿宋_GB2312" w:hint="eastAsia"/>
          <w:kern w:val="0"/>
          <w:sz w:val="32"/>
          <w:szCs w:val="32"/>
        </w:rPr>
        <w:lastRenderedPageBreak/>
        <w:t>系，提高财政资金使用效益，</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根据《北京市项目支出绩效评价管理办法》（</w:t>
      </w:r>
      <w:proofErr w:type="gramStart"/>
      <w:r>
        <w:rPr>
          <w:rFonts w:ascii="仿宋_GB2312" w:eastAsia="仿宋_GB2312" w:hAnsi="宋体" w:cs="宋体" w:hint="eastAsia"/>
          <w:kern w:val="0"/>
          <w:sz w:val="32"/>
          <w:szCs w:val="32"/>
        </w:rPr>
        <w:t>京财绩效</w:t>
      </w:r>
      <w:proofErr w:type="gramEnd"/>
      <w:r>
        <w:rPr>
          <w:rFonts w:ascii="仿宋_GB2312" w:eastAsia="仿宋_GB2312" w:hAnsi="宋体" w:cs="宋体" w:hint="eastAsia"/>
          <w:kern w:val="0"/>
          <w:sz w:val="32"/>
          <w:szCs w:val="32"/>
        </w:rPr>
        <w:t>〔2020〕2146号）、《北京市预算绩效目标管理办法》（</w:t>
      </w:r>
      <w:proofErr w:type="gramStart"/>
      <w:r>
        <w:rPr>
          <w:rFonts w:ascii="仿宋_GB2312" w:eastAsia="仿宋_GB2312" w:hAnsi="宋体" w:cs="宋体" w:hint="eastAsia"/>
          <w:kern w:val="0"/>
          <w:sz w:val="32"/>
          <w:szCs w:val="32"/>
        </w:rPr>
        <w:t>京财绩效</w:t>
      </w:r>
      <w:proofErr w:type="gramEnd"/>
      <w:r>
        <w:rPr>
          <w:rFonts w:ascii="仿宋_GB2312" w:eastAsia="仿宋_GB2312" w:hAnsi="宋体" w:cs="宋体" w:hint="eastAsia"/>
          <w:kern w:val="0"/>
          <w:sz w:val="32"/>
          <w:szCs w:val="32"/>
        </w:rPr>
        <w:t>〔2020〕2137号）等有关要求，制定了《北京市体育彩票管理中心预算绩效管理暂行办法》，从</w:t>
      </w:r>
      <w:r>
        <w:rPr>
          <w:rFonts w:ascii="仿宋_GB2312" w:eastAsia="仿宋_GB2312" w:hAnsi="仿宋_GB2312" w:cs="仿宋_GB2312" w:hint="eastAsia"/>
          <w:sz w:val="32"/>
          <w:szCs w:val="32"/>
        </w:rPr>
        <w:t>绩效目标管理、事前绩效评估、预算评审、绩效运行跟踪监控、绩效评价、结果应用等方面</w:t>
      </w:r>
      <w:proofErr w:type="gramStart"/>
      <w:r>
        <w:rPr>
          <w:rFonts w:ascii="仿宋_GB2312" w:eastAsia="仿宋_GB2312" w:hAnsi="仿宋_GB2312" w:cs="仿宋_GB2312" w:hint="eastAsia"/>
          <w:sz w:val="32"/>
          <w:szCs w:val="32"/>
        </w:rPr>
        <w:t>明确部门</w:t>
      </w:r>
      <w:proofErr w:type="gramEnd"/>
      <w:r>
        <w:rPr>
          <w:rFonts w:ascii="仿宋_GB2312" w:eastAsia="仿宋_GB2312" w:hAnsi="仿宋_GB2312" w:cs="仿宋_GB2312" w:hint="eastAsia"/>
          <w:sz w:val="32"/>
          <w:szCs w:val="32"/>
        </w:rPr>
        <w:t>预算绩效管理要求，推动预算绩效管理规范化、制度化开展。</w:t>
      </w:r>
    </w:p>
    <w:p w:rsidR="00AC5D63" w:rsidRDefault="00AC5D63" w:rsidP="00AC5D63">
      <w:pPr>
        <w:spacing w:line="360" w:lineRule="auto"/>
        <w:ind w:leftChars="50" w:left="105"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2.管理措施</w:t>
      </w:r>
    </w:p>
    <w:p w:rsidR="00AC5D63" w:rsidRDefault="00AC5D63" w:rsidP="00AC5D63">
      <w:pPr>
        <w:spacing w:line="360" w:lineRule="auto"/>
        <w:ind w:leftChars="50" w:left="105"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一是</w:t>
      </w:r>
      <w:r>
        <w:rPr>
          <w:rFonts w:ascii="仿宋_GB2312" w:eastAsia="仿宋_GB2312" w:hAnsi="仿宋_GB2312" w:cs="仿宋_GB2312" w:hint="eastAsia"/>
          <w:kern w:val="0"/>
          <w:sz w:val="32"/>
          <w:szCs w:val="32"/>
        </w:rPr>
        <w:t>建立完善的预算绩效管理机制，</w:t>
      </w:r>
      <w:proofErr w:type="gramStart"/>
      <w:r>
        <w:rPr>
          <w:rFonts w:ascii="仿宋_GB2312" w:eastAsia="仿宋_GB2312" w:hAnsi="仿宋_GB2312" w:cs="仿宋_GB2312" w:hint="eastAsia"/>
          <w:kern w:val="0"/>
          <w:sz w:val="32"/>
          <w:szCs w:val="32"/>
        </w:rPr>
        <w:t>市体彩</w:t>
      </w:r>
      <w:r>
        <w:rPr>
          <w:rFonts w:ascii="仿宋_GB2312" w:eastAsia="仿宋_GB2312" w:hAnsi="仿宋_GB2312" w:cs="仿宋_GB2312" w:hint="eastAsia"/>
          <w:sz w:val="32"/>
          <w:szCs w:val="32"/>
        </w:rPr>
        <w:t>中心</w:t>
      </w:r>
      <w:proofErr w:type="gramEnd"/>
      <w:r>
        <w:rPr>
          <w:rFonts w:ascii="仿宋_GB2312" w:eastAsia="仿宋_GB2312" w:hAnsi="仿宋_GB2312" w:cs="仿宋_GB2312" w:hint="eastAsia"/>
          <w:sz w:val="32"/>
          <w:szCs w:val="32"/>
        </w:rPr>
        <w:t>为提高预算绩效管理力度，提升各部门对预算绩效管理工作的认识，成立了预算绩效管理工作领导小组，由</w:t>
      </w:r>
      <w:proofErr w:type="gramStart"/>
      <w:r>
        <w:rPr>
          <w:rFonts w:ascii="仿宋_GB2312" w:eastAsia="仿宋_GB2312" w:hAnsi="仿宋_GB2312" w:cs="仿宋_GB2312" w:hint="eastAsia"/>
          <w:sz w:val="32"/>
          <w:szCs w:val="32"/>
        </w:rPr>
        <w:t>市体彩中心</w:t>
      </w:r>
      <w:proofErr w:type="gramEnd"/>
      <w:r>
        <w:rPr>
          <w:rFonts w:ascii="仿宋_GB2312" w:eastAsia="仿宋_GB2312" w:hAnsi="仿宋_GB2312" w:cs="仿宋_GB2312" w:hint="eastAsia"/>
          <w:sz w:val="32"/>
          <w:szCs w:val="32"/>
        </w:rPr>
        <w:t>领导和财务部相关人员组成，全面负责部门预算绩效管理工作的统筹规划、总体部署，各业务部门按照预算绩效管理工作安排配合完成相关工作任务。</w:t>
      </w:r>
      <w:r>
        <w:rPr>
          <w:rFonts w:ascii="仿宋_GB2312" w:eastAsia="仿宋_GB2312" w:hAnsi="仿宋_GB2312" w:cs="仿宋_GB2312" w:hint="eastAsia"/>
          <w:b/>
          <w:bCs/>
          <w:kern w:val="0"/>
          <w:sz w:val="32"/>
          <w:szCs w:val="32"/>
        </w:rPr>
        <w:t>二是</w:t>
      </w:r>
      <w:r>
        <w:rPr>
          <w:rFonts w:ascii="仿宋_GB2312" w:eastAsia="仿宋_GB2312" w:hAnsi="仿宋_GB2312" w:cs="仿宋_GB2312" w:hint="eastAsia"/>
          <w:kern w:val="0"/>
          <w:sz w:val="32"/>
          <w:szCs w:val="32"/>
        </w:rPr>
        <w:t>深入开展全过程预算绩效管理工作。2023年</w:t>
      </w:r>
      <w:proofErr w:type="gramStart"/>
      <w:r>
        <w:rPr>
          <w:rFonts w:ascii="仿宋_GB2312" w:eastAsia="仿宋_GB2312" w:hAnsi="仿宋_GB2312" w:cs="仿宋_GB2312" w:hint="eastAsia"/>
          <w:kern w:val="0"/>
          <w:sz w:val="32"/>
          <w:szCs w:val="32"/>
        </w:rPr>
        <w:t>市体彩中心</w:t>
      </w:r>
      <w:proofErr w:type="gramEnd"/>
      <w:r>
        <w:rPr>
          <w:rFonts w:ascii="仿宋_GB2312" w:eastAsia="仿宋_GB2312" w:hAnsi="仿宋_GB2312" w:cs="仿宋_GB2312" w:hint="eastAsia"/>
          <w:kern w:val="0"/>
          <w:sz w:val="32"/>
          <w:szCs w:val="32"/>
        </w:rPr>
        <w:t>继续推进全面实施预算绩效管理工作在部门的落实，对上一年度项目进行绩效考评，综合评价项目完成情况、预算执行情况，提高项目管理水平；对本年项目及时进行绩效运行监控，对项目执行情况、预算支出进度进行动态监控，对项目执行中发现的问题及时纠偏，根据项目实际情况及时调整预算和绩效目标，提高财政资金使用效率；申报下一年预算时，引入事前绩效评估和预算评审，</w:t>
      </w:r>
      <w:r>
        <w:rPr>
          <w:rFonts w:ascii="仿宋_GB2312" w:eastAsia="仿宋_GB2312" w:hAnsi="仿宋_GB2312" w:cs="仿宋_GB2312" w:hint="eastAsia"/>
          <w:kern w:val="0"/>
          <w:sz w:val="32"/>
          <w:szCs w:val="32"/>
        </w:rPr>
        <w:lastRenderedPageBreak/>
        <w:t>从项目立项必要性和预算资金申请合理性方面进行双把关，加大项目支出预算管理力度。</w:t>
      </w:r>
    </w:p>
    <w:p w:rsidR="00AC5D63" w:rsidRDefault="00AC5D63" w:rsidP="00AC5D63">
      <w:pPr>
        <w:spacing w:line="360" w:lineRule="auto"/>
        <w:ind w:leftChars="50" w:left="105" w:firstLineChars="200" w:firstLine="643"/>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3.中心预算绩效管理情况</w:t>
      </w:r>
    </w:p>
    <w:p w:rsidR="00AC5D63" w:rsidRDefault="00AC5D63" w:rsidP="00AC5D63">
      <w:pPr>
        <w:spacing w:line="360" w:lineRule="auto"/>
        <w:ind w:leftChars="50" w:left="105"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一是</w:t>
      </w:r>
      <w:r>
        <w:rPr>
          <w:rFonts w:ascii="仿宋_GB2312" w:eastAsia="仿宋_GB2312" w:hAnsi="仿宋_GB2312" w:cs="仿宋_GB2312" w:hint="eastAsia"/>
          <w:kern w:val="0"/>
          <w:sz w:val="32"/>
          <w:szCs w:val="32"/>
        </w:rPr>
        <w:t>2023年</w:t>
      </w:r>
      <w:proofErr w:type="gramStart"/>
      <w:r>
        <w:rPr>
          <w:rFonts w:ascii="仿宋_GB2312" w:eastAsia="仿宋_GB2312" w:hAnsi="仿宋_GB2312" w:cs="仿宋_GB2312" w:hint="eastAsia"/>
          <w:kern w:val="0"/>
          <w:sz w:val="32"/>
          <w:szCs w:val="32"/>
        </w:rPr>
        <w:t>市体彩中心</w:t>
      </w:r>
      <w:proofErr w:type="gramEnd"/>
      <w:r>
        <w:rPr>
          <w:rFonts w:ascii="仿宋_GB2312" w:eastAsia="仿宋_GB2312" w:hAnsi="仿宋_GB2312" w:cs="仿宋_GB2312" w:hint="eastAsia"/>
          <w:kern w:val="0"/>
          <w:sz w:val="32"/>
          <w:szCs w:val="32"/>
        </w:rPr>
        <w:t>根据财政部门要求及时完成预、决算及财务报告编制工作，并按要求进行公开，接受社会监督。</w:t>
      </w:r>
      <w:r>
        <w:rPr>
          <w:rFonts w:ascii="仿宋_GB2312" w:eastAsia="仿宋_GB2312" w:hAnsi="仿宋_GB2312" w:cs="仿宋_GB2312" w:hint="eastAsia"/>
          <w:b/>
          <w:bCs/>
          <w:kern w:val="0"/>
          <w:sz w:val="32"/>
          <w:szCs w:val="32"/>
        </w:rPr>
        <w:t>二是</w:t>
      </w:r>
      <w:r>
        <w:rPr>
          <w:rFonts w:ascii="仿宋_GB2312" w:eastAsia="仿宋_GB2312" w:hAnsi="仿宋_GB2312" w:cs="仿宋_GB2312" w:hint="eastAsia"/>
          <w:kern w:val="0"/>
          <w:sz w:val="32"/>
          <w:szCs w:val="32"/>
        </w:rPr>
        <w:t>全面实施绩效管理，开展绩效考评、绩效运行监控、成本绩效分析工作，做到精准管控、降本增效，2023年</w:t>
      </w:r>
      <w:proofErr w:type="gramStart"/>
      <w:r>
        <w:rPr>
          <w:rFonts w:ascii="仿宋_GB2312" w:eastAsia="仿宋_GB2312" w:hAnsi="仿宋_GB2312" w:cs="仿宋_GB2312" w:hint="eastAsia"/>
          <w:kern w:val="0"/>
          <w:sz w:val="32"/>
          <w:szCs w:val="32"/>
        </w:rPr>
        <w:t>市体彩中心</w:t>
      </w:r>
      <w:proofErr w:type="gramEnd"/>
      <w:r>
        <w:rPr>
          <w:rFonts w:ascii="仿宋_GB2312" w:eastAsia="仿宋_GB2312" w:hAnsi="仿宋_GB2312" w:cs="仿宋_GB2312" w:hint="eastAsia"/>
          <w:kern w:val="0"/>
          <w:sz w:val="32"/>
          <w:szCs w:val="32"/>
        </w:rPr>
        <w:t>选取1个项目开展了重点项目绩效评价，并组织各业务部门对项目进行绩效自评，财务部门对项目自评结果进行核实，年中对当年项目开展绩效运行监控，对项目执行进度及资金支出进度未达到要求的向业务部门反馈，要求业务部门及时跟进，</w:t>
      </w:r>
      <w:r>
        <w:rPr>
          <w:rFonts w:ascii="仿宋_GB2312" w:eastAsia="仿宋_GB2312" w:hAnsi="仿宋_GB2312" w:cs="仿宋_GB2312" w:hint="eastAsia"/>
          <w:sz w:val="32"/>
          <w:szCs w:val="32"/>
        </w:rPr>
        <w:t>选取1个项目开展全成本效益分析，制定项目支出标准，建立项目支出成本定额体系，提高预算编制水平。</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加强事前审核，2023年</w:t>
      </w:r>
      <w:proofErr w:type="gramStart"/>
      <w:r>
        <w:rPr>
          <w:rFonts w:ascii="仿宋_GB2312" w:eastAsia="仿宋_GB2312" w:hAnsi="仿宋_GB2312" w:cs="仿宋_GB2312" w:hint="eastAsia"/>
          <w:sz w:val="32"/>
          <w:szCs w:val="32"/>
        </w:rPr>
        <w:t>市体彩中心</w:t>
      </w:r>
      <w:proofErr w:type="gramEnd"/>
      <w:r>
        <w:rPr>
          <w:rFonts w:ascii="仿宋_GB2312" w:eastAsia="仿宋_GB2312" w:hAnsi="仿宋_GB2312" w:cs="仿宋_GB2312" w:hint="eastAsia"/>
          <w:sz w:val="32"/>
          <w:szCs w:val="32"/>
        </w:rPr>
        <w:t>对申请2024年预算的各项</w:t>
      </w:r>
      <w:proofErr w:type="gramStart"/>
      <w:r>
        <w:rPr>
          <w:rFonts w:ascii="仿宋_GB2312" w:eastAsia="仿宋_GB2312" w:hAnsi="仿宋_GB2312" w:cs="仿宋_GB2312" w:hint="eastAsia"/>
          <w:sz w:val="32"/>
          <w:szCs w:val="32"/>
        </w:rPr>
        <w:t>目</w:t>
      </w:r>
      <w:r>
        <w:rPr>
          <w:rFonts w:ascii="仿宋_GB2312" w:eastAsia="仿宋_GB2312" w:hAnsi="仿宋_GB2312" w:cs="仿宋_GB2312" w:hint="eastAsia"/>
          <w:kern w:val="0"/>
          <w:sz w:val="32"/>
          <w:szCs w:val="32"/>
        </w:rPr>
        <w:t>开展</w:t>
      </w:r>
      <w:proofErr w:type="gramEnd"/>
      <w:r>
        <w:rPr>
          <w:rFonts w:ascii="仿宋_GB2312" w:eastAsia="仿宋_GB2312" w:hAnsi="仿宋_GB2312" w:cs="仿宋_GB2312" w:hint="eastAsia"/>
          <w:kern w:val="0"/>
          <w:sz w:val="32"/>
          <w:szCs w:val="32"/>
        </w:rPr>
        <w:t>了事前绩效评估和预算评审，提高了部门预算编制的准确性和财政资金使用效益。</w:t>
      </w:r>
    </w:p>
    <w:p w:rsidR="00AC5D63" w:rsidRDefault="00AC5D63" w:rsidP="00AC5D63">
      <w:pPr>
        <w:spacing w:line="360" w:lineRule="auto"/>
        <w:ind w:leftChars="50" w:left="105" w:firstLineChars="150" w:firstLine="482"/>
        <w:outlineLvl w:val="1"/>
        <w:rPr>
          <w:rFonts w:ascii="楷体_GB2312" w:eastAsia="楷体_GB2312"/>
          <w:b/>
          <w:bCs/>
          <w:sz w:val="32"/>
          <w:szCs w:val="32"/>
        </w:rPr>
      </w:pPr>
      <w:bookmarkStart w:id="11" w:name="_Toc31951"/>
      <w:r>
        <w:rPr>
          <w:rFonts w:ascii="楷体_GB2312" w:eastAsia="楷体_GB2312" w:hint="eastAsia"/>
          <w:b/>
          <w:bCs/>
          <w:sz w:val="32"/>
          <w:szCs w:val="32"/>
        </w:rPr>
        <w:t>（四）结转结余率</w:t>
      </w:r>
      <w:bookmarkEnd w:id="11"/>
    </w:p>
    <w:p w:rsidR="00AC5D63" w:rsidRDefault="00AC5D63" w:rsidP="00AC5D63">
      <w:pPr>
        <w:spacing w:line="360" w:lineRule="auto"/>
        <w:ind w:leftChars="50" w:left="105" w:firstLineChars="150" w:firstLine="480"/>
        <w:rPr>
          <w:rFonts w:ascii="仿宋_GB2312" w:eastAsia="仿宋_GB2312" w:hAnsi="仿宋_GB2312" w:cs="仿宋_GB2312"/>
          <w:color w:val="0000FF"/>
          <w:sz w:val="32"/>
          <w:szCs w:val="32"/>
        </w:rPr>
      </w:pPr>
      <w:r>
        <w:rPr>
          <w:rFonts w:ascii="仿宋_GB2312" w:eastAsia="仿宋_GB2312" w:hAnsi="仿宋_GB2312" w:cs="仿宋_GB2312" w:hint="eastAsia"/>
          <w:sz w:val="32"/>
          <w:szCs w:val="32"/>
        </w:rPr>
        <w:t>2022年部门结转结余总额719.53万元，全年支出预算数18,853.42万元，结转结余率3.82%。2023年部门结转结余总额1,798.67万元，全年支出预算数17,633.39万元，结转结余率10.20%，较前一年增加6.38%。</w:t>
      </w:r>
    </w:p>
    <w:p w:rsidR="00AC5D63" w:rsidRDefault="00AC5D63" w:rsidP="00AC5D63">
      <w:pPr>
        <w:spacing w:line="360" w:lineRule="auto"/>
        <w:ind w:leftChars="50" w:left="105" w:firstLineChars="150" w:firstLine="482"/>
        <w:outlineLvl w:val="1"/>
        <w:rPr>
          <w:rFonts w:ascii="楷体_GB2312" w:eastAsia="楷体_GB2312"/>
          <w:b/>
          <w:bCs/>
          <w:sz w:val="32"/>
          <w:szCs w:val="32"/>
        </w:rPr>
      </w:pPr>
      <w:bookmarkStart w:id="12" w:name="_Toc4235"/>
      <w:r>
        <w:rPr>
          <w:rFonts w:ascii="楷体_GB2312" w:eastAsia="楷体_GB2312" w:hint="eastAsia"/>
          <w:b/>
          <w:bCs/>
          <w:sz w:val="32"/>
          <w:szCs w:val="32"/>
        </w:rPr>
        <w:lastRenderedPageBreak/>
        <w:t>（五）部门预决算差异率</w:t>
      </w:r>
      <w:bookmarkEnd w:id="12"/>
    </w:p>
    <w:p w:rsidR="00AC5D63" w:rsidRDefault="00AC5D63" w:rsidP="00AC5D63">
      <w:pPr>
        <w:spacing w:line="360" w:lineRule="auto"/>
        <w:ind w:leftChars="50" w:left="105" w:firstLineChars="150" w:firstLine="480"/>
        <w:rPr>
          <w:rFonts w:ascii="仿宋_GB2312" w:eastAsia="仿宋_GB2312" w:hAnsi="仿宋_GB2312" w:cs="仿宋_GB2312"/>
          <w:color w:val="0000FF"/>
          <w:sz w:val="32"/>
          <w:szCs w:val="32"/>
        </w:rPr>
      </w:pPr>
      <w:r>
        <w:rPr>
          <w:rFonts w:ascii="仿宋_GB2312" w:eastAsia="仿宋_GB2312" w:hAnsi="仿宋_GB2312" w:cs="仿宋_GB2312" w:hint="eastAsia"/>
          <w:sz w:val="32"/>
          <w:szCs w:val="32"/>
        </w:rPr>
        <w:t>2023年部门决算数17,633.39万元，与年初部门预算数19,067.07万元相比，部门预决算差异率为7.52%，低于市级单位预决算平均差异率。</w:t>
      </w:r>
    </w:p>
    <w:p w:rsidR="00AC5D63" w:rsidRDefault="00AC5D63" w:rsidP="00AC5D63">
      <w:pPr>
        <w:spacing w:line="360" w:lineRule="auto"/>
        <w:ind w:leftChars="50" w:left="105" w:firstLineChars="150" w:firstLine="480"/>
        <w:outlineLvl w:val="0"/>
        <w:rPr>
          <w:rFonts w:ascii="黑体" w:eastAsia="黑体" w:hAnsi="黑体"/>
          <w:sz w:val="32"/>
          <w:szCs w:val="32"/>
        </w:rPr>
      </w:pPr>
      <w:bookmarkStart w:id="13" w:name="_Toc9678"/>
      <w:r>
        <w:rPr>
          <w:rFonts w:ascii="黑体" w:eastAsia="黑体" w:hAnsi="黑体" w:hint="eastAsia"/>
          <w:sz w:val="32"/>
          <w:szCs w:val="32"/>
        </w:rPr>
        <w:t>五、总体</w:t>
      </w:r>
      <w:r>
        <w:rPr>
          <w:rFonts w:ascii="黑体" w:eastAsia="黑体" w:hAnsi="黑体"/>
          <w:sz w:val="32"/>
          <w:szCs w:val="32"/>
        </w:rPr>
        <w:t>评价结论</w:t>
      </w:r>
      <w:bookmarkEnd w:id="13"/>
    </w:p>
    <w:p w:rsidR="00AC5D63" w:rsidRDefault="00AC5D63" w:rsidP="00AC5D63">
      <w:pPr>
        <w:spacing w:line="360" w:lineRule="auto"/>
        <w:ind w:leftChars="50" w:left="105" w:firstLineChars="150" w:firstLine="482"/>
        <w:outlineLvl w:val="1"/>
        <w:rPr>
          <w:rFonts w:ascii="楷体_GB2312" w:eastAsia="楷体_GB2312"/>
          <w:b/>
          <w:bCs/>
          <w:sz w:val="32"/>
          <w:szCs w:val="32"/>
        </w:rPr>
      </w:pPr>
      <w:bookmarkStart w:id="14" w:name="_Toc27019"/>
      <w:r>
        <w:rPr>
          <w:rFonts w:ascii="楷体_GB2312" w:eastAsia="楷体_GB2312" w:hint="eastAsia"/>
          <w:b/>
          <w:bCs/>
          <w:sz w:val="32"/>
          <w:szCs w:val="32"/>
        </w:rPr>
        <w:t>（一）评价</w:t>
      </w:r>
      <w:r>
        <w:rPr>
          <w:rFonts w:ascii="楷体_GB2312" w:eastAsia="楷体_GB2312"/>
          <w:b/>
          <w:bCs/>
          <w:sz w:val="32"/>
          <w:szCs w:val="32"/>
        </w:rPr>
        <w:t>得分</w:t>
      </w:r>
      <w:r>
        <w:rPr>
          <w:rFonts w:ascii="楷体_GB2312" w:eastAsia="楷体_GB2312" w:hint="eastAsia"/>
          <w:b/>
          <w:bCs/>
          <w:sz w:val="32"/>
          <w:szCs w:val="32"/>
        </w:rPr>
        <w:t>情况</w:t>
      </w:r>
      <w:bookmarkEnd w:id="14"/>
    </w:p>
    <w:p w:rsidR="00AC5D63" w:rsidRDefault="00AC5D63" w:rsidP="00AC5D63">
      <w:pPr>
        <w:spacing w:line="360" w:lineRule="auto"/>
        <w:ind w:firstLineChars="200" w:firstLine="643"/>
        <w:rPr>
          <w:rFonts w:ascii="仿宋_GB2312" w:eastAsia="仿宋_GB2312" w:hAnsi="仿宋_GB2312" w:cs="仿宋_GB2312"/>
          <w:bCs/>
          <w:kern w:val="0"/>
          <w:sz w:val="32"/>
          <w:szCs w:val="32"/>
          <w:lang w:bidi="ar"/>
        </w:rPr>
      </w:pPr>
      <w:r>
        <w:rPr>
          <w:rFonts w:ascii="仿宋_GB2312" w:eastAsia="仿宋_GB2312" w:hAnsi="仿宋_GB2312" w:cs="仿宋_GB2312" w:hint="eastAsia"/>
          <w:b/>
          <w:sz w:val="32"/>
          <w:szCs w:val="32"/>
          <w:lang w:bidi="ar"/>
        </w:rPr>
        <w:t>绩效评价得分为93.1分，评价等级为“优”。</w:t>
      </w:r>
      <w:r>
        <w:rPr>
          <w:rFonts w:ascii="仿宋_GB2312" w:eastAsia="仿宋_GB2312" w:hAnsi="仿宋_GB2312" w:cs="仿宋_GB2312" w:hint="eastAsia"/>
          <w:bCs/>
          <w:sz w:val="32"/>
          <w:szCs w:val="32"/>
          <w:lang w:bidi="ar"/>
        </w:rPr>
        <w:t>部门当年预算执行情况良好，预算执行率90.74%</w:t>
      </w:r>
      <w:r>
        <w:rPr>
          <w:rFonts w:ascii="仿宋_GB2312" w:eastAsia="仿宋_GB2312" w:hAnsi="仿宋_GB2312" w:cs="仿宋_GB2312" w:hint="eastAsia"/>
          <w:bCs/>
          <w:kern w:val="0"/>
          <w:sz w:val="32"/>
          <w:szCs w:val="32"/>
          <w:lang w:bidi="ar"/>
        </w:rPr>
        <w:t>，整体绩效目标实现情况良好，基本完成了年初制定的各项重点工作任务。</w:t>
      </w:r>
      <w:r>
        <w:rPr>
          <w:rFonts w:ascii="仿宋_GB2312" w:eastAsia="仿宋_GB2312" w:hAnsi="宋体" w:cs="宋体" w:hint="eastAsia"/>
          <w:kern w:val="0"/>
          <w:sz w:val="32"/>
          <w:szCs w:val="32"/>
        </w:rPr>
        <w:t>2</w:t>
      </w:r>
      <w:r>
        <w:rPr>
          <w:rFonts w:ascii="仿宋_GB2312" w:eastAsia="仿宋_GB2312" w:hAnsi="宋体" w:cs="宋体"/>
          <w:kern w:val="0"/>
          <w:sz w:val="32"/>
          <w:szCs w:val="32"/>
        </w:rPr>
        <w:t>02</w:t>
      </w:r>
      <w:r>
        <w:rPr>
          <w:rFonts w:ascii="仿宋_GB2312" w:eastAsia="仿宋_GB2312" w:hAnsi="宋体" w:cs="宋体" w:hint="eastAsia"/>
          <w:kern w:val="0"/>
          <w:sz w:val="32"/>
          <w:szCs w:val="32"/>
        </w:rPr>
        <w:t>3年共销售体育彩票108.24亿元，同比2022年实现增长48.5</w:t>
      </w:r>
      <w:r>
        <w:rPr>
          <w:rFonts w:ascii="仿宋_GB2312" w:eastAsia="仿宋_GB2312" w:hAnsi="宋体" w:cs="宋体"/>
          <w:kern w:val="0"/>
          <w:sz w:val="32"/>
          <w:szCs w:val="32"/>
        </w:rPr>
        <w:t>2</w:t>
      </w:r>
      <w:r>
        <w:rPr>
          <w:rFonts w:ascii="仿宋_GB2312" w:eastAsia="仿宋_GB2312" w:hAnsi="宋体" w:cs="宋体" w:hint="eastAsia"/>
          <w:kern w:val="0"/>
          <w:sz w:val="32"/>
          <w:szCs w:val="32"/>
        </w:rPr>
        <w:t>%，筹集地方公益金13.15亿元。2023年</w:t>
      </w:r>
      <w:proofErr w:type="gramStart"/>
      <w:r>
        <w:rPr>
          <w:rFonts w:ascii="仿宋_GB2312" w:eastAsia="仿宋_GB2312" w:hAnsi="宋体" w:cs="宋体" w:hint="eastAsia"/>
          <w:kern w:val="0"/>
          <w:sz w:val="32"/>
          <w:szCs w:val="32"/>
        </w:rPr>
        <w:t>市体彩中心</w:t>
      </w:r>
      <w:proofErr w:type="gramEnd"/>
      <w:r>
        <w:rPr>
          <w:rFonts w:ascii="仿宋_GB2312" w:eastAsia="仿宋_GB2312" w:hAnsi="宋体" w:cs="宋体" w:hint="eastAsia"/>
          <w:kern w:val="0"/>
          <w:sz w:val="32"/>
          <w:szCs w:val="32"/>
        </w:rPr>
        <w:t>不断提升服务质量和管理精细化程度，对实体店进行日常管理和服务，协助实体店做好销售工作，强化风险意识，狠抓安全生产，排查整治各类隐患；创新发展模式，拓展新型渠道，推动“体彩+”跨界融合，打造展示体验中心，</w:t>
      </w:r>
      <w:proofErr w:type="gramStart"/>
      <w:r>
        <w:rPr>
          <w:rFonts w:ascii="仿宋_GB2312" w:eastAsia="仿宋_GB2312" w:hAnsi="宋体" w:cs="宋体" w:hint="eastAsia"/>
          <w:kern w:val="0"/>
          <w:sz w:val="32"/>
          <w:szCs w:val="32"/>
        </w:rPr>
        <w:t>构建多元</w:t>
      </w:r>
      <w:proofErr w:type="gramEnd"/>
      <w:r>
        <w:rPr>
          <w:rFonts w:ascii="仿宋_GB2312" w:eastAsia="仿宋_GB2312" w:hAnsi="宋体" w:cs="宋体" w:hint="eastAsia"/>
          <w:kern w:val="0"/>
          <w:sz w:val="32"/>
          <w:szCs w:val="32"/>
        </w:rPr>
        <w:t>渠道体系，优化渠道结构和质量，有效提升管理效能；</w:t>
      </w:r>
      <w:r>
        <w:rPr>
          <w:rFonts w:ascii="仿宋_GB2312" w:eastAsia="仿宋_GB2312" w:hint="eastAsia"/>
          <w:sz w:val="32"/>
          <w:szCs w:val="32"/>
        </w:rPr>
        <w:t>持续宣传体育彩票责任、公益公信理念，完成日常宣传推广、游戏营销、品牌活动落地、业务能力提升培训、广告投放等工作；全年生产、办公系统安全稳定运行，保障了彩票业务的安全、稳定、连续。部门管理方面，</w:t>
      </w:r>
      <w:proofErr w:type="gramStart"/>
      <w:r>
        <w:rPr>
          <w:rFonts w:ascii="仿宋_GB2312" w:eastAsia="仿宋_GB2312" w:hint="eastAsia"/>
          <w:sz w:val="32"/>
          <w:szCs w:val="32"/>
        </w:rPr>
        <w:t>市体彩中心</w:t>
      </w:r>
      <w:proofErr w:type="gramEnd"/>
      <w:r>
        <w:rPr>
          <w:rFonts w:ascii="仿宋_GB2312" w:eastAsia="仿宋_GB2312" w:hint="eastAsia"/>
          <w:sz w:val="32"/>
          <w:szCs w:val="32"/>
        </w:rPr>
        <w:t>持续完善内部各项管理制度，</w:t>
      </w:r>
      <w:r>
        <w:rPr>
          <w:rFonts w:ascii="仿宋_GB2312" w:eastAsia="仿宋_GB2312" w:hAnsi="仿宋_GB2312" w:cs="仿宋_GB2312" w:hint="eastAsia"/>
          <w:bCs/>
          <w:kern w:val="0"/>
          <w:sz w:val="32"/>
          <w:szCs w:val="32"/>
          <w:lang w:bidi="ar"/>
        </w:rPr>
        <w:t>资金使用规范，会计基础信息完善，资产安全完</w:t>
      </w:r>
      <w:r>
        <w:rPr>
          <w:rFonts w:ascii="仿宋_GB2312" w:eastAsia="仿宋_GB2312" w:hAnsi="仿宋_GB2312" w:cs="仿宋_GB2312" w:hint="eastAsia"/>
          <w:bCs/>
          <w:kern w:val="0"/>
          <w:sz w:val="32"/>
          <w:szCs w:val="32"/>
          <w:lang w:bidi="ar"/>
        </w:rPr>
        <w:lastRenderedPageBreak/>
        <w:t>整、资产使用及处置合</w:t>
      </w:r>
      <w:proofErr w:type="gramStart"/>
      <w:r>
        <w:rPr>
          <w:rFonts w:ascii="仿宋_GB2312" w:eastAsia="仿宋_GB2312" w:hAnsi="仿宋_GB2312" w:cs="仿宋_GB2312" w:hint="eastAsia"/>
          <w:bCs/>
          <w:kern w:val="0"/>
          <w:sz w:val="32"/>
          <w:szCs w:val="32"/>
          <w:lang w:bidi="ar"/>
        </w:rPr>
        <w:t>规</w:t>
      </w:r>
      <w:proofErr w:type="gramEnd"/>
      <w:r>
        <w:rPr>
          <w:rFonts w:ascii="仿宋_GB2312" w:eastAsia="仿宋_GB2312" w:hAnsi="仿宋_GB2312" w:cs="仿宋_GB2312" w:hint="eastAsia"/>
          <w:bCs/>
          <w:kern w:val="0"/>
          <w:sz w:val="32"/>
          <w:szCs w:val="32"/>
          <w:lang w:bidi="ar"/>
        </w:rPr>
        <w:t>。但评价发现部门仍存在整体绩效目标不够细化、项目统筹管理机制不够健全，实体店管理效能有待提高等问题。一级指标得分情况见表3。</w:t>
      </w:r>
    </w:p>
    <w:p w:rsidR="00AC5D63" w:rsidRDefault="00AC5D63" w:rsidP="00AC5D63">
      <w:pPr>
        <w:pStyle w:val="2"/>
        <w:spacing w:after="0" w:line="240" w:lineRule="auto"/>
        <w:ind w:leftChars="0" w:left="0"/>
        <w:jc w:val="center"/>
        <w:rPr>
          <w:rFonts w:ascii="黑体" w:eastAsia="黑体" w:hAnsi="黑体" w:cs="黑体"/>
          <w:bCs/>
          <w:sz w:val="24"/>
        </w:rPr>
      </w:pPr>
      <w:r>
        <w:rPr>
          <w:rFonts w:ascii="黑体" w:eastAsia="黑体" w:hAnsi="黑体" w:cs="黑体" w:hint="eastAsia"/>
          <w:bCs/>
          <w:sz w:val="24"/>
        </w:rPr>
        <w:t>表3 部门整体绩效自评结论一览表</w:t>
      </w:r>
    </w:p>
    <w:tbl>
      <w:tblPr>
        <w:tblW w:w="7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57" w:type="dxa"/>
          <w:right w:w="57" w:type="dxa"/>
        </w:tblCellMar>
        <w:tblLook w:val="04A0" w:firstRow="1" w:lastRow="0" w:firstColumn="1" w:lastColumn="0" w:noHBand="0" w:noVBand="1"/>
      </w:tblPr>
      <w:tblGrid>
        <w:gridCol w:w="2250"/>
        <w:gridCol w:w="1800"/>
        <w:gridCol w:w="1566"/>
        <w:gridCol w:w="1566"/>
      </w:tblGrid>
      <w:tr w:rsidR="00AC5D63" w:rsidTr="00AB546E">
        <w:trPr>
          <w:cantSplit/>
          <w:trHeight w:val="442"/>
          <w:tblHeader/>
          <w:jc w:val="center"/>
        </w:trPr>
        <w:tc>
          <w:tcPr>
            <w:tcW w:w="2250" w:type="dxa"/>
            <w:shd w:val="clear" w:color="auto" w:fill="BFBFBF" w:themeFill="background1" w:themeFillShade="BF"/>
            <w:vAlign w:val="center"/>
          </w:tcPr>
          <w:p w:rsidR="00AC5D63" w:rsidRDefault="00AC5D63" w:rsidP="00AB546E">
            <w:pPr>
              <w:adjustRightInd w:val="0"/>
              <w:snapToGrid w:val="0"/>
              <w:spacing w:before="120" w:after="60" w:line="300" w:lineRule="auto"/>
              <w:jc w:val="center"/>
              <w:rPr>
                <w:rFonts w:ascii="宋体" w:hAnsi="宋体" w:cs="宋体"/>
                <w:b/>
                <w:szCs w:val="21"/>
              </w:rPr>
            </w:pPr>
            <w:r>
              <w:rPr>
                <w:rFonts w:ascii="宋体" w:hAnsi="宋体" w:cs="宋体" w:hint="eastAsia"/>
                <w:b/>
                <w:szCs w:val="21"/>
              </w:rPr>
              <w:t>评价内容</w:t>
            </w:r>
          </w:p>
        </w:tc>
        <w:tc>
          <w:tcPr>
            <w:tcW w:w="1800" w:type="dxa"/>
            <w:shd w:val="clear" w:color="auto" w:fill="BFBFBF" w:themeFill="background1" w:themeFillShade="BF"/>
            <w:vAlign w:val="center"/>
          </w:tcPr>
          <w:p w:rsidR="00AC5D63" w:rsidRDefault="00AC5D63" w:rsidP="00AB546E">
            <w:pPr>
              <w:adjustRightInd w:val="0"/>
              <w:snapToGrid w:val="0"/>
              <w:spacing w:before="120" w:after="60" w:line="300" w:lineRule="auto"/>
              <w:jc w:val="center"/>
              <w:rPr>
                <w:rFonts w:ascii="宋体" w:hAnsi="宋体" w:cs="宋体"/>
                <w:b/>
                <w:szCs w:val="21"/>
              </w:rPr>
            </w:pPr>
            <w:r>
              <w:rPr>
                <w:rFonts w:ascii="宋体" w:hAnsi="宋体" w:cs="宋体" w:hint="eastAsia"/>
                <w:b/>
                <w:szCs w:val="21"/>
              </w:rPr>
              <w:t>分值</w:t>
            </w:r>
          </w:p>
        </w:tc>
        <w:tc>
          <w:tcPr>
            <w:tcW w:w="1566" w:type="dxa"/>
            <w:shd w:val="clear" w:color="auto" w:fill="BFBFBF" w:themeFill="background1" w:themeFillShade="BF"/>
            <w:vAlign w:val="center"/>
          </w:tcPr>
          <w:p w:rsidR="00AC5D63" w:rsidRDefault="00AC5D63" w:rsidP="00AB546E">
            <w:pPr>
              <w:adjustRightInd w:val="0"/>
              <w:snapToGrid w:val="0"/>
              <w:spacing w:before="120" w:after="60" w:line="300" w:lineRule="auto"/>
              <w:jc w:val="center"/>
              <w:rPr>
                <w:rFonts w:ascii="宋体" w:hAnsi="宋体" w:cs="宋体"/>
                <w:b/>
                <w:color w:val="0000FF"/>
                <w:szCs w:val="21"/>
              </w:rPr>
            </w:pPr>
            <w:r>
              <w:rPr>
                <w:rFonts w:ascii="宋体" w:hAnsi="宋体" w:cs="宋体" w:hint="eastAsia"/>
                <w:b/>
                <w:szCs w:val="21"/>
              </w:rPr>
              <w:t>评价得分</w:t>
            </w:r>
          </w:p>
        </w:tc>
        <w:tc>
          <w:tcPr>
            <w:tcW w:w="1566" w:type="dxa"/>
            <w:shd w:val="clear" w:color="auto" w:fill="BFBFBF" w:themeFill="background1" w:themeFillShade="BF"/>
            <w:vAlign w:val="center"/>
          </w:tcPr>
          <w:p w:rsidR="00AC5D63" w:rsidRDefault="00AC5D63" w:rsidP="00AB546E">
            <w:pPr>
              <w:adjustRightInd w:val="0"/>
              <w:snapToGrid w:val="0"/>
              <w:spacing w:before="120" w:after="60" w:line="300" w:lineRule="auto"/>
              <w:jc w:val="center"/>
              <w:rPr>
                <w:rFonts w:ascii="宋体" w:hAnsi="宋体" w:cs="宋体"/>
                <w:b/>
                <w:color w:val="0000FF"/>
                <w:szCs w:val="21"/>
              </w:rPr>
            </w:pPr>
            <w:r>
              <w:rPr>
                <w:rFonts w:ascii="宋体" w:hAnsi="宋体" w:cs="宋体" w:hint="eastAsia"/>
                <w:b/>
                <w:szCs w:val="21"/>
              </w:rPr>
              <w:t>得分占比</w:t>
            </w:r>
          </w:p>
        </w:tc>
      </w:tr>
      <w:tr w:rsidR="00AC5D63" w:rsidTr="00AB546E">
        <w:trPr>
          <w:cantSplit/>
          <w:trHeight w:val="532"/>
          <w:jc w:val="center"/>
        </w:trPr>
        <w:tc>
          <w:tcPr>
            <w:tcW w:w="2250" w:type="dxa"/>
            <w:shd w:val="clear" w:color="auto" w:fill="FFFFFF"/>
            <w:vAlign w:val="center"/>
          </w:tcPr>
          <w:p w:rsidR="00AC5D63" w:rsidRDefault="00AC5D63" w:rsidP="00AB546E">
            <w:pPr>
              <w:pStyle w:val="ab"/>
              <w:adjustRightInd w:val="0"/>
              <w:snapToGrid w:val="0"/>
              <w:spacing w:before="120" w:after="60" w:line="300" w:lineRule="auto"/>
              <w:ind w:firstLine="0"/>
              <w:jc w:val="center"/>
              <w:rPr>
                <w:rFonts w:ascii="宋体" w:hAnsi="宋体" w:cs="宋体"/>
                <w:bCs/>
                <w:szCs w:val="21"/>
              </w:rPr>
            </w:pPr>
            <w:r>
              <w:rPr>
                <w:rFonts w:ascii="宋体" w:hAnsi="宋体" w:cs="宋体" w:hint="eastAsia"/>
                <w:bCs/>
                <w:szCs w:val="21"/>
              </w:rPr>
              <w:t>当年预算执行情况</w:t>
            </w:r>
          </w:p>
        </w:tc>
        <w:tc>
          <w:tcPr>
            <w:tcW w:w="1800" w:type="dxa"/>
            <w:shd w:val="clear" w:color="auto" w:fill="FFFFFF"/>
            <w:vAlign w:val="center"/>
          </w:tcPr>
          <w:p w:rsidR="00AC5D63" w:rsidRDefault="00AC5D63" w:rsidP="00AB546E">
            <w:pPr>
              <w:adjustRightInd w:val="0"/>
              <w:snapToGrid w:val="0"/>
              <w:jc w:val="center"/>
              <w:rPr>
                <w:rFonts w:ascii="宋体" w:hAnsi="宋体" w:cs="宋体"/>
                <w:bCs/>
                <w:szCs w:val="21"/>
              </w:rPr>
            </w:pPr>
            <w:r>
              <w:rPr>
                <w:rFonts w:ascii="宋体" w:hAnsi="宋体" w:cs="宋体" w:hint="eastAsia"/>
                <w:bCs/>
                <w:szCs w:val="21"/>
              </w:rPr>
              <w:t>20.00</w:t>
            </w:r>
          </w:p>
        </w:tc>
        <w:tc>
          <w:tcPr>
            <w:tcW w:w="1566" w:type="dxa"/>
            <w:shd w:val="clear" w:color="auto" w:fill="FFFFFF"/>
            <w:vAlign w:val="center"/>
          </w:tcPr>
          <w:p w:rsidR="00AC5D63" w:rsidRDefault="00AC5D63" w:rsidP="00AB546E">
            <w:pPr>
              <w:adjustRightInd w:val="0"/>
              <w:snapToGrid w:val="0"/>
              <w:jc w:val="center"/>
              <w:rPr>
                <w:rFonts w:ascii="宋体" w:hAnsi="宋体" w:cs="宋体"/>
                <w:bCs/>
                <w:szCs w:val="21"/>
              </w:rPr>
            </w:pPr>
            <w:r>
              <w:rPr>
                <w:rFonts w:ascii="宋体" w:hAnsi="宋体" w:cs="宋体" w:hint="eastAsia"/>
                <w:bCs/>
                <w:szCs w:val="21"/>
              </w:rPr>
              <w:t>18.1</w:t>
            </w:r>
          </w:p>
        </w:tc>
        <w:tc>
          <w:tcPr>
            <w:tcW w:w="1566" w:type="dxa"/>
            <w:shd w:val="clear" w:color="auto" w:fill="FFFFFF"/>
            <w:vAlign w:val="center"/>
          </w:tcPr>
          <w:p w:rsidR="00AC5D63" w:rsidRDefault="00AC5D63" w:rsidP="00AB546E">
            <w:pPr>
              <w:adjustRightInd w:val="0"/>
              <w:snapToGrid w:val="0"/>
              <w:jc w:val="center"/>
              <w:rPr>
                <w:rFonts w:ascii="宋体" w:hAnsi="宋体" w:cs="宋体"/>
                <w:bCs/>
                <w:szCs w:val="21"/>
              </w:rPr>
            </w:pPr>
            <w:r>
              <w:rPr>
                <w:rFonts w:ascii="宋体" w:hAnsi="宋体" w:cs="宋体" w:hint="eastAsia"/>
                <w:bCs/>
                <w:szCs w:val="21"/>
              </w:rPr>
              <w:t>90.5%</w:t>
            </w:r>
          </w:p>
        </w:tc>
      </w:tr>
      <w:tr w:rsidR="00AC5D63" w:rsidTr="00AB546E">
        <w:trPr>
          <w:cantSplit/>
          <w:trHeight w:val="532"/>
          <w:jc w:val="center"/>
        </w:trPr>
        <w:tc>
          <w:tcPr>
            <w:tcW w:w="2250" w:type="dxa"/>
            <w:shd w:val="clear" w:color="auto" w:fill="FFFFFF"/>
            <w:vAlign w:val="center"/>
          </w:tcPr>
          <w:p w:rsidR="00AC5D63" w:rsidRDefault="00AC5D63" w:rsidP="00AB546E">
            <w:pPr>
              <w:adjustRightInd w:val="0"/>
              <w:snapToGrid w:val="0"/>
              <w:spacing w:before="120" w:after="60" w:line="300" w:lineRule="auto"/>
              <w:jc w:val="center"/>
              <w:rPr>
                <w:rFonts w:ascii="宋体" w:hAnsi="宋体" w:cs="宋体"/>
                <w:bCs/>
                <w:szCs w:val="21"/>
              </w:rPr>
            </w:pPr>
            <w:r>
              <w:rPr>
                <w:rFonts w:ascii="宋体" w:hAnsi="宋体" w:cs="宋体" w:hint="eastAsia"/>
                <w:bCs/>
                <w:szCs w:val="21"/>
              </w:rPr>
              <w:t>整体绩效目标实现情况</w:t>
            </w:r>
          </w:p>
        </w:tc>
        <w:tc>
          <w:tcPr>
            <w:tcW w:w="1800" w:type="dxa"/>
            <w:shd w:val="clear" w:color="auto" w:fill="FFFFFF"/>
            <w:vAlign w:val="center"/>
          </w:tcPr>
          <w:p w:rsidR="00AC5D63" w:rsidRDefault="00AC5D63" w:rsidP="00AB546E">
            <w:pPr>
              <w:adjustRightInd w:val="0"/>
              <w:snapToGrid w:val="0"/>
              <w:jc w:val="center"/>
              <w:rPr>
                <w:rFonts w:ascii="宋体" w:hAnsi="宋体" w:cs="宋体"/>
                <w:bCs/>
                <w:szCs w:val="21"/>
              </w:rPr>
            </w:pPr>
            <w:r>
              <w:rPr>
                <w:rFonts w:ascii="宋体" w:hAnsi="宋体" w:cs="宋体" w:hint="eastAsia"/>
                <w:bCs/>
                <w:szCs w:val="21"/>
              </w:rPr>
              <w:t>60.00</w:t>
            </w:r>
          </w:p>
        </w:tc>
        <w:tc>
          <w:tcPr>
            <w:tcW w:w="1566" w:type="dxa"/>
            <w:shd w:val="clear" w:color="auto" w:fill="FFFFFF"/>
            <w:vAlign w:val="center"/>
          </w:tcPr>
          <w:p w:rsidR="00AC5D63" w:rsidRDefault="00AC5D63" w:rsidP="00AB546E">
            <w:pPr>
              <w:adjustRightInd w:val="0"/>
              <w:snapToGrid w:val="0"/>
              <w:jc w:val="center"/>
              <w:rPr>
                <w:rFonts w:ascii="宋体" w:hAnsi="宋体" w:cs="宋体"/>
                <w:bCs/>
                <w:szCs w:val="21"/>
              </w:rPr>
            </w:pPr>
            <w:r>
              <w:rPr>
                <w:rFonts w:ascii="宋体" w:hAnsi="宋体" w:cs="宋体" w:hint="eastAsia"/>
                <w:bCs/>
                <w:szCs w:val="21"/>
              </w:rPr>
              <w:t>57.4</w:t>
            </w:r>
          </w:p>
        </w:tc>
        <w:tc>
          <w:tcPr>
            <w:tcW w:w="1566" w:type="dxa"/>
            <w:shd w:val="clear" w:color="auto" w:fill="FFFFFF"/>
            <w:vAlign w:val="center"/>
          </w:tcPr>
          <w:p w:rsidR="00AC5D63" w:rsidRDefault="00AC5D63" w:rsidP="00AB546E">
            <w:pPr>
              <w:adjustRightInd w:val="0"/>
              <w:snapToGrid w:val="0"/>
              <w:jc w:val="center"/>
              <w:rPr>
                <w:rFonts w:ascii="宋体" w:hAnsi="宋体" w:cs="宋体"/>
                <w:bCs/>
                <w:szCs w:val="21"/>
              </w:rPr>
            </w:pPr>
            <w:r>
              <w:rPr>
                <w:rFonts w:ascii="宋体" w:hAnsi="宋体" w:cs="宋体" w:hint="eastAsia"/>
                <w:bCs/>
                <w:szCs w:val="21"/>
              </w:rPr>
              <w:t>95.7%</w:t>
            </w:r>
          </w:p>
        </w:tc>
      </w:tr>
      <w:tr w:rsidR="00AC5D63" w:rsidTr="00AB546E">
        <w:trPr>
          <w:cantSplit/>
          <w:trHeight w:val="532"/>
          <w:jc w:val="center"/>
        </w:trPr>
        <w:tc>
          <w:tcPr>
            <w:tcW w:w="2250" w:type="dxa"/>
            <w:shd w:val="clear" w:color="auto" w:fill="FFFFFF"/>
            <w:vAlign w:val="center"/>
          </w:tcPr>
          <w:p w:rsidR="00AC5D63" w:rsidRDefault="00AC5D63" w:rsidP="00AB546E">
            <w:pPr>
              <w:adjustRightInd w:val="0"/>
              <w:snapToGrid w:val="0"/>
              <w:spacing w:before="120" w:after="60" w:line="300" w:lineRule="auto"/>
              <w:jc w:val="center"/>
              <w:rPr>
                <w:rFonts w:ascii="宋体" w:hAnsi="宋体" w:cs="宋体"/>
                <w:bCs/>
                <w:szCs w:val="21"/>
              </w:rPr>
            </w:pPr>
            <w:r>
              <w:rPr>
                <w:rFonts w:ascii="宋体" w:hAnsi="宋体" w:cs="宋体" w:hint="eastAsia"/>
                <w:bCs/>
                <w:szCs w:val="21"/>
              </w:rPr>
              <w:t>预算管理情况</w:t>
            </w:r>
          </w:p>
        </w:tc>
        <w:tc>
          <w:tcPr>
            <w:tcW w:w="1800" w:type="dxa"/>
            <w:shd w:val="clear" w:color="auto" w:fill="FFFFFF"/>
            <w:vAlign w:val="center"/>
          </w:tcPr>
          <w:p w:rsidR="00AC5D63" w:rsidRDefault="00AC5D63" w:rsidP="00AB546E">
            <w:pPr>
              <w:adjustRightInd w:val="0"/>
              <w:snapToGrid w:val="0"/>
              <w:jc w:val="center"/>
              <w:rPr>
                <w:rFonts w:ascii="宋体" w:hAnsi="宋体" w:cs="宋体"/>
                <w:bCs/>
                <w:szCs w:val="21"/>
              </w:rPr>
            </w:pPr>
            <w:r>
              <w:rPr>
                <w:rFonts w:ascii="宋体" w:hAnsi="宋体" w:cs="宋体" w:hint="eastAsia"/>
                <w:bCs/>
                <w:szCs w:val="21"/>
              </w:rPr>
              <w:t>20.00</w:t>
            </w:r>
          </w:p>
        </w:tc>
        <w:tc>
          <w:tcPr>
            <w:tcW w:w="1566" w:type="dxa"/>
            <w:shd w:val="clear" w:color="auto" w:fill="FFFFFF"/>
            <w:vAlign w:val="center"/>
          </w:tcPr>
          <w:p w:rsidR="00AC5D63" w:rsidRDefault="00AC5D63" w:rsidP="00AB546E">
            <w:pPr>
              <w:adjustRightInd w:val="0"/>
              <w:snapToGrid w:val="0"/>
              <w:jc w:val="center"/>
              <w:rPr>
                <w:rFonts w:ascii="宋体" w:hAnsi="宋体" w:cs="宋体"/>
                <w:bCs/>
                <w:szCs w:val="21"/>
              </w:rPr>
            </w:pPr>
            <w:r>
              <w:rPr>
                <w:rFonts w:ascii="宋体" w:hAnsi="宋体" w:cs="宋体" w:hint="eastAsia"/>
                <w:bCs/>
                <w:szCs w:val="21"/>
              </w:rPr>
              <w:t>17.6</w:t>
            </w:r>
          </w:p>
        </w:tc>
        <w:tc>
          <w:tcPr>
            <w:tcW w:w="1566" w:type="dxa"/>
            <w:shd w:val="clear" w:color="auto" w:fill="FFFFFF"/>
            <w:vAlign w:val="center"/>
          </w:tcPr>
          <w:p w:rsidR="00AC5D63" w:rsidRDefault="00AC5D63" w:rsidP="00AB546E">
            <w:pPr>
              <w:adjustRightInd w:val="0"/>
              <w:snapToGrid w:val="0"/>
              <w:jc w:val="center"/>
              <w:rPr>
                <w:rFonts w:ascii="宋体" w:hAnsi="宋体" w:cs="宋体"/>
                <w:bCs/>
                <w:szCs w:val="21"/>
              </w:rPr>
            </w:pPr>
            <w:r>
              <w:rPr>
                <w:rFonts w:ascii="宋体" w:hAnsi="宋体" w:cs="宋体" w:hint="eastAsia"/>
                <w:bCs/>
                <w:szCs w:val="21"/>
              </w:rPr>
              <w:t>88.0%</w:t>
            </w:r>
          </w:p>
        </w:tc>
      </w:tr>
      <w:tr w:rsidR="00AC5D63" w:rsidTr="00AB546E">
        <w:trPr>
          <w:cantSplit/>
          <w:trHeight w:val="530"/>
          <w:jc w:val="center"/>
        </w:trPr>
        <w:tc>
          <w:tcPr>
            <w:tcW w:w="2250" w:type="dxa"/>
            <w:shd w:val="clear" w:color="auto" w:fill="FFFFFF"/>
            <w:vAlign w:val="center"/>
          </w:tcPr>
          <w:p w:rsidR="00AC5D63" w:rsidRDefault="00AC5D63" w:rsidP="00AB546E">
            <w:pPr>
              <w:adjustRightInd w:val="0"/>
              <w:snapToGrid w:val="0"/>
              <w:spacing w:before="120" w:after="60" w:line="300" w:lineRule="auto"/>
              <w:jc w:val="center"/>
              <w:rPr>
                <w:rFonts w:ascii="宋体" w:hAnsi="宋体" w:cs="宋体"/>
                <w:b/>
                <w:szCs w:val="21"/>
              </w:rPr>
            </w:pPr>
            <w:r>
              <w:rPr>
                <w:rFonts w:ascii="宋体" w:hAnsi="宋体" w:cs="宋体" w:hint="eastAsia"/>
                <w:b/>
                <w:szCs w:val="21"/>
              </w:rPr>
              <w:t>综合得分</w:t>
            </w:r>
          </w:p>
        </w:tc>
        <w:tc>
          <w:tcPr>
            <w:tcW w:w="1800" w:type="dxa"/>
            <w:shd w:val="clear" w:color="auto" w:fill="FFFFFF"/>
            <w:vAlign w:val="center"/>
          </w:tcPr>
          <w:p w:rsidR="00AC5D63" w:rsidRDefault="00AC5D63" w:rsidP="00AB546E">
            <w:pPr>
              <w:adjustRightInd w:val="0"/>
              <w:snapToGrid w:val="0"/>
              <w:jc w:val="center"/>
              <w:rPr>
                <w:rFonts w:ascii="宋体" w:hAnsi="宋体" w:cs="宋体"/>
                <w:b/>
                <w:szCs w:val="21"/>
              </w:rPr>
            </w:pPr>
            <w:r>
              <w:rPr>
                <w:rFonts w:ascii="宋体" w:hAnsi="宋体" w:cs="宋体" w:hint="eastAsia"/>
                <w:b/>
                <w:szCs w:val="21"/>
              </w:rPr>
              <w:t>100.00</w:t>
            </w:r>
          </w:p>
        </w:tc>
        <w:tc>
          <w:tcPr>
            <w:tcW w:w="1566" w:type="dxa"/>
            <w:shd w:val="clear" w:color="auto" w:fill="FFFFFF"/>
            <w:vAlign w:val="center"/>
          </w:tcPr>
          <w:p w:rsidR="00AC5D63" w:rsidRDefault="00AC5D63" w:rsidP="00AB546E">
            <w:pPr>
              <w:adjustRightInd w:val="0"/>
              <w:snapToGrid w:val="0"/>
              <w:jc w:val="center"/>
              <w:rPr>
                <w:rFonts w:ascii="宋体" w:hAnsi="宋体" w:cs="宋体"/>
                <w:b/>
                <w:szCs w:val="21"/>
              </w:rPr>
            </w:pPr>
            <w:r>
              <w:rPr>
                <w:rFonts w:ascii="宋体" w:hAnsi="宋体" w:cs="宋体" w:hint="eastAsia"/>
                <w:b/>
                <w:szCs w:val="21"/>
              </w:rPr>
              <w:t>93.1</w:t>
            </w:r>
          </w:p>
        </w:tc>
        <w:tc>
          <w:tcPr>
            <w:tcW w:w="1566" w:type="dxa"/>
            <w:shd w:val="clear" w:color="auto" w:fill="FFFFFF"/>
            <w:vAlign w:val="center"/>
          </w:tcPr>
          <w:p w:rsidR="00AC5D63" w:rsidRDefault="00AC5D63" w:rsidP="00AB546E">
            <w:pPr>
              <w:adjustRightInd w:val="0"/>
              <w:snapToGrid w:val="0"/>
              <w:jc w:val="center"/>
              <w:rPr>
                <w:rFonts w:ascii="宋体" w:hAnsi="宋体" w:cs="宋体"/>
                <w:bCs/>
                <w:szCs w:val="21"/>
              </w:rPr>
            </w:pPr>
            <w:r>
              <w:rPr>
                <w:rFonts w:ascii="宋体" w:hAnsi="宋体" w:cs="宋体" w:hint="eastAsia"/>
                <w:bCs/>
                <w:szCs w:val="21"/>
              </w:rPr>
              <w:t>93.1%</w:t>
            </w:r>
          </w:p>
        </w:tc>
      </w:tr>
      <w:tr w:rsidR="00AC5D63" w:rsidTr="00AB546E">
        <w:trPr>
          <w:cantSplit/>
          <w:trHeight w:val="492"/>
          <w:jc w:val="center"/>
        </w:trPr>
        <w:tc>
          <w:tcPr>
            <w:tcW w:w="2250" w:type="dxa"/>
            <w:shd w:val="clear" w:color="auto" w:fill="FFFFFF"/>
            <w:vAlign w:val="center"/>
          </w:tcPr>
          <w:p w:rsidR="00AC5D63" w:rsidRDefault="00AC5D63" w:rsidP="00AB546E">
            <w:pPr>
              <w:adjustRightInd w:val="0"/>
              <w:snapToGrid w:val="0"/>
              <w:spacing w:before="120" w:after="60" w:line="300" w:lineRule="auto"/>
              <w:jc w:val="center"/>
              <w:rPr>
                <w:rFonts w:ascii="宋体" w:hAnsi="宋体" w:cs="宋体"/>
                <w:b/>
                <w:szCs w:val="21"/>
              </w:rPr>
            </w:pPr>
            <w:r>
              <w:rPr>
                <w:rFonts w:ascii="宋体" w:hAnsi="宋体" w:cs="宋体" w:hint="eastAsia"/>
                <w:b/>
                <w:szCs w:val="21"/>
              </w:rPr>
              <w:t>绩效评定级别</w:t>
            </w:r>
          </w:p>
        </w:tc>
        <w:tc>
          <w:tcPr>
            <w:tcW w:w="4932" w:type="dxa"/>
            <w:gridSpan w:val="3"/>
            <w:shd w:val="clear" w:color="auto" w:fill="FFFFFF"/>
            <w:vAlign w:val="center"/>
          </w:tcPr>
          <w:p w:rsidR="00AC5D63" w:rsidRDefault="00AC5D63" w:rsidP="00AB546E">
            <w:pPr>
              <w:adjustRightInd w:val="0"/>
              <w:snapToGrid w:val="0"/>
              <w:jc w:val="center"/>
              <w:rPr>
                <w:rFonts w:ascii="宋体" w:hAnsi="宋体" w:cs="宋体"/>
                <w:b/>
                <w:szCs w:val="21"/>
              </w:rPr>
            </w:pPr>
            <w:r>
              <w:rPr>
                <w:rFonts w:ascii="宋体" w:hAnsi="宋体" w:cs="宋体" w:hint="eastAsia"/>
                <w:b/>
                <w:szCs w:val="21"/>
              </w:rPr>
              <w:t>优</w:t>
            </w:r>
          </w:p>
        </w:tc>
      </w:tr>
    </w:tbl>
    <w:p w:rsidR="00AC5D63" w:rsidRDefault="00AC5D63" w:rsidP="00AC5D63">
      <w:pPr>
        <w:spacing w:line="360" w:lineRule="auto"/>
        <w:ind w:leftChars="50" w:left="105" w:firstLineChars="150" w:firstLine="482"/>
        <w:outlineLvl w:val="1"/>
        <w:rPr>
          <w:rFonts w:ascii="楷体_GB2312" w:eastAsia="楷体_GB2312"/>
          <w:b/>
          <w:bCs/>
          <w:sz w:val="32"/>
          <w:szCs w:val="32"/>
        </w:rPr>
      </w:pPr>
      <w:bookmarkStart w:id="15" w:name="_Toc29937"/>
      <w:r>
        <w:rPr>
          <w:rFonts w:ascii="楷体_GB2312" w:eastAsia="楷体_GB2312" w:hint="eastAsia"/>
          <w:b/>
          <w:bCs/>
          <w:sz w:val="32"/>
          <w:szCs w:val="32"/>
        </w:rPr>
        <w:t>（二）存在的问题及原因分析</w:t>
      </w:r>
      <w:bookmarkEnd w:id="15"/>
    </w:p>
    <w:p w:rsidR="00AC5D63" w:rsidRDefault="00AC5D63" w:rsidP="00AC5D63">
      <w:pPr>
        <w:spacing w:line="360" w:lineRule="auto"/>
        <w:ind w:firstLineChars="200" w:firstLine="643"/>
        <w:rPr>
          <w:rFonts w:ascii="仿宋_GB2312" w:eastAsia="仿宋_GB2312" w:hAnsi="宋体" w:cs="仿宋_GB2312"/>
          <w:color w:val="0000FF"/>
          <w:sz w:val="32"/>
          <w:szCs w:val="32"/>
        </w:rPr>
      </w:pPr>
      <w:r>
        <w:rPr>
          <w:rFonts w:ascii="仿宋_GB2312" w:eastAsia="仿宋_GB2312" w:hAnsi="宋体" w:cs="仿宋_GB2312" w:hint="eastAsia"/>
          <w:b/>
          <w:bCs/>
          <w:sz w:val="32"/>
          <w:szCs w:val="32"/>
        </w:rPr>
        <w:t>1.绩效管理意识有待深化，部门整体绩效目标精细化水平需进一步提高。</w:t>
      </w:r>
      <w:proofErr w:type="gramStart"/>
      <w:r>
        <w:rPr>
          <w:rFonts w:ascii="仿宋_GB2312" w:eastAsia="仿宋_GB2312" w:hAnsi="宋体" w:cs="仿宋_GB2312" w:hint="eastAsia"/>
          <w:sz w:val="32"/>
          <w:szCs w:val="32"/>
        </w:rPr>
        <w:t>市体彩中心</w:t>
      </w:r>
      <w:proofErr w:type="gramEnd"/>
      <w:r>
        <w:rPr>
          <w:rFonts w:ascii="仿宋_GB2312" w:eastAsia="仿宋_GB2312" w:hAnsi="宋体" w:cs="仿宋_GB2312" w:hint="eastAsia"/>
          <w:sz w:val="32"/>
          <w:szCs w:val="32"/>
        </w:rPr>
        <w:t>根据总局中心、市体育局和市财政局工作要求，聚焦重点任务，提炼总结部门整体绩效目标和衡量部门履职效能的关键核心绩效指标，产出及效果指标设定较为合理，但部门整体绩效目标申报表中选取的指标不够全面，未能全面覆盖部门重点项目、重要支出，如体育彩票系统运行维护类指标数量较少，不利于履职绩效的有效监控和整体评价。</w:t>
      </w:r>
    </w:p>
    <w:p w:rsidR="00AC5D63" w:rsidRDefault="00AC5D63" w:rsidP="00AC5D63">
      <w:pPr>
        <w:spacing w:line="360" w:lineRule="auto"/>
        <w:ind w:firstLineChars="200" w:firstLine="643"/>
        <w:rPr>
          <w:rFonts w:ascii="仿宋_GB2312" w:eastAsia="仿宋_GB2312" w:hAnsi="宋体" w:cs="仿宋_GB2312"/>
          <w:sz w:val="32"/>
          <w:szCs w:val="32"/>
        </w:rPr>
      </w:pPr>
      <w:bookmarkStart w:id="16" w:name="_Toc44969977"/>
      <w:r>
        <w:rPr>
          <w:rFonts w:ascii="仿宋_GB2312" w:eastAsia="仿宋_GB2312" w:hAnsi="宋体" w:cs="仿宋_GB2312" w:hint="eastAsia"/>
          <w:b/>
          <w:bCs/>
          <w:sz w:val="32"/>
          <w:szCs w:val="32"/>
        </w:rPr>
        <w:t>2.</w:t>
      </w:r>
      <w:bookmarkEnd w:id="16"/>
      <w:r>
        <w:rPr>
          <w:rFonts w:ascii="仿宋_GB2312" w:eastAsia="仿宋_GB2312" w:hAnsi="宋体" w:cs="仿宋_GB2312" w:hint="eastAsia"/>
          <w:b/>
          <w:bCs/>
          <w:sz w:val="32"/>
          <w:szCs w:val="32"/>
        </w:rPr>
        <w:t>个别子项目未按计划完成，项目执行进度需进一步提升。</w:t>
      </w:r>
      <w:proofErr w:type="gramStart"/>
      <w:r>
        <w:rPr>
          <w:rFonts w:ascii="仿宋_GB2312" w:eastAsia="仿宋_GB2312" w:hAnsi="宋体" w:cs="仿宋_GB2312" w:hint="eastAsia"/>
          <w:sz w:val="32"/>
          <w:szCs w:val="32"/>
        </w:rPr>
        <w:t>市体彩中心</w:t>
      </w:r>
      <w:proofErr w:type="gramEnd"/>
      <w:r>
        <w:rPr>
          <w:rFonts w:ascii="仿宋_GB2312" w:eastAsia="仿宋_GB2312" w:hAnsi="宋体" w:cs="仿宋_GB2312" w:hint="eastAsia"/>
          <w:sz w:val="32"/>
          <w:szCs w:val="32"/>
        </w:rPr>
        <w:t>已</w:t>
      </w:r>
      <w:r>
        <w:rPr>
          <w:rFonts w:ascii="仿宋_GB2312" w:eastAsia="仿宋_GB2312" w:hAnsi="仿宋_GB2312" w:cs="仿宋_GB2312" w:hint="eastAsia"/>
          <w:bCs/>
          <w:kern w:val="0"/>
          <w:sz w:val="32"/>
          <w:szCs w:val="32"/>
          <w:lang w:bidi="ar"/>
        </w:rPr>
        <w:t>基本完成年初制定的各项重点工作任务，但部分项目中的个别子项目未能按计划完成。</w:t>
      </w:r>
      <w:r>
        <w:rPr>
          <w:rFonts w:ascii="仿宋_GB2312" w:eastAsia="仿宋_GB2312" w:hAnsi="仿宋_GB2312" w:cs="仿宋_GB2312" w:hint="eastAsia"/>
          <w:b/>
          <w:kern w:val="0"/>
          <w:sz w:val="32"/>
          <w:szCs w:val="32"/>
          <w:lang w:bidi="ar"/>
        </w:rPr>
        <w:t>一是</w:t>
      </w:r>
      <w:r>
        <w:rPr>
          <w:rFonts w:ascii="仿宋_GB2312" w:eastAsia="仿宋_GB2312" w:hAnsi="仿宋_GB2312" w:cs="仿宋_GB2312" w:hint="eastAsia"/>
          <w:bCs/>
          <w:kern w:val="0"/>
          <w:sz w:val="32"/>
          <w:szCs w:val="32"/>
          <w:lang w:bidi="ar"/>
        </w:rPr>
        <w:t>专用设备</w:t>
      </w:r>
      <w:r>
        <w:rPr>
          <w:rFonts w:ascii="仿宋_GB2312" w:eastAsia="仿宋_GB2312" w:hAnsi="仿宋_GB2312" w:cs="仿宋_GB2312" w:hint="eastAsia"/>
          <w:bCs/>
          <w:kern w:val="0"/>
          <w:sz w:val="32"/>
          <w:szCs w:val="32"/>
          <w:lang w:bidi="ar"/>
        </w:rPr>
        <w:lastRenderedPageBreak/>
        <w:t>及材料购置类项目原计划采购设备51台套、1600米电缆，因受2023年未开展办公楼搬迁等工作影响，未采购视频监控管理平台，实际购置设备49台套、电缆1600米，专用设备购置数量综合完成率为95.24%。</w:t>
      </w:r>
      <w:r>
        <w:rPr>
          <w:rFonts w:ascii="仿宋_GB2312" w:eastAsia="仿宋_GB2312" w:hAnsi="仿宋_GB2312" w:cs="仿宋_GB2312" w:hint="eastAsia"/>
          <w:b/>
          <w:kern w:val="0"/>
          <w:sz w:val="32"/>
          <w:szCs w:val="32"/>
          <w:lang w:bidi="ar"/>
        </w:rPr>
        <w:t>二是</w:t>
      </w:r>
      <w:r>
        <w:rPr>
          <w:rFonts w:ascii="仿宋_GB2312" w:eastAsia="仿宋_GB2312" w:hint="eastAsia"/>
          <w:sz w:val="32"/>
          <w:szCs w:val="32"/>
        </w:rPr>
        <w:t>彩票市场调控资金项目原计划开展公益体彩百姓身边活动及</w:t>
      </w:r>
      <w:proofErr w:type="gramStart"/>
      <w:r>
        <w:rPr>
          <w:rFonts w:ascii="仿宋_GB2312" w:eastAsia="仿宋_GB2312" w:hint="eastAsia"/>
          <w:sz w:val="32"/>
          <w:szCs w:val="32"/>
        </w:rPr>
        <w:t>体彩进社区</w:t>
      </w:r>
      <w:proofErr w:type="gramEnd"/>
      <w:r>
        <w:rPr>
          <w:rFonts w:ascii="仿宋_GB2312" w:eastAsia="仿宋_GB2312" w:hint="eastAsia"/>
          <w:sz w:val="32"/>
          <w:szCs w:val="32"/>
        </w:rPr>
        <w:t>活动，因上述两项活动任务期为2年，调整至2024年实施</w:t>
      </w:r>
      <w:r>
        <w:rPr>
          <w:rFonts w:ascii="仿宋_GB2312" w:eastAsia="仿宋_GB2312" w:hAnsi="宋体" w:cs="宋体" w:hint="eastAsia"/>
          <w:kern w:val="0"/>
          <w:sz w:val="32"/>
          <w:szCs w:val="32"/>
        </w:rPr>
        <w:t>。</w:t>
      </w:r>
    </w:p>
    <w:p w:rsidR="00AC5D63" w:rsidRDefault="00AC5D63" w:rsidP="00AC5D63">
      <w:pPr>
        <w:spacing w:line="360" w:lineRule="auto"/>
        <w:ind w:firstLineChars="200" w:firstLine="643"/>
        <w:rPr>
          <w:rFonts w:ascii="仿宋_GB2312" w:eastAsia="仿宋_GB2312" w:hAnsi="仿宋_GB2312" w:cs="仿宋_GB2312"/>
          <w:color w:val="000000"/>
          <w:sz w:val="32"/>
          <w:szCs w:val="32"/>
          <w:highlight w:val="yellow"/>
        </w:rPr>
      </w:pPr>
      <w:r>
        <w:rPr>
          <w:rFonts w:ascii="仿宋_GB2312" w:eastAsia="仿宋_GB2312" w:hAnsi="宋体" w:cs="仿宋_GB2312" w:hint="eastAsia"/>
          <w:b/>
          <w:bCs/>
          <w:sz w:val="32"/>
          <w:szCs w:val="32"/>
        </w:rPr>
        <w:t>3.项目统筹管理机制不够健全，部门管理需要进一步完善</w:t>
      </w:r>
      <w:r>
        <w:rPr>
          <w:rFonts w:ascii="仿宋_GB2312" w:eastAsia="仿宋_GB2312" w:hAnsi="宋体" w:cs="仿宋_GB2312" w:hint="eastAsia"/>
          <w:sz w:val="32"/>
          <w:szCs w:val="32"/>
        </w:rPr>
        <w:t>。</w:t>
      </w:r>
      <w:proofErr w:type="gramStart"/>
      <w:r>
        <w:rPr>
          <w:rFonts w:ascii="仿宋_GB2312" w:eastAsia="仿宋_GB2312" w:hAnsi="宋体" w:cs="仿宋_GB2312" w:hint="eastAsia"/>
          <w:sz w:val="32"/>
          <w:szCs w:val="32"/>
        </w:rPr>
        <w:t>市体彩中心</w:t>
      </w:r>
      <w:proofErr w:type="gramEnd"/>
      <w:r>
        <w:rPr>
          <w:rFonts w:ascii="仿宋_GB2312" w:eastAsia="仿宋_GB2312" w:hAnsi="宋体" w:cs="仿宋_GB2312" w:hint="eastAsia"/>
          <w:sz w:val="32"/>
          <w:szCs w:val="32"/>
        </w:rPr>
        <w:t>管理制度较为健全，资金使用合</w:t>
      </w:r>
      <w:proofErr w:type="gramStart"/>
      <w:r>
        <w:rPr>
          <w:rFonts w:ascii="仿宋_GB2312" w:eastAsia="仿宋_GB2312" w:hAnsi="宋体" w:cs="仿宋_GB2312" w:hint="eastAsia"/>
          <w:sz w:val="32"/>
          <w:szCs w:val="32"/>
        </w:rPr>
        <w:t>规</w:t>
      </w:r>
      <w:proofErr w:type="gramEnd"/>
      <w:r>
        <w:rPr>
          <w:rFonts w:ascii="仿宋_GB2312" w:eastAsia="仿宋_GB2312" w:hAnsi="宋体" w:cs="仿宋_GB2312" w:hint="eastAsia"/>
          <w:sz w:val="32"/>
          <w:szCs w:val="32"/>
        </w:rPr>
        <w:t>，符合相关的预算财务管理制度的规定和开支范围，基础数据信息和会计信息资料真实、准确，但存在项目统筹管理机制不够健全等情况。</w:t>
      </w:r>
      <w:proofErr w:type="gramStart"/>
      <w:r>
        <w:rPr>
          <w:rFonts w:ascii="仿宋_GB2312" w:eastAsia="仿宋_GB2312" w:hAnsi="宋体" w:cs="仿宋_GB2312" w:hint="eastAsia"/>
          <w:sz w:val="32"/>
          <w:szCs w:val="32"/>
        </w:rPr>
        <w:t>市体彩中心</w:t>
      </w:r>
      <w:proofErr w:type="gramEnd"/>
      <w:r>
        <w:rPr>
          <w:rFonts w:ascii="仿宋_GB2312" w:eastAsia="仿宋_GB2312" w:hAnsi="宋体" w:cs="仿宋_GB2312" w:hint="eastAsia"/>
          <w:sz w:val="32"/>
          <w:szCs w:val="32"/>
        </w:rPr>
        <w:t>根据财政部门要求在申报预算时，将单位内各业务部门同类需求进行整合汇总，设置体育彩票市场管理类、市场营销类、系统</w:t>
      </w:r>
      <w:proofErr w:type="gramStart"/>
      <w:r>
        <w:rPr>
          <w:rFonts w:ascii="仿宋_GB2312" w:eastAsia="仿宋_GB2312" w:hAnsi="宋体" w:cs="仿宋_GB2312" w:hint="eastAsia"/>
          <w:sz w:val="32"/>
          <w:szCs w:val="32"/>
        </w:rPr>
        <w:t>运维类等</w:t>
      </w:r>
      <w:proofErr w:type="gramEnd"/>
      <w:r>
        <w:rPr>
          <w:rFonts w:ascii="仿宋_GB2312" w:eastAsia="仿宋_GB2312" w:hAnsi="宋体" w:cs="仿宋_GB2312" w:hint="eastAsia"/>
          <w:sz w:val="32"/>
          <w:szCs w:val="32"/>
        </w:rPr>
        <w:t>项目，项目下由</w:t>
      </w:r>
      <w:proofErr w:type="gramStart"/>
      <w:r>
        <w:rPr>
          <w:rFonts w:ascii="仿宋_GB2312" w:eastAsia="仿宋_GB2312" w:hAnsi="宋体" w:cs="仿宋_GB2312" w:hint="eastAsia"/>
          <w:sz w:val="32"/>
          <w:szCs w:val="32"/>
        </w:rPr>
        <w:t>各需求</w:t>
      </w:r>
      <w:proofErr w:type="gramEnd"/>
      <w:r>
        <w:rPr>
          <w:rFonts w:ascii="仿宋_GB2312" w:eastAsia="仿宋_GB2312" w:hAnsi="宋体" w:cs="仿宋_GB2312" w:hint="eastAsia"/>
          <w:sz w:val="32"/>
          <w:szCs w:val="32"/>
        </w:rPr>
        <w:t>业务部门申报子项目。目前项目管理机制下，各子</w:t>
      </w:r>
      <w:r>
        <w:rPr>
          <w:rFonts w:ascii="仿宋_GB2312" w:eastAsia="仿宋_GB2312" w:hAnsi="仿宋" w:cs="仿宋" w:hint="eastAsia"/>
          <w:sz w:val="32"/>
          <w:szCs w:val="32"/>
        </w:rPr>
        <w:t>项目作为一个整体进行申报，由各业务部门分散开展，缺乏整体实施方案，可能存在各部门间信息交流不畅、工作进度不同步、质量标准不统一等问题，不便于对项目工作执行进度、项目资金执行进度进行定期评估，不便于及时对不符合预期目标的工作进行及时纠偏</w:t>
      </w:r>
      <w:r>
        <w:rPr>
          <w:rFonts w:ascii="仿宋_GB2312" w:eastAsia="仿宋_GB2312" w:hAnsi="宋体" w:cs="仿宋_GB2312" w:hint="eastAsia"/>
          <w:sz w:val="32"/>
          <w:szCs w:val="32"/>
        </w:rPr>
        <w:t>。</w:t>
      </w:r>
    </w:p>
    <w:p w:rsidR="00AC5D63" w:rsidRDefault="00AC5D63" w:rsidP="00AC5D63">
      <w:pPr>
        <w:shd w:val="clear" w:color="auto" w:fill="FFFFFF" w:themeFill="background1"/>
        <w:spacing w:line="360" w:lineRule="auto"/>
        <w:ind w:firstLineChars="200" w:firstLine="643"/>
        <w:rPr>
          <w:rFonts w:ascii="仿宋_GB2312" w:eastAsia="仿宋_GB2312" w:hAnsi="仿宋_GB2312" w:cs="仿宋_GB2312"/>
          <w:color w:val="000000"/>
          <w:sz w:val="32"/>
          <w:szCs w:val="32"/>
        </w:rPr>
      </w:pPr>
      <w:r>
        <w:rPr>
          <w:rFonts w:ascii="仿宋_GB2312" w:eastAsia="仿宋_GB2312" w:hAnsi="仿宋_GB2312" w:cs="仿宋_GB2312" w:hint="eastAsia"/>
          <w:b/>
          <w:bCs/>
          <w:color w:val="000000"/>
          <w:sz w:val="32"/>
          <w:szCs w:val="32"/>
        </w:rPr>
        <w:t>4.实体店管理效能有待提高</w:t>
      </w:r>
      <w:r>
        <w:rPr>
          <w:rFonts w:ascii="仿宋_GB2312" w:eastAsia="仿宋_GB2312" w:hAnsi="仿宋_GB2312" w:cs="仿宋_GB2312" w:hint="eastAsia"/>
          <w:color w:val="000000"/>
          <w:sz w:val="32"/>
          <w:szCs w:val="32"/>
        </w:rPr>
        <w:t>。通过分析2023年</w:t>
      </w:r>
      <w:proofErr w:type="gramStart"/>
      <w:r>
        <w:rPr>
          <w:rFonts w:ascii="仿宋_GB2312" w:eastAsia="仿宋_GB2312" w:hAnsi="仿宋_GB2312" w:cs="仿宋_GB2312" w:hint="eastAsia"/>
          <w:color w:val="000000"/>
          <w:sz w:val="32"/>
          <w:szCs w:val="32"/>
        </w:rPr>
        <w:t>市体彩中心</w:t>
      </w:r>
      <w:proofErr w:type="gramEnd"/>
      <w:r>
        <w:rPr>
          <w:rFonts w:ascii="仿宋_GB2312" w:eastAsia="仿宋_GB2312" w:hAnsi="仿宋_GB2312" w:cs="仿宋_GB2312" w:hint="eastAsia"/>
          <w:color w:val="000000"/>
          <w:sz w:val="32"/>
          <w:szCs w:val="32"/>
        </w:rPr>
        <w:t>对实体店和代销者管理现状，目前体育彩票销售及管理</w:t>
      </w:r>
      <w:r>
        <w:rPr>
          <w:rFonts w:ascii="仿宋_GB2312" w:eastAsia="仿宋_GB2312" w:hAnsi="仿宋_GB2312" w:cs="仿宋_GB2312" w:hint="eastAsia"/>
          <w:color w:val="000000"/>
          <w:sz w:val="32"/>
          <w:szCs w:val="32"/>
        </w:rPr>
        <w:lastRenderedPageBreak/>
        <w:t>中存在以下情况，</w:t>
      </w:r>
      <w:r>
        <w:rPr>
          <w:rFonts w:ascii="仿宋_GB2312" w:eastAsia="仿宋_GB2312" w:hAnsi="仿宋_GB2312" w:cs="仿宋_GB2312" w:hint="eastAsia"/>
          <w:b/>
          <w:bCs/>
          <w:color w:val="000000"/>
          <w:sz w:val="32"/>
          <w:szCs w:val="32"/>
        </w:rPr>
        <w:t>一是</w:t>
      </w:r>
      <w:r>
        <w:rPr>
          <w:rFonts w:ascii="仿宋_GB2312" w:eastAsia="仿宋_GB2312" w:hAnsi="仿宋_GB2312" w:cs="仿宋_GB2312" w:hint="eastAsia"/>
          <w:color w:val="000000"/>
          <w:sz w:val="32"/>
          <w:szCs w:val="32"/>
        </w:rPr>
        <w:t>对实体店管理服务需增加外部第三方监管。目前实体店管理项目服务内容较多，且全市彩票销售实体店数量与日俱增，目前中心受限于人力物力不足，对实体店管理的监督手段仅限内部考核，缺少外部监督，考核手段单一；</w:t>
      </w:r>
      <w:r>
        <w:rPr>
          <w:rFonts w:ascii="仿宋_GB2312" w:eastAsia="仿宋_GB2312" w:hAnsi="仿宋_GB2312" w:cs="仿宋_GB2312" w:hint="eastAsia"/>
          <w:b/>
          <w:bCs/>
          <w:color w:val="000000"/>
          <w:sz w:val="32"/>
          <w:szCs w:val="32"/>
        </w:rPr>
        <w:t>二是</w:t>
      </w:r>
      <w:r>
        <w:rPr>
          <w:rFonts w:ascii="仿宋_GB2312" w:eastAsia="仿宋_GB2312" w:hAnsi="仿宋_GB2312" w:cs="仿宋_GB2312" w:hint="eastAsia"/>
          <w:color w:val="000000"/>
          <w:sz w:val="32"/>
          <w:szCs w:val="32"/>
        </w:rPr>
        <w:t>目前在日常运营中即开票、打印纸、宣传资料等由专管员进行配送，专管员在实体店管理中承担任务较多，较之专业物流、供应</w:t>
      </w:r>
      <w:proofErr w:type="gramStart"/>
      <w:r>
        <w:rPr>
          <w:rFonts w:ascii="仿宋_GB2312" w:eastAsia="仿宋_GB2312" w:hAnsi="仿宋_GB2312" w:cs="仿宋_GB2312" w:hint="eastAsia"/>
          <w:color w:val="000000"/>
          <w:sz w:val="32"/>
          <w:szCs w:val="32"/>
        </w:rPr>
        <w:t>链公司</w:t>
      </w:r>
      <w:proofErr w:type="gramEnd"/>
      <w:r>
        <w:rPr>
          <w:rFonts w:ascii="仿宋_GB2312" w:eastAsia="仿宋_GB2312" w:hAnsi="仿宋_GB2312" w:cs="仿宋_GB2312" w:hint="eastAsia"/>
          <w:color w:val="000000"/>
          <w:sz w:val="32"/>
          <w:szCs w:val="32"/>
        </w:rPr>
        <w:t>在配送即开票、打印纸、宣传物料的效率方面优势不足；</w:t>
      </w:r>
      <w:r>
        <w:rPr>
          <w:rFonts w:ascii="仿宋_GB2312" w:eastAsia="仿宋_GB2312" w:hAnsi="仿宋_GB2312" w:cs="仿宋_GB2312" w:hint="eastAsia"/>
          <w:b/>
          <w:bCs/>
          <w:color w:val="000000"/>
          <w:sz w:val="32"/>
          <w:szCs w:val="32"/>
        </w:rPr>
        <w:t>三是</w:t>
      </w:r>
      <w:r>
        <w:rPr>
          <w:rFonts w:ascii="仿宋_GB2312" w:eastAsia="仿宋_GB2312" w:hAnsi="仿宋_GB2312" w:cs="仿宋_GB2312" w:hint="eastAsia"/>
          <w:color w:val="000000"/>
          <w:sz w:val="32"/>
          <w:szCs w:val="32"/>
        </w:rPr>
        <w:t>非现场监管技术手段需进一步升级，目前中心在实体店管理智能化、可视化监管手段不足，对实体店的日常性监督主要采用现场到店检查的方式，耗费大量人力物力，监管效能有待提升，监管资源配置有待优化。</w:t>
      </w:r>
    </w:p>
    <w:p w:rsidR="00AC5D63" w:rsidRDefault="00AC5D63" w:rsidP="00AC5D63">
      <w:pPr>
        <w:shd w:val="clear" w:color="auto" w:fill="FFFFFF" w:themeFill="background1"/>
        <w:spacing w:line="360" w:lineRule="auto"/>
        <w:ind w:firstLineChars="200" w:firstLine="643"/>
        <w:rPr>
          <w:rFonts w:ascii="仿宋_GB2312" w:eastAsia="仿宋_GB2312" w:hAnsi="仿宋_GB2312" w:cs="仿宋_GB2312"/>
          <w:color w:val="000000"/>
          <w:sz w:val="32"/>
          <w:szCs w:val="32"/>
        </w:rPr>
      </w:pPr>
      <w:r>
        <w:rPr>
          <w:rFonts w:ascii="仿宋_GB2312" w:eastAsia="仿宋_GB2312" w:hAnsi="仿宋_GB2312" w:cs="仿宋_GB2312" w:hint="eastAsia"/>
          <w:b/>
          <w:bCs/>
          <w:color w:val="000000"/>
          <w:sz w:val="32"/>
          <w:szCs w:val="32"/>
        </w:rPr>
        <w:t>5.舆情监测措施不够完善健全</w:t>
      </w:r>
      <w:r>
        <w:rPr>
          <w:rFonts w:ascii="仿宋_GB2312" w:eastAsia="仿宋_GB2312" w:hAnsi="仿宋_GB2312" w:cs="仿宋_GB2312" w:hint="eastAsia"/>
          <w:color w:val="000000"/>
          <w:sz w:val="32"/>
          <w:szCs w:val="32"/>
        </w:rPr>
        <w:t>。体育彩票作为公众广泛参与的娱乐方式，相关的舆情信息对彩票管理机构、销售机构较为重要，负面舆情发现、处置不及时等将严重影响体育</w:t>
      </w:r>
      <w:proofErr w:type="gramStart"/>
      <w:r>
        <w:rPr>
          <w:rFonts w:ascii="仿宋_GB2312" w:eastAsia="仿宋_GB2312" w:hAnsi="仿宋_GB2312" w:cs="仿宋_GB2312" w:hint="eastAsia"/>
          <w:color w:val="000000"/>
          <w:sz w:val="32"/>
          <w:szCs w:val="32"/>
        </w:rPr>
        <w:t>彩票公益</w:t>
      </w:r>
      <w:proofErr w:type="gramEnd"/>
      <w:r>
        <w:rPr>
          <w:rFonts w:ascii="仿宋_GB2312" w:eastAsia="仿宋_GB2312" w:hAnsi="仿宋_GB2312" w:cs="仿宋_GB2312" w:hint="eastAsia"/>
          <w:color w:val="000000"/>
          <w:sz w:val="32"/>
          <w:szCs w:val="32"/>
        </w:rPr>
        <w:t>公信的形象，随着</w:t>
      </w:r>
      <w:r>
        <w:rPr>
          <w:rFonts w:ascii="仿宋_GB2312" w:eastAsia="仿宋_GB2312" w:hAnsi="仿宋_GB2312" w:cs="仿宋_GB2312"/>
          <w:color w:val="000000"/>
          <w:sz w:val="32"/>
          <w:szCs w:val="32"/>
        </w:rPr>
        <w:t>目前北京体彩市场</w:t>
      </w:r>
      <w:r>
        <w:rPr>
          <w:rFonts w:ascii="仿宋_GB2312" w:eastAsia="仿宋_GB2312" w:hAnsi="仿宋_GB2312" w:cs="仿宋_GB2312" w:hint="eastAsia"/>
          <w:color w:val="000000"/>
          <w:sz w:val="32"/>
          <w:szCs w:val="32"/>
        </w:rPr>
        <w:t>不断</w:t>
      </w:r>
      <w:r>
        <w:rPr>
          <w:rFonts w:ascii="仿宋_GB2312" w:eastAsia="仿宋_GB2312" w:hAnsi="仿宋_GB2312" w:cs="仿宋_GB2312"/>
          <w:color w:val="000000"/>
          <w:sz w:val="32"/>
          <w:szCs w:val="32"/>
        </w:rPr>
        <w:t>发展</w:t>
      </w:r>
      <w:r>
        <w:rPr>
          <w:rFonts w:ascii="仿宋_GB2312" w:eastAsia="仿宋_GB2312" w:hAnsi="仿宋_GB2312" w:cs="仿宋_GB2312" w:hint="eastAsia"/>
          <w:color w:val="000000"/>
          <w:sz w:val="32"/>
          <w:szCs w:val="32"/>
        </w:rPr>
        <w:t>，目前</w:t>
      </w:r>
      <w:proofErr w:type="gramStart"/>
      <w:r>
        <w:rPr>
          <w:rFonts w:ascii="仿宋_GB2312" w:eastAsia="仿宋_GB2312" w:hAnsi="仿宋_GB2312" w:cs="仿宋_GB2312" w:hint="eastAsia"/>
          <w:color w:val="000000"/>
          <w:sz w:val="32"/>
          <w:szCs w:val="32"/>
        </w:rPr>
        <w:t>市体彩中心</w:t>
      </w:r>
      <w:proofErr w:type="gramEnd"/>
      <w:r>
        <w:rPr>
          <w:rFonts w:ascii="仿宋_GB2312" w:eastAsia="仿宋_GB2312" w:hAnsi="仿宋_GB2312" w:cs="仿宋_GB2312" w:hint="eastAsia"/>
          <w:color w:val="000000"/>
          <w:sz w:val="32"/>
          <w:szCs w:val="32"/>
        </w:rPr>
        <w:t>舆情信息监测机制无法做到</w:t>
      </w:r>
      <w:r>
        <w:rPr>
          <w:rFonts w:ascii="仿宋_GB2312" w:eastAsia="仿宋_GB2312" w:hAnsi="仿宋_GB2312" w:cs="仿宋_GB2312"/>
          <w:color w:val="000000"/>
          <w:sz w:val="32"/>
          <w:szCs w:val="32"/>
        </w:rPr>
        <w:t>实时监控</w:t>
      </w:r>
      <w:r>
        <w:rPr>
          <w:rFonts w:ascii="仿宋_GB2312" w:eastAsia="仿宋_GB2312" w:hAnsi="仿宋_GB2312" w:cs="仿宋_GB2312" w:hint="eastAsia"/>
          <w:color w:val="000000"/>
          <w:sz w:val="32"/>
          <w:szCs w:val="32"/>
        </w:rPr>
        <w:t>，有待</w:t>
      </w:r>
      <w:r>
        <w:rPr>
          <w:rFonts w:ascii="仿宋_GB2312" w:eastAsia="仿宋_GB2312" w:hAnsi="仿宋_GB2312" w:cs="仿宋_GB2312"/>
          <w:color w:val="000000"/>
          <w:sz w:val="32"/>
          <w:szCs w:val="32"/>
        </w:rPr>
        <w:t>进一步</w:t>
      </w:r>
      <w:r>
        <w:rPr>
          <w:rFonts w:ascii="仿宋_GB2312" w:eastAsia="仿宋_GB2312" w:hAnsi="仿宋_GB2312" w:cs="仿宋_GB2312" w:hint="eastAsia"/>
          <w:color w:val="000000"/>
          <w:sz w:val="32"/>
          <w:szCs w:val="32"/>
        </w:rPr>
        <w:t>完善。</w:t>
      </w:r>
    </w:p>
    <w:p w:rsidR="00AC5D63" w:rsidRDefault="00AC5D63" w:rsidP="00AC5D63">
      <w:pPr>
        <w:spacing w:line="360" w:lineRule="auto"/>
        <w:ind w:firstLineChars="200" w:firstLine="640"/>
        <w:outlineLvl w:val="0"/>
        <w:rPr>
          <w:rFonts w:ascii="仿宋_GB2312" w:eastAsia="仿宋_GB2312" w:hAnsi="宋体" w:cs="宋体"/>
          <w:kern w:val="0"/>
          <w:sz w:val="32"/>
          <w:szCs w:val="32"/>
        </w:rPr>
      </w:pPr>
      <w:bookmarkStart w:id="17" w:name="_Toc27483"/>
      <w:r>
        <w:rPr>
          <w:rFonts w:ascii="黑体" w:eastAsia="黑体" w:hAnsi="黑体" w:cs="宋体" w:hint="eastAsia"/>
          <w:kern w:val="0"/>
          <w:sz w:val="32"/>
          <w:szCs w:val="32"/>
        </w:rPr>
        <w:t>六、措施建议</w:t>
      </w:r>
      <w:bookmarkEnd w:id="17"/>
    </w:p>
    <w:p w:rsidR="00AC5D63" w:rsidRDefault="00AC5D63" w:rsidP="00AC5D63">
      <w:pPr>
        <w:spacing w:line="360" w:lineRule="auto"/>
        <w:ind w:firstLineChars="200" w:firstLine="643"/>
        <w:rPr>
          <w:rFonts w:ascii="仿宋_GB2312" w:eastAsia="仿宋_GB2312" w:hAnsi="宋体" w:cs="仿宋_GB2312"/>
          <w:sz w:val="32"/>
          <w:szCs w:val="32"/>
        </w:rPr>
      </w:pPr>
      <w:bookmarkStart w:id="18" w:name="_Toc44969980"/>
      <w:r>
        <w:rPr>
          <w:rFonts w:ascii="仿宋_GB2312" w:eastAsia="仿宋_GB2312" w:hAnsi="宋体" w:cs="仿宋_GB2312" w:hint="eastAsia"/>
          <w:b/>
          <w:bCs/>
          <w:sz w:val="32"/>
          <w:szCs w:val="32"/>
        </w:rPr>
        <w:t>1.优化部门管理，提升部门预算绩效管理水平</w:t>
      </w:r>
      <w:bookmarkEnd w:id="18"/>
      <w:r>
        <w:rPr>
          <w:rFonts w:ascii="仿宋_GB2312" w:eastAsia="仿宋_GB2312" w:hAnsi="宋体" w:cs="仿宋_GB2312" w:hint="eastAsia"/>
          <w:b/>
          <w:bCs/>
          <w:sz w:val="32"/>
          <w:szCs w:val="32"/>
        </w:rPr>
        <w:t>。</w:t>
      </w:r>
      <w:r>
        <w:rPr>
          <w:rFonts w:ascii="仿宋_GB2312" w:eastAsia="仿宋_GB2312" w:hAnsi="宋体" w:cs="仿宋_GB2312" w:hint="eastAsia"/>
          <w:sz w:val="32"/>
          <w:szCs w:val="32"/>
        </w:rPr>
        <w:t>根据总局中心、市体育局和市财政局工作要求，以及体育彩票发展规划、年度工作计划以及预算申报情况，细化年度部门绩效</w:t>
      </w:r>
      <w:r>
        <w:rPr>
          <w:rFonts w:ascii="仿宋_GB2312" w:eastAsia="仿宋_GB2312" w:hAnsi="宋体" w:cs="仿宋_GB2312" w:hint="eastAsia"/>
          <w:sz w:val="32"/>
          <w:szCs w:val="32"/>
        </w:rPr>
        <w:lastRenderedPageBreak/>
        <w:t>目标申报表，全面反映部门重点工作任务，优化部门目标管理工作，保证绩效目标及指标科学、合理、完整、可评价。</w:t>
      </w:r>
    </w:p>
    <w:p w:rsidR="00AC5D63" w:rsidRDefault="00AC5D63" w:rsidP="00AC5D63">
      <w:pPr>
        <w:spacing w:line="360" w:lineRule="auto"/>
        <w:ind w:firstLineChars="200" w:firstLine="643"/>
        <w:rPr>
          <w:rFonts w:ascii="仿宋_GB2312" w:eastAsia="仿宋_GB2312" w:hAnsi="宋体" w:cs="仿宋_GB2312"/>
          <w:sz w:val="32"/>
          <w:szCs w:val="32"/>
        </w:rPr>
      </w:pPr>
      <w:r>
        <w:rPr>
          <w:rFonts w:ascii="仿宋_GB2312" w:eastAsia="仿宋_GB2312" w:hAnsi="宋体" w:cs="仿宋_GB2312" w:hint="eastAsia"/>
          <w:b/>
          <w:bCs/>
          <w:sz w:val="32"/>
          <w:szCs w:val="32"/>
        </w:rPr>
        <w:t>2.加快推动项目执行，实现资金投入效益。</w:t>
      </w:r>
      <w:r>
        <w:rPr>
          <w:rFonts w:ascii="仿宋_GB2312" w:eastAsia="仿宋_GB2312" w:hAnsi="宋体" w:cs="仿宋_GB2312" w:hint="eastAsia"/>
          <w:sz w:val="32"/>
          <w:szCs w:val="32"/>
        </w:rPr>
        <w:t>加快推进</w:t>
      </w:r>
      <w:r>
        <w:rPr>
          <w:rFonts w:ascii="仿宋_GB2312" w:eastAsia="仿宋_GB2312" w:hAnsi="仿宋_GB2312" w:cs="仿宋_GB2312" w:hint="eastAsia"/>
          <w:bCs/>
          <w:kern w:val="0"/>
          <w:sz w:val="32"/>
          <w:szCs w:val="32"/>
          <w:lang w:bidi="ar"/>
        </w:rPr>
        <w:t>专用设备购置以及</w:t>
      </w:r>
      <w:r>
        <w:rPr>
          <w:rFonts w:ascii="仿宋_GB2312" w:eastAsia="仿宋_GB2312" w:hint="eastAsia"/>
          <w:sz w:val="32"/>
          <w:szCs w:val="32"/>
        </w:rPr>
        <w:t>公益体彩百姓身边活动及</w:t>
      </w:r>
      <w:proofErr w:type="gramStart"/>
      <w:r>
        <w:rPr>
          <w:rFonts w:ascii="仿宋_GB2312" w:eastAsia="仿宋_GB2312" w:hint="eastAsia"/>
          <w:sz w:val="32"/>
          <w:szCs w:val="32"/>
        </w:rPr>
        <w:t>体彩进社区</w:t>
      </w:r>
      <w:proofErr w:type="gramEnd"/>
      <w:r>
        <w:rPr>
          <w:rFonts w:ascii="仿宋_GB2312" w:eastAsia="仿宋_GB2312" w:hint="eastAsia"/>
          <w:sz w:val="32"/>
          <w:szCs w:val="32"/>
        </w:rPr>
        <w:t>活动</w:t>
      </w:r>
      <w:r>
        <w:rPr>
          <w:rFonts w:ascii="仿宋_GB2312" w:eastAsia="仿宋_GB2312" w:hAnsi="宋体" w:cs="仿宋_GB2312" w:hint="eastAsia"/>
          <w:sz w:val="32"/>
          <w:szCs w:val="32"/>
        </w:rPr>
        <w:t>工作开展，</w:t>
      </w:r>
      <w:r>
        <w:rPr>
          <w:rFonts w:ascii="仿宋_GB2312" w:eastAsia="仿宋_GB2312" w:hAnsi="仿宋_GB2312" w:cs="仿宋_GB2312" w:hint="eastAsia"/>
          <w:color w:val="000000"/>
          <w:kern w:val="0"/>
          <w:sz w:val="32"/>
          <w:szCs w:val="32"/>
          <w:lang w:bidi="ar"/>
        </w:rPr>
        <w:t>借助基层社区的影响力，</w:t>
      </w:r>
      <w:r>
        <w:rPr>
          <w:rFonts w:ascii="仿宋_GB2312" w:eastAsia="仿宋_GB2312" w:hAnsi="仿宋_GB2312" w:cs="仿宋_GB2312" w:hint="eastAsia"/>
          <w:color w:val="000000"/>
          <w:kern w:val="0"/>
          <w:sz w:val="32"/>
          <w:szCs w:val="32"/>
        </w:rPr>
        <w:t>扩大宣传声量，传播体</w:t>
      </w:r>
      <w:proofErr w:type="gramStart"/>
      <w:r>
        <w:rPr>
          <w:rFonts w:ascii="仿宋_GB2312" w:eastAsia="仿宋_GB2312" w:hAnsi="仿宋_GB2312" w:cs="仿宋_GB2312" w:hint="eastAsia"/>
          <w:color w:val="000000"/>
          <w:kern w:val="0"/>
          <w:sz w:val="32"/>
          <w:szCs w:val="32"/>
        </w:rPr>
        <w:t>彩品牌</w:t>
      </w:r>
      <w:proofErr w:type="gramEnd"/>
      <w:r>
        <w:rPr>
          <w:rFonts w:ascii="仿宋_GB2312" w:eastAsia="仿宋_GB2312" w:hAnsi="仿宋_GB2312" w:cs="仿宋_GB2312" w:hint="eastAsia"/>
          <w:color w:val="000000"/>
          <w:kern w:val="0"/>
          <w:sz w:val="32"/>
          <w:szCs w:val="32"/>
        </w:rPr>
        <w:t>理念。</w:t>
      </w:r>
    </w:p>
    <w:p w:rsidR="00AC5D63" w:rsidRDefault="00AC5D63" w:rsidP="00AC5D63">
      <w:pPr>
        <w:spacing w:line="360" w:lineRule="auto"/>
        <w:ind w:firstLineChars="200" w:firstLine="643"/>
        <w:rPr>
          <w:rFonts w:ascii="仿宋_GB2312" w:eastAsia="仿宋_GB2312" w:hAnsi="Calibri"/>
          <w:bCs/>
          <w:sz w:val="32"/>
          <w:szCs w:val="32"/>
        </w:rPr>
      </w:pPr>
      <w:r>
        <w:rPr>
          <w:rFonts w:ascii="仿宋_GB2312" w:eastAsia="仿宋_GB2312" w:hAnsi="宋体" w:cs="仿宋_GB2312" w:hint="eastAsia"/>
          <w:b/>
          <w:bCs/>
          <w:sz w:val="32"/>
          <w:szCs w:val="32"/>
        </w:rPr>
        <w:t>3.建立项目统筹管理机制，提升财务管理精细化程度。</w:t>
      </w:r>
      <w:r>
        <w:rPr>
          <w:rFonts w:ascii="仿宋_GB2312" w:eastAsia="仿宋_GB2312" w:hAnsi="Calibri" w:hint="eastAsia"/>
          <w:bCs/>
          <w:sz w:val="32"/>
          <w:szCs w:val="32"/>
        </w:rPr>
        <w:t>建立“项目—子项目”管理机制，对多业务部门共同参与的项目，建立牵头管理机制，完善</w:t>
      </w:r>
      <w:proofErr w:type="gramStart"/>
      <w:r>
        <w:rPr>
          <w:rFonts w:ascii="仿宋_GB2312" w:eastAsia="仿宋_GB2312" w:hAnsi="Calibri" w:hint="eastAsia"/>
          <w:bCs/>
          <w:sz w:val="32"/>
          <w:szCs w:val="32"/>
        </w:rPr>
        <w:t>多级项目</w:t>
      </w:r>
      <w:proofErr w:type="gramEnd"/>
      <w:r>
        <w:rPr>
          <w:rFonts w:ascii="仿宋_GB2312" w:eastAsia="仿宋_GB2312" w:hAnsi="Calibri" w:hint="eastAsia"/>
          <w:bCs/>
          <w:sz w:val="32"/>
          <w:szCs w:val="32"/>
        </w:rPr>
        <w:t>申报、预算编制汇总管理机制，制定项目总体实施方案，明确项目总体及子项目间的职责分工、重要工作的时间节点和管理要求，畅通项目内部沟通协调方式，定期对子项目执行进度、资金支出进度进行评估和纠偏，保障项目按计划推进，实现预期效益效果。</w:t>
      </w:r>
    </w:p>
    <w:p w:rsidR="00AC5D63" w:rsidRDefault="00AC5D63" w:rsidP="00AC5D63">
      <w:pPr>
        <w:spacing w:line="360" w:lineRule="auto"/>
        <w:ind w:firstLineChars="200" w:firstLine="643"/>
        <w:rPr>
          <w:rFonts w:ascii="仿宋_GB2312" w:eastAsia="仿宋_GB2312" w:hAnsi="宋体" w:cs="仿宋_GB2312"/>
          <w:sz w:val="32"/>
          <w:szCs w:val="32"/>
        </w:rPr>
      </w:pPr>
      <w:r>
        <w:rPr>
          <w:rFonts w:ascii="仿宋_GB2312" w:eastAsia="仿宋_GB2312" w:hAnsi="宋体" w:cs="仿宋_GB2312" w:hint="eastAsia"/>
          <w:b/>
          <w:bCs/>
          <w:sz w:val="32"/>
          <w:szCs w:val="32"/>
        </w:rPr>
        <w:t>4.进一步提升实体店管理水平和效能</w:t>
      </w:r>
      <w:r>
        <w:rPr>
          <w:rFonts w:ascii="仿宋_GB2312" w:eastAsia="仿宋_GB2312" w:hAnsi="宋体" w:cs="仿宋_GB2312" w:hint="eastAsia"/>
          <w:sz w:val="32"/>
          <w:szCs w:val="32"/>
        </w:rPr>
        <w:t>。丰富实体店日常运维服务监督管理手段，借助专业机构对实体店日常管理服务做好监督，并定期出具报告向中心反馈相关问题，做好实体店日常运</w:t>
      </w:r>
      <w:proofErr w:type="gramStart"/>
      <w:r>
        <w:rPr>
          <w:rFonts w:ascii="仿宋_GB2312" w:eastAsia="仿宋_GB2312" w:hAnsi="宋体" w:cs="仿宋_GB2312" w:hint="eastAsia"/>
          <w:sz w:val="32"/>
          <w:szCs w:val="32"/>
        </w:rPr>
        <w:t>维保障</w:t>
      </w:r>
      <w:proofErr w:type="gramEnd"/>
      <w:r>
        <w:rPr>
          <w:rFonts w:ascii="仿宋_GB2312" w:eastAsia="仿宋_GB2312" w:hAnsi="宋体" w:cs="仿宋_GB2312" w:hint="eastAsia"/>
          <w:sz w:val="32"/>
          <w:szCs w:val="32"/>
        </w:rPr>
        <w:t>性工作；借助专业物流、供应</w:t>
      </w:r>
      <w:proofErr w:type="gramStart"/>
      <w:r>
        <w:rPr>
          <w:rFonts w:ascii="仿宋_GB2312" w:eastAsia="仿宋_GB2312" w:hAnsi="宋体" w:cs="仿宋_GB2312" w:hint="eastAsia"/>
          <w:sz w:val="32"/>
          <w:szCs w:val="32"/>
        </w:rPr>
        <w:t>链公司</w:t>
      </w:r>
      <w:proofErr w:type="gramEnd"/>
      <w:r>
        <w:rPr>
          <w:rFonts w:ascii="仿宋_GB2312" w:eastAsia="仿宋_GB2312" w:hAnsi="宋体" w:cs="仿宋_GB2312" w:hint="eastAsia"/>
          <w:sz w:val="32"/>
          <w:szCs w:val="32"/>
        </w:rPr>
        <w:t>开展即开票、热敏纸和宣传物料等日常性物料运输配送，提升配送效率和及时性；依托智慧化监管平台，对彩票销售场景</w:t>
      </w:r>
      <w:proofErr w:type="gramStart"/>
      <w:r>
        <w:rPr>
          <w:rFonts w:ascii="仿宋_GB2312" w:eastAsia="仿宋_GB2312" w:hAnsi="宋体" w:cs="仿宋_GB2312" w:hint="eastAsia"/>
          <w:sz w:val="32"/>
          <w:szCs w:val="32"/>
        </w:rPr>
        <w:t>实时管</w:t>
      </w:r>
      <w:proofErr w:type="gramEnd"/>
      <w:r>
        <w:rPr>
          <w:rFonts w:ascii="仿宋_GB2312" w:eastAsia="仿宋_GB2312" w:hAnsi="宋体" w:cs="仿宋_GB2312" w:hint="eastAsia"/>
          <w:sz w:val="32"/>
          <w:szCs w:val="32"/>
        </w:rPr>
        <w:t>控，强化源头风险管理，</w:t>
      </w:r>
      <w:proofErr w:type="gramStart"/>
      <w:r>
        <w:rPr>
          <w:rFonts w:ascii="仿宋_GB2312" w:eastAsia="仿宋_GB2312" w:hAnsi="宋体" w:cs="仿宋_GB2312" w:hint="eastAsia"/>
          <w:sz w:val="32"/>
          <w:szCs w:val="32"/>
        </w:rPr>
        <w:t>落实非</w:t>
      </w:r>
      <w:proofErr w:type="gramEnd"/>
      <w:r>
        <w:rPr>
          <w:rFonts w:ascii="仿宋_GB2312" w:eastAsia="仿宋_GB2312" w:hAnsi="宋体" w:cs="仿宋_GB2312" w:hint="eastAsia"/>
          <w:sz w:val="32"/>
          <w:szCs w:val="32"/>
        </w:rPr>
        <w:t>现场监督管理。</w:t>
      </w:r>
    </w:p>
    <w:p w:rsidR="00AC5D63" w:rsidRDefault="00AC5D63" w:rsidP="00AC5D63">
      <w:pPr>
        <w:spacing w:line="360" w:lineRule="auto"/>
        <w:ind w:firstLineChars="200" w:firstLine="643"/>
        <w:rPr>
          <w:rFonts w:ascii="仿宋_GB2312" w:eastAsia="仿宋_GB2312" w:hAnsi="宋体" w:cs="宋体"/>
          <w:color w:val="0000FF"/>
          <w:kern w:val="0"/>
          <w:sz w:val="32"/>
          <w:szCs w:val="32"/>
        </w:rPr>
      </w:pPr>
      <w:r>
        <w:rPr>
          <w:rFonts w:ascii="仿宋_GB2312" w:eastAsia="仿宋_GB2312" w:hAnsi="宋体" w:cs="仿宋_GB2312" w:hint="eastAsia"/>
          <w:b/>
          <w:bCs/>
          <w:sz w:val="32"/>
          <w:szCs w:val="32"/>
        </w:rPr>
        <w:lastRenderedPageBreak/>
        <w:t>5.完善舆情监管措施，及时发现处置舆情信息</w:t>
      </w:r>
      <w:r>
        <w:rPr>
          <w:rFonts w:ascii="仿宋_GB2312" w:eastAsia="仿宋_GB2312" w:hAnsi="宋体" w:cs="仿宋_GB2312" w:hint="eastAsia"/>
          <w:sz w:val="32"/>
          <w:szCs w:val="32"/>
        </w:rPr>
        <w:t>。建立健全舆情监测机制，及时对各类媒体、平台中与北京体育彩票相关数据进行采集汇总，收集质疑类、建议类信息，对公众反映问题及时发现、及时处理，回应社会热切关注事项，不断改进提升管理服务水平。</w:t>
      </w:r>
    </w:p>
    <w:p w:rsidR="00AC5D63" w:rsidRDefault="00AC5D63" w:rsidP="00AC5D63">
      <w:pPr>
        <w:spacing w:line="360" w:lineRule="auto"/>
        <w:ind w:firstLine="641"/>
        <w:rPr>
          <w:rFonts w:ascii="仿宋_GB2312" w:eastAsia="仿宋_GB2312" w:hAnsi="仿宋_GB2312" w:cs="仿宋_GB2312"/>
          <w:sz w:val="32"/>
          <w:szCs w:val="32"/>
        </w:rPr>
        <w:sectPr w:rsidR="00AC5D63">
          <w:footerReference w:type="default" r:id="rId6"/>
          <w:pgSz w:w="11906" w:h="16838"/>
          <w:pgMar w:top="1440" w:right="1800" w:bottom="1440" w:left="1800" w:header="851" w:footer="964" w:gutter="0"/>
          <w:pgNumType w:start="1"/>
          <w:cols w:space="425"/>
          <w:docGrid w:type="lines" w:linePitch="435"/>
        </w:sectPr>
      </w:pPr>
      <w:bookmarkStart w:id="19" w:name="_GoBack"/>
      <w:bookmarkEnd w:id="19"/>
    </w:p>
    <w:tbl>
      <w:tblPr>
        <w:tblW w:w="5861" w:type="pct"/>
        <w:jc w:val="center"/>
        <w:tblLook w:val="04A0" w:firstRow="1" w:lastRow="0" w:firstColumn="1" w:lastColumn="0" w:noHBand="0" w:noVBand="1"/>
      </w:tblPr>
      <w:tblGrid>
        <w:gridCol w:w="1008"/>
        <w:gridCol w:w="1008"/>
        <w:gridCol w:w="1365"/>
        <w:gridCol w:w="1381"/>
        <w:gridCol w:w="1551"/>
        <w:gridCol w:w="776"/>
        <w:gridCol w:w="952"/>
        <w:gridCol w:w="4221"/>
        <w:gridCol w:w="4100"/>
      </w:tblGrid>
      <w:tr w:rsidR="00083C92" w:rsidTr="00AB546E">
        <w:trPr>
          <w:trHeight w:val="610"/>
          <w:jc w:val="center"/>
        </w:trPr>
        <w:tc>
          <w:tcPr>
            <w:tcW w:w="4386" w:type="pct"/>
            <w:gridSpan w:val="9"/>
            <w:tcBorders>
              <w:top w:val="nil"/>
              <w:left w:val="nil"/>
              <w:bottom w:val="nil"/>
              <w:right w:val="nil"/>
            </w:tcBorders>
            <w:shd w:val="clear" w:color="auto" w:fill="auto"/>
            <w:noWrap/>
            <w:vAlign w:val="bottom"/>
          </w:tcPr>
          <w:p w:rsidR="00083C92" w:rsidRDefault="00083C92" w:rsidP="00AB546E">
            <w:pPr>
              <w:widowControl/>
              <w:jc w:val="center"/>
              <w:textAlignment w:val="bottom"/>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kern w:val="0"/>
                <w:sz w:val="44"/>
                <w:szCs w:val="44"/>
                <w:lang w:bidi="ar"/>
              </w:rPr>
              <w:lastRenderedPageBreak/>
              <w:t>2023年部门整体绩效评价指标体系评分表</w:t>
            </w:r>
          </w:p>
        </w:tc>
      </w:tr>
      <w:tr w:rsidR="00083C92" w:rsidTr="00AB546E">
        <w:trPr>
          <w:trHeight w:val="583"/>
          <w:jc w:val="center"/>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w:t>
            </w:r>
            <w:r>
              <w:rPr>
                <w:rStyle w:val="font31"/>
                <w:rFonts w:hint="default"/>
                <w:lang w:bidi="ar"/>
              </w:rPr>
              <w:t>当年预算执行情况（20分）</w:t>
            </w:r>
          </w:p>
        </w:tc>
      </w:tr>
      <w:tr w:rsidR="00083C92" w:rsidTr="00AB546E">
        <w:trPr>
          <w:trHeight w:val="48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一级指标　</w:t>
            </w:r>
          </w:p>
        </w:tc>
        <w:tc>
          <w:tcPr>
            <w:tcW w:w="30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二级指标　</w:t>
            </w:r>
          </w:p>
        </w:tc>
        <w:tc>
          <w:tcPr>
            <w:tcW w:w="4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预算数（万元）</w:t>
            </w:r>
          </w:p>
        </w:tc>
        <w:tc>
          <w:tcPr>
            <w:tcW w:w="42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执行数（万元）</w:t>
            </w:r>
          </w:p>
        </w:tc>
        <w:tc>
          <w:tcPr>
            <w:tcW w:w="47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预算执行率</w:t>
            </w:r>
          </w:p>
        </w:tc>
        <w:tc>
          <w:tcPr>
            <w:tcW w:w="23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分值</w:t>
            </w:r>
          </w:p>
        </w:tc>
        <w:tc>
          <w:tcPr>
            <w:tcW w:w="29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得分</w:t>
            </w:r>
          </w:p>
        </w:tc>
        <w:tc>
          <w:tcPr>
            <w:tcW w:w="129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指标解释</w:t>
            </w:r>
          </w:p>
        </w:tc>
        <w:tc>
          <w:tcPr>
            <w:tcW w:w="124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评分标准</w:t>
            </w:r>
          </w:p>
        </w:tc>
      </w:tr>
      <w:tr w:rsidR="00083C92" w:rsidTr="00AB546E">
        <w:trPr>
          <w:trHeight w:val="1304"/>
          <w:jc w:val="center"/>
        </w:trPr>
        <w:tc>
          <w:tcPr>
            <w:tcW w:w="3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当年预算执行情况（20）</w:t>
            </w: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资金总体</w:t>
            </w:r>
          </w:p>
        </w:tc>
        <w:tc>
          <w:tcPr>
            <w:tcW w:w="417" w:type="pct"/>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083C92" w:rsidRDefault="00083C92" w:rsidP="00AB546E">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19,432.06</w:t>
            </w:r>
          </w:p>
        </w:tc>
        <w:tc>
          <w:tcPr>
            <w:tcW w:w="421" w:type="pct"/>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083C92" w:rsidRDefault="00083C92" w:rsidP="00AB546E">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17,633.39</w:t>
            </w:r>
          </w:p>
        </w:tc>
        <w:tc>
          <w:tcPr>
            <w:tcW w:w="471" w:type="pct"/>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083C92" w:rsidRDefault="00083C92" w:rsidP="00AB546E">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90.74%</w:t>
            </w:r>
          </w:p>
        </w:tc>
        <w:tc>
          <w:tcPr>
            <w:tcW w:w="23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9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18.1 </w:t>
            </w:r>
          </w:p>
        </w:tc>
        <w:tc>
          <w:tcPr>
            <w:tcW w:w="129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部门全年执行数与全年预算数的比率。资金总体=基本支出+项目支出+其他</w:t>
            </w:r>
          </w:p>
        </w:tc>
        <w:tc>
          <w:tcPr>
            <w:tcW w:w="124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①得分一档最高不能超过该指标分值上限（20分）。</w:t>
            </w:r>
          </w:p>
          <w:p w:rsidR="00083C92" w:rsidRDefault="00083C92" w:rsidP="00AB546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083C92" w:rsidTr="00AB546E">
        <w:trPr>
          <w:trHeight w:val="1304"/>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基本支出</w:t>
            </w:r>
          </w:p>
        </w:tc>
        <w:tc>
          <w:tcPr>
            <w:tcW w:w="4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2,406.72</w:t>
            </w:r>
          </w:p>
        </w:tc>
        <w:tc>
          <w:tcPr>
            <w:tcW w:w="42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2,226.04</w:t>
            </w:r>
          </w:p>
        </w:tc>
        <w:tc>
          <w:tcPr>
            <w:tcW w:w="47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237"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jc w:val="center"/>
              <w:rPr>
                <w:rFonts w:ascii="宋体" w:hAnsi="宋体" w:cs="宋体"/>
                <w:color w:val="000000"/>
                <w:sz w:val="20"/>
                <w:szCs w:val="20"/>
              </w:rPr>
            </w:pPr>
          </w:p>
        </w:tc>
        <w:tc>
          <w:tcPr>
            <w:tcW w:w="291"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jc w:val="center"/>
              <w:rPr>
                <w:rFonts w:ascii="宋体" w:hAnsi="宋体" w:cs="宋体"/>
                <w:color w:val="000000"/>
                <w:sz w:val="20"/>
                <w:szCs w:val="20"/>
              </w:rPr>
            </w:pP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304"/>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项目支出</w:t>
            </w:r>
          </w:p>
        </w:tc>
        <w:tc>
          <w:tcPr>
            <w:tcW w:w="4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16,425.34</w:t>
            </w:r>
          </w:p>
        </w:tc>
        <w:tc>
          <w:tcPr>
            <w:tcW w:w="42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14,807.35</w:t>
            </w:r>
          </w:p>
        </w:tc>
        <w:tc>
          <w:tcPr>
            <w:tcW w:w="47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237"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jc w:val="center"/>
              <w:rPr>
                <w:rFonts w:ascii="宋体" w:hAnsi="宋体" w:cs="宋体"/>
                <w:color w:val="000000"/>
                <w:sz w:val="20"/>
                <w:szCs w:val="20"/>
              </w:rPr>
            </w:pPr>
          </w:p>
        </w:tc>
        <w:tc>
          <w:tcPr>
            <w:tcW w:w="291"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jc w:val="center"/>
              <w:rPr>
                <w:rFonts w:ascii="宋体" w:hAnsi="宋体" w:cs="宋体"/>
                <w:color w:val="000000"/>
                <w:sz w:val="20"/>
                <w:szCs w:val="20"/>
              </w:rPr>
            </w:pP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304"/>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w:t>
            </w:r>
          </w:p>
        </w:tc>
        <w:tc>
          <w:tcPr>
            <w:tcW w:w="417" w:type="pct"/>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083C92" w:rsidRDefault="00083C92" w:rsidP="00AB546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600.00</w:t>
            </w:r>
          </w:p>
        </w:tc>
        <w:tc>
          <w:tcPr>
            <w:tcW w:w="421" w:type="pct"/>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083C92" w:rsidRDefault="00083C92" w:rsidP="00AB546E">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600.00</w:t>
            </w:r>
          </w:p>
        </w:tc>
        <w:tc>
          <w:tcPr>
            <w:tcW w:w="47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237"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jc w:val="center"/>
              <w:rPr>
                <w:rFonts w:ascii="宋体" w:hAnsi="宋体" w:cs="宋体"/>
                <w:color w:val="000000"/>
                <w:sz w:val="20"/>
                <w:szCs w:val="20"/>
              </w:rPr>
            </w:pPr>
          </w:p>
        </w:tc>
        <w:tc>
          <w:tcPr>
            <w:tcW w:w="291"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jc w:val="center"/>
              <w:rPr>
                <w:rFonts w:ascii="宋体" w:hAnsi="宋体" w:cs="宋体"/>
                <w:color w:val="000000"/>
                <w:sz w:val="20"/>
                <w:szCs w:val="20"/>
              </w:rPr>
            </w:pP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420"/>
          <w:jc w:val="center"/>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二、</w:t>
            </w:r>
            <w:r>
              <w:rPr>
                <w:rStyle w:val="font31"/>
                <w:rFonts w:hint="default"/>
                <w:lang w:bidi="ar"/>
              </w:rPr>
              <w:t>整体绩效目标实现情况（60分）</w:t>
            </w:r>
          </w:p>
        </w:tc>
      </w:tr>
      <w:tr w:rsidR="00083C92" w:rsidTr="00AB546E">
        <w:trPr>
          <w:trHeight w:val="42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lastRenderedPageBreak/>
              <w:t>一级指标</w:t>
            </w:r>
          </w:p>
        </w:tc>
        <w:tc>
          <w:tcPr>
            <w:tcW w:w="30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二级指标　</w:t>
            </w:r>
          </w:p>
        </w:tc>
        <w:tc>
          <w:tcPr>
            <w:tcW w:w="4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三级指标　</w:t>
            </w:r>
          </w:p>
        </w:tc>
        <w:tc>
          <w:tcPr>
            <w:tcW w:w="42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指标值</w:t>
            </w:r>
          </w:p>
        </w:tc>
        <w:tc>
          <w:tcPr>
            <w:tcW w:w="47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完成值</w:t>
            </w:r>
          </w:p>
        </w:tc>
        <w:tc>
          <w:tcPr>
            <w:tcW w:w="23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分值</w:t>
            </w:r>
          </w:p>
        </w:tc>
        <w:tc>
          <w:tcPr>
            <w:tcW w:w="29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得分</w:t>
            </w:r>
          </w:p>
        </w:tc>
        <w:tc>
          <w:tcPr>
            <w:tcW w:w="129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指标解释</w:t>
            </w:r>
          </w:p>
        </w:tc>
        <w:tc>
          <w:tcPr>
            <w:tcW w:w="124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评分标准</w:t>
            </w:r>
          </w:p>
        </w:tc>
      </w:tr>
      <w:tr w:rsidR="00083C92" w:rsidTr="00AB546E">
        <w:trPr>
          <w:trHeight w:val="850"/>
          <w:jc w:val="center"/>
        </w:trPr>
        <w:tc>
          <w:tcPr>
            <w:tcW w:w="3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整体绩效目标实现情况（60）</w:t>
            </w:r>
          </w:p>
        </w:tc>
        <w:tc>
          <w:tcPr>
            <w:tcW w:w="3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产出（30）</w:t>
            </w: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体育彩票2023年全年销售额</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color w:val="000000"/>
                <w:kern w:val="0"/>
                <w:sz w:val="20"/>
                <w:szCs w:val="20"/>
                <w:lang w:bidi="ar"/>
              </w:rPr>
              <w:t>77</w:t>
            </w:r>
            <w:r>
              <w:rPr>
                <w:rFonts w:ascii="宋体" w:hAnsi="宋体" w:cs="宋体" w:hint="eastAsia"/>
                <w:color w:val="000000"/>
                <w:kern w:val="0"/>
                <w:sz w:val="20"/>
                <w:szCs w:val="20"/>
                <w:lang w:bidi="ar"/>
              </w:rPr>
              <w:t>亿元</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108.24亿元</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产出数量</w:t>
            </w:r>
            <w:r>
              <w:rPr>
                <w:rStyle w:val="font81"/>
                <w:rFonts w:hint="default"/>
                <w:lang w:bidi="ar"/>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lang w:bidi="ar"/>
              </w:rPr>
              <w:t>产出质量</w:t>
            </w:r>
            <w:r>
              <w:rPr>
                <w:rStyle w:val="font81"/>
                <w:rFonts w:hint="default"/>
                <w:lang w:bidi="ar"/>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lang w:bidi="ar"/>
              </w:rPr>
              <w:t>产出进度：</w:t>
            </w:r>
            <w:r>
              <w:rPr>
                <w:rStyle w:val="font81"/>
                <w:rFonts w:hint="default"/>
                <w:lang w:bidi="ar"/>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lang w:bidi="ar"/>
              </w:rPr>
              <w:t>产出成本</w:t>
            </w:r>
            <w:r>
              <w:rPr>
                <w:rStyle w:val="font81"/>
                <w:rFonts w:hint="default"/>
                <w:lang w:bidi="ar"/>
              </w:rPr>
              <w:t>：单位产出相对于上一年度的节约额；②单位产出相对于市场同类产出的节约额；③部门公用经费的控制情况。</w:t>
            </w:r>
          </w:p>
        </w:tc>
        <w:tc>
          <w:tcPr>
            <w:tcW w:w="124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部门根据本单位情况自行确定并选择产出指标，合理确定各项指标权重。可量化的指标按照比率*单项指标分值即为该指标得分。如果不能定量评价，则以定性的方式进行自评。</w:t>
            </w:r>
          </w:p>
        </w:tc>
      </w:tr>
      <w:tr w:rsidR="00083C92" w:rsidTr="00AB546E">
        <w:trPr>
          <w:trHeight w:val="85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实体店日常维护及管理</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≥2850家</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3782家</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85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销售检查次数</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≥12次</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12次</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85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体</w:t>
            </w:r>
            <w:proofErr w:type="gramStart"/>
            <w:r>
              <w:rPr>
                <w:rFonts w:ascii="宋体" w:hAnsi="宋体" w:cs="宋体" w:hint="eastAsia"/>
                <w:color w:val="000000"/>
                <w:kern w:val="0"/>
                <w:sz w:val="20"/>
                <w:szCs w:val="20"/>
                <w:lang w:bidi="ar"/>
              </w:rPr>
              <w:t>彩展示</w:t>
            </w:r>
            <w:proofErr w:type="gramEnd"/>
            <w:r>
              <w:rPr>
                <w:rFonts w:ascii="宋体" w:hAnsi="宋体" w:cs="宋体" w:hint="eastAsia"/>
                <w:color w:val="000000"/>
                <w:kern w:val="0"/>
                <w:sz w:val="20"/>
                <w:szCs w:val="20"/>
                <w:lang w:bidi="ar"/>
              </w:rPr>
              <w:t>体验中心数量</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≥33家</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43家</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85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“体彩+”门店数量</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≥600家</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1500家</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85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促销活动次数</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≥8次</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9次</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85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市场宣传推广活动次数</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≥10次</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10次</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18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专用设备购置数量</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≥51台/套</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49台套</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18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全年组织爱党爱国活动</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≥12次</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12次</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18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实体店服务</w:t>
            </w:r>
            <w:proofErr w:type="gramStart"/>
            <w:r>
              <w:rPr>
                <w:rFonts w:ascii="宋体" w:hAnsi="宋体" w:cs="宋体" w:hint="eastAsia"/>
                <w:color w:val="000000"/>
                <w:kern w:val="0"/>
                <w:sz w:val="20"/>
                <w:szCs w:val="20"/>
                <w:lang w:bidi="ar"/>
              </w:rPr>
              <w:t>商考核</w:t>
            </w:r>
            <w:proofErr w:type="gramEnd"/>
            <w:r>
              <w:rPr>
                <w:rFonts w:ascii="宋体" w:hAnsi="宋体" w:cs="宋体" w:hint="eastAsia"/>
                <w:color w:val="000000"/>
                <w:kern w:val="0"/>
                <w:sz w:val="20"/>
                <w:szCs w:val="20"/>
                <w:lang w:bidi="ar"/>
              </w:rPr>
              <w:t>通过率</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18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信息系统运维合格率</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18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设备验收合格率</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18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系统故障响应及时</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优</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系统故障响应及时</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18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活动举办及时</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优</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日常宣传推广、游戏营销、等活动已按计划完成，但公益体彩百姓身边活动及</w:t>
            </w:r>
            <w:proofErr w:type="gramStart"/>
            <w:r>
              <w:rPr>
                <w:rFonts w:ascii="宋体" w:hAnsi="宋体" w:cs="宋体" w:hint="eastAsia"/>
                <w:color w:val="000000"/>
                <w:kern w:val="0"/>
                <w:sz w:val="20"/>
                <w:szCs w:val="20"/>
                <w:lang w:bidi="ar"/>
              </w:rPr>
              <w:t>体彩进社区</w:t>
            </w:r>
            <w:proofErr w:type="gramEnd"/>
            <w:r>
              <w:rPr>
                <w:rFonts w:ascii="宋体" w:hAnsi="宋体" w:cs="宋体" w:hint="eastAsia"/>
                <w:color w:val="000000"/>
                <w:kern w:val="0"/>
                <w:sz w:val="20"/>
                <w:szCs w:val="20"/>
                <w:lang w:bidi="ar"/>
              </w:rPr>
              <w:t>活</w:t>
            </w:r>
            <w:r>
              <w:rPr>
                <w:rFonts w:ascii="宋体" w:hAnsi="宋体" w:cs="宋体" w:hint="eastAsia"/>
                <w:color w:val="000000"/>
                <w:kern w:val="0"/>
                <w:sz w:val="20"/>
                <w:szCs w:val="20"/>
                <w:lang w:bidi="ar"/>
              </w:rPr>
              <w:lastRenderedPageBreak/>
              <w:t>动，工作任务期为2年，从2023年调整至2024年实施。</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18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按照预算将各项支出严格控制在预算规定的范围内</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优</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各项支出控制在预算范围内</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24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效果（30）</w:t>
            </w: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筹集地方公益金</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color w:val="000000"/>
                <w:kern w:val="0"/>
                <w:sz w:val="20"/>
                <w:szCs w:val="20"/>
                <w:lang w:bidi="ar"/>
              </w:rPr>
              <w:t>9.26</w:t>
            </w:r>
            <w:r>
              <w:rPr>
                <w:rFonts w:ascii="宋体" w:hAnsi="宋体" w:cs="宋体" w:hint="eastAsia"/>
                <w:color w:val="000000"/>
                <w:kern w:val="0"/>
                <w:sz w:val="20"/>
                <w:szCs w:val="20"/>
                <w:lang w:bidi="ar"/>
              </w:rPr>
              <w:t>亿元</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13.15亿元</w:t>
            </w:r>
          </w:p>
        </w:tc>
        <w:tc>
          <w:tcPr>
            <w:tcW w:w="2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 </w:t>
            </w:r>
          </w:p>
        </w:tc>
        <w:tc>
          <w:tcPr>
            <w:tcW w:w="129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经济效益</w:t>
            </w:r>
            <w:r>
              <w:rPr>
                <w:rStyle w:val="font81"/>
                <w:rFonts w:hint="default"/>
                <w:lang w:bidi="ar"/>
              </w:rPr>
              <w:t>：部门（单位）履行职责对经济发展所带来的直接或间接影响。</w:t>
            </w:r>
            <w:r>
              <w:rPr>
                <w:rFonts w:ascii="宋体" w:hAnsi="宋体" w:cs="宋体" w:hint="eastAsia"/>
                <w:b/>
                <w:bCs/>
                <w:color w:val="000000"/>
                <w:kern w:val="0"/>
                <w:sz w:val="18"/>
                <w:szCs w:val="18"/>
                <w:lang w:bidi="ar"/>
              </w:rPr>
              <w:t>社会效益</w:t>
            </w:r>
            <w:r>
              <w:rPr>
                <w:rStyle w:val="font81"/>
                <w:rFonts w:hint="default"/>
                <w:lang w:bidi="ar"/>
              </w:rPr>
              <w:t>：部门（单位）履行职责对社会发展所带来的直接或间接影响。</w:t>
            </w:r>
            <w:r>
              <w:rPr>
                <w:rFonts w:ascii="宋体" w:hAnsi="宋体" w:cs="宋体" w:hint="eastAsia"/>
                <w:b/>
                <w:bCs/>
                <w:color w:val="000000"/>
                <w:kern w:val="0"/>
                <w:sz w:val="18"/>
                <w:szCs w:val="18"/>
                <w:lang w:bidi="ar"/>
              </w:rPr>
              <w:t>环境</w:t>
            </w:r>
            <w:r>
              <w:rPr>
                <w:rFonts w:ascii="宋体" w:hAnsi="宋体" w:cs="宋体" w:hint="eastAsia"/>
                <w:b/>
                <w:bCs/>
                <w:color w:val="000000"/>
                <w:kern w:val="0"/>
                <w:sz w:val="18"/>
                <w:szCs w:val="18"/>
                <w:lang w:bidi="ar"/>
              </w:rPr>
              <w:lastRenderedPageBreak/>
              <w:t>效益</w:t>
            </w:r>
            <w:r>
              <w:rPr>
                <w:rStyle w:val="font81"/>
                <w:rFonts w:hint="default"/>
                <w:lang w:bidi="ar"/>
              </w:rPr>
              <w:t>：部门（单位）履行职责对环境所带来的直接或间接影响。</w:t>
            </w:r>
            <w:r>
              <w:rPr>
                <w:rFonts w:ascii="宋体" w:hAnsi="宋体" w:cs="宋体" w:hint="eastAsia"/>
                <w:b/>
                <w:bCs/>
                <w:color w:val="000000"/>
                <w:kern w:val="0"/>
                <w:sz w:val="18"/>
                <w:szCs w:val="18"/>
                <w:lang w:bidi="ar"/>
              </w:rPr>
              <w:t>可持续性影响：</w:t>
            </w:r>
            <w:r>
              <w:rPr>
                <w:rStyle w:val="font81"/>
                <w:rFonts w:hint="default"/>
                <w:lang w:bidi="ar"/>
              </w:rPr>
              <w:t>部门绩效目标实现的长效机制建设情况，部门工作效率提升措施的创新。</w:t>
            </w:r>
            <w:r>
              <w:rPr>
                <w:rFonts w:ascii="宋体" w:hAnsi="宋体" w:cs="宋体" w:hint="eastAsia"/>
                <w:b/>
                <w:bCs/>
                <w:color w:val="000000"/>
                <w:kern w:val="0"/>
                <w:sz w:val="18"/>
                <w:szCs w:val="18"/>
                <w:lang w:bidi="ar"/>
              </w:rPr>
              <w:t>服务对象满意度</w:t>
            </w:r>
            <w:r>
              <w:rPr>
                <w:rStyle w:val="font81"/>
                <w:rFonts w:hint="default"/>
                <w:lang w:bidi="ar"/>
              </w:rPr>
              <w:t>：部门（单位）的服务对象对部门履职效果的满意程度。</w:t>
            </w:r>
          </w:p>
        </w:tc>
        <w:tc>
          <w:tcPr>
            <w:tcW w:w="124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部门根据实际情况选择指标进行填写，并将其细化为相应的个性化指标。对于效益类指标可从受</w:t>
            </w:r>
            <w:r>
              <w:rPr>
                <w:rFonts w:ascii="宋体" w:hAnsi="宋体" w:cs="宋体" w:hint="eastAsia"/>
                <w:color w:val="000000"/>
                <w:kern w:val="0"/>
                <w:sz w:val="18"/>
                <w:szCs w:val="18"/>
                <w:lang w:bidi="ar"/>
              </w:rPr>
              <w:lastRenderedPageBreak/>
              <w:t>益对象瞄准度、受益广度和受益深度上进行设计分析。</w:t>
            </w:r>
          </w:p>
        </w:tc>
      </w:tr>
      <w:tr w:rsidR="00083C92" w:rsidTr="00AB546E">
        <w:trPr>
          <w:trHeight w:val="760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促进体育彩票销售</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优</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2023年全市体育彩票销量108.24亿元，同比增长48.5%，以</w:t>
            </w:r>
            <w:proofErr w:type="gramStart"/>
            <w:r>
              <w:rPr>
                <w:rFonts w:ascii="宋体" w:hAnsi="宋体" w:cs="宋体" w:hint="eastAsia"/>
                <w:color w:val="000000"/>
                <w:kern w:val="0"/>
                <w:sz w:val="20"/>
                <w:szCs w:val="20"/>
                <w:lang w:bidi="ar"/>
              </w:rPr>
              <w:t>市体彩中心</w:t>
            </w:r>
            <w:proofErr w:type="gramEnd"/>
            <w:r>
              <w:rPr>
                <w:rFonts w:ascii="宋体" w:hAnsi="宋体" w:cs="宋体" w:hint="eastAsia"/>
                <w:color w:val="000000"/>
                <w:kern w:val="0"/>
                <w:sz w:val="20"/>
                <w:szCs w:val="20"/>
                <w:lang w:bidi="ar"/>
              </w:rPr>
              <w:t>为主运营的区域联网单场游戏，京津冀三地年度销量121.66亿元，创历史新高。</w:t>
            </w:r>
            <w:proofErr w:type="gramStart"/>
            <w:r>
              <w:rPr>
                <w:rFonts w:ascii="宋体" w:hAnsi="宋体" w:cs="宋体" w:hint="eastAsia"/>
                <w:color w:val="000000"/>
                <w:kern w:val="0"/>
                <w:sz w:val="20"/>
                <w:szCs w:val="20"/>
                <w:lang w:bidi="ar"/>
              </w:rPr>
              <w:t>市体彩中心</w:t>
            </w:r>
            <w:proofErr w:type="gramEnd"/>
            <w:r>
              <w:rPr>
                <w:rFonts w:ascii="宋体" w:hAnsi="宋体" w:cs="宋体" w:hint="eastAsia"/>
                <w:color w:val="000000"/>
                <w:kern w:val="0"/>
                <w:sz w:val="20"/>
                <w:szCs w:val="20"/>
                <w:lang w:bidi="ar"/>
              </w:rPr>
              <w:t>通过部门履职有效促进了体育销售。但通过实体店和代销者的调查反映，目前体育彩票销售及管理中存在即开型彩票、打印纸供给不够充足，难以满足市场需求的情况。</w:t>
            </w:r>
          </w:p>
        </w:tc>
        <w:tc>
          <w:tcPr>
            <w:tcW w:w="2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24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提升体</w:t>
            </w:r>
            <w:proofErr w:type="gramStart"/>
            <w:r>
              <w:rPr>
                <w:rFonts w:ascii="宋体" w:hAnsi="宋体" w:cs="宋体" w:hint="eastAsia"/>
                <w:color w:val="000000"/>
                <w:kern w:val="0"/>
                <w:sz w:val="20"/>
                <w:szCs w:val="20"/>
                <w:lang w:bidi="ar"/>
              </w:rPr>
              <w:t>彩品牌</w:t>
            </w:r>
            <w:proofErr w:type="gramEnd"/>
            <w:r>
              <w:rPr>
                <w:rFonts w:ascii="宋体" w:hAnsi="宋体" w:cs="宋体" w:hint="eastAsia"/>
                <w:color w:val="000000"/>
                <w:kern w:val="0"/>
                <w:sz w:val="20"/>
                <w:szCs w:val="20"/>
                <w:lang w:bidi="ar"/>
              </w:rPr>
              <w:t>认知与认可度</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优</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通过支持体育赛事、公益设施建设、公益宣传活动等，提升体</w:t>
            </w:r>
            <w:proofErr w:type="gramStart"/>
            <w:r>
              <w:rPr>
                <w:rFonts w:ascii="宋体" w:hAnsi="宋体" w:cs="宋体" w:hint="eastAsia"/>
                <w:color w:val="000000"/>
                <w:kern w:val="0"/>
                <w:sz w:val="20"/>
                <w:szCs w:val="20"/>
                <w:lang w:bidi="ar"/>
              </w:rPr>
              <w:t>彩品牌</w:t>
            </w:r>
            <w:proofErr w:type="gramEnd"/>
            <w:r>
              <w:rPr>
                <w:rFonts w:ascii="宋体" w:hAnsi="宋体" w:cs="宋体" w:hint="eastAsia"/>
                <w:color w:val="000000"/>
                <w:kern w:val="0"/>
                <w:sz w:val="20"/>
                <w:szCs w:val="20"/>
                <w:lang w:bidi="ar"/>
              </w:rPr>
              <w:t>形象，向大众传递体彩公益理念。落地年轻化的主题活动，制作</w:t>
            </w:r>
            <w:proofErr w:type="gramStart"/>
            <w:r>
              <w:rPr>
                <w:rFonts w:ascii="宋体" w:hAnsi="宋体" w:cs="宋体" w:hint="eastAsia"/>
                <w:color w:val="000000"/>
                <w:kern w:val="0"/>
                <w:sz w:val="20"/>
                <w:szCs w:val="20"/>
                <w:lang w:bidi="ar"/>
              </w:rPr>
              <w:t>一些列形式</w:t>
            </w:r>
            <w:proofErr w:type="gramEnd"/>
            <w:r>
              <w:rPr>
                <w:rFonts w:ascii="宋体" w:hAnsi="宋体" w:cs="宋体" w:hint="eastAsia"/>
                <w:color w:val="000000"/>
                <w:kern w:val="0"/>
                <w:sz w:val="20"/>
                <w:szCs w:val="20"/>
                <w:lang w:bidi="ar"/>
              </w:rPr>
              <w:t>新颖、符合年轻人观看的短视频，拓展年轻人对体</w:t>
            </w:r>
            <w:proofErr w:type="gramStart"/>
            <w:r>
              <w:rPr>
                <w:rFonts w:ascii="宋体" w:hAnsi="宋体" w:cs="宋体" w:hint="eastAsia"/>
                <w:color w:val="000000"/>
                <w:kern w:val="0"/>
                <w:sz w:val="20"/>
                <w:szCs w:val="20"/>
                <w:lang w:bidi="ar"/>
              </w:rPr>
              <w:t>彩品牌</w:t>
            </w:r>
            <w:proofErr w:type="gramEnd"/>
            <w:r>
              <w:rPr>
                <w:rFonts w:ascii="宋体" w:hAnsi="宋体" w:cs="宋体" w:hint="eastAsia"/>
                <w:color w:val="000000"/>
                <w:kern w:val="0"/>
                <w:sz w:val="20"/>
                <w:szCs w:val="20"/>
                <w:lang w:bidi="ar"/>
              </w:rPr>
              <w:t>的认知度。</w:t>
            </w:r>
          </w:p>
        </w:tc>
        <w:tc>
          <w:tcPr>
            <w:tcW w:w="2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24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系统稳定运行，保持业务健康发展</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优</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全年系统连续稳定运行，生产和办公“零”中断、“零”事故。</w:t>
            </w:r>
          </w:p>
        </w:tc>
        <w:tc>
          <w:tcPr>
            <w:tcW w:w="2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24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网点满意度</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购彩者较为满意，但满意度调查较为简单</w:t>
            </w:r>
          </w:p>
        </w:tc>
        <w:tc>
          <w:tcPr>
            <w:tcW w:w="2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4.5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124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购彩者满意度</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购彩者较为满意，但满意度调查较为简单</w:t>
            </w:r>
          </w:p>
        </w:tc>
        <w:tc>
          <w:tcPr>
            <w:tcW w:w="2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4.5 </w:t>
            </w:r>
          </w:p>
        </w:tc>
        <w:tc>
          <w:tcPr>
            <w:tcW w:w="129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b/>
                <w:bCs/>
                <w:color w:val="000000"/>
                <w:sz w:val="18"/>
                <w:szCs w:val="18"/>
              </w:rPr>
            </w:pPr>
          </w:p>
        </w:tc>
        <w:tc>
          <w:tcPr>
            <w:tcW w:w="124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left"/>
              <w:rPr>
                <w:rFonts w:ascii="宋体" w:hAnsi="宋体" w:cs="宋体"/>
                <w:color w:val="000000"/>
                <w:sz w:val="18"/>
                <w:szCs w:val="18"/>
              </w:rPr>
            </w:pPr>
          </w:p>
        </w:tc>
      </w:tr>
      <w:tr w:rsidR="00083C92" w:rsidTr="00AB546E">
        <w:trPr>
          <w:trHeight w:val="480"/>
          <w:jc w:val="center"/>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三、</w:t>
            </w:r>
            <w:r>
              <w:rPr>
                <w:rStyle w:val="font31"/>
                <w:rFonts w:hint="default"/>
                <w:lang w:bidi="ar"/>
              </w:rPr>
              <w:t>预算管理情况（20分）</w:t>
            </w:r>
          </w:p>
        </w:tc>
      </w:tr>
      <w:tr w:rsidR="00083C92" w:rsidTr="00AB546E">
        <w:trPr>
          <w:trHeight w:val="480"/>
          <w:jc w:val="center"/>
        </w:trPr>
        <w:tc>
          <w:tcPr>
            <w:tcW w:w="30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一级指标</w:t>
            </w:r>
          </w:p>
        </w:tc>
        <w:tc>
          <w:tcPr>
            <w:tcW w:w="30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二级指标</w:t>
            </w:r>
          </w:p>
        </w:tc>
        <w:tc>
          <w:tcPr>
            <w:tcW w:w="4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三级指标</w:t>
            </w:r>
          </w:p>
        </w:tc>
        <w:tc>
          <w:tcPr>
            <w:tcW w:w="42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指标值</w:t>
            </w:r>
          </w:p>
        </w:tc>
        <w:tc>
          <w:tcPr>
            <w:tcW w:w="47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完成值</w:t>
            </w:r>
          </w:p>
        </w:tc>
        <w:tc>
          <w:tcPr>
            <w:tcW w:w="23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分值</w:t>
            </w:r>
          </w:p>
        </w:tc>
        <w:tc>
          <w:tcPr>
            <w:tcW w:w="29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得分</w:t>
            </w:r>
          </w:p>
        </w:tc>
        <w:tc>
          <w:tcPr>
            <w:tcW w:w="129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指标解释</w:t>
            </w:r>
          </w:p>
        </w:tc>
        <w:tc>
          <w:tcPr>
            <w:tcW w:w="124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83C92" w:rsidRDefault="00083C92" w:rsidP="00AB546E">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评分标准</w:t>
            </w:r>
          </w:p>
        </w:tc>
      </w:tr>
      <w:tr w:rsidR="00083C92" w:rsidTr="00AB546E">
        <w:trPr>
          <w:trHeight w:val="2580"/>
          <w:jc w:val="center"/>
        </w:trPr>
        <w:tc>
          <w:tcPr>
            <w:tcW w:w="3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预算管理情况（20）</w:t>
            </w:r>
          </w:p>
        </w:tc>
        <w:tc>
          <w:tcPr>
            <w:tcW w:w="3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财务管理（4）</w:t>
            </w: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财务管理制度健全性</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财务管理制度健全、合</w:t>
            </w:r>
            <w:proofErr w:type="gramStart"/>
            <w:r>
              <w:rPr>
                <w:rFonts w:ascii="宋体" w:hAnsi="宋体" w:cs="宋体" w:hint="eastAsia"/>
                <w:color w:val="000000"/>
                <w:kern w:val="0"/>
                <w:sz w:val="20"/>
                <w:szCs w:val="20"/>
                <w:lang w:bidi="ar"/>
              </w:rPr>
              <w:t>规</w:t>
            </w:r>
            <w:proofErr w:type="gramEnd"/>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lang w:bidi="ar"/>
              </w:rPr>
              <w:t>市体彩中心</w:t>
            </w:r>
            <w:proofErr w:type="gramEnd"/>
            <w:r>
              <w:rPr>
                <w:rFonts w:ascii="宋体" w:hAnsi="宋体" w:cs="宋体" w:hint="eastAsia"/>
                <w:color w:val="000000"/>
                <w:kern w:val="0"/>
                <w:sz w:val="20"/>
                <w:szCs w:val="20"/>
                <w:lang w:bidi="ar"/>
              </w:rPr>
              <w:t>财务管理制度较为健全、合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，且每年通过内控评价和风险评估不断更新完善各项制度。</w:t>
            </w:r>
          </w:p>
        </w:tc>
        <w:tc>
          <w:tcPr>
            <w:tcW w:w="2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 </w:t>
            </w:r>
          </w:p>
        </w:tc>
        <w:tc>
          <w:tcPr>
            <w:tcW w:w="12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财务管理制度健全性:</w:t>
            </w:r>
            <w:r>
              <w:rPr>
                <w:rStyle w:val="font81"/>
                <w:rFonts w:hint="default"/>
                <w:lang w:bidi="ar"/>
              </w:rPr>
              <w:t>部门（单位）为加强财务管理、规范财务行为而制定的管理制度。</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①预算资金管理办法、绩效跟踪管理办法、资产管理办法等各项制度是否健全；</w:t>
            </w:r>
          </w:p>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②部门内部财务管理制度是否完整、合</w:t>
            </w:r>
            <w:proofErr w:type="gramStart"/>
            <w:r>
              <w:rPr>
                <w:rFonts w:ascii="宋体" w:hAnsi="宋体" w:cs="宋体" w:hint="eastAsia"/>
                <w:color w:val="000000"/>
                <w:kern w:val="0"/>
                <w:sz w:val="18"/>
                <w:szCs w:val="18"/>
                <w:lang w:bidi="ar"/>
              </w:rPr>
              <w:t>规</w:t>
            </w:r>
            <w:proofErr w:type="gramEnd"/>
            <w:r>
              <w:rPr>
                <w:rFonts w:ascii="宋体" w:hAnsi="宋体" w:cs="宋体" w:hint="eastAsia"/>
                <w:color w:val="000000"/>
                <w:kern w:val="0"/>
                <w:sz w:val="18"/>
                <w:szCs w:val="18"/>
                <w:lang w:bidi="ar"/>
              </w:rPr>
              <w:t>；</w:t>
            </w:r>
          </w:p>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③会计核算制度是否完整、合</w:t>
            </w:r>
            <w:proofErr w:type="gramStart"/>
            <w:r>
              <w:rPr>
                <w:rFonts w:ascii="宋体" w:hAnsi="宋体" w:cs="宋体" w:hint="eastAsia"/>
                <w:color w:val="000000"/>
                <w:kern w:val="0"/>
                <w:sz w:val="18"/>
                <w:szCs w:val="18"/>
                <w:lang w:bidi="ar"/>
              </w:rPr>
              <w:t>规</w:t>
            </w:r>
            <w:proofErr w:type="gramEnd"/>
            <w:r>
              <w:rPr>
                <w:rFonts w:ascii="宋体" w:hAnsi="宋体" w:cs="宋体" w:hint="eastAsia"/>
                <w:color w:val="000000"/>
                <w:kern w:val="0"/>
                <w:sz w:val="18"/>
                <w:szCs w:val="18"/>
                <w:lang w:bidi="ar"/>
              </w:rPr>
              <w:t>。</w:t>
            </w:r>
          </w:p>
          <w:p w:rsidR="00083C92" w:rsidRDefault="00083C92" w:rsidP="00AB546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每有一项不合格扣0.5分，扣完为止。</w:t>
            </w:r>
          </w:p>
        </w:tc>
      </w:tr>
      <w:tr w:rsidR="00083C92" w:rsidTr="00AB546E">
        <w:trPr>
          <w:trHeight w:val="254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资金使用合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性和安全性</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资金使用合</w:t>
            </w:r>
            <w:proofErr w:type="gramStart"/>
            <w:r>
              <w:rPr>
                <w:rFonts w:ascii="宋体" w:hAnsi="宋体" w:cs="宋体" w:hint="eastAsia"/>
                <w:color w:val="000000"/>
                <w:kern w:val="0"/>
                <w:sz w:val="20"/>
                <w:szCs w:val="20"/>
                <w:lang w:bidi="ar"/>
              </w:rPr>
              <w:t>规</w:t>
            </w:r>
            <w:proofErr w:type="gramEnd"/>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资金使用规范、审批程序完整合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、符合预算批复用途，无截留挤占挪用情况，政府采购程序合</w:t>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t>。</w:t>
            </w:r>
          </w:p>
        </w:tc>
        <w:tc>
          <w:tcPr>
            <w:tcW w:w="2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 </w:t>
            </w:r>
          </w:p>
        </w:tc>
        <w:tc>
          <w:tcPr>
            <w:tcW w:w="12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资金使用合</w:t>
            </w:r>
            <w:proofErr w:type="gramStart"/>
            <w:r>
              <w:rPr>
                <w:rFonts w:ascii="宋体" w:hAnsi="宋体" w:cs="宋体" w:hint="eastAsia"/>
                <w:b/>
                <w:bCs/>
                <w:color w:val="000000"/>
                <w:kern w:val="0"/>
                <w:sz w:val="18"/>
                <w:szCs w:val="18"/>
                <w:lang w:bidi="ar"/>
              </w:rPr>
              <w:t>规</w:t>
            </w:r>
            <w:proofErr w:type="gramEnd"/>
            <w:r>
              <w:rPr>
                <w:rFonts w:ascii="宋体" w:hAnsi="宋体" w:cs="宋体" w:hint="eastAsia"/>
                <w:b/>
                <w:bCs/>
                <w:color w:val="000000"/>
                <w:kern w:val="0"/>
                <w:sz w:val="18"/>
                <w:szCs w:val="18"/>
                <w:lang w:bidi="ar"/>
              </w:rPr>
              <w:t>性和安全性:</w:t>
            </w:r>
            <w:r>
              <w:rPr>
                <w:rStyle w:val="font81"/>
                <w:rFonts w:hint="default"/>
                <w:lang w:bidi="ar"/>
              </w:rPr>
              <w:t>部门（单位）使用预算资金是否符合相关的预算财务管理制度的规定，是否符合相关规定的开支范围，用以反映考核部门（单位）预算资金的规范运行和安全运行情况。</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①是否符合国家财经法规和财务管理制度规定以及有关专项资金管理办法的规定；</w:t>
            </w:r>
          </w:p>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②资金的拨付是否有完整的审批程序和手续；</w:t>
            </w:r>
          </w:p>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③项目的重大开支是否经过评估论证；</w:t>
            </w:r>
          </w:p>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④是否符合部门预算批复的用途；</w:t>
            </w:r>
          </w:p>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⑤是否存在截留、挤占、挪用情况；</w:t>
            </w:r>
          </w:p>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⑥资金使用是否符合政府采购的程序和流程；</w:t>
            </w:r>
          </w:p>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⑦资金使用是否符合公务卡结算相关制度和规定。</w:t>
            </w:r>
          </w:p>
          <w:p w:rsidR="00083C92" w:rsidRDefault="00083C92" w:rsidP="00AB546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每有一项不合格扣0.5分，扣完为止。</w:t>
            </w:r>
          </w:p>
        </w:tc>
      </w:tr>
      <w:tr w:rsidR="00083C92" w:rsidTr="00AB546E">
        <w:trPr>
          <w:trHeight w:val="210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会计基础信息完善性</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基础数据信息和会计信息资料真实、完整、准确</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lang w:bidi="ar"/>
              </w:rPr>
              <w:t>市体彩中心</w:t>
            </w:r>
            <w:proofErr w:type="gramEnd"/>
            <w:r>
              <w:rPr>
                <w:rFonts w:ascii="宋体" w:hAnsi="宋体" w:cs="宋体" w:hint="eastAsia"/>
                <w:color w:val="000000"/>
                <w:kern w:val="0"/>
                <w:sz w:val="20"/>
                <w:szCs w:val="20"/>
                <w:lang w:bidi="ar"/>
              </w:rPr>
              <w:t>基础数据信息和会计信息资料真实、准确。</w:t>
            </w:r>
          </w:p>
        </w:tc>
        <w:tc>
          <w:tcPr>
            <w:tcW w:w="2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2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会计基础信息完善性:</w:t>
            </w:r>
            <w:r>
              <w:rPr>
                <w:rStyle w:val="font81"/>
                <w:rFonts w:hint="default"/>
                <w:lang w:bidi="ar"/>
              </w:rPr>
              <w:t>部门（单位）会计基础信息情况。</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①基础数据信息和会计信息资料是否真实；</w:t>
            </w:r>
          </w:p>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②基础数据信息和会计信息资料是否完整；</w:t>
            </w:r>
          </w:p>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③基础数据信息和会计信息资料是否准确。</w:t>
            </w:r>
          </w:p>
          <w:p w:rsidR="00083C92" w:rsidRDefault="00083C92" w:rsidP="00AB546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每有一项不合格扣0.5分，扣完为止。</w:t>
            </w:r>
          </w:p>
        </w:tc>
      </w:tr>
      <w:tr w:rsidR="00083C92" w:rsidTr="00AB546E">
        <w:trPr>
          <w:trHeight w:val="234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资产管理（4）</w:t>
            </w: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资产管理规范性</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资产管理规范、资产安全完整、资产使用及处置合</w:t>
            </w:r>
            <w:proofErr w:type="gramStart"/>
            <w:r>
              <w:rPr>
                <w:rFonts w:ascii="宋体" w:hAnsi="宋体" w:cs="宋体" w:hint="eastAsia"/>
                <w:color w:val="000000"/>
                <w:kern w:val="0"/>
                <w:sz w:val="20"/>
                <w:szCs w:val="20"/>
                <w:lang w:bidi="ar"/>
              </w:rPr>
              <w:t>规</w:t>
            </w:r>
            <w:proofErr w:type="gramEnd"/>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2023年未发生资产对外投资、处置，管理不当造成资产损失的情况，不存在超标配置资产的问题，资产使用较为规范。</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2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 </w:t>
            </w:r>
          </w:p>
        </w:tc>
        <w:tc>
          <w:tcPr>
            <w:tcW w:w="12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资产管理规范性:</w:t>
            </w:r>
            <w:r>
              <w:rPr>
                <w:rStyle w:val="font81"/>
                <w:rFonts w:hint="default"/>
                <w:lang w:bidi="ar"/>
              </w:rPr>
              <w:t>部门（单位）的资产是否保持安全完整，资产配置是否合理，资产使用和资产处理是否规范，用以反映和考核部门（单位）资产管理的整体水平。</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083C92" w:rsidTr="00AB546E">
        <w:trPr>
          <w:trHeight w:val="442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绩效管理（4）</w:t>
            </w: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绩效管理情况</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按照北京市全面贯彻预算绩效管理的要求开展预算绩效管理</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2023年开展了重点项目绩效评价、部门整体支出绩效评价，开展项目成本绩效分析，组织各业务部门对项目进行绩效自评，年中对当年项目开展绩效运行监控，对申请2024年预算的各项</w:t>
            </w:r>
            <w:proofErr w:type="gramStart"/>
            <w:r>
              <w:rPr>
                <w:rFonts w:ascii="宋体" w:hAnsi="宋体" w:cs="宋体" w:hint="eastAsia"/>
                <w:color w:val="000000"/>
                <w:kern w:val="0"/>
                <w:sz w:val="20"/>
                <w:szCs w:val="20"/>
                <w:lang w:bidi="ar"/>
              </w:rPr>
              <w:t>目开展</w:t>
            </w:r>
            <w:proofErr w:type="gramEnd"/>
            <w:r>
              <w:rPr>
                <w:rFonts w:ascii="宋体" w:hAnsi="宋体" w:cs="宋体" w:hint="eastAsia"/>
                <w:color w:val="000000"/>
                <w:kern w:val="0"/>
                <w:sz w:val="20"/>
                <w:szCs w:val="20"/>
                <w:lang w:bidi="ar"/>
              </w:rPr>
              <w:t>了事前绩效评估和预算评审。</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2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 </w:t>
            </w:r>
          </w:p>
        </w:tc>
        <w:tc>
          <w:tcPr>
            <w:tcW w:w="12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绩效管理情况:</w:t>
            </w:r>
            <w:r>
              <w:rPr>
                <w:rStyle w:val="font81"/>
                <w:rFonts w:hint="default"/>
                <w:lang w:bidi="ar"/>
              </w:rPr>
              <w:t>考核部门（单位）在绩效管理信息的汇总和应用情况。</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①部门（单位）是否及时对绩效信息进行汇总分析整理；②部门（单位）是否对绩效目标偏离情况及时进行矫正。每有一项不合格扣2分。</w:t>
            </w:r>
          </w:p>
        </w:tc>
      </w:tr>
      <w:tr w:rsidR="00083C92" w:rsidTr="00AB546E">
        <w:trPr>
          <w:trHeight w:val="31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指标　</w:t>
            </w:r>
          </w:p>
        </w:tc>
        <w:tc>
          <w:tcPr>
            <w:tcW w:w="8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2022年</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2023年</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分值</w:t>
            </w:r>
          </w:p>
        </w:tc>
        <w:tc>
          <w:tcPr>
            <w:tcW w:w="2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得分</w:t>
            </w:r>
          </w:p>
        </w:tc>
        <w:tc>
          <w:tcPr>
            <w:tcW w:w="12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指标解释</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评分标准</w:t>
            </w:r>
          </w:p>
        </w:tc>
      </w:tr>
      <w:tr w:rsidR="00083C92" w:rsidTr="00AB546E">
        <w:trPr>
          <w:trHeight w:val="218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结转结余率（4）</w:t>
            </w:r>
          </w:p>
        </w:tc>
        <w:tc>
          <w:tcPr>
            <w:tcW w:w="8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2022年结转结余率=3.82%</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sz w:val="20"/>
                <w:szCs w:val="20"/>
              </w:rPr>
              <w:t>10.20%</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2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1.6 </w:t>
            </w:r>
          </w:p>
        </w:tc>
        <w:tc>
          <w:tcPr>
            <w:tcW w:w="12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结转结余率=结转结余总额/支出预算数×100%。</w:t>
            </w:r>
          </w:p>
          <w:p w:rsidR="00083C92" w:rsidRDefault="00083C92" w:rsidP="00AB546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结转结余总额：部门（单位）本年度的结转资金与结余资金之</w:t>
            </w:r>
            <w:proofErr w:type="gramStart"/>
            <w:r>
              <w:rPr>
                <w:rFonts w:ascii="宋体" w:hAnsi="宋体" w:cs="宋体" w:hint="eastAsia"/>
                <w:color w:val="000000"/>
                <w:kern w:val="0"/>
                <w:sz w:val="18"/>
                <w:szCs w:val="18"/>
                <w:lang w:bidi="ar"/>
              </w:rPr>
              <w:t>和</w:t>
            </w:r>
            <w:proofErr w:type="gramEnd"/>
            <w:r>
              <w:rPr>
                <w:rFonts w:ascii="宋体" w:hAnsi="宋体" w:cs="宋体" w:hint="eastAsia"/>
                <w:color w:val="000000"/>
                <w:kern w:val="0"/>
                <w:sz w:val="18"/>
                <w:szCs w:val="18"/>
                <w:lang w:bidi="ar"/>
              </w:rPr>
              <w:t>。</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部门结转结余率低于上年的不扣分；高于上年结余率，每高出1个百分点扣0.4分，扣完为止。（说明：预算调整和结转结余指标，如</w:t>
            </w:r>
            <w:proofErr w:type="gramStart"/>
            <w:r>
              <w:rPr>
                <w:rFonts w:ascii="宋体" w:hAnsi="宋体" w:cs="宋体" w:hint="eastAsia"/>
                <w:color w:val="000000"/>
                <w:kern w:val="0"/>
                <w:sz w:val="18"/>
                <w:szCs w:val="18"/>
                <w:lang w:bidi="ar"/>
              </w:rPr>
              <w:t>非预算</w:t>
            </w:r>
            <w:proofErr w:type="gramEnd"/>
            <w:r>
              <w:rPr>
                <w:rFonts w:ascii="宋体" w:hAnsi="宋体" w:cs="宋体" w:hint="eastAsia"/>
                <w:color w:val="000000"/>
                <w:kern w:val="0"/>
                <w:sz w:val="18"/>
                <w:szCs w:val="18"/>
                <w:lang w:bidi="ar"/>
              </w:rPr>
              <w:t>部门主观因素导致扣分的，在评分结果征求意见环节，经与相关部门预算主管处室共同研究，可作为例外情况酌情考虑。）</w:t>
            </w:r>
          </w:p>
        </w:tc>
      </w:tr>
      <w:tr w:rsidR="00083C92" w:rsidTr="00AB546E">
        <w:trPr>
          <w:trHeight w:val="2910"/>
          <w:jc w:val="center"/>
        </w:trPr>
        <w:tc>
          <w:tcPr>
            <w:tcW w:w="30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color w:val="000000"/>
                <w:sz w:val="20"/>
                <w:szCs w:val="20"/>
              </w:rPr>
            </w:pP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部门预决算差异率（4）</w:t>
            </w:r>
          </w:p>
        </w:tc>
        <w:tc>
          <w:tcPr>
            <w:tcW w:w="8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7.52%</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2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 </w:t>
            </w:r>
          </w:p>
        </w:tc>
        <w:tc>
          <w:tcPr>
            <w:tcW w:w="12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通过年度部门决算与年初部门预算对比，对部门的年度支出情况进行考核，衡量部门预算的约束力。</w:t>
            </w:r>
          </w:p>
        </w:tc>
        <w:tc>
          <w:tcPr>
            <w:tcW w:w="12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部门预决算差异率高于市级平均差异率（28.3%）的，每高出10%（含），扣0.4分，扣完为止。</w:t>
            </w:r>
          </w:p>
        </w:tc>
      </w:tr>
      <w:tr w:rsidR="00083C92" w:rsidTr="00AB546E">
        <w:trPr>
          <w:trHeight w:val="310"/>
          <w:jc w:val="center"/>
        </w:trPr>
        <w:tc>
          <w:tcPr>
            <w:tcW w:w="1929"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合计</w:t>
            </w:r>
          </w:p>
        </w:tc>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100</w:t>
            </w:r>
          </w:p>
        </w:tc>
        <w:tc>
          <w:tcPr>
            <w:tcW w:w="2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93.1 </w:t>
            </w:r>
          </w:p>
        </w:tc>
        <w:tc>
          <w:tcPr>
            <w:tcW w:w="254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3C92" w:rsidRDefault="00083C92" w:rsidP="00AB546E">
            <w:pPr>
              <w:jc w:val="center"/>
              <w:rPr>
                <w:rFonts w:ascii="宋体" w:hAnsi="宋体" w:cs="宋体"/>
                <w:b/>
                <w:bCs/>
                <w:color w:val="000000"/>
                <w:sz w:val="18"/>
                <w:szCs w:val="18"/>
              </w:rPr>
            </w:pPr>
          </w:p>
        </w:tc>
      </w:tr>
    </w:tbl>
    <w:p w:rsidR="00083C92" w:rsidRDefault="00083C92" w:rsidP="00083C92">
      <w:pPr>
        <w:spacing w:line="20" w:lineRule="exact"/>
        <w:rPr>
          <w:rFonts w:ascii="方正小标宋简体" w:eastAsia="方正小标宋简体"/>
          <w:sz w:val="36"/>
          <w:szCs w:val="36"/>
        </w:rPr>
      </w:pPr>
    </w:p>
    <w:p w:rsidR="00083C92" w:rsidRDefault="00083C92" w:rsidP="00083C92"/>
    <w:p w:rsidR="002D2A4E" w:rsidRPr="00AC5D63" w:rsidRDefault="002D2A4E">
      <w:pPr>
        <w:rPr>
          <w:rFonts w:hint="eastAsia"/>
        </w:rPr>
      </w:pPr>
    </w:p>
    <w:sectPr w:rsidR="002D2A4E" w:rsidRPr="00AC5D63">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AB6" w:rsidRDefault="00402AB6" w:rsidP="00847650">
      <w:r>
        <w:separator/>
      </w:r>
    </w:p>
  </w:endnote>
  <w:endnote w:type="continuationSeparator" w:id="0">
    <w:p w:rsidR="00402AB6" w:rsidRDefault="00402AB6" w:rsidP="00847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D63" w:rsidRDefault="00AC5D63">
    <w:pPr>
      <w:pStyle w:val="a6"/>
      <w:ind w:firstLine="360"/>
      <w:jc w:val="center"/>
      <w:rPr>
        <w:sz w:val="21"/>
        <w:szCs w:val="21"/>
      </w:rPr>
    </w:pPr>
    <w:r>
      <w:rPr>
        <w:noProof/>
      </w:rPr>
      <mc:AlternateContent>
        <mc:Choice Requires="wps">
          <w:drawing>
            <wp:anchor distT="0" distB="0" distL="114300" distR="114300" simplePos="0" relativeHeight="251659264" behindDoc="0" locked="0" layoutInCell="1" allowOverlap="1" wp14:anchorId="72704016" wp14:editId="575780A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C5D63" w:rsidRDefault="00AC5D63">
                          <w:pPr>
                            <w:pStyle w:val="a6"/>
                          </w:pPr>
                          <w:r>
                            <w:fldChar w:fldCharType="begin"/>
                          </w:r>
                          <w:r>
                            <w:instrText xml:space="preserve"> PAGE  \* MERGEFORMAT </w:instrText>
                          </w:r>
                          <w:r>
                            <w:fldChar w:fldCharType="separate"/>
                          </w:r>
                          <w:r w:rsidR="00083C92">
                            <w:rPr>
                              <w:noProof/>
                            </w:rPr>
                            <w:t>25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2704016"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C5D63" w:rsidRDefault="00AC5D63">
                    <w:pPr>
                      <w:pStyle w:val="a6"/>
                    </w:pPr>
                    <w:r>
                      <w:fldChar w:fldCharType="begin"/>
                    </w:r>
                    <w:r>
                      <w:instrText xml:space="preserve"> PAGE  \* MERGEFORMAT </w:instrText>
                    </w:r>
                    <w:r>
                      <w:fldChar w:fldCharType="separate"/>
                    </w:r>
                    <w:r w:rsidR="00083C92">
                      <w:rPr>
                        <w:noProof/>
                      </w:rPr>
                      <w:t>25</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CBE" w:rsidRDefault="00402AB6">
    <w:pPr>
      <w:pStyle w:val="a6"/>
      <w:jc w:val="right"/>
    </w:pPr>
    <w:r>
      <w:rPr>
        <w:noProof/>
        <w:sz w:val="28"/>
      </w:rPr>
      <mc:AlternateContent>
        <mc:Choice Requires="wps">
          <w:drawing>
            <wp:anchor distT="0" distB="0" distL="114300" distR="114300" simplePos="0" relativeHeight="251661312" behindDoc="0" locked="0" layoutInCell="1" allowOverlap="1" wp14:anchorId="4BD69B42" wp14:editId="030F0C72">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1B5CBE" w:rsidRDefault="00402AB6">
                          <w:pPr>
                            <w:pStyle w:val="a6"/>
                          </w:pPr>
                          <w:r>
                            <w:fldChar w:fldCharType="begin"/>
                          </w:r>
                          <w:r>
                            <w:instrText xml:space="preserve"> PAGE  \* MERGEFORMAT </w:instrText>
                          </w:r>
                          <w:r>
                            <w:fldChar w:fldCharType="separate"/>
                          </w:r>
                          <w:r w:rsidR="00083C92">
                            <w:rPr>
                              <w:noProof/>
                            </w:rPr>
                            <w:t>34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BD69B42"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" filled="f" stroked="f" strokeweight=".5pt">
              <v:textbox style="mso-fit-shape-to-text:t" inset="0,0,0,0">
                <w:txbxContent>
                  <w:p w:rsidR="001B5CBE" w:rsidRDefault="00402AB6">
                    <w:pPr>
                      <w:pStyle w:val="a6"/>
                    </w:pPr>
                    <w:r>
                      <w:fldChar w:fldCharType="begin"/>
                    </w:r>
                    <w:r>
                      <w:instrText xml:space="preserve"> PAGE  \* MERGEFORMAT </w:instrText>
                    </w:r>
                    <w:r>
                      <w:fldChar w:fldCharType="separate"/>
                    </w:r>
                    <w:r w:rsidR="00083C92">
                      <w:rPr>
                        <w:noProof/>
                      </w:rPr>
                      <w:t>34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AB6" w:rsidRDefault="00402AB6" w:rsidP="00847650">
      <w:r>
        <w:separator/>
      </w:r>
    </w:p>
  </w:footnote>
  <w:footnote w:type="continuationSeparator" w:id="0">
    <w:p w:rsidR="00402AB6" w:rsidRDefault="00402AB6" w:rsidP="008476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B82"/>
    <w:rsid w:val="00083C92"/>
    <w:rsid w:val="002C770A"/>
    <w:rsid w:val="002D2A4E"/>
    <w:rsid w:val="0033257B"/>
    <w:rsid w:val="00402AB6"/>
    <w:rsid w:val="00730B82"/>
    <w:rsid w:val="00847650"/>
    <w:rsid w:val="00AC5D63"/>
    <w:rsid w:val="00DA7536"/>
    <w:rsid w:val="00FF7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F7FD4"/>
  <w15:chartTrackingRefBased/>
  <w15:docId w15:val="{9634740D-81AD-4FD3-8D7E-8F73B9840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rsid w:val="00847650"/>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4765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1"/>
    <w:link w:val="a4"/>
    <w:uiPriority w:val="99"/>
    <w:rsid w:val="00847650"/>
    <w:rPr>
      <w:sz w:val="18"/>
      <w:szCs w:val="18"/>
    </w:rPr>
  </w:style>
  <w:style w:type="paragraph" w:styleId="a6">
    <w:name w:val="footer"/>
    <w:basedOn w:val="a"/>
    <w:link w:val="a7"/>
    <w:uiPriority w:val="99"/>
    <w:unhideWhenUsed/>
    <w:qFormat/>
    <w:rsid w:val="0084765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1"/>
    <w:link w:val="a6"/>
    <w:uiPriority w:val="99"/>
    <w:rsid w:val="00847650"/>
    <w:rPr>
      <w:sz w:val="18"/>
      <w:szCs w:val="18"/>
    </w:rPr>
  </w:style>
  <w:style w:type="paragraph" w:styleId="a0">
    <w:name w:val="Title"/>
    <w:basedOn w:val="a"/>
    <w:next w:val="a"/>
    <w:link w:val="a8"/>
    <w:uiPriority w:val="10"/>
    <w:qFormat/>
    <w:rsid w:val="00847650"/>
    <w:pPr>
      <w:spacing w:before="240" w:after="60"/>
      <w:jc w:val="center"/>
      <w:outlineLvl w:val="0"/>
    </w:pPr>
    <w:rPr>
      <w:rFonts w:asciiTheme="majorHAnsi" w:eastAsiaTheme="majorEastAsia" w:hAnsiTheme="majorHAnsi" w:cstheme="majorBidi"/>
      <w:b/>
      <w:bCs/>
      <w:sz w:val="32"/>
      <w:szCs w:val="32"/>
    </w:rPr>
  </w:style>
  <w:style w:type="character" w:customStyle="1" w:styleId="a8">
    <w:name w:val="标题 字符"/>
    <w:basedOn w:val="a1"/>
    <w:link w:val="a0"/>
    <w:uiPriority w:val="10"/>
    <w:rsid w:val="00847650"/>
    <w:rPr>
      <w:rFonts w:asciiTheme="majorHAnsi" w:eastAsiaTheme="majorEastAsia" w:hAnsiTheme="majorHAnsi" w:cstheme="majorBidi"/>
      <w:b/>
      <w:bCs/>
      <w:sz w:val="32"/>
      <w:szCs w:val="32"/>
    </w:rPr>
  </w:style>
  <w:style w:type="paragraph" w:styleId="a9">
    <w:name w:val="Body Text"/>
    <w:basedOn w:val="a"/>
    <w:link w:val="aa"/>
    <w:autoRedefine/>
    <w:uiPriority w:val="99"/>
    <w:qFormat/>
    <w:rsid w:val="00847650"/>
    <w:pPr>
      <w:ind w:firstLine="200"/>
    </w:pPr>
    <w:rPr>
      <w:rFonts w:ascii="仿宋_GB2312" w:eastAsia="仿宋_GB2312"/>
      <w:sz w:val="30"/>
      <w:szCs w:val="22"/>
    </w:rPr>
  </w:style>
  <w:style w:type="character" w:customStyle="1" w:styleId="aa">
    <w:name w:val="正文文本 字符"/>
    <w:basedOn w:val="a1"/>
    <w:link w:val="a9"/>
    <w:uiPriority w:val="99"/>
    <w:rsid w:val="00847650"/>
    <w:rPr>
      <w:rFonts w:ascii="仿宋_GB2312" w:eastAsia="仿宋_GB2312" w:hAnsi="Times New Roman" w:cs="Times New Roman"/>
      <w:sz w:val="30"/>
    </w:rPr>
  </w:style>
  <w:style w:type="paragraph" w:styleId="ab">
    <w:name w:val="Normal Indent"/>
    <w:basedOn w:val="a"/>
    <w:autoRedefine/>
    <w:qFormat/>
    <w:rsid w:val="00AC5D63"/>
    <w:pPr>
      <w:ind w:firstLine="420"/>
    </w:pPr>
    <w:rPr>
      <w:szCs w:val="20"/>
    </w:rPr>
  </w:style>
  <w:style w:type="paragraph" w:styleId="2">
    <w:name w:val="Body Text Indent 2"/>
    <w:basedOn w:val="a"/>
    <w:link w:val="20"/>
    <w:autoRedefine/>
    <w:qFormat/>
    <w:rsid w:val="00AC5D63"/>
    <w:pPr>
      <w:spacing w:after="120" w:line="480" w:lineRule="auto"/>
      <w:ind w:leftChars="200" w:left="420"/>
    </w:pPr>
  </w:style>
  <w:style w:type="character" w:customStyle="1" w:styleId="20">
    <w:name w:val="正文文本缩进 2 字符"/>
    <w:basedOn w:val="a1"/>
    <w:link w:val="2"/>
    <w:rsid w:val="00AC5D63"/>
    <w:rPr>
      <w:rFonts w:ascii="Times New Roman" w:eastAsia="宋体" w:hAnsi="Times New Roman" w:cs="Times New Roman"/>
      <w:szCs w:val="24"/>
    </w:rPr>
  </w:style>
  <w:style w:type="character" w:customStyle="1" w:styleId="font31">
    <w:name w:val="font31"/>
    <w:basedOn w:val="a1"/>
    <w:autoRedefine/>
    <w:qFormat/>
    <w:rsid w:val="00083C92"/>
    <w:rPr>
      <w:rFonts w:ascii="宋体" w:eastAsia="宋体" w:hAnsi="宋体" w:cs="宋体" w:hint="eastAsia"/>
      <w:b/>
      <w:bCs/>
      <w:color w:val="000000"/>
      <w:sz w:val="20"/>
      <w:szCs w:val="20"/>
      <w:u w:val="none"/>
    </w:rPr>
  </w:style>
  <w:style w:type="character" w:customStyle="1" w:styleId="font81">
    <w:name w:val="font81"/>
    <w:basedOn w:val="a1"/>
    <w:autoRedefine/>
    <w:qFormat/>
    <w:rsid w:val="00083C92"/>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35</Pages>
  <Words>2483</Words>
  <Characters>14158</Characters>
  <Application>Microsoft Office Word</Application>
  <DocSecurity>0</DocSecurity>
  <Lines>117</Lines>
  <Paragraphs>33</Paragraphs>
  <ScaleCrop>false</ScaleCrop>
  <Company>Lenovo</Company>
  <LinksUpToDate>false</LinksUpToDate>
  <CharactersWithSpaces>16608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cp:revision>
  <dcterms:created xsi:type="dcterms:W3CDTF">2024-06-07T06:34:00Z</dcterms:created>
  <dcterms:modified xsi:type="dcterms:W3CDTF">2024-08-12T02:34:00Z</dcterms:modified>
</cp:coreProperties>
</file>