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p>
    <w:p>
      <w:pPr>
        <w:jc w:val="center"/>
        <w:rPr>
          <w:b/>
          <w:bCs/>
          <w:sz w:val="52"/>
          <w:szCs w:val="52"/>
        </w:rPr>
      </w:pPr>
    </w:p>
    <w:p>
      <w:pPr>
        <w:jc w:val="center"/>
        <w:rPr>
          <w:b/>
          <w:bCs/>
          <w:sz w:val="52"/>
          <w:szCs w:val="52"/>
        </w:rPr>
      </w:pPr>
    </w:p>
    <w:p>
      <w:pPr>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rPr>
        <w:t>北京市</w:t>
      </w:r>
      <w:r>
        <w:rPr>
          <w:rFonts w:hint="eastAsia" w:ascii="方正小标宋简体" w:hAnsi="方正小标宋简体" w:eastAsia="方正小标宋简体" w:cs="方正小标宋简体"/>
          <w:b w:val="0"/>
          <w:bCs w:val="0"/>
          <w:sz w:val="52"/>
          <w:szCs w:val="52"/>
          <w:lang w:val="en-US" w:eastAsia="zh-CN"/>
        </w:rPr>
        <w:t>朝阳区</w:t>
      </w:r>
      <w:r>
        <w:rPr>
          <w:rFonts w:hint="eastAsia" w:ascii="方正小标宋简体" w:hAnsi="方正小标宋简体" w:eastAsia="方正小标宋简体" w:cs="方正小标宋简体"/>
          <w:b w:val="0"/>
          <w:bCs w:val="0"/>
          <w:sz w:val="52"/>
          <w:szCs w:val="52"/>
        </w:rPr>
        <w:t>人民检察院</w:t>
      </w:r>
    </w:p>
    <w:p>
      <w:pPr>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rPr>
        <w:t>202</w:t>
      </w:r>
      <w:r>
        <w:rPr>
          <w:rFonts w:hint="eastAsia" w:ascii="方正小标宋简体" w:hAnsi="方正小标宋简体" w:eastAsia="方正小标宋简体" w:cs="方正小标宋简体"/>
          <w:b w:val="0"/>
          <w:bCs w:val="0"/>
          <w:sz w:val="52"/>
          <w:szCs w:val="52"/>
          <w:lang w:val="en-US" w:eastAsia="zh-CN"/>
        </w:rPr>
        <w:t>3</w:t>
      </w:r>
      <w:r>
        <w:rPr>
          <w:rFonts w:hint="eastAsia" w:ascii="方正小标宋简体" w:hAnsi="方正小标宋简体" w:eastAsia="方正小标宋简体" w:cs="方正小标宋简体"/>
          <w:b w:val="0"/>
          <w:bCs w:val="0"/>
          <w:sz w:val="52"/>
          <w:szCs w:val="52"/>
        </w:rPr>
        <w:t>年度部门整体绩效评价报告</w:t>
      </w:r>
    </w:p>
    <w:p>
      <w:pPr>
        <w:jc w:val="center"/>
        <w:rPr>
          <w:b/>
          <w:bCs/>
          <w:sz w:val="52"/>
        </w:rPr>
      </w:pPr>
    </w:p>
    <w:p>
      <w:pPr>
        <w:rPr>
          <w:rFonts w:eastAsia="黑体"/>
          <w:sz w:val="30"/>
        </w:rPr>
      </w:pPr>
    </w:p>
    <w:p>
      <w:pPr>
        <w:rPr>
          <w:rFonts w:eastAsia="黑体"/>
          <w:sz w:val="30"/>
        </w:rPr>
      </w:pPr>
    </w:p>
    <w:p>
      <w:pPr>
        <w:jc w:val="center"/>
        <w:rPr>
          <w:rFonts w:eastAsia="黑体"/>
          <w:sz w:val="30"/>
        </w:rPr>
      </w:pPr>
    </w:p>
    <w:p>
      <w:pPr>
        <w:jc w:val="center"/>
        <w:rPr>
          <w:rFonts w:eastAsia="黑体"/>
          <w:sz w:val="30"/>
        </w:rPr>
      </w:pPr>
    </w:p>
    <w:p>
      <w:pPr>
        <w:jc w:val="center"/>
        <w:rPr>
          <w:rFonts w:eastAsia="黑体"/>
          <w:sz w:val="30"/>
        </w:rPr>
      </w:pPr>
    </w:p>
    <w:p>
      <w:pPr>
        <w:rPr>
          <w:rFonts w:eastAsia="黑体"/>
          <w:sz w:val="30"/>
          <w:u w:val="single"/>
        </w:rPr>
      </w:pPr>
    </w:p>
    <w:p>
      <w:pPr>
        <w:rPr>
          <w:rFonts w:eastAsia="黑体"/>
          <w:sz w:val="30"/>
          <w:u w:val="single"/>
        </w:rPr>
      </w:pPr>
    </w:p>
    <w:p>
      <w:pPr>
        <w:rPr>
          <w:rFonts w:eastAsia="黑体"/>
          <w:sz w:val="30"/>
          <w:u w:val="single"/>
        </w:rPr>
      </w:pPr>
    </w:p>
    <w:p>
      <w:pPr>
        <w:pStyle w:val="4"/>
        <w:keepNext w:val="0"/>
        <w:keepLines w:val="0"/>
        <w:pageBreakBefore w:val="0"/>
        <w:widowControl w:val="0"/>
        <w:kinsoku/>
        <w:wordWrap/>
        <w:overflowPunct/>
        <w:topLinePunct w:val="0"/>
        <w:autoSpaceDE/>
        <w:autoSpaceDN/>
        <w:bidi w:val="0"/>
        <w:adjustRightInd/>
        <w:snapToGrid/>
        <w:spacing w:beforeAutospacing="0" w:afterAutospacing="0"/>
        <w:ind w:left="0" w:leftChars="0" w:firstLine="0" w:firstLineChars="0"/>
        <w:jc w:val="center"/>
        <w:textAlignment w:val="auto"/>
      </w:pPr>
      <w:r>
        <w:rPr>
          <w:rFonts w:hint="eastAsia" w:ascii="Arial" w:hAnsi="Arial" w:cs="Arial"/>
          <w:b w:val="0"/>
          <w:bCs w:val="0"/>
          <w:sz w:val="32"/>
          <w:szCs w:val="32"/>
          <w:lang w:val="en-US" w:eastAsia="zh-CN"/>
        </w:rPr>
        <w:t>北京国创中博信息咨询有限公司</w:t>
      </w:r>
    </w:p>
    <w:p>
      <w:bookmarkStart w:id="27" w:name="_GoBack"/>
      <w:bookmarkEnd w:id="27"/>
    </w:p>
    <w:p>
      <w:pPr>
        <w:jc w:val="center"/>
        <w:rPr>
          <w:rFonts w:hint="eastAsia" w:ascii="方正小标宋简体" w:hAnsi="方正小标宋简体" w:eastAsia="方正小标宋简体" w:cs="方正小标宋简体"/>
          <w:sz w:val="36"/>
          <w:szCs w:val="36"/>
          <w:lang w:val="en-US" w:eastAsia="zh-CN"/>
        </w:rPr>
      </w:pPr>
      <w:r>
        <w:rPr>
          <w:rFonts w:hint="eastAsia" w:ascii="宋体" w:hAnsi="宋体" w:eastAsia="宋体"/>
          <w:b w:val="0"/>
          <w:bCs w:val="0"/>
          <w:sz w:val="32"/>
          <w:szCs w:val="32"/>
          <w:lang w:val="en-US" w:eastAsia="zh-CN"/>
        </w:rPr>
        <w:t>二零二四年五月</w:t>
      </w:r>
    </w:p>
    <w:p>
      <w:pPr>
        <w:rPr>
          <w:rFonts w:ascii="方正小标宋简体" w:eastAsia="方正小标宋简体"/>
          <w:sz w:val="36"/>
          <w:szCs w:val="36"/>
        </w:rPr>
      </w:pPr>
      <w:r>
        <w:rPr>
          <w:rFonts w:hint="eastAsia" w:ascii="方正小标宋简体" w:eastAsia="方正小标宋简体"/>
          <w:sz w:val="36"/>
          <w:szCs w:val="36"/>
        </w:rPr>
        <w:br w:type="page"/>
      </w:r>
    </w:p>
    <w:p>
      <w:pPr>
        <w:pStyle w:val="9"/>
        <w:tabs>
          <w:tab w:val="right" w:leader="dot" w:pos="8306"/>
        </w:tabs>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目 录</w:t>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TOC \o "1-3" \h \u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_Toc28059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kern w:val="0"/>
          <w:sz w:val="32"/>
          <w:szCs w:val="32"/>
          <w:highlight w:val="none"/>
        </w:rPr>
        <w:t>一、部门概况</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_Toc28059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320" w:firstLineChars="10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_Toc2414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（一）机构设置及职责工作任务情况</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_Toc2414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_Toc31698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val="en-US" w:eastAsia="zh-CN"/>
        </w:rPr>
        <w:t>1.</w:t>
      </w:r>
      <w:r>
        <w:rPr>
          <w:rFonts w:hint="eastAsia" w:asciiTheme="majorEastAsia" w:hAnsiTheme="majorEastAsia" w:eastAsiaTheme="majorEastAsia" w:cstheme="majorEastAsia"/>
          <w:sz w:val="32"/>
          <w:szCs w:val="32"/>
          <w:highlight w:val="none"/>
        </w:rPr>
        <w:t>部门机构设置</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_Toc31698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_Toc15869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val="en-US" w:eastAsia="zh-CN"/>
        </w:rPr>
        <w:t>2.职责工作任务情况</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_Toc15869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320" w:firstLineChars="10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_Toc10920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eastAsia="zh-CN"/>
        </w:rPr>
        <w:t>（二）</w:t>
      </w:r>
      <w:r>
        <w:rPr>
          <w:rFonts w:hint="eastAsia" w:asciiTheme="majorEastAsia" w:hAnsiTheme="majorEastAsia" w:eastAsiaTheme="majorEastAsia" w:cstheme="majorEastAsia"/>
          <w:sz w:val="32"/>
          <w:szCs w:val="32"/>
          <w:highlight w:val="none"/>
        </w:rPr>
        <w:t>部门整体绩效目标设立情况</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_Toc10920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3</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_Toc3471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kern w:val="0"/>
          <w:sz w:val="32"/>
          <w:szCs w:val="32"/>
          <w:highlight w:val="none"/>
        </w:rPr>
        <w:t>二、当年预算执行情况</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_Toc3471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3</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_Toc25302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kern w:val="0"/>
          <w:sz w:val="32"/>
          <w:szCs w:val="32"/>
          <w:highlight w:val="none"/>
        </w:rPr>
        <w:t>三、整体绩效目标实现情况</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_Toc25302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4</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320" w:firstLineChars="10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_Toc16125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（一）产出完成情况分析</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_Toc16125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4</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_Toc21706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val="en-US" w:eastAsia="zh-CN"/>
        </w:rPr>
        <w:t>1.产出数量</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_Toc21706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4</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_Toc6666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val="en-US" w:eastAsia="zh-CN"/>
        </w:rPr>
        <w:t>2.产出质量</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_Toc6666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4</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_Toc26113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val="en-US" w:eastAsia="zh-CN"/>
        </w:rPr>
        <w:t>3.产出时效</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_Toc26113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5</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_Toc24550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val="en-US" w:eastAsia="zh-CN"/>
        </w:rPr>
        <w:t>4.产出成本</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_Toc24550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6</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320" w:firstLineChars="10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_Toc1547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（二）效果实现情况分析</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_Toc1547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6</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_Toc4242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kern w:val="0"/>
          <w:sz w:val="32"/>
          <w:szCs w:val="32"/>
          <w:highlight w:val="none"/>
          <w:lang w:val="en-US" w:eastAsia="zh-CN"/>
        </w:rPr>
        <w:t>1</w:t>
      </w:r>
      <w:r>
        <w:rPr>
          <w:rFonts w:hint="eastAsia" w:asciiTheme="majorEastAsia" w:hAnsiTheme="majorEastAsia" w:eastAsiaTheme="majorEastAsia" w:cstheme="majorEastAsia"/>
          <w:sz w:val="32"/>
          <w:szCs w:val="32"/>
          <w:highlight w:val="none"/>
          <w:lang w:val="en-US" w:eastAsia="zh-CN"/>
        </w:rPr>
        <w:t>.社会效益</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_Toc4242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6</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_Toc4300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val="en-US" w:eastAsia="zh-CN"/>
        </w:rPr>
        <w:t>2.可持续影响</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_Toc4300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6</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42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_Toc11427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lang w:val="en-US" w:eastAsia="zh-CN"/>
        </w:rPr>
        <w:t>3.服务对象满意度</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_Toc11427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6</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_Toc20413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kern w:val="0"/>
          <w:sz w:val="32"/>
          <w:szCs w:val="32"/>
          <w:highlight w:val="none"/>
        </w:rPr>
        <w:t>四、预算管理情况分析</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_Toc20413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7</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_Toc24064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（一）财务管理</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_Toc24064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7</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_Toc31287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（二）资产管理</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_Toc31287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8</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_Toc1920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（三）绩效管理</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_Toc1920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8</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_Toc21773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（四）结转结余率</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_Toc21773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9</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320" w:firstLineChars="10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_Toc31387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（五）部门预决算差异率</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_Toc31387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9</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_Toc21506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五、总体评价结论</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_Toc21506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10</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_Toc19340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（一）评价得分情况</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_Toc19340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10</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firstLine="420" w:firstLine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_Toc29659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sz w:val="32"/>
          <w:szCs w:val="32"/>
          <w:highlight w:val="none"/>
        </w:rPr>
        <w:t>（二）存在的问题及原因分析</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_Toc29659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10</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_Toc16278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kern w:val="0"/>
          <w:sz w:val="32"/>
          <w:szCs w:val="32"/>
          <w:highlight w:val="none"/>
        </w:rPr>
        <w:t>六、措施建议</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_Toc16278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10</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560" w:lineRule="exact"/>
        <w:ind w:left="0" w:leftChars="0"/>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fldChar w:fldCharType="begin"/>
      </w:r>
      <w:r>
        <w:rPr>
          <w:rFonts w:hint="eastAsia" w:asciiTheme="majorEastAsia" w:hAnsiTheme="majorEastAsia" w:eastAsiaTheme="majorEastAsia" w:cstheme="majorEastAsia"/>
          <w:sz w:val="32"/>
          <w:szCs w:val="32"/>
          <w:lang w:val="en-US" w:eastAsia="zh-CN"/>
        </w:rPr>
        <w:instrText xml:space="preserve"> HYPERLINK \l _Toc31264 </w:instrText>
      </w:r>
      <w:r>
        <w:rPr>
          <w:rFonts w:hint="eastAsia" w:asciiTheme="majorEastAsia" w:hAnsiTheme="majorEastAsia" w:eastAsiaTheme="majorEastAsia" w:cstheme="majorEastAsia"/>
          <w:sz w:val="32"/>
          <w:szCs w:val="32"/>
          <w:lang w:val="en-US" w:eastAsia="zh-CN"/>
        </w:rPr>
        <w:fldChar w:fldCharType="separate"/>
      </w:r>
      <w:r>
        <w:rPr>
          <w:rFonts w:hint="eastAsia" w:asciiTheme="majorEastAsia" w:hAnsiTheme="majorEastAsia" w:eastAsiaTheme="majorEastAsia" w:cstheme="majorEastAsia"/>
          <w:kern w:val="0"/>
          <w:sz w:val="32"/>
          <w:szCs w:val="32"/>
          <w:highlight w:val="none"/>
          <w:lang w:val="en-US" w:eastAsia="zh-CN"/>
        </w:rPr>
        <w:t>七、附件</w:t>
      </w:r>
      <w:r>
        <w:rPr>
          <w:rFonts w:hint="eastAsia" w:asciiTheme="majorEastAsia" w:hAnsiTheme="majorEastAsia" w:eastAsiaTheme="majorEastAsia" w:cstheme="majorEastAsia"/>
          <w:sz w:val="32"/>
          <w:szCs w:val="32"/>
        </w:rPr>
        <w:tab/>
      </w:r>
      <w:r>
        <w:rPr>
          <w:rFonts w:hint="eastAsia" w:asciiTheme="majorEastAsia" w:hAnsiTheme="majorEastAsia" w:eastAsiaTheme="majorEastAsia" w:cstheme="majorEastAsia"/>
          <w:sz w:val="32"/>
          <w:szCs w:val="32"/>
        </w:rPr>
        <w:fldChar w:fldCharType="begin"/>
      </w:r>
      <w:r>
        <w:rPr>
          <w:rFonts w:hint="eastAsia" w:asciiTheme="majorEastAsia" w:hAnsiTheme="majorEastAsia" w:eastAsiaTheme="majorEastAsia" w:cstheme="majorEastAsia"/>
          <w:sz w:val="32"/>
          <w:szCs w:val="32"/>
        </w:rPr>
        <w:instrText xml:space="preserve"> PAGEREF _Toc31264 \h </w:instrText>
      </w:r>
      <w:r>
        <w:rPr>
          <w:rFonts w:hint="eastAsia" w:asciiTheme="majorEastAsia" w:hAnsiTheme="majorEastAsia" w:eastAsiaTheme="majorEastAsia" w:cstheme="majorEastAsia"/>
          <w:sz w:val="32"/>
          <w:szCs w:val="32"/>
        </w:rPr>
        <w:fldChar w:fldCharType="separate"/>
      </w:r>
      <w:r>
        <w:rPr>
          <w:rFonts w:hint="eastAsia" w:asciiTheme="majorEastAsia" w:hAnsiTheme="majorEastAsia" w:eastAsiaTheme="majorEastAsia" w:cstheme="majorEastAsia"/>
          <w:sz w:val="32"/>
          <w:szCs w:val="32"/>
        </w:rPr>
        <w:t>11</w:t>
      </w:r>
      <w:r>
        <w:rPr>
          <w:rFonts w:hint="eastAsia" w:asciiTheme="majorEastAsia" w:hAnsiTheme="majorEastAsia" w:eastAsiaTheme="majorEastAsia" w:cstheme="majorEastAsia"/>
          <w:sz w:val="32"/>
          <w:szCs w:val="32"/>
        </w:rPr>
        <w:fldChar w:fldCharType="end"/>
      </w:r>
      <w:r>
        <w:rPr>
          <w:rFonts w:hint="eastAsia" w:asciiTheme="majorEastAsia" w:hAnsiTheme="majorEastAsia" w:eastAsiaTheme="majorEastAsia" w:cstheme="majorEastAsia"/>
          <w:sz w:val="32"/>
          <w:szCs w:val="32"/>
          <w:lang w:val="en-US" w:eastAsia="zh-CN"/>
        </w:rPr>
        <w:fldChar w:fldCharType="end"/>
      </w: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textAlignment w:val="auto"/>
        <w:rPr>
          <w:rFonts w:hint="eastAsia"/>
          <w:lang w:val="en-US" w:eastAsia="zh-CN"/>
        </w:rPr>
      </w:pPr>
      <w:r>
        <w:rPr>
          <w:rFonts w:hint="eastAsia" w:asciiTheme="majorEastAsia" w:hAnsiTheme="majorEastAsia" w:eastAsiaTheme="majorEastAsia" w:cstheme="majorEastAsia"/>
          <w:sz w:val="32"/>
          <w:szCs w:val="32"/>
          <w:lang w:val="en-US" w:eastAsia="zh-CN"/>
        </w:rPr>
        <w:fldChar w:fldCharType="end"/>
      </w:r>
    </w:p>
    <w:p>
      <w:pPr>
        <w:jc w:val="center"/>
        <w:rPr>
          <w:rFonts w:hint="eastAsia" w:ascii="方正小标宋简体" w:eastAsia="方正小标宋简体"/>
          <w:color w:val="auto"/>
          <w:sz w:val="36"/>
          <w:szCs w:val="36"/>
          <w:highlight w:val="none"/>
          <w:lang w:val="en-US" w:eastAsia="zh-CN"/>
        </w:rPr>
        <w:sectPr>
          <w:pgSz w:w="11906" w:h="16838"/>
          <w:pgMar w:top="1440" w:right="1800" w:bottom="1440" w:left="1800" w:header="851" w:footer="992" w:gutter="0"/>
          <w:cols w:space="425" w:num="1"/>
          <w:docGrid w:type="lines" w:linePitch="312" w:charSpace="0"/>
        </w:sectPr>
      </w:pPr>
    </w:p>
    <w:p>
      <w:pPr>
        <w:jc w:val="center"/>
        <w:rPr>
          <w:rFonts w:hint="eastAsia" w:ascii="方正小标宋简体" w:eastAsia="方正小标宋简体"/>
          <w:color w:val="auto"/>
          <w:sz w:val="36"/>
          <w:szCs w:val="36"/>
          <w:highlight w:val="none"/>
        </w:rPr>
      </w:pPr>
      <w:r>
        <w:rPr>
          <w:rFonts w:hint="eastAsia" w:ascii="方正小标宋简体" w:eastAsia="方正小标宋简体"/>
          <w:color w:val="auto"/>
          <w:sz w:val="36"/>
          <w:szCs w:val="36"/>
          <w:highlight w:val="none"/>
          <w:lang w:val="en-US" w:eastAsia="zh-CN"/>
        </w:rPr>
        <w:t>北京市朝阳区人民检察院2023年度</w:t>
      </w:r>
      <w:r>
        <w:rPr>
          <w:rFonts w:hint="eastAsia" w:ascii="方正小标宋简体" w:eastAsia="方正小标宋简体"/>
          <w:color w:val="auto"/>
          <w:sz w:val="36"/>
          <w:szCs w:val="36"/>
          <w:highlight w:val="none"/>
          <w:lang w:val="en-US" w:eastAsia="zh-CN"/>
        </w:rPr>
        <w:br w:type="textWrapping"/>
      </w:r>
      <w:r>
        <w:rPr>
          <w:rFonts w:hint="eastAsia" w:ascii="方正小标宋简体" w:eastAsia="方正小标宋简体"/>
          <w:color w:val="auto"/>
          <w:sz w:val="36"/>
          <w:szCs w:val="36"/>
          <w:highlight w:val="none"/>
        </w:rPr>
        <w:t>部门整体绩效</w:t>
      </w:r>
      <w:r>
        <w:rPr>
          <w:rFonts w:hint="eastAsia" w:ascii="方正小标宋简体" w:eastAsia="方正小标宋简体"/>
          <w:color w:val="auto"/>
          <w:sz w:val="36"/>
          <w:szCs w:val="36"/>
          <w:highlight w:val="none"/>
          <w:lang w:eastAsia="zh-CN"/>
        </w:rPr>
        <w:t>评价</w:t>
      </w:r>
      <w:r>
        <w:rPr>
          <w:rFonts w:hint="eastAsia" w:ascii="方正小标宋简体" w:eastAsia="方正小标宋简体"/>
          <w:color w:val="auto"/>
          <w:sz w:val="36"/>
          <w:szCs w:val="36"/>
          <w:highlight w:val="none"/>
        </w:rPr>
        <w:t>报告</w:t>
      </w:r>
    </w:p>
    <w:p>
      <w:pPr>
        <w:keepNext w:val="0"/>
        <w:keepLines w:val="0"/>
        <w:pageBreakBefore w:val="0"/>
        <w:widowControl w:val="0"/>
        <w:kinsoku/>
        <w:wordWrap/>
        <w:overflowPunct/>
        <w:topLinePunct w:val="0"/>
        <w:autoSpaceDE/>
        <w:autoSpaceDN/>
        <w:bidi w:val="0"/>
        <w:adjustRightInd/>
        <w:snapToGrid/>
        <w:spacing w:before="313" w:beforeLines="100" w:line="580" w:lineRule="exact"/>
        <w:ind w:left="0" w:leftChars="0" w:firstLine="640" w:firstLineChars="200"/>
        <w:textAlignment w:val="auto"/>
        <w:outlineLvl w:val="9"/>
        <w:rPr>
          <w:rFonts w:hint="eastAsia" w:ascii="黑体" w:hAnsi="黑体" w:eastAsia="黑体" w:cs="宋体"/>
          <w:color w:val="auto"/>
          <w:kern w:val="0"/>
          <w:sz w:val="32"/>
          <w:szCs w:val="32"/>
          <w:highlight w:val="none"/>
        </w:rPr>
      </w:pPr>
      <w:r>
        <w:rPr>
          <w:rFonts w:hint="eastAsia" w:ascii="仿宋_GB2312" w:hAnsi="楷体" w:eastAsia="仿宋_GB2312"/>
          <w:bCs/>
          <w:kern w:val="0"/>
          <w:sz w:val="32"/>
          <w:szCs w:val="28"/>
        </w:rPr>
        <w:t>为进一步加强预算绩效管理，强化支出责任，提高财政资金使用效益，考核财政支出效率和综合效果，根据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《北京市项目支出绩效评价管理办法》（京财绩效〔2020〕2146号），结合《北京市财政局关于</w:t>
      </w:r>
      <w:r>
        <w:rPr>
          <w:rFonts w:hint="eastAsia" w:ascii="仿宋_GB2312" w:hAnsi="楷体" w:eastAsia="仿宋_GB2312"/>
          <w:bCs/>
          <w:kern w:val="0"/>
          <w:sz w:val="32"/>
          <w:szCs w:val="28"/>
          <w:lang w:val="en-US" w:eastAsia="zh-CN"/>
        </w:rPr>
        <w:t>开展</w:t>
      </w:r>
      <w:r>
        <w:rPr>
          <w:rFonts w:hint="eastAsia" w:ascii="仿宋_GB2312" w:hAnsi="楷体" w:eastAsia="仿宋_GB2312"/>
          <w:bCs/>
          <w:kern w:val="0"/>
          <w:sz w:val="32"/>
          <w:szCs w:val="28"/>
        </w:rPr>
        <w:t>202</w:t>
      </w:r>
      <w:r>
        <w:rPr>
          <w:rFonts w:hint="eastAsia" w:ascii="仿宋_GB2312" w:hAnsi="楷体" w:eastAsia="仿宋_GB2312"/>
          <w:bCs/>
          <w:kern w:val="0"/>
          <w:sz w:val="32"/>
          <w:szCs w:val="28"/>
          <w:lang w:val="en-US" w:eastAsia="zh-CN"/>
        </w:rPr>
        <w:t>4</w:t>
      </w:r>
      <w:r>
        <w:rPr>
          <w:rFonts w:hint="eastAsia" w:ascii="仿宋_GB2312" w:hAnsi="楷体" w:eastAsia="仿宋_GB2312"/>
          <w:bCs/>
          <w:kern w:val="0"/>
          <w:sz w:val="32"/>
          <w:szCs w:val="28"/>
        </w:rPr>
        <w:t>年预算绩效管理</w:t>
      </w:r>
      <w:r>
        <w:rPr>
          <w:rFonts w:hint="eastAsia" w:ascii="仿宋_GB2312" w:hAnsi="楷体" w:eastAsia="仿宋_GB2312"/>
          <w:bCs/>
          <w:kern w:val="0"/>
          <w:sz w:val="32"/>
          <w:szCs w:val="28"/>
          <w:lang w:val="en-US" w:eastAsia="zh-CN"/>
        </w:rPr>
        <w:t>相关</w:t>
      </w:r>
      <w:r>
        <w:rPr>
          <w:rFonts w:hint="eastAsia" w:ascii="仿宋_GB2312" w:hAnsi="楷体" w:eastAsia="仿宋_GB2312"/>
          <w:bCs/>
          <w:kern w:val="0"/>
          <w:sz w:val="32"/>
          <w:szCs w:val="28"/>
        </w:rPr>
        <w:t>工作的</w:t>
      </w:r>
      <w:r>
        <w:rPr>
          <w:rFonts w:hint="eastAsia" w:ascii="仿宋_GB2312" w:hAnsi="楷体" w:eastAsia="仿宋_GB2312"/>
          <w:bCs/>
          <w:kern w:val="0"/>
          <w:sz w:val="32"/>
          <w:szCs w:val="28"/>
          <w:lang w:val="en-US" w:eastAsia="zh-CN"/>
        </w:rPr>
        <w:t>函</w:t>
      </w:r>
      <w:r>
        <w:rPr>
          <w:rFonts w:hint="eastAsia" w:ascii="仿宋_GB2312" w:hAnsi="楷体" w:eastAsia="仿宋_GB2312"/>
          <w:bCs/>
          <w:kern w:val="0"/>
          <w:sz w:val="32"/>
          <w:szCs w:val="28"/>
        </w:rPr>
        <w:t>》的工作安排，北京市</w:t>
      </w:r>
      <w:r>
        <w:rPr>
          <w:rFonts w:hint="eastAsia" w:ascii="仿宋_GB2312" w:hAnsi="楷体" w:eastAsia="仿宋_GB2312"/>
          <w:bCs/>
          <w:kern w:val="0"/>
          <w:sz w:val="32"/>
          <w:szCs w:val="28"/>
          <w:lang w:val="en-US" w:eastAsia="zh-CN"/>
        </w:rPr>
        <w:t>朝阳区</w:t>
      </w:r>
      <w:r>
        <w:rPr>
          <w:rFonts w:hint="eastAsia" w:ascii="仿宋_GB2312" w:hAnsi="楷体" w:eastAsia="仿宋_GB2312"/>
          <w:bCs/>
          <w:kern w:val="0"/>
          <w:sz w:val="32"/>
          <w:szCs w:val="28"/>
        </w:rPr>
        <w:t>人民检察院组建绩效评价工作组，</w:t>
      </w:r>
      <w:r>
        <w:rPr>
          <w:rFonts w:ascii="仿宋_GB2312" w:hAnsi="楷体" w:eastAsia="仿宋_GB2312"/>
          <w:bCs/>
          <w:kern w:val="0"/>
          <w:sz w:val="32"/>
          <w:szCs w:val="28"/>
        </w:rPr>
        <w:t>对202</w:t>
      </w:r>
      <w:r>
        <w:rPr>
          <w:rFonts w:hint="eastAsia" w:ascii="仿宋_GB2312" w:hAnsi="楷体" w:eastAsia="仿宋_GB2312"/>
          <w:bCs/>
          <w:kern w:val="0"/>
          <w:sz w:val="32"/>
          <w:szCs w:val="28"/>
          <w:lang w:val="en-US" w:eastAsia="zh-CN"/>
        </w:rPr>
        <w:t>3</w:t>
      </w:r>
      <w:r>
        <w:rPr>
          <w:rFonts w:ascii="仿宋_GB2312" w:hAnsi="楷体" w:eastAsia="仿宋_GB2312"/>
          <w:bCs/>
          <w:kern w:val="0"/>
          <w:sz w:val="32"/>
          <w:szCs w:val="28"/>
        </w:rPr>
        <w:t>年度部门整体</w:t>
      </w:r>
      <w:r>
        <w:rPr>
          <w:rFonts w:hint="eastAsia" w:ascii="仿宋_GB2312" w:hAnsi="楷体" w:eastAsia="仿宋_GB2312"/>
          <w:bCs/>
          <w:kern w:val="0"/>
          <w:sz w:val="32"/>
          <w:szCs w:val="28"/>
        </w:rPr>
        <w:t>实施</w:t>
      </w:r>
      <w:r>
        <w:rPr>
          <w:rFonts w:ascii="仿宋_GB2312" w:hAnsi="楷体" w:eastAsia="仿宋_GB2312"/>
          <w:bCs/>
          <w:kern w:val="0"/>
          <w:sz w:val="32"/>
          <w:szCs w:val="28"/>
        </w:rPr>
        <w:t>绩效评价，</w:t>
      </w:r>
      <w:r>
        <w:rPr>
          <w:rFonts w:hint="eastAsia" w:ascii="仿宋_GB2312" w:hAnsi="楷体" w:eastAsia="仿宋_GB2312"/>
          <w:bCs/>
          <w:kern w:val="0"/>
          <w:sz w:val="32"/>
          <w:szCs w:val="28"/>
        </w:rPr>
        <w:t>形成本绩效评价报告。</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firstLine="640" w:firstLineChars="200"/>
        <w:textAlignment w:val="auto"/>
        <w:outlineLvl w:val="0"/>
        <w:rPr>
          <w:rFonts w:hint="eastAsia" w:ascii="黑体" w:hAnsi="黑体" w:eastAsia="黑体" w:cs="宋体"/>
          <w:color w:val="auto"/>
          <w:kern w:val="0"/>
          <w:sz w:val="32"/>
          <w:szCs w:val="32"/>
          <w:highlight w:val="none"/>
        </w:rPr>
      </w:pPr>
      <w:bookmarkStart w:id="0" w:name="_Toc28059"/>
      <w:r>
        <w:rPr>
          <w:rFonts w:hint="eastAsia" w:ascii="黑体" w:hAnsi="黑体" w:eastAsia="黑体" w:cs="宋体"/>
          <w:color w:val="auto"/>
          <w:kern w:val="0"/>
          <w:sz w:val="32"/>
          <w:szCs w:val="32"/>
          <w:highlight w:val="none"/>
        </w:rPr>
        <w:t>一、部门概况</w:t>
      </w:r>
      <w:bookmarkEnd w:id="0"/>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1" w:name="_Toc2414"/>
      <w:r>
        <w:rPr>
          <w:rFonts w:hint="eastAsia" w:ascii="楷体_GB2312" w:eastAsia="楷体_GB2312"/>
          <w:b/>
          <w:bCs/>
          <w:color w:val="auto"/>
          <w:sz w:val="32"/>
          <w:szCs w:val="32"/>
          <w:highlight w:val="none"/>
        </w:rPr>
        <w:t>（一）机构设置及职责工作任务情况</w:t>
      </w:r>
      <w:bookmarkEnd w:id="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rPr>
      </w:pPr>
      <w:bookmarkStart w:id="2" w:name="_Toc31698"/>
      <w:r>
        <w:rPr>
          <w:rFonts w:hint="eastAsia" w:ascii="仿宋_GB2312" w:hAnsi="楷体" w:eastAsia="仿宋_GB2312"/>
          <w:bCs/>
          <w:kern w:val="0"/>
          <w:sz w:val="32"/>
          <w:szCs w:val="28"/>
          <w:lang w:val="en-US" w:eastAsia="zh-CN"/>
        </w:rPr>
        <w:t>1.</w:t>
      </w:r>
      <w:r>
        <w:rPr>
          <w:rFonts w:hint="eastAsia" w:ascii="仿宋_GB2312" w:hAnsi="楷体" w:eastAsia="仿宋_GB2312"/>
          <w:bCs/>
          <w:kern w:val="0"/>
          <w:sz w:val="32"/>
          <w:szCs w:val="28"/>
        </w:rPr>
        <w:t>部门机构设置</w:t>
      </w:r>
      <w:bookmarkEnd w:id="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rPr>
      </w:pPr>
      <w:r>
        <w:rPr>
          <w:rFonts w:hint="eastAsia" w:ascii="仿宋_GB2312" w:hAnsi="楷体" w:eastAsia="仿宋_GB2312"/>
          <w:bCs/>
          <w:kern w:val="0"/>
          <w:sz w:val="32"/>
          <w:szCs w:val="28"/>
        </w:rPr>
        <w:t>根据北京市委全面深化改革委员会审议通过的《北京市检察机关内设机构改革方案》(京政法发〔2019〕8号)，</w:t>
      </w:r>
      <w:r>
        <w:rPr>
          <w:rFonts w:hint="eastAsia" w:ascii="仿宋_GB2312" w:hAnsi="楷体" w:eastAsia="仿宋_GB2312"/>
          <w:bCs/>
          <w:kern w:val="0"/>
          <w:sz w:val="32"/>
          <w:szCs w:val="28"/>
          <w:lang w:val="en-US" w:eastAsia="zh-CN"/>
        </w:rPr>
        <w:t>北京市朝阳区人民检察院（简称“朝阳检察院”）为北京市第一类基层检察院，共设置12个内部机构，其中业务部门9个包括</w:t>
      </w:r>
      <w:r>
        <w:rPr>
          <w:rFonts w:hint="eastAsia" w:ascii="仿宋_GB2312" w:hAnsi="楷体" w:eastAsia="仿宋_GB2312"/>
          <w:bCs/>
          <w:kern w:val="0"/>
          <w:sz w:val="32"/>
          <w:szCs w:val="28"/>
        </w:rPr>
        <w:t>第一检察部、第二检察部、第三检察部、第四检察部、第五检察部、第六检察部、第七检察部、第八检察部、第九检察部</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lang w:val="en-US" w:eastAsia="zh-CN"/>
        </w:rPr>
        <w:t>行政部门3个包括</w:t>
      </w:r>
      <w:r>
        <w:rPr>
          <w:rFonts w:hint="eastAsia" w:ascii="仿宋_GB2312" w:hAnsi="楷体" w:eastAsia="仿宋_GB2312"/>
          <w:bCs/>
          <w:kern w:val="0"/>
          <w:sz w:val="32"/>
          <w:szCs w:val="28"/>
        </w:rPr>
        <w:t>办公室(行政事务管理部)、政治部（机关党委、机关纪委）、检务督察部。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bookmarkStart w:id="3" w:name="_Toc15869"/>
      <w:r>
        <w:rPr>
          <w:rFonts w:hint="eastAsia" w:ascii="仿宋_GB2312" w:hAnsi="楷体" w:eastAsia="仿宋_GB2312"/>
          <w:bCs/>
          <w:kern w:val="0"/>
          <w:sz w:val="32"/>
          <w:szCs w:val="28"/>
          <w:lang w:val="en-US" w:eastAsia="zh-CN"/>
        </w:rPr>
        <w:t>2.职责工作任务情况</w:t>
      </w:r>
      <w:bookmarkEnd w:id="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朝阳检察院</w:t>
      </w:r>
      <w:r>
        <w:rPr>
          <w:rFonts w:hint="eastAsia" w:ascii="仿宋_GB2312" w:hAnsi="楷体" w:eastAsia="仿宋_GB2312"/>
          <w:bCs/>
          <w:kern w:val="0"/>
          <w:sz w:val="32"/>
          <w:szCs w:val="28"/>
        </w:rPr>
        <w:t>单位性质为法律监督机关</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在辖区内依法独立行使检察权</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lang w:val="en-US" w:eastAsia="zh-CN"/>
        </w:rPr>
        <w:t>在履行职责过程中接受北京市人民检察院和区委的统一领导，并负责向</w:t>
      </w:r>
      <w:r>
        <w:rPr>
          <w:rFonts w:hint="eastAsia" w:ascii="仿宋_GB2312" w:hAnsi="楷体" w:eastAsia="仿宋_GB2312"/>
          <w:bCs/>
          <w:kern w:val="0"/>
          <w:sz w:val="32"/>
          <w:szCs w:val="28"/>
        </w:rPr>
        <w:t>本区人民代表大会及其常务委员会报告工作</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lang w:val="en-US" w:eastAsia="zh-CN"/>
        </w:rPr>
        <w:t>主要职责是：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（1）负责对侦查机关移送依法由本院办理的刑事案件进行审查，决定是否批准逮捕、提起公诉，对提起公诉的案件支持公诉，对相关案件进行补充侦查等。依法对相关诉讼活动进行法律监督。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2）负责对监察委员会移送依法由本院办理的职务犯罪案件进行审查，决定采取强制措施、提起公诉，对相关案件进行补充侦查等，负责对检察机关立案侦查的职务犯罪案.件进行审查，决定是否逮捕、提起公诉、对提起公诉的案件支持公诉，依法对相关审判活动进行法律监督。负责对侦查机关移送依法由本院办理的破坏社会主义市场经济秩序类犯罪等案件进行审查，决定是否批准逮捕、提起公诉，对提起公诉的案件支持公诉，对相关案件进行补充侦查等，依法对相关诉讼活动进行法律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（3）负责对侦查机关移送依法由本院办理的轻罪类犯罪案件进行审查，决定是否批准逮捕、提起公诉，对提起公诉的案件支持公诉，对相关案件进行补充侦查等。依法对相关诉讼活动进行监督。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（4）负责由本院管辖的刑事执行检察、强制措施检察、控告申诉、国家赔偿、司法救助等工作。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（5）负责依法由本院管辖的民事诉讼监督相关工作。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（6）负责依法由本院管辖的公益诉讼检察、行政诉讼监督等相关工作。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（7）负责依法由本院管辖的涉及未成年人刑事案件的办理等工作。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（8）负责依法由本院管辖的侦查机关移送案件以外诉讼活动的法律监督。负责本院派驻公安执法办案管理中心检察办案组工作。负责对严重诉讼违法进行调查核实。负责行刑衔接有关的对公安机关的立案监督。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9）负责法律政策研究、检察委员会办公室日常工作。负责检察受理接待、检察管理监督工作。负责相关案件线索的统一管理和分析研判。负责案件管理中心、检察服务中心的建设，以及检察管理监督平台、情报信息分析平台的运行维护。组织指导人民监督员工作。负责检察技术保障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4" w:name="_Toc10920"/>
      <w:r>
        <w:rPr>
          <w:rFonts w:hint="eastAsia" w:ascii="楷体_GB2312" w:eastAsia="楷体_GB2312"/>
          <w:b/>
          <w:bCs/>
          <w:color w:val="auto"/>
          <w:sz w:val="32"/>
          <w:szCs w:val="32"/>
          <w:highlight w:val="none"/>
          <w:lang w:eastAsia="zh-CN"/>
        </w:rPr>
        <w:t>（二）</w:t>
      </w:r>
      <w:r>
        <w:rPr>
          <w:rFonts w:hint="eastAsia" w:ascii="楷体_GB2312" w:eastAsia="楷体_GB2312"/>
          <w:b/>
          <w:bCs/>
          <w:color w:val="auto"/>
          <w:sz w:val="32"/>
          <w:szCs w:val="32"/>
          <w:highlight w:val="none"/>
        </w:rPr>
        <w:t>部门整体绩效目标设立情况</w:t>
      </w:r>
      <w:bookmarkEnd w:id="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rPr>
      </w:pPr>
      <w:r>
        <w:rPr>
          <w:rFonts w:hint="eastAsia" w:ascii="仿宋_GB2312" w:hAnsi="楷体" w:eastAsia="仿宋_GB2312"/>
          <w:bCs/>
          <w:kern w:val="0"/>
          <w:sz w:val="32"/>
          <w:szCs w:val="28"/>
          <w:lang w:val="en-US" w:eastAsia="zh-CN"/>
        </w:rPr>
        <w:t>朝阳检察院</w:t>
      </w:r>
      <w:r>
        <w:rPr>
          <w:rFonts w:hint="eastAsia" w:ascii="仿宋_GB2312" w:hAnsi="楷体" w:eastAsia="仿宋_GB2312"/>
          <w:bCs/>
          <w:kern w:val="0"/>
          <w:sz w:val="32"/>
          <w:szCs w:val="28"/>
        </w:rPr>
        <w:t>部门整体支出绩效目标是</w:t>
      </w:r>
      <w:r>
        <w:rPr>
          <w:rFonts w:hint="eastAsia" w:ascii="仿宋_GB2312" w:hAnsi="楷体" w:eastAsia="仿宋_GB2312"/>
          <w:bCs/>
          <w:kern w:val="0"/>
          <w:sz w:val="32"/>
          <w:szCs w:val="28"/>
          <w:lang w:eastAsia="zh-CN"/>
        </w:rPr>
        <w:t>依据《</w:t>
      </w:r>
      <w:r>
        <w:rPr>
          <w:rFonts w:hint="eastAsia" w:ascii="仿宋_GB2312" w:hAnsi="楷体" w:eastAsia="仿宋_GB2312"/>
          <w:bCs/>
          <w:kern w:val="0"/>
          <w:sz w:val="32"/>
          <w:szCs w:val="28"/>
          <w:lang w:val="en-US" w:eastAsia="zh-CN"/>
        </w:rPr>
        <w:t>北京市检察机关内设机构改革方案</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确定的</w:t>
      </w:r>
      <w:r>
        <w:rPr>
          <w:rFonts w:hint="eastAsia" w:ascii="仿宋_GB2312" w:hAnsi="楷体" w:eastAsia="仿宋_GB2312"/>
          <w:bCs/>
          <w:kern w:val="0"/>
          <w:sz w:val="32"/>
          <w:szCs w:val="28"/>
          <w:lang w:eastAsia="zh-CN"/>
        </w:rPr>
        <w:t>机构设置及主要</w:t>
      </w:r>
      <w:r>
        <w:rPr>
          <w:rFonts w:hint="eastAsia" w:ascii="仿宋_GB2312" w:hAnsi="楷体" w:eastAsia="仿宋_GB2312"/>
          <w:bCs/>
          <w:kern w:val="0"/>
          <w:sz w:val="32"/>
          <w:szCs w:val="28"/>
        </w:rPr>
        <w:t>职责，</w:t>
      </w:r>
      <w:r>
        <w:rPr>
          <w:rFonts w:hint="eastAsia" w:ascii="仿宋_GB2312" w:hAnsi="楷体" w:eastAsia="仿宋_GB2312"/>
          <w:bCs/>
          <w:kern w:val="0"/>
          <w:sz w:val="32"/>
          <w:szCs w:val="28"/>
          <w:lang w:eastAsia="zh-CN"/>
        </w:rPr>
        <w:t>结合</w:t>
      </w:r>
      <w:r>
        <w:rPr>
          <w:rFonts w:hint="eastAsia" w:ascii="仿宋_GB2312" w:hAnsi="楷体" w:eastAsia="仿宋_GB2312"/>
          <w:bCs/>
          <w:kern w:val="0"/>
          <w:sz w:val="32"/>
          <w:szCs w:val="28"/>
          <w:lang w:val="en-US" w:eastAsia="zh-CN"/>
        </w:rPr>
        <w:t>本院</w:t>
      </w:r>
      <w:r>
        <w:rPr>
          <w:rFonts w:hint="eastAsia" w:ascii="仿宋_GB2312" w:hAnsi="楷体" w:eastAsia="仿宋_GB2312"/>
          <w:bCs/>
          <w:kern w:val="0"/>
          <w:sz w:val="32"/>
          <w:szCs w:val="28"/>
          <w:lang w:eastAsia="zh-CN"/>
        </w:rPr>
        <w:t>中长期规划、年度工作计划、政策要求以及年度主要工作任务设立，反映</w:t>
      </w:r>
      <w:r>
        <w:rPr>
          <w:rFonts w:hint="eastAsia" w:ascii="仿宋_GB2312" w:hAnsi="楷体" w:eastAsia="仿宋_GB2312"/>
          <w:bCs/>
          <w:kern w:val="0"/>
          <w:sz w:val="32"/>
          <w:szCs w:val="28"/>
          <w:lang w:val="en-US" w:eastAsia="zh-CN"/>
        </w:rPr>
        <w:t>朝阳检察院</w:t>
      </w:r>
      <w:r>
        <w:rPr>
          <w:rFonts w:hint="eastAsia" w:ascii="仿宋_GB2312" w:hAnsi="楷体" w:eastAsia="仿宋_GB2312"/>
          <w:bCs/>
          <w:kern w:val="0"/>
          <w:sz w:val="32"/>
          <w:szCs w:val="28"/>
          <w:lang w:eastAsia="zh-CN"/>
        </w:rPr>
        <w:t>使用</w:t>
      </w:r>
      <w:r>
        <w:rPr>
          <w:rFonts w:hint="eastAsia" w:ascii="仿宋_GB2312" w:hAnsi="楷体" w:eastAsia="仿宋_GB2312"/>
          <w:bCs/>
          <w:kern w:val="0"/>
          <w:sz w:val="32"/>
          <w:szCs w:val="28"/>
        </w:rPr>
        <w:t>部门预算资金</w:t>
      </w:r>
      <w:r>
        <w:rPr>
          <w:rFonts w:hint="eastAsia" w:ascii="仿宋_GB2312" w:hAnsi="楷体" w:eastAsia="仿宋_GB2312"/>
          <w:bCs/>
          <w:kern w:val="0"/>
          <w:sz w:val="32"/>
          <w:szCs w:val="28"/>
          <w:lang w:eastAsia="zh-CN"/>
        </w:rPr>
        <w:t>在年度履职中</w:t>
      </w:r>
      <w:r>
        <w:rPr>
          <w:rFonts w:hint="eastAsia" w:ascii="仿宋_GB2312" w:hAnsi="楷体" w:eastAsia="仿宋_GB2312"/>
          <w:bCs/>
          <w:kern w:val="0"/>
          <w:sz w:val="32"/>
          <w:szCs w:val="28"/>
        </w:rPr>
        <w:t>预期达到的总体产出和效果。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楷体" w:eastAsia="仿宋_GB2312"/>
          <w:bCs/>
          <w:kern w:val="0"/>
          <w:sz w:val="32"/>
          <w:szCs w:val="28"/>
          <w:lang w:eastAsia="zh-CN"/>
        </w:rPr>
      </w:pPr>
      <w:r>
        <w:rPr>
          <w:rFonts w:hint="eastAsia" w:ascii="仿宋_GB2312" w:hAnsi="楷体" w:eastAsia="仿宋_GB2312"/>
          <w:bCs/>
          <w:kern w:val="0"/>
          <w:sz w:val="32"/>
          <w:szCs w:val="28"/>
        </w:rPr>
        <w:t>朝阳检察院作为法律监督机关，依法独立行使检察权。通过</w:t>
      </w:r>
      <w:r>
        <w:rPr>
          <w:rFonts w:hint="eastAsia" w:ascii="仿宋_GB2312" w:hAnsi="楷体" w:eastAsia="仿宋_GB2312"/>
          <w:bCs/>
          <w:kern w:val="0"/>
          <w:sz w:val="32"/>
          <w:szCs w:val="28"/>
          <w:lang w:val="en-US" w:eastAsia="zh-CN"/>
        </w:rPr>
        <w:t>2023年度部门预算投入</w:t>
      </w:r>
      <w:r>
        <w:rPr>
          <w:rFonts w:hint="eastAsia" w:ascii="仿宋_GB2312" w:hAnsi="楷体" w:eastAsia="仿宋_GB2312"/>
          <w:bCs/>
          <w:kern w:val="0"/>
          <w:sz w:val="32"/>
          <w:szCs w:val="28"/>
        </w:rPr>
        <w:t>，保障</w:t>
      </w:r>
      <w:r>
        <w:rPr>
          <w:rFonts w:hint="eastAsia" w:ascii="仿宋_GB2312" w:hAnsi="楷体" w:eastAsia="仿宋_GB2312"/>
          <w:bCs/>
          <w:kern w:val="0"/>
          <w:sz w:val="32"/>
          <w:szCs w:val="28"/>
          <w:lang w:val="en-US" w:eastAsia="zh-CN"/>
        </w:rPr>
        <w:t>全年</w:t>
      </w:r>
      <w:r>
        <w:rPr>
          <w:rFonts w:hint="eastAsia" w:ascii="仿宋_GB2312" w:hAnsi="楷体" w:eastAsia="仿宋_GB2312"/>
          <w:bCs/>
          <w:kern w:val="0"/>
          <w:sz w:val="32"/>
          <w:szCs w:val="28"/>
        </w:rPr>
        <w:t>办公办案的正常运转，保障各项检察业务有序开展，围绕中心工作履行检察职能，维护首都工作大局，维护社会稳定，强化法律监督，维护公平正义</w:t>
      </w:r>
      <w:r>
        <w:rPr>
          <w:rFonts w:hint="eastAsia" w:ascii="仿宋_GB2312" w:hAnsi="楷体" w:eastAsia="仿宋_GB2312"/>
          <w:bCs/>
          <w:kern w:val="0"/>
          <w:sz w:val="32"/>
          <w:szCs w:val="28"/>
          <w:lang w:eastAsia="zh-CN"/>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firstLine="640" w:firstLineChars="200"/>
        <w:textAlignment w:val="auto"/>
        <w:outlineLvl w:val="0"/>
        <w:rPr>
          <w:rFonts w:ascii="黑体" w:hAnsi="黑体" w:eastAsia="黑体" w:cs="宋体"/>
          <w:color w:val="auto"/>
          <w:kern w:val="0"/>
          <w:sz w:val="32"/>
          <w:szCs w:val="32"/>
          <w:highlight w:val="none"/>
        </w:rPr>
      </w:pPr>
      <w:bookmarkStart w:id="5" w:name="_Toc3471"/>
      <w:r>
        <w:rPr>
          <w:rFonts w:hint="eastAsia" w:ascii="黑体" w:hAnsi="黑体" w:eastAsia="黑体" w:cs="宋体"/>
          <w:color w:val="auto"/>
          <w:kern w:val="0"/>
          <w:sz w:val="32"/>
          <w:szCs w:val="32"/>
          <w:highlight w:val="none"/>
        </w:rPr>
        <w:t>二</w:t>
      </w:r>
      <w:r>
        <w:rPr>
          <w:rFonts w:ascii="黑体" w:hAnsi="黑体" w:eastAsia="黑体" w:cs="宋体"/>
          <w:color w:val="auto"/>
          <w:kern w:val="0"/>
          <w:sz w:val="32"/>
          <w:szCs w:val="32"/>
          <w:highlight w:val="none"/>
        </w:rPr>
        <w:t>、</w:t>
      </w:r>
      <w:r>
        <w:rPr>
          <w:rFonts w:hint="eastAsia" w:ascii="黑体" w:hAnsi="黑体" w:eastAsia="黑体" w:cs="宋体"/>
          <w:color w:val="auto"/>
          <w:kern w:val="0"/>
          <w:sz w:val="32"/>
          <w:szCs w:val="32"/>
          <w:highlight w:val="none"/>
        </w:rPr>
        <w:t>当年预算</w:t>
      </w:r>
      <w:r>
        <w:rPr>
          <w:rFonts w:ascii="黑体" w:hAnsi="黑体" w:eastAsia="黑体" w:cs="宋体"/>
          <w:color w:val="auto"/>
          <w:kern w:val="0"/>
          <w:sz w:val="32"/>
          <w:szCs w:val="32"/>
          <w:highlight w:val="none"/>
        </w:rPr>
        <w:t>执行情况</w:t>
      </w:r>
      <w:bookmarkEnd w:id="5"/>
    </w:p>
    <w:p>
      <w:pPr>
        <w:keepNext w:val="0"/>
        <w:keepLines w:val="0"/>
        <w:pageBreakBefore w:val="0"/>
        <w:widowControl w:val="0"/>
        <w:kinsoku/>
        <w:wordWrap/>
        <w:overflowPunct/>
        <w:topLinePunct w:val="0"/>
        <w:autoSpaceDE/>
        <w:autoSpaceDN/>
        <w:bidi w:val="0"/>
        <w:adjustRightInd/>
        <w:snapToGrid/>
        <w:spacing w:before="313" w:beforeLines="100" w:line="580" w:lineRule="exact"/>
        <w:ind w:left="0" w:leftChars="0" w:firstLine="640" w:firstLineChars="200"/>
        <w:textAlignment w:val="auto"/>
        <w:outlineLvl w:val="9"/>
        <w:rPr>
          <w:rFonts w:hint="eastAsia" w:ascii="仿宋_GB2312" w:hAnsi="楷体" w:eastAsia="仿宋_GB2312"/>
          <w:bCs/>
          <w:kern w:val="0"/>
          <w:sz w:val="32"/>
          <w:szCs w:val="28"/>
        </w:rPr>
      </w:pPr>
      <w:r>
        <w:rPr>
          <w:rFonts w:hint="eastAsia" w:ascii="仿宋_GB2312" w:hAnsi="楷体" w:eastAsia="仿宋_GB2312"/>
          <w:bCs/>
          <w:kern w:val="0"/>
          <w:sz w:val="32"/>
          <w:szCs w:val="28"/>
        </w:rPr>
        <w:t>202</w:t>
      </w:r>
      <w:r>
        <w:rPr>
          <w:rFonts w:hint="eastAsia" w:ascii="仿宋_GB2312" w:hAnsi="楷体" w:eastAsia="仿宋_GB2312"/>
          <w:bCs/>
          <w:kern w:val="0"/>
          <w:sz w:val="32"/>
          <w:szCs w:val="28"/>
          <w:lang w:val="en-US" w:eastAsia="zh-CN"/>
        </w:rPr>
        <w:t>3</w:t>
      </w:r>
      <w:r>
        <w:rPr>
          <w:rFonts w:hint="eastAsia" w:ascii="仿宋_GB2312" w:hAnsi="楷体" w:eastAsia="仿宋_GB2312"/>
          <w:bCs/>
          <w:kern w:val="0"/>
          <w:sz w:val="32"/>
          <w:szCs w:val="28"/>
        </w:rPr>
        <w:t>年全年预算数</w:t>
      </w:r>
      <w:r>
        <w:rPr>
          <w:rFonts w:hint="eastAsia" w:ascii="仿宋_GB2312" w:hAnsi="楷体" w:eastAsia="仿宋_GB2312"/>
          <w:bCs/>
          <w:kern w:val="0"/>
          <w:sz w:val="32"/>
          <w:szCs w:val="28"/>
          <w:lang w:val="en-US" w:eastAsia="zh-CN"/>
        </w:rPr>
        <w:t>为18,819.52</w:t>
      </w:r>
      <w:r>
        <w:rPr>
          <w:rFonts w:hint="eastAsia" w:ascii="仿宋_GB2312" w:hAnsi="楷体" w:eastAsia="仿宋_GB2312"/>
          <w:bCs/>
          <w:kern w:val="0"/>
          <w:sz w:val="32"/>
          <w:szCs w:val="28"/>
        </w:rPr>
        <w:t>万元，其中，基本支出预算数</w:t>
      </w:r>
      <w:r>
        <w:rPr>
          <w:rFonts w:hint="eastAsia" w:ascii="仿宋_GB2312" w:hAnsi="楷体" w:eastAsia="仿宋_GB2312"/>
          <w:bCs/>
          <w:kern w:val="0"/>
          <w:sz w:val="32"/>
          <w:szCs w:val="28"/>
          <w:lang w:val="en-US" w:eastAsia="zh-CN"/>
        </w:rPr>
        <w:t>为14,893.45</w:t>
      </w:r>
      <w:r>
        <w:rPr>
          <w:rFonts w:hint="eastAsia" w:ascii="仿宋_GB2312" w:hAnsi="楷体" w:eastAsia="仿宋_GB2312"/>
          <w:bCs/>
          <w:kern w:val="0"/>
          <w:sz w:val="32"/>
          <w:szCs w:val="28"/>
        </w:rPr>
        <w:t>万元，项目支出预算数</w:t>
      </w:r>
      <w:r>
        <w:rPr>
          <w:rFonts w:hint="eastAsia" w:ascii="仿宋_GB2312" w:hAnsi="楷体" w:eastAsia="仿宋_GB2312"/>
          <w:bCs/>
          <w:kern w:val="0"/>
          <w:sz w:val="32"/>
          <w:szCs w:val="28"/>
          <w:lang w:val="en-US" w:eastAsia="zh-CN"/>
        </w:rPr>
        <w:t>3,926.07</w:t>
      </w:r>
      <w:r>
        <w:rPr>
          <w:rFonts w:hint="eastAsia" w:ascii="仿宋_GB2312" w:hAnsi="楷体" w:eastAsia="仿宋_GB2312"/>
          <w:bCs/>
          <w:kern w:val="0"/>
          <w:sz w:val="32"/>
          <w:szCs w:val="28"/>
        </w:rPr>
        <w:t>万元</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其他支出预算数0.00万元。资金总体支出</w:t>
      </w:r>
      <w:r>
        <w:rPr>
          <w:rFonts w:hint="eastAsia" w:ascii="仿宋_GB2312" w:hAnsi="楷体" w:eastAsia="仿宋_GB2312"/>
          <w:bCs/>
          <w:kern w:val="0"/>
          <w:sz w:val="32"/>
          <w:szCs w:val="28"/>
          <w:lang w:val="en-US" w:eastAsia="zh-CN"/>
        </w:rPr>
        <w:t>18,175.44</w:t>
      </w:r>
      <w:r>
        <w:rPr>
          <w:rFonts w:hint="eastAsia" w:ascii="仿宋_GB2312" w:hAnsi="楷体" w:eastAsia="仿宋_GB2312"/>
          <w:bCs/>
          <w:kern w:val="0"/>
          <w:sz w:val="32"/>
          <w:szCs w:val="28"/>
        </w:rPr>
        <w:t>万元，其中，基本支出</w:t>
      </w:r>
      <w:r>
        <w:rPr>
          <w:rFonts w:hint="eastAsia" w:ascii="仿宋_GB2312" w:hAnsi="楷体" w:eastAsia="仿宋_GB2312"/>
          <w:bCs/>
          <w:kern w:val="0"/>
          <w:sz w:val="32"/>
          <w:szCs w:val="28"/>
          <w:lang w:val="en-US" w:eastAsia="zh-CN"/>
        </w:rPr>
        <w:t>14,642.99</w:t>
      </w:r>
      <w:r>
        <w:rPr>
          <w:rFonts w:hint="eastAsia" w:ascii="仿宋_GB2312" w:hAnsi="楷体" w:eastAsia="仿宋_GB2312"/>
          <w:bCs/>
          <w:kern w:val="0"/>
          <w:sz w:val="32"/>
          <w:szCs w:val="28"/>
        </w:rPr>
        <w:t>万元，项目支出</w:t>
      </w:r>
      <w:r>
        <w:rPr>
          <w:rFonts w:hint="eastAsia" w:ascii="仿宋_GB2312" w:hAnsi="楷体" w:eastAsia="仿宋_GB2312"/>
          <w:bCs/>
          <w:kern w:val="0"/>
          <w:sz w:val="32"/>
          <w:szCs w:val="28"/>
          <w:lang w:val="en-US" w:eastAsia="zh-CN"/>
        </w:rPr>
        <w:t>3,532.45</w:t>
      </w:r>
      <w:r>
        <w:rPr>
          <w:rFonts w:hint="eastAsia" w:ascii="仿宋_GB2312" w:hAnsi="楷体" w:eastAsia="仿宋_GB2312"/>
          <w:bCs/>
          <w:kern w:val="0"/>
          <w:sz w:val="32"/>
          <w:szCs w:val="28"/>
        </w:rPr>
        <w:t>万元</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其他支出0.00万元。预算执行率为</w:t>
      </w:r>
      <w:r>
        <w:rPr>
          <w:rFonts w:hint="eastAsia" w:ascii="仿宋_GB2312" w:hAnsi="楷体" w:eastAsia="仿宋_GB2312"/>
          <w:bCs/>
          <w:kern w:val="0"/>
          <w:sz w:val="32"/>
          <w:szCs w:val="28"/>
          <w:lang w:val="en-US" w:eastAsia="zh-CN"/>
        </w:rPr>
        <w:t>96.58%</w:t>
      </w:r>
      <w:r>
        <w:rPr>
          <w:rFonts w:hint="eastAsia" w:ascii="仿宋_GB2312" w:hAnsi="楷体" w:eastAsia="仿宋_GB2312"/>
          <w:bCs/>
          <w:kern w:val="0"/>
          <w:sz w:val="32"/>
          <w:szCs w:val="28"/>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firstLine="640" w:firstLineChars="200"/>
        <w:textAlignment w:val="auto"/>
        <w:outlineLvl w:val="0"/>
        <w:rPr>
          <w:rFonts w:ascii="黑体" w:hAnsi="黑体" w:eastAsia="黑体" w:cs="宋体"/>
          <w:color w:val="auto"/>
          <w:kern w:val="0"/>
          <w:sz w:val="32"/>
          <w:szCs w:val="32"/>
          <w:highlight w:val="none"/>
        </w:rPr>
      </w:pPr>
      <w:bookmarkStart w:id="6" w:name="_Toc25302"/>
      <w:r>
        <w:rPr>
          <w:rFonts w:hint="eastAsia" w:ascii="黑体" w:hAnsi="黑体" w:eastAsia="黑体" w:cs="宋体"/>
          <w:color w:val="auto"/>
          <w:kern w:val="0"/>
          <w:sz w:val="32"/>
          <w:szCs w:val="32"/>
          <w:highlight w:val="none"/>
        </w:rPr>
        <w:t>三</w:t>
      </w:r>
      <w:r>
        <w:rPr>
          <w:rFonts w:ascii="黑体" w:hAnsi="黑体" w:eastAsia="黑体" w:cs="宋体"/>
          <w:color w:val="auto"/>
          <w:kern w:val="0"/>
          <w:sz w:val="32"/>
          <w:szCs w:val="32"/>
          <w:highlight w:val="none"/>
        </w:rPr>
        <w:t>、整体绩效</w:t>
      </w:r>
      <w:r>
        <w:rPr>
          <w:rFonts w:hint="eastAsia" w:ascii="黑体" w:hAnsi="黑体" w:eastAsia="黑体" w:cs="宋体"/>
          <w:color w:val="auto"/>
          <w:kern w:val="0"/>
          <w:sz w:val="32"/>
          <w:szCs w:val="32"/>
          <w:highlight w:val="none"/>
        </w:rPr>
        <w:t>目标</w:t>
      </w:r>
      <w:r>
        <w:rPr>
          <w:rFonts w:ascii="黑体" w:hAnsi="黑体" w:eastAsia="黑体" w:cs="宋体"/>
          <w:color w:val="auto"/>
          <w:kern w:val="0"/>
          <w:sz w:val="32"/>
          <w:szCs w:val="32"/>
          <w:highlight w:val="none"/>
        </w:rPr>
        <w:t>实现情况</w:t>
      </w:r>
      <w:bookmarkEnd w:id="6"/>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7" w:name="_Toc16125"/>
      <w:r>
        <w:rPr>
          <w:rFonts w:hint="eastAsia" w:ascii="楷体_GB2312" w:eastAsia="楷体_GB2312"/>
          <w:b/>
          <w:bCs/>
          <w:color w:val="auto"/>
          <w:sz w:val="32"/>
          <w:szCs w:val="32"/>
          <w:highlight w:val="none"/>
        </w:rPr>
        <w:t>（一）产出完成情况分析</w:t>
      </w:r>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highlight w:val="none"/>
          <w:lang w:val="en-US" w:eastAsia="zh-CN"/>
        </w:rPr>
      </w:pPr>
      <w:bookmarkStart w:id="8" w:name="_Toc21706"/>
      <w:r>
        <w:rPr>
          <w:rFonts w:hint="eastAsia" w:ascii="楷体_GB2312" w:eastAsia="楷体_GB2312"/>
          <w:color w:val="auto"/>
          <w:sz w:val="32"/>
          <w:szCs w:val="32"/>
          <w:highlight w:val="none"/>
          <w:lang w:val="en-US" w:eastAsia="zh-CN"/>
        </w:rPr>
        <w:t>1.产出数量</w:t>
      </w:r>
      <w:bookmarkEnd w:id="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全年</w:t>
      </w:r>
      <w:r>
        <w:rPr>
          <w:rFonts w:hint="eastAsia" w:ascii="仿宋_GB2312" w:hAnsi="仿宋" w:eastAsia="仿宋_GB2312"/>
          <w:sz w:val="32"/>
          <w:szCs w:val="32"/>
        </w:rPr>
        <w:t>办理各类案件19457件，其中刑事案件14388件，民事案件2739件，行政案件1717件，公益诉讼案件613件。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2</w:t>
      </w:r>
      <w:r>
        <w:rPr>
          <w:rFonts w:hint="eastAsia" w:ascii="仿宋_GB2312" w:hAnsi="仿宋" w:eastAsia="仿宋_GB2312"/>
          <w:sz w:val="32"/>
          <w:szCs w:val="32"/>
          <w:lang w:eastAsia="zh-CN"/>
        </w:rPr>
        <w:t>）</w:t>
      </w:r>
      <w:r>
        <w:rPr>
          <w:rFonts w:hint="eastAsia" w:ascii="仿宋_GB2312" w:hAnsi="仿宋" w:eastAsia="仿宋_GB2312"/>
          <w:sz w:val="32"/>
          <w:szCs w:val="32"/>
        </w:rPr>
        <w:t>深化“朝阳晨钟”品牌建设，选任法治副校长深入34所中小学，开展法治教育109次。对712所学校开展校园周边交通安全隐患排查，办理行政公益诉讼案件31件，推动完善交通基础设施311处，共筑“平安校园”，共建“宜学”朝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（3）深入推进“检察+矛调”工作，全年接待群众来访2143批6300人次，办理群众来信3265件、网络信访1891件。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（4）共护良法善治和谐社会，制发社会治理类检察建议239份。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（5）根据代表委员需求针对性开展检察普法等活动203次。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highlight w:val="none"/>
          <w:lang w:val="en-US" w:eastAsia="zh-CN"/>
        </w:rPr>
      </w:pPr>
      <w:bookmarkStart w:id="9" w:name="_Toc6666"/>
      <w:r>
        <w:rPr>
          <w:rFonts w:hint="eastAsia" w:ascii="楷体_GB2312" w:eastAsia="楷体_GB2312"/>
          <w:color w:val="auto"/>
          <w:sz w:val="32"/>
          <w:szCs w:val="32"/>
          <w:highlight w:val="none"/>
          <w:lang w:val="en-US" w:eastAsia="zh-CN"/>
        </w:rPr>
        <w:t>2.产出质量</w:t>
      </w:r>
      <w:bookmarkEnd w:id="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color w:val="auto"/>
          <w:sz w:val="32"/>
          <w:szCs w:val="32"/>
          <w:highlight w:val="none"/>
          <w:lang w:val="en-US" w:eastAsia="zh-CN"/>
        </w:rPr>
      </w:pPr>
      <w:r>
        <w:rPr>
          <w:rFonts w:hint="eastAsia" w:ascii="仿宋_GB2312" w:hAnsi="宋体" w:eastAsia="仿宋_GB2312" w:cs="宋体"/>
          <w:color w:val="000000"/>
          <w:kern w:val="0"/>
          <w:sz w:val="32"/>
          <w:szCs w:val="32"/>
          <w:lang w:val="en-US" w:eastAsia="zh-CN"/>
        </w:rPr>
        <w:t>（1）全年</w:t>
      </w:r>
      <w:r>
        <w:rPr>
          <w:rFonts w:hint="eastAsia" w:ascii="仿宋_GB2312" w:hAnsi="仿宋" w:eastAsia="仿宋_GB2312" w:cs="Times New Roman"/>
          <w:color w:val="auto"/>
          <w:sz w:val="32"/>
          <w:szCs w:val="32"/>
          <w:highlight w:val="none"/>
          <w:lang w:val="en-US" w:eastAsia="zh-CN"/>
        </w:rPr>
        <w:t>先后获得北京市人民满意的政法单位、首都劳动奖章、北京市未成年人保护工作先进集体等15项荣誉。</w:t>
      </w:r>
    </w:p>
    <w:p>
      <w:pPr>
        <w:keepNext w:val="0"/>
        <w:keepLines w:val="0"/>
        <w:pageBreakBefore w:val="0"/>
        <w:widowControl w:val="0"/>
        <w:kinsoku/>
        <w:wordWrap/>
        <w:overflowPunct/>
        <w:topLinePunct w:val="0"/>
        <w:autoSpaceDE/>
        <w:autoSpaceDN w:val="0"/>
        <w:bidi w:val="0"/>
        <w:adjustRightInd/>
        <w:snapToGrid/>
        <w:spacing w:line="56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锚定高素质、专业化队伍目标，打造涉外“朝晖3S”等一系列检察工作品牌。着力培养领军型人才，1人获评全国优秀公诉人，2人获评北京市十佳、优秀公诉人，4人获评全国检察业务专家，44人获评北京检察专业人才。深耕检察实务研究，中标省部级以上调研课题2项，发表调研文章27篇，入选最高检典型案例4件，市级参考性案例、典型案例25件，获评国家检察官学院教学实践示范基地。</w:t>
      </w:r>
    </w:p>
    <w:p>
      <w:pPr>
        <w:keepNext w:val="0"/>
        <w:keepLines w:val="0"/>
        <w:pageBreakBefore w:val="0"/>
        <w:widowControl w:val="0"/>
        <w:kinsoku/>
        <w:wordWrap/>
        <w:overflowPunct/>
        <w:topLinePunct w:val="0"/>
        <w:autoSpaceDE/>
        <w:autoSpaceDN w:val="0"/>
        <w:bidi w:val="0"/>
        <w:adjustRightInd/>
        <w:snapToGrid/>
        <w:spacing w:line="560" w:lineRule="exact"/>
        <w:ind w:left="105" w:leftChars="50" w:firstLine="480" w:firstLineChars="15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围绕“双轮驱动建设经济大区”的发展战略，创新检察举措助力推动经济回升向好，保障经济平稳、健康、高质量发展。一是倾心优化营商环境，与区工商联共同签订《民营企业产权保护社会化服务体系战略合作备忘录》，促进民营经济发展壮大，携手打造“亲清护企”法治营商环境的朝阳范本；二是齐心守护国资国财，加强成品油领域税收国有财产保护，建立“检察+税务”“检察+稽查”常态化联动履职机制；三是精心保障科技创新，强化“保护知识产权就是保护创新”理念，组建知识产权检察办公室；四是凝心化解金融风险，连续8年发布《金融检察白皮书》，为朝阳打造国际金融机构主聚集区贡献法治“金点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highlight w:val="none"/>
          <w:lang w:val="en-US" w:eastAsia="zh-CN"/>
        </w:rPr>
      </w:pPr>
      <w:bookmarkStart w:id="10" w:name="_Toc26113"/>
      <w:r>
        <w:rPr>
          <w:rFonts w:hint="eastAsia" w:ascii="楷体_GB2312" w:eastAsia="楷体_GB2312"/>
          <w:color w:val="auto"/>
          <w:sz w:val="32"/>
          <w:szCs w:val="32"/>
          <w:highlight w:val="none"/>
          <w:lang w:val="en-US" w:eastAsia="zh-CN"/>
        </w:rPr>
        <w:t>3.产出时效</w:t>
      </w:r>
      <w:bookmarkEnd w:id="10"/>
    </w:p>
    <w:p>
      <w:pPr>
        <w:keepNext w:val="0"/>
        <w:keepLines w:val="0"/>
        <w:pageBreakBefore w:val="0"/>
        <w:widowControl w:val="0"/>
        <w:kinsoku/>
        <w:wordWrap/>
        <w:overflowPunct/>
        <w:topLinePunct w:val="0"/>
        <w:autoSpaceDE/>
        <w:autoSpaceDN w:val="0"/>
        <w:bidi w:val="0"/>
        <w:adjustRightInd/>
        <w:snapToGrid/>
        <w:spacing w:line="560" w:lineRule="exact"/>
        <w:ind w:left="105" w:leftChars="50" w:firstLine="480" w:firstLineChars="150"/>
        <w:textAlignment w:val="auto"/>
        <w:rPr>
          <w:rFonts w:hint="eastAsia" w:ascii="楷体_GB2312" w:eastAsia="楷体_GB2312"/>
          <w:color w:val="auto"/>
          <w:sz w:val="32"/>
          <w:szCs w:val="32"/>
          <w:highlight w:val="none"/>
          <w:lang w:val="en-US" w:eastAsia="zh-CN"/>
        </w:rPr>
      </w:pPr>
      <w:r>
        <w:rPr>
          <w:rFonts w:hint="eastAsia" w:ascii="仿宋_GB2312" w:hAnsi="宋体" w:eastAsia="仿宋_GB2312" w:cs="宋体"/>
          <w:color w:val="000000"/>
          <w:kern w:val="0"/>
          <w:sz w:val="32"/>
          <w:szCs w:val="32"/>
          <w:lang w:val="en-US" w:eastAsia="zh-CN"/>
        </w:rPr>
        <w:t>朝阳检察院2023年度</w:t>
      </w:r>
      <w:r>
        <w:rPr>
          <w:rFonts w:hint="eastAsia" w:ascii="仿宋_GB2312" w:hAnsi="宋体" w:eastAsia="仿宋_GB2312" w:cs="宋体"/>
          <w:color w:val="000000"/>
          <w:kern w:val="0"/>
          <w:sz w:val="32"/>
          <w:szCs w:val="32"/>
        </w:rPr>
        <w:t>内完成部门整体预算项目内容，实施进度良好。所有预算项目均在</w:t>
      </w:r>
      <w:r>
        <w:rPr>
          <w:rFonts w:hint="eastAsia" w:ascii="仿宋_GB2312" w:hAnsi="宋体" w:eastAsia="仿宋_GB2312" w:cs="宋体"/>
          <w:color w:val="000000"/>
          <w:kern w:val="0"/>
          <w:sz w:val="32"/>
          <w:szCs w:val="32"/>
          <w:lang w:val="en-US" w:eastAsia="zh-CN"/>
        </w:rPr>
        <w:t>年度内</w:t>
      </w:r>
      <w:r>
        <w:rPr>
          <w:rFonts w:hint="eastAsia" w:ascii="仿宋_GB2312" w:hAnsi="宋体" w:eastAsia="仿宋_GB2312" w:cs="宋体"/>
          <w:color w:val="000000"/>
          <w:kern w:val="0"/>
          <w:sz w:val="32"/>
          <w:szCs w:val="32"/>
        </w:rPr>
        <w:t>达到预期目标，按时完成率较高。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楷体_GB2312" w:eastAsia="楷体_GB2312"/>
          <w:color w:val="auto"/>
          <w:sz w:val="32"/>
          <w:szCs w:val="32"/>
          <w:highlight w:val="none"/>
          <w:lang w:val="en-US" w:eastAsia="zh-CN"/>
        </w:rPr>
      </w:pPr>
      <w:bookmarkStart w:id="11" w:name="_Toc24550"/>
      <w:r>
        <w:rPr>
          <w:rFonts w:hint="eastAsia" w:ascii="楷体_GB2312" w:eastAsia="楷体_GB2312"/>
          <w:color w:val="auto"/>
          <w:sz w:val="32"/>
          <w:szCs w:val="32"/>
          <w:highlight w:val="none"/>
          <w:lang w:val="en-US" w:eastAsia="zh-CN"/>
        </w:rPr>
        <w:t>4.产出成本</w:t>
      </w:r>
      <w:bookmarkEnd w:id="1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楷体_GB2312" w:eastAsia="楷体_GB2312"/>
          <w:color w:val="auto"/>
          <w:sz w:val="32"/>
          <w:szCs w:val="32"/>
          <w:highlight w:val="none"/>
          <w:lang w:val="en-US"/>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US" w:eastAsia="zh-CN"/>
        </w:rPr>
        <w:t>本年</w:t>
      </w:r>
      <w:r>
        <w:rPr>
          <w:rFonts w:hint="eastAsia" w:ascii="仿宋_GB2312" w:hAnsi="宋体" w:eastAsia="仿宋_GB2312" w:cs="宋体"/>
          <w:color w:val="auto"/>
          <w:kern w:val="0"/>
          <w:sz w:val="32"/>
          <w:szCs w:val="32"/>
          <w:highlight w:val="none"/>
        </w:rPr>
        <w:t>支出</w:t>
      </w:r>
      <w:r>
        <w:rPr>
          <w:rFonts w:hint="eastAsia" w:ascii="仿宋_GB2312" w:hAnsi="宋体" w:eastAsia="仿宋_GB2312" w:cs="宋体"/>
          <w:color w:val="auto"/>
          <w:kern w:val="0"/>
          <w:sz w:val="32"/>
          <w:szCs w:val="32"/>
          <w:highlight w:val="none"/>
          <w:lang w:val="en-US" w:eastAsia="zh-CN"/>
        </w:rPr>
        <w:t>数18819.52</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000000"/>
          <w:kern w:val="0"/>
          <w:sz w:val="32"/>
          <w:szCs w:val="32"/>
          <w:lang w:val="en-US" w:eastAsia="zh-CN"/>
        </w:rPr>
        <w:t>比2022年度决算支出数21,350.71万元节约2531.19万元；2023年度公用经费决算支出数1902.38万元比年初预算批复数2003.61万元节约101.23万元,节约率5.05%。</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12" w:name="_Toc1547"/>
      <w:r>
        <w:rPr>
          <w:rFonts w:hint="eastAsia" w:ascii="楷体_GB2312" w:eastAsia="楷体_GB2312"/>
          <w:b/>
          <w:bCs/>
          <w:color w:val="auto"/>
          <w:sz w:val="32"/>
          <w:szCs w:val="32"/>
          <w:highlight w:val="none"/>
        </w:rPr>
        <w:t>（二）效果实现情况分析</w:t>
      </w:r>
      <w:bookmarkEnd w:id="1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bookmarkStart w:id="13" w:name="_Toc4242"/>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.社会效益</w:t>
      </w:r>
      <w:bookmarkEnd w:id="1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朝阳检察院牢固树立“监督者更要自觉接受监督”理念，落实全过程人民民主，确保检察权始终在人民监督下公平、公正、公开运行，持续提升检察公信力。2023年通过做优常态化联络，设立联络员联系全区各街乡；广泛接受社会监督，邀请社会各界人士走进检察机关，举办“生态环境公益诉讼检察助力美丽中国建设”“检爱同行·共护花开”等检察开放日4次，扩大检察履职“朋友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bookmarkStart w:id="14" w:name="_Toc4300"/>
      <w:r>
        <w:rPr>
          <w:rFonts w:hint="eastAsia" w:ascii="仿宋_GB2312" w:hAnsi="仿宋_GB2312" w:eastAsia="仿宋_GB2312" w:cs="仿宋_GB2312"/>
          <w:color w:val="auto"/>
          <w:sz w:val="32"/>
          <w:szCs w:val="32"/>
          <w:highlight w:val="none"/>
          <w:lang w:val="en-US" w:eastAsia="zh-CN"/>
        </w:rPr>
        <w:t>2.可持续影响</w:t>
      </w:r>
      <w:bookmarkEnd w:id="1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朝阳检察院充分运用微博、微信、抖音等网络平台发布信息1200余条，推出原创普法文章310篇，受众逾20万人。朝阳检察微博号获评中央政法委“四个一百”优秀政法新媒体，微视频《金饭碗后的层层套路》入选“2023年度北京市检察办案好故事”。朝阳检察院通过深化检</w:t>
      </w:r>
      <w:r>
        <w:rPr>
          <w:rFonts w:hint="eastAsia" w:ascii="仿宋_GB2312" w:hAnsi="仿宋" w:eastAsia="仿宋_GB2312" w:cs="Times New Roman"/>
          <w:color w:val="auto"/>
          <w:sz w:val="32"/>
          <w:szCs w:val="32"/>
          <w:highlight w:val="none"/>
          <w:lang w:val="en-US" w:eastAsia="zh-CN"/>
        </w:rPr>
        <w:t>媒合作，相关案件被人民日报等主流媒体报道68次，不断扩大朝阳检察的社会影响力。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楷体_GB2312" w:eastAsia="楷体_GB2312"/>
          <w:color w:val="auto"/>
          <w:sz w:val="32"/>
          <w:szCs w:val="32"/>
          <w:highlight w:val="none"/>
          <w:lang w:val="en-US" w:eastAsia="zh-CN"/>
        </w:rPr>
      </w:pPr>
      <w:bookmarkStart w:id="15" w:name="_Toc11427"/>
      <w:r>
        <w:rPr>
          <w:rFonts w:hint="eastAsia" w:ascii="楷体_GB2312" w:eastAsia="楷体_GB2312"/>
          <w:color w:val="auto"/>
          <w:sz w:val="32"/>
          <w:szCs w:val="32"/>
          <w:highlight w:val="none"/>
          <w:lang w:val="en-US" w:eastAsia="zh-CN"/>
        </w:rPr>
        <w:t>3.服务对象满意度</w:t>
      </w:r>
      <w:bookmarkEnd w:id="1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color w:val="auto"/>
          <w:sz w:val="32"/>
          <w:szCs w:val="32"/>
          <w:highlight w:val="none"/>
          <w:lang w:val="en-US" w:eastAsia="zh-CN"/>
        </w:rPr>
      </w:pPr>
      <w:r>
        <w:rPr>
          <w:rFonts w:hint="eastAsia" w:ascii="仿宋_GB2312" w:hAnsi="仿宋_GB2312" w:eastAsia="仿宋_GB2312" w:cs="仿宋_GB2312"/>
          <w:sz w:val="32"/>
          <w:szCs w:val="32"/>
        </w:rPr>
        <w:t>北京市</w:t>
      </w:r>
      <w:r>
        <w:rPr>
          <w:rFonts w:hint="eastAsia" w:ascii="仿宋_GB2312" w:hAnsi="仿宋_GB2312" w:eastAsia="仿宋_GB2312" w:cs="仿宋_GB2312"/>
          <w:sz w:val="32"/>
          <w:szCs w:val="32"/>
          <w:lang w:val="en-US" w:eastAsia="zh-CN"/>
        </w:rPr>
        <w:t>朝阳区</w:t>
      </w: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届人民代表大会第</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次会议上，与会代表</w:t>
      </w:r>
      <w:r>
        <w:rPr>
          <w:rFonts w:hint="eastAsia" w:ascii="仿宋_GB2312" w:hAnsi="仿宋_GB2312" w:eastAsia="仿宋_GB2312" w:cs="仿宋_GB2312"/>
          <w:sz w:val="32"/>
          <w:szCs w:val="32"/>
          <w:lang w:val="en-US" w:eastAsia="zh-CN"/>
        </w:rPr>
        <w:t>高票通过</w:t>
      </w:r>
      <w:r>
        <w:rPr>
          <w:rFonts w:hint="eastAsia" w:ascii="仿宋_GB2312" w:hAnsi="仿宋_GB2312" w:eastAsia="仿宋_GB2312" w:cs="仿宋_GB2312"/>
          <w:sz w:val="32"/>
          <w:szCs w:val="32"/>
        </w:rPr>
        <w:t>《关于北京市</w:t>
      </w:r>
      <w:r>
        <w:rPr>
          <w:rFonts w:hint="eastAsia" w:ascii="仿宋_GB2312" w:hAnsi="仿宋_GB2312" w:eastAsia="仿宋_GB2312" w:cs="仿宋_GB2312"/>
          <w:sz w:val="32"/>
          <w:szCs w:val="32"/>
          <w:lang w:val="en-US" w:eastAsia="zh-CN"/>
        </w:rPr>
        <w:t>朝阳区</w:t>
      </w:r>
      <w:r>
        <w:rPr>
          <w:rFonts w:hint="eastAsia" w:ascii="仿宋_GB2312" w:hAnsi="仿宋_GB2312" w:eastAsia="仿宋_GB2312" w:cs="仿宋_GB2312"/>
          <w:sz w:val="32"/>
          <w:szCs w:val="32"/>
        </w:rPr>
        <w:t>人民检察院工作报告的决议》</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firstLine="640" w:firstLineChars="200"/>
        <w:textAlignment w:val="auto"/>
        <w:outlineLvl w:val="0"/>
        <w:rPr>
          <w:rFonts w:hint="eastAsia" w:ascii="黑体" w:hAnsi="黑体" w:eastAsia="黑体" w:cs="宋体"/>
          <w:color w:val="auto"/>
          <w:kern w:val="0"/>
          <w:sz w:val="32"/>
          <w:szCs w:val="32"/>
          <w:highlight w:val="none"/>
        </w:rPr>
      </w:pPr>
      <w:bookmarkStart w:id="16" w:name="_Toc20413"/>
      <w:r>
        <w:rPr>
          <w:rFonts w:hint="eastAsia" w:ascii="黑体" w:hAnsi="黑体" w:eastAsia="黑体" w:cs="宋体"/>
          <w:color w:val="auto"/>
          <w:kern w:val="0"/>
          <w:sz w:val="32"/>
          <w:szCs w:val="32"/>
          <w:highlight w:val="none"/>
        </w:rPr>
        <w:t>四</w:t>
      </w:r>
      <w:r>
        <w:rPr>
          <w:rFonts w:ascii="黑体" w:hAnsi="黑体" w:eastAsia="黑体" w:cs="宋体"/>
          <w:color w:val="auto"/>
          <w:kern w:val="0"/>
          <w:sz w:val="32"/>
          <w:szCs w:val="32"/>
          <w:highlight w:val="none"/>
        </w:rPr>
        <w:t>、预算</w:t>
      </w:r>
      <w:r>
        <w:rPr>
          <w:rFonts w:hint="eastAsia" w:ascii="黑体" w:hAnsi="黑体" w:eastAsia="黑体" w:cs="宋体"/>
          <w:color w:val="auto"/>
          <w:kern w:val="0"/>
          <w:sz w:val="32"/>
          <w:szCs w:val="32"/>
          <w:highlight w:val="none"/>
        </w:rPr>
        <w:t>管理情况分</w:t>
      </w:r>
      <w:r>
        <w:rPr>
          <w:rFonts w:ascii="黑体" w:hAnsi="黑体" w:eastAsia="黑体" w:cs="宋体"/>
          <w:color w:val="auto"/>
          <w:kern w:val="0"/>
          <w:sz w:val="32"/>
          <w:szCs w:val="32"/>
          <w:highlight w:val="none"/>
        </w:rPr>
        <w:t>析</w:t>
      </w:r>
      <w:bookmarkEnd w:id="16"/>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17" w:name="_Toc24064"/>
      <w:r>
        <w:rPr>
          <w:rFonts w:hint="eastAsia" w:ascii="楷体_GB2312" w:eastAsia="楷体_GB2312"/>
          <w:b/>
          <w:bCs/>
          <w:color w:val="auto"/>
          <w:sz w:val="32"/>
          <w:szCs w:val="32"/>
          <w:highlight w:val="none"/>
        </w:rPr>
        <w:t>（一）财务管理</w:t>
      </w:r>
      <w:bookmarkEnd w:id="1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1.财务</w:t>
      </w:r>
      <w:r>
        <w:rPr>
          <w:rFonts w:ascii="仿宋_GB2312" w:hAnsi="宋体" w:eastAsia="仿宋_GB2312" w:cs="宋体"/>
          <w:color w:val="auto"/>
          <w:kern w:val="0"/>
          <w:sz w:val="32"/>
          <w:szCs w:val="32"/>
          <w:highlight w:val="none"/>
        </w:rPr>
        <w:t>管理制度健全性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仿宋" w:eastAsia="仿宋_GB2312" w:cs="Times New Roman"/>
          <w:color w:val="auto"/>
          <w:sz w:val="32"/>
          <w:szCs w:val="32"/>
          <w:highlight w:val="none"/>
          <w:lang w:val="en-US" w:eastAsia="zh-CN"/>
        </w:rPr>
        <w:t>朝阳检察院根据自身业务开展情况，制定了财务管理、预算管理、资金支出管理、资产管理、采购管理、合同管理、项目支出预算管理、会计管理、公务卡管理等方面管理制度，实施内部控制管理，各项制度相对健全，为部门资金使用管理提供有效制度保障</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2.资金使用合规性</w:t>
      </w:r>
      <w:r>
        <w:rPr>
          <w:rFonts w:ascii="仿宋_GB2312" w:hAnsi="宋体" w:eastAsia="仿宋_GB2312" w:cs="宋体"/>
          <w:color w:val="auto"/>
          <w:kern w:val="0"/>
          <w:sz w:val="32"/>
          <w:szCs w:val="32"/>
          <w:highlight w:val="none"/>
        </w:rPr>
        <w:t>和安全性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仿宋_GB2312" w:hAnsi="宋体" w:eastAsia="仿宋_GB2312" w:cs="宋体"/>
          <w:color w:val="000000"/>
          <w:kern w:val="0"/>
          <w:sz w:val="32"/>
          <w:szCs w:val="32"/>
        </w:rPr>
      </w:pPr>
      <w:r>
        <w:rPr>
          <w:rFonts w:hint="eastAsia" w:ascii="仿宋_GB2312" w:hAnsi="仿宋" w:eastAsia="仿宋_GB2312" w:cs="Times New Roman"/>
          <w:color w:val="auto"/>
          <w:sz w:val="32"/>
          <w:szCs w:val="32"/>
          <w:highlight w:val="none"/>
          <w:lang w:val="en-US" w:eastAsia="zh-CN"/>
        </w:rPr>
        <w:t>朝阳检察院资金使用严格按照国家财经法规和单位财务管理制度、资金支出管理办法规定以及有关专项资金管理办法的规定执行。不存在截留、挤占、挪用、虚列支出等情况，资金使用合规性较好。在资金使用监管上，能够落实重大支出集体研究制度，年度资金分配履行了相关报批手续。预算执行中，严格按照政府采购及单位采购管理制度和流程执行，</w:t>
      </w:r>
      <w:r>
        <w:rPr>
          <w:rFonts w:hint="eastAsia" w:ascii="仿宋_GB2312" w:hAnsi="宋体" w:eastAsia="仿宋_GB2312" w:cs="宋体"/>
          <w:color w:val="000000"/>
          <w:kern w:val="0"/>
          <w:sz w:val="32"/>
          <w:szCs w:val="32"/>
        </w:rPr>
        <w:t>未发现资金超范围、超标准支出的情况，审批手续严格规范。</w:t>
      </w:r>
      <w:r>
        <w:rPr>
          <w:rFonts w:hint="eastAsia" w:ascii="仿宋_GB2312" w:hAnsi="仿宋" w:eastAsia="仿宋_GB2312" w:cs="Times New Roman"/>
          <w:color w:val="auto"/>
          <w:sz w:val="32"/>
          <w:szCs w:val="32"/>
          <w:highlight w:val="none"/>
          <w:lang w:val="en-US" w:eastAsia="zh-CN"/>
        </w:rPr>
        <w:t>同时，为了进一步提升单位内部控制管理水平，</w:t>
      </w:r>
      <w:r>
        <w:rPr>
          <w:rFonts w:hint="eastAsia" w:ascii="宋体" w:hAnsi="宋体" w:eastAsia="仿宋_GB2312"/>
          <w:color w:val="000000"/>
          <w:sz w:val="32"/>
          <w:szCs w:val="32"/>
        </w:rPr>
        <w:t>规范</w:t>
      </w:r>
      <w:r>
        <w:rPr>
          <w:rFonts w:hint="eastAsia" w:ascii="宋体" w:hAnsi="宋体" w:eastAsia="仿宋_GB2312"/>
          <w:color w:val="000000"/>
          <w:sz w:val="32"/>
          <w:szCs w:val="32"/>
          <w:lang w:val="en-US" w:eastAsia="zh-CN"/>
        </w:rPr>
        <w:t>本院</w:t>
      </w:r>
      <w:r>
        <w:rPr>
          <w:rFonts w:hint="eastAsia" w:ascii="宋体" w:hAnsi="宋体" w:eastAsia="仿宋_GB2312"/>
          <w:color w:val="000000"/>
          <w:sz w:val="32"/>
          <w:szCs w:val="32"/>
        </w:rPr>
        <w:t>采购管理工作，</w:t>
      </w:r>
      <w:r>
        <w:rPr>
          <w:rFonts w:hint="eastAsia" w:ascii="仿宋_GB2312" w:hAnsi="仿宋" w:eastAsia="仿宋_GB2312" w:cs="Times New Roman"/>
          <w:color w:val="auto"/>
          <w:sz w:val="32"/>
          <w:szCs w:val="32"/>
          <w:highlight w:val="none"/>
          <w:lang w:val="en-US" w:eastAsia="zh-CN"/>
        </w:rPr>
        <w:t>加强预算执行监督管理，本院适时修订了《北京市朝阳区人民检察院项目管理办法》《北京市朝阳区采购管理办法》、《北京市朝阳区经费支出管理办法》、《北京市朝阳区合同管理办法》，并设置了公务卡强制结算目录</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000000"/>
          <w:kern w:val="0"/>
          <w:sz w:val="32"/>
          <w:szCs w:val="32"/>
        </w:rPr>
        <w:t>资金支出控制在预算批复范围内，严格按照各项管理制度和要求履行审核、审批程序，资金使用合规，资金管理安全。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color w:val="auto"/>
          <w:kern w:val="0"/>
          <w:sz w:val="32"/>
          <w:szCs w:val="32"/>
          <w:highlight w:val="none"/>
        </w:rPr>
      </w:pPr>
      <w:r>
        <w:rPr>
          <w:rFonts w:hint="eastAsia" w:ascii="仿宋_GB2312" w:hAnsi="仿宋" w:eastAsia="仿宋_GB2312" w:cs="Times New Roman"/>
          <w:color w:val="auto"/>
          <w:sz w:val="32"/>
          <w:szCs w:val="32"/>
          <w:highlight w:val="none"/>
          <w:lang w:val="en-US" w:eastAsia="zh-CN"/>
        </w:rPr>
        <w:t>会计核算方面，专款专用，项目资金在统一会计账簿中按照项目明细单独核算，会计凭证资料保存完整、装订规范。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会计</w:t>
      </w:r>
      <w:r>
        <w:rPr>
          <w:rFonts w:ascii="仿宋_GB2312" w:hAnsi="宋体" w:eastAsia="仿宋_GB2312" w:cs="宋体"/>
          <w:color w:val="auto"/>
          <w:kern w:val="0"/>
          <w:sz w:val="32"/>
          <w:szCs w:val="32"/>
          <w:highlight w:val="none"/>
        </w:rPr>
        <w:t>基础信息完善性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 w:hAnsi="仿宋" w:eastAsia="仿宋" w:cs="仿宋"/>
          <w:color w:val="000000"/>
          <w:kern w:val="0"/>
          <w:sz w:val="32"/>
          <w:szCs w:val="32"/>
        </w:rPr>
      </w:pPr>
      <w:r>
        <w:rPr>
          <w:rFonts w:hint="eastAsia" w:ascii="仿宋_GB2312" w:hAnsi="宋体" w:eastAsia="仿宋_GB2312" w:cs="宋体"/>
          <w:color w:val="000000"/>
          <w:kern w:val="0"/>
          <w:sz w:val="32"/>
          <w:szCs w:val="32"/>
          <w:lang w:val="en-US" w:eastAsia="zh-CN"/>
        </w:rPr>
        <w:t>朝阳检察院根据自身业务核算特点，</w:t>
      </w:r>
      <w:r>
        <w:rPr>
          <w:rFonts w:hint="eastAsia" w:ascii="仿宋_GB2312" w:hAnsi="宋体" w:eastAsia="仿宋_GB2312" w:cs="宋体"/>
          <w:color w:val="000000"/>
          <w:kern w:val="0"/>
          <w:sz w:val="32"/>
          <w:szCs w:val="32"/>
        </w:rPr>
        <w:t>为保证会计</w:t>
      </w:r>
      <w:r>
        <w:rPr>
          <w:rFonts w:ascii="仿宋_GB2312" w:hAnsi="宋体" w:eastAsia="仿宋_GB2312" w:cs="宋体"/>
          <w:color w:val="000000"/>
          <w:kern w:val="0"/>
          <w:sz w:val="32"/>
          <w:szCs w:val="32"/>
        </w:rPr>
        <w:t>基础信息</w:t>
      </w:r>
      <w:r>
        <w:rPr>
          <w:rFonts w:hint="eastAsia" w:ascii="仿宋_GB2312" w:hAnsi="宋体" w:eastAsia="仿宋_GB2312" w:cs="宋体"/>
          <w:color w:val="000000"/>
          <w:kern w:val="0"/>
          <w:sz w:val="32"/>
          <w:szCs w:val="32"/>
        </w:rPr>
        <w:t>的</w:t>
      </w:r>
      <w:r>
        <w:rPr>
          <w:rFonts w:ascii="仿宋_GB2312" w:hAnsi="宋体" w:eastAsia="仿宋_GB2312" w:cs="宋体"/>
          <w:color w:val="000000"/>
          <w:kern w:val="0"/>
          <w:sz w:val="32"/>
          <w:szCs w:val="32"/>
        </w:rPr>
        <w:t>完善性</w:t>
      </w:r>
      <w:r>
        <w:rPr>
          <w:rFonts w:hint="eastAsia" w:ascii="仿宋_GB2312" w:hAnsi="宋体" w:eastAsia="仿宋_GB2312" w:cs="宋体"/>
          <w:color w:val="000000"/>
          <w:kern w:val="0"/>
          <w:sz w:val="32"/>
          <w:szCs w:val="32"/>
        </w:rPr>
        <w:t>，</w:t>
      </w:r>
      <w:r>
        <w:rPr>
          <w:rFonts w:hint="eastAsia" w:ascii="仿宋" w:hAnsi="仿宋" w:eastAsia="仿宋" w:cs="仿宋"/>
          <w:color w:val="000000"/>
          <w:kern w:val="0"/>
          <w:sz w:val="32"/>
          <w:szCs w:val="32"/>
        </w:rPr>
        <w:t>严格执行《政府会计制度》规范使用会计科目</w:t>
      </w:r>
      <w:r>
        <w:rPr>
          <w:rFonts w:hint="eastAsia" w:ascii="仿宋" w:hAnsi="仿宋" w:eastAsia="仿宋" w:cs="仿宋"/>
          <w:color w:val="000000"/>
          <w:kern w:val="0"/>
          <w:sz w:val="32"/>
          <w:szCs w:val="32"/>
          <w:lang w:eastAsia="zh-CN"/>
        </w:rPr>
        <w:t>，</w:t>
      </w:r>
      <w:r>
        <w:rPr>
          <w:rFonts w:hint="eastAsia" w:ascii="仿宋_GB2312" w:hAnsi="仿宋" w:eastAsia="仿宋_GB2312" w:cs="Times New Roman"/>
          <w:color w:val="auto"/>
          <w:sz w:val="32"/>
          <w:szCs w:val="32"/>
          <w:highlight w:val="none"/>
          <w:lang w:val="en-US" w:eastAsia="zh-CN"/>
        </w:rPr>
        <w:t>保障基础数据信息和会计信息资料真实、完整、准确</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同时，</w:t>
      </w:r>
      <w:r>
        <w:rPr>
          <w:rFonts w:hint="eastAsia" w:ascii="仿宋" w:hAnsi="仿宋" w:eastAsia="仿宋" w:cs="仿宋"/>
          <w:color w:val="000000"/>
          <w:kern w:val="0"/>
          <w:sz w:val="32"/>
          <w:szCs w:val="32"/>
          <w:lang w:val="en-US" w:eastAsia="zh-CN"/>
        </w:rPr>
        <w:t>不断</w:t>
      </w:r>
      <w:r>
        <w:rPr>
          <w:rFonts w:hint="eastAsia" w:ascii="仿宋_GB2312" w:hAnsi="宋体" w:eastAsia="仿宋_GB2312" w:cs="宋体"/>
          <w:color w:val="000000"/>
          <w:kern w:val="0"/>
          <w:sz w:val="32"/>
          <w:szCs w:val="32"/>
        </w:rPr>
        <w:t>加强财会队伍建设，提高会计人员的综合素质；严肃财经</w:t>
      </w:r>
      <w:r>
        <w:rPr>
          <w:rFonts w:hint="eastAsia" w:ascii="仿宋_GB2312" w:hAnsi="宋体" w:eastAsia="仿宋_GB2312" w:cs="宋体"/>
          <w:color w:val="000000"/>
          <w:kern w:val="0"/>
          <w:sz w:val="32"/>
          <w:szCs w:val="32"/>
          <w:lang w:val="en-US" w:eastAsia="zh-CN"/>
        </w:rPr>
        <w:t>纪律</w:t>
      </w:r>
      <w:r>
        <w:rPr>
          <w:rFonts w:hint="eastAsia" w:ascii="仿宋_GB2312" w:hAnsi="宋体" w:eastAsia="仿宋_GB2312" w:cs="宋体"/>
          <w:color w:val="000000"/>
          <w:kern w:val="0"/>
          <w:sz w:val="32"/>
          <w:szCs w:val="32"/>
        </w:rPr>
        <w:t>，加大执法力度。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18" w:name="_Toc31287"/>
      <w:r>
        <w:rPr>
          <w:rFonts w:hint="eastAsia" w:ascii="楷体_GB2312" w:eastAsia="楷体_GB2312"/>
          <w:b/>
          <w:bCs/>
          <w:color w:val="auto"/>
          <w:sz w:val="32"/>
          <w:szCs w:val="32"/>
          <w:highlight w:val="none"/>
        </w:rPr>
        <w:t>（二）资产管理</w:t>
      </w:r>
      <w:bookmarkEnd w:id="1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根据《行政单位国有资产管理暂行办法》和《行政事业单位固定资产管理暂行办法》及财政部相关规定，结合单位实际情况，</w:t>
      </w:r>
      <w:r>
        <w:rPr>
          <w:rFonts w:hint="eastAsia" w:ascii="仿宋_GB2312" w:hAnsi="宋体" w:eastAsia="仿宋_GB2312" w:cs="宋体"/>
          <w:color w:val="auto"/>
          <w:kern w:val="0"/>
          <w:sz w:val="32"/>
          <w:szCs w:val="32"/>
          <w:highlight w:val="none"/>
          <w:lang w:val="en-US" w:eastAsia="zh-CN"/>
        </w:rPr>
        <w:t>朝阳检察院</w:t>
      </w:r>
      <w:r>
        <w:rPr>
          <w:rFonts w:hint="eastAsia" w:ascii="仿宋_GB2312" w:hAnsi="宋体" w:eastAsia="仿宋_GB2312" w:cs="宋体"/>
          <w:color w:val="auto"/>
          <w:kern w:val="0"/>
          <w:sz w:val="32"/>
          <w:szCs w:val="32"/>
          <w:highlight w:val="none"/>
        </w:rPr>
        <w:t>制定了《</w:t>
      </w:r>
      <w:r>
        <w:rPr>
          <w:rFonts w:hint="eastAsia" w:ascii="仿宋_GB2312" w:hAnsi="宋体" w:eastAsia="仿宋_GB2312" w:cs="宋体"/>
          <w:color w:val="auto"/>
          <w:kern w:val="0"/>
          <w:sz w:val="32"/>
          <w:szCs w:val="32"/>
          <w:highlight w:val="none"/>
          <w:lang w:val="en-US" w:eastAsia="zh-CN"/>
        </w:rPr>
        <w:t>北京市朝阳区人民检察院国有</w:t>
      </w:r>
      <w:r>
        <w:rPr>
          <w:rFonts w:hint="eastAsia" w:ascii="仿宋_GB2312" w:hAnsi="宋体" w:eastAsia="仿宋_GB2312" w:cs="宋体"/>
          <w:color w:val="auto"/>
          <w:kern w:val="0"/>
          <w:sz w:val="32"/>
          <w:szCs w:val="32"/>
          <w:highlight w:val="none"/>
        </w:rPr>
        <w:t>资产管理办法》，</w:t>
      </w:r>
      <w:r>
        <w:rPr>
          <w:rFonts w:hint="eastAsia" w:ascii="仿宋_GB2312" w:hAnsi="宋体" w:eastAsia="仿宋_GB2312" w:cs="宋体"/>
          <w:color w:val="auto"/>
          <w:kern w:val="0"/>
          <w:sz w:val="32"/>
          <w:szCs w:val="32"/>
          <w:highlight w:val="none"/>
          <w:lang w:eastAsia="zh-CN"/>
        </w:rPr>
        <w:t>明确了资产管理部门及职责、资产配置、资产管理、资产处置、资产出租出借等相关要求，</w:t>
      </w:r>
      <w:r>
        <w:rPr>
          <w:rFonts w:hint="eastAsia" w:ascii="仿宋_GB2312" w:hAnsi="宋体" w:eastAsia="仿宋_GB2312" w:cs="宋体"/>
          <w:color w:val="auto"/>
          <w:kern w:val="0"/>
          <w:sz w:val="32"/>
          <w:szCs w:val="32"/>
          <w:highlight w:val="none"/>
        </w:rPr>
        <w:t>规范和加强了</w:t>
      </w:r>
      <w:r>
        <w:rPr>
          <w:rFonts w:hint="eastAsia" w:ascii="仿宋_GB2312" w:hAnsi="宋体" w:eastAsia="仿宋_GB2312" w:cs="宋体"/>
          <w:color w:val="auto"/>
          <w:kern w:val="0"/>
          <w:sz w:val="32"/>
          <w:szCs w:val="32"/>
          <w:highlight w:val="none"/>
          <w:lang w:val="en-US" w:eastAsia="zh-CN"/>
        </w:rPr>
        <w:t>本院</w:t>
      </w:r>
      <w:r>
        <w:rPr>
          <w:rFonts w:hint="eastAsia" w:ascii="仿宋_GB2312" w:hAnsi="宋体" w:eastAsia="仿宋_GB2312" w:cs="宋体"/>
          <w:color w:val="auto"/>
          <w:kern w:val="0"/>
          <w:sz w:val="32"/>
          <w:szCs w:val="32"/>
          <w:highlight w:val="none"/>
        </w:rPr>
        <w:t>各部门的资产管理工作，维护了国有资产的安全完整、合理配置和有效利用。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截至2023年</w:t>
      </w:r>
      <w:r>
        <w:rPr>
          <w:rFonts w:hint="eastAsia" w:ascii="仿宋_GB2312" w:hAnsi="宋体" w:eastAsia="仿宋_GB2312" w:cs="宋体"/>
          <w:color w:val="auto"/>
          <w:kern w:val="0"/>
          <w:sz w:val="32"/>
          <w:szCs w:val="32"/>
          <w:highlight w:val="none"/>
        </w:rPr>
        <w:t>末，朝阳检察院资产总额49</w:t>
      </w:r>
      <w:r>
        <w:rPr>
          <w:rFonts w:hint="eastAsia" w:ascii="仿宋_GB2312" w:hAnsi="宋体" w:eastAsia="仿宋_GB2312" w:cs="宋体"/>
          <w:color w:val="auto"/>
          <w:kern w:val="0"/>
          <w:sz w:val="32"/>
          <w:szCs w:val="32"/>
          <w:highlight w:val="none"/>
          <w:lang w:val="en-US" w:eastAsia="zh-CN"/>
        </w:rPr>
        <w:t>,</w:t>
      </w:r>
      <w:r>
        <w:rPr>
          <w:rFonts w:hint="eastAsia" w:ascii="仿宋_GB2312" w:hAnsi="宋体" w:eastAsia="仿宋_GB2312" w:cs="宋体"/>
          <w:color w:val="auto"/>
          <w:kern w:val="0"/>
          <w:sz w:val="32"/>
          <w:szCs w:val="32"/>
          <w:highlight w:val="none"/>
        </w:rPr>
        <w:t>656.49万元，</w:t>
      </w:r>
      <w:r>
        <w:rPr>
          <w:rFonts w:hint="eastAsia" w:ascii="仿宋_GB2312" w:hAnsi="宋体" w:eastAsia="仿宋_GB2312" w:cs="宋体"/>
          <w:color w:val="auto"/>
          <w:kern w:val="0"/>
          <w:sz w:val="32"/>
          <w:szCs w:val="32"/>
          <w:highlight w:val="none"/>
          <w:lang w:val="en-US" w:eastAsia="zh-CN"/>
        </w:rPr>
        <w:t>包括</w:t>
      </w:r>
      <w:r>
        <w:rPr>
          <w:rFonts w:hint="eastAsia" w:ascii="仿宋_GB2312" w:hAnsi="宋体" w:eastAsia="仿宋_GB2312" w:cs="宋体"/>
          <w:color w:val="auto"/>
          <w:kern w:val="0"/>
          <w:sz w:val="32"/>
          <w:szCs w:val="32"/>
          <w:highlight w:val="none"/>
        </w:rPr>
        <w:t>货币资金556.12万元、财政应返还额度353.83万元、固定资产48</w:t>
      </w:r>
      <w:r>
        <w:rPr>
          <w:rFonts w:hint="eastAsia" w:ascii="仿宋_GB2312" w:hAnsi="宋体" w:eastAsia="仿宋_GB2312" w:cs="宋体"/>
          <w:color w:val="auto"/>
          <w:kern w:val="0"/>
          <w:sz w:val="32"/>
          <w:szCs w:val="32"/>
          <w:highlight w:val="none"/>
          <w:lang w:val="en-US" w:eastAsia="zh-CN"/>
        </w:rPr>
        <w:t>,</w:t>
      </w:r>
      <w:r>
        <w:rPr>
          <w:rFonts w:hint="eastAsia" w:ascii="仿宋_GB2312" w:hAnsi="宋体" w:eastAsia="仿宋_GB2312" w:cs="宋体"/>
          <w:color w:val="auto"/>
          <w:kern w:val="0"/>
          <w:sz w:val="32"/>
          <w:szCs w:val="32"/>
          <w:highlight w:val="none"/>
        </w:rPr>
        <w:t>746.54万元。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19" w:name="_Toc1920"/>
      <w:r>
        <w:rPr>
          <w:rFonts w:hint="eastAsia" w:ascii="楷体_GB2312" w:eastAsia="楷体_GB2312"/>
          <w:b/>
          <w:bCs/>
          <w:color w:val="auto"/>
          <w:sz w:val="32"/>
          <w:szCs w:val="32"/>
          <w:highlight w:val="none"/>
        </w:rPr>
        <w:t>（三）绩效管理</w:t>
      </w:r>
      <w:bookmarkEnd w:id="1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根据</w:t>
      </w:r>
      <w:r>
        <w:rPr>
          <w:rFonts w:hint="eastAsia" w:ascii="仿宋_GB2312" w:hAnsi="仿宋" w:eastAsia="仿宋_GB2312" w:cs="仿宋"/>
          <w:kern w:val="0"/>
          <w:sz w:val="32"/>
          <w:szCs w:val="32"/>
        </w:rPr>
        <w:t>《中共北京市委 北京市人民政府关于全面实施预算绩效管理的实施意见》(京发〔2019〕12号)</w:t>
      </w:r>
      <w:r>
        <w:rPr>
          <w:rFonts w:hint="eastAsia" w:ascii="仿宋_GB2312" w:hAnsi="仿宋" w:eastAsia="仿宋_GB2312" w:cs="仿宋"/>
          <w:kern w:val="0"/>
          <w:sz w:val="32"/>
          <w:szCs w:val="32"/>
          <w:lang w:val="en-US" w:eastAsia="zh-CN"/>
        </w:rPr>
        <w:t>及《北京市财政局关于2023年推进全面实施预算绩效管理工作的通知》</w:t>
      </w:r>
      <w:r>
        <w:rPr>
          <w:rFonts w:hint="eastAsia" w:ascii="仿宋_GB2312" w:hAnsi="宋体" w:eastAsia="仿宋_GB2312" w:cs="宋体"/>
          <w:color w:val="auto"/>
          <w:kern w:val="0"/>
          <w:sz w:val="32"/>
          <w:szCs w:val="32"/>
          <w:highlight w:val="none"/>
        </w:rPr>
        <w:t>文件要求，</w:t>
      </w:r>
      <w:r>
        <w:rPr>
          <w:rFonts w:hint="eastAsia" w:ascii="仿宋_GB2312" w:hAnsi="宋体" w:eastAsia="仿宋_GB2312" w:cs="宋体"/>
          <w:color w:val="auto"/>
          <w:kern w:val="0"/>
          <w:sz w:val="32"/>
          <w:szCs w:val="32"/>
          <w:highlight w:val="none"/>
          <w:lang w:val="en-US" w:eastAsia="zh-CN"/>
        </w:rPr>
        <w:t>朝阳检察院</w:t>
      </w:r>
      <w:r>
        <w:rPr>
          <w:rFonts w:hint="eastAsia" w:ascii="仿宋_GB2312" w:hAnsi="宋体" w:eastAsia="仿宋_GB2312" w:cs="宋体"/>
          <w:color w:val="auto"/>
          <w:kern w:val="0"/>
          <w:sz w:val="32"/>
          <w:szCs w:val="32"/>
          <w:highlight w:val="none"/>
          <w:lang w:eastAsia="zh-CN"/>
        </w:rPr>
        <w:t>积极落实全过程预算绩效管理工作。</w:t>
      </w:r>
      <w:r>
        <w:rPr>
          <w:rFonts w:hint="eastAsia" w:ascii="仿宋_GB2312" w:hAnsi="宋体" w:eastAsia="仿宋_GB2312" w:cs="宋体"/>
          <w:b/>
          <w:bCs/>
          <w:color w:val="auto"/>
          <w:kern w:val="0"/>
          <w:sz w:val="32"/>
          <w:szCs w:val="32"/>
          <w:highlight w:val="none"/>
          <w:lang w:eastAsia="zh-CN"/>
        </w:rPr>
        <w:t>一是</w:t>
      </w:r>
      <w:r>
        <w:rPr>
          <w:rFonts w:hint="eastAsia" w:ascii="仿宋_GB2312" w:hAnsi="宋体" w:eastAsia="仿宋_GB2312" w:cs="宋体"/>
          <w:color w:val="auto"/>
          <w:kern w:val="0"/>
          <w:sz w:val="32"/>
          <w:szCs w:val="32"/>
          <w:highlight w:val="none"/>
        </w:rPr>
        <w:t>对纳入部门预算管理的所有填报绩效目标的项目开展绩效自评工作</w:t>
      </w:r>
      <w:r>
        <w:rPr>
          <w:rFonts w:hint="eastAsia" w:ascii="仿宋_GB2312" w:hAnsi="宋体" w:eastAsia="仿宋_GB2312" w:cs="宋体"/>
          <w:color w:val="auto"/>
          <w:kern w:val="0"/>
          <w:sz w:val="32"/>
          <w:szCs w:val="32"/>
          <w:highlight w:val="none"/>
          <w:lang w:eastAsia="zh-CN"/>
        </w:rPr>
        <w:t>，实现绩效自评“全覆盖”，选定“</w:t>
      </w:r>
      <w:r>
        <w:rPr>
          <w:rFonts w:hint="eastAsia" w:ascii="仿宋_GB2312" w:hAnsi="宋体" w:eastAsia="仿宋_GB2312" w:cs="宋体"/>
          <w:color w:val="auto"/>
          <w:kern w:val="0"/>
          <w:sz w:val="32"/>
          <w:szCs w:val="32"/>
          <w:highlight w:val="none"/>
          <w:lang w:val="en-US" w:eastAsia="zh-CN"/>
        </w:rPr>
        <w:t>信息化运维费</w:t>
      </w:r>
      <w:r>
        <w:rPr>
          <w:rFonts w:hint="eastAsia" w:ascii="仿宋_GB2312" w:hAnsi="宋体" w:eastAsia="仿宋_GB2312" w:cs="宋体"/>
          <w:color w:val="auto"/>
          <w:kern w:val="0"/>
          <w:sz w:val="32"/>
          <w:szCs w:val="32"/>
          <w:highlight w:val="none"/>
          <w:lang w:eastAsia="zh-CN"/>
        </w:rPr>
        <w:t>”项目开展重点评价，同步开展部门整体绩效评价工作。</w:t>
      </w:r>
      <w:r>
        <w:rPr>
          <w:rFonts w:hint="eastAsia" w:ascii="仿宋_GB2312" w:hAnsi="宋体" w:eastAsia="仿宋_GB2312" w:cs="宋体"/>
          <w:b/>
          <w:bCs/>
          <w:color w:val="auto"/>
          <w:kern w:val="0"/>
          <w:sz w:val="32"/>
          <w:szCs w:val="32"/>
          <w:highlight w:val="none"/>
          <w:lang w:eastAsia="zh-CN"/>
        </w:rPr>
        <w:t>二是</w:t>
      </w:r>
      <w:r>
        <w:rPr>
          <w:rFonts w:hint="eastAsia" w:ascii="仿宋_GB2312" w:hAnsi="宋体" w:eastAsia="仿宋_GB2312" w:cs="宋体"/>
          <w:color w:val="auto"/>
          <w:kern w:val="0"/>
          <w:sz w:val="32"/>
          <w:szCs w:val="32"/>
          <w:highlight w:val="none"/>
        </w:rPr>
        <w:t>组织对纳入绩效管理的所有项目上半年执行情况实施绩效监控，并按要求选取</w:t>
      </w:r>
      <w:r>
        <w:rPr>
          <w:rFonts w:hint="eastAsia" w:ascii="仿宋_GB2312" w:hAnsi="宋体" w:eastAsia="仿宋_GB2312" w:cs="宋体"/>
          <w:color w:val="auto"/>
          <w:kern w:val="0"/>
          <w:sz w:val="32"/>
          <w:szCs w:val="32"/>
          <w:highlight w:val="none"/>
          <w:lang w:val="en-US" w:eastAsia="zh-CN"/>
        </w:rPr>
        <w:t>部门</w:t>
      </w:r>
      <w:r>
        <w:rPr>
          <w:rFonts w:hint="eastAsia" w:ascii="仿宋_GB2312" w:hAnsi="宋体" w:eastAsia="仿宋_GB2312" w:cs="宋体"/>
          <w:color w:val="auto"/>
          <w:kern w:val="0"/>
          <w:sz w:val="32"/>
          <w:szCs w:val="32"/>
          <w:highlight w:val="none"/>
        </w:rPr>
        <w:t>内重点项目进行全面分析。对项目的绩效目标实现程度、项目预算资金拨款到位情况及预算执行情况，进行绩效监控，提高预算执行效力和项目资金使用效率。对偏离绩效目标项目和预期无效项目及时采取措施予以纠正</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b/>
          <w:bCs/>
          <w:color w:val="auto"/>
          <w:kern w:val="0"/>
          <w:sz w:val="32"/>
          <w:szCs w:val="32"/>
          <w:highlight w:val="none"/>
          <w:lang w:val="en-US" w:eastAsia="zh-CN"/>
        </w:rPr>
        <w:t>三</w:t>
      </w:r>
      <w:r>
        <w:rPr>
          <w:rFonts w:hint="eastAsia" w:ascii="仿宋_GB2312" w:hAnsi="宋体" w:eastAsia="仿宋_GB2312" w:cs="宋体"/>
          <w:b/>
          <w:bCs/>
          <w:color w:val="auto"/>
          <w:kern w:val="0"/>
          <w:sz w:val="32"/>
          <w:szCs w:val="32"/>
          <w:highlight w:val="none"/>
          <w:lang w:eastAsia="zh-CN"/>
        </w:rPr>
        <w:t>是</w:t>
      </w:r>
      <w:r>
        <w:rPr>
          <w:rFonts w:hint="eastAsia" w:ascii="仿宋_GB2312" w:hAnsi="宋体" w:eastAsia="仿宋_GB2312" w:cs="宋体"/>
          <w:color w:val="auto"/>
          <w:kern w:val="0"/>
          <w:sz w:val="32"/>
          <w:szCs w:val="32"/>
          <w:highlight w:val="none"/>
          <w:lang w:eastAsia="zh-CN"/>
        </w:rPr>
        <w:t>加强继续目标管理，依据</w:t>
      </w:r>
      <w:r>
        <w:rPr>
          <w:rFonts w:hint="eastAsia" w:ascii="仿宋_GB2312" w:hAnsi="宋体" w:eastAsia="仿宋_GB2312" w:cs="宋体"/>
          <w:color w:val="auto"/>
          <w:kern w:val="0"/>
          <w:sz w:val="32"/>
          <w:szCs w:val="32"/>
          <w:highlight w:val="none"/>
          <w:lang w:val="en-US" w:eastAsia="zh-CN"/>
        </w:rPr>
        <w:t>本院年度</w:t>
      </w:r>
      <w:r>
        <w:rPr>
          <w:rFonts w:hint="eastAsia" w:ascii="仿宋_GB2312" w:hAnsi="宋体" w:eastAsia="仿宋_GB2312" w:cs="宋体"/>
          <w:color w:val="auto"/>
          <w:kern w:val="0"/>
          <w:sz w:val="32"/>
          <w:szCs w:val="32"/>
          <w:highlight w:val="none"/>
          <w:lang w:eastAsia="zh-CN"/>
        </w:rPr>
        <w:t>支出情况，参照中央主管部门分行业分领域核心指标设置情况，对照预算一体化系统中的绩效指标库，梳理</w:t>
      </w:r>
      <w:r>
        <w:rPr>
          <w:rFonts w:hint="eastAsia" w:ascii="仿宋_GB2312" w:hAnsi="宋体" w:eastAsia="仿宋_GB2312" w:cs="宋体"/>
          <w:color w:val="auto"/>
          <w:kern w:val="0"/>
          <w:sz w:val="32"/>
          <w:szCs w:val="32"/>
          <w:highlight w:val="none"/>
          <w:lang w:val="en-US" w:eastAsia="zh-CN"/>
        </w:rPr>
        <w:t>本院</w:t>
      </w:r>
      <w:r>
        <w:rPr>
          <w:rFonts w:hint="eastAsia" w:ascii="仿宋_GB2312" w:hAnsi="宋体" w:eastAsia="仿宋_GB2312" w:cs="宋体"/>
          <w:color w:val="auto"/>
          <w:kern w:val="0"/>
          <w:sz w:val="32"/>
          <w:szCs w:val="32"/>
          <w:highlight w:val="none"/>
          <w:lang w:eastAsia="zh-CN"/>
        </w:rPr>
        <w:t>预算支出核心绩效指标及绩效标准，建立了</w:t>
      </w:r>
      <w:r>
        <w:rPr>
          <w:rFonts w:hint="eastAsia" w:ascii="仿宋_GB2312" w:hAnsi="宋体" w:eastAsia="仿宋_GB2312" w:cs="宋体"/>
          <w:color w:val="auto"/>
          <w:kern w:val="0"/>
          <w:sz w:val="32"/>
          <w:szCs w:val="32"/>
          <w:highlight w:val="none"/>
          <w:lang w:val="en-US" w:eastAsia="zh-CN"/>
        </w:rPr>
        <w:t>本院</w:t>
      </w:r>
      <w:r>
        <w:rPr>
          <w:rFonts w:hint="eastAsia" w:ascii="仿宋_GB2312" w:hAnsi="宋体" w:eastAsia="仿宋_GB2312" w:cs="宋体"/>
          <w:color w:val="auto"/>
          <w:kern w:val="0"/>
          <w:sz w:val="32"/>
          <w:szCs w:val="32"/>
          <w:highlight w:val="none"/>
          <w:lang w:eastAsia="zh-CN"/>
        </w:rPr>
        <w:t>的绩效指标和标准体系，并按要求进行动态管理。</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eastAsia" w:ascii="楷体_GB2312" w:eastAsia="楷体_GB2312"/>
          <w:color w:val="auto"/>
          <w:sz w:val="32"/>
          <w:szCs w:val="32"/>
          <w:highlight w:val="none"/>
        </w:rPr>
      </w:pPr>
      <w:r>
        <w:rPr>
          <w:rFonts w:hint="eastAsia" w:ascii="仿宋_GB2312" w:hAnsi="宋体" w:eastAsia="仿宋_GB2312" w:cs="宋体"/>
          <w:color w:val="000000"/>
          <w:kern w:val="0"/>
          <w:sz w:val="32"/>
          <w:szCs w:val="32"/>
          <w:lang w:val="en-US" w:eastAsia="zh-CN"/>
        </w:rPr>
        <w:t>朝阳检察院全面树立预算</w:t>
      </w:r>
      <w:r>
        <w:rPr>
          <w:rFonts w:hint="eastAsia" w:ascii="仿宋_GB2312" w:hAnsi="宋体" w:eastAsia="仿宋_GB2312" w:cs="宋体"/>
          <w:color w:val="000000"/>
          <w:kern w:val="0"/>
          <w:sz w:val="32"/>
          <w:szCs w:val="32"/>
        </w:rPr>
        <w:t>绩效管理意识，</w:t>
      </w:r>
      <w:r>
        <w:rPr>
          <w:rFonts w:hint="eastAsia" w:ascii="仿宋_GB2312" w:hAnsi="宋体" w:eastAsia="仿宋_GB2312" w:cs="宋体"/>
          <w:color w:val="auto"/>
          <w:kern w:val="0"/>
          <w:sz w:val="32"/>
          <w:szCs w:val="32"/>
          <w:highlight w:val="none"/>
          <w:lang w:val="en-US" w:eastAsia="zh-CN"/>
        </w:rPr>
        <w:t>坚持做到</w:t>
      </w:r>
      <w:r>
        <w:rPr>
          <w:rFonts w:hint="eastAsia" w:ascii="仿宋_GB2312" w:hAnsi="宋体" w:eastAsia="仿宋_GB2312" w:cs="宋体"/>
          <w:color w:val="auto"/>
          <w:kern w:val="0"/>
          <w:sz w:val="32"/>
          <w:szCs w:val="32"/>
          <w:highlight w:val="none"/>
        </w:rPr>
        <w:t>预算编制有目标、执行过程有监控、预算完成有评价，不断强化绩效理念并逐步融入预算编制、执行、公开全过程，将降成本、提效益的理念贯穿于各项工作当中</w:t>
      </w:r>
      <w:r>
        <w:rPr>
          <w:rFonts w:hint="eastAsia" w:ascii="仿宋" w:hAnsi="仿宋" w:eastAsia="仿宋_GB2312"/>
          <w:color w:val="auto"/>
          <w:sz w:val="32"/>
          <w:szCs w:val="2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20" w:name="_Toc21773"/>
      <w:r>
        <w:rPr>
          <w:rFonts w:hint="eastAsia" w:ascii="楷体_GB2312" w:eastAsia="楷体_GB2312"/>
          <w:b/>
          <w:bCs/>
          <w:color w:val="auto"/>
          <w:sz w:val="32"/>
          <w:szCs w:val="32"/>
          <w:highlight w:val="none"/>
        </w:rPr>
        <w:t>（</w:t>
      </w:r>
      <w:r>
        <w:rPr>
          <w:rFonts w:hint="eastAsia" w:ascii="楷体_GB2312" w:eastAsia="楷体_GB2312"/>
          <w:b/>
          <w:bCs/>
          <w:color w:val="auto"/>
          <w:sz w:val="32"/>
          <w:szCs w:val="32"/>
          <w:highlight w:val="none"/>
        </w:rPr>
        <w:t>四）结转结余率</w:t>
      </w:r>
      <w:bookmarkEnd w:id="2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楷体_GB2312" w:eastAsia="楷体_GB2312"/>
          <w:color w:val="auto"/>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lang w:val="en-US" w:eastAsia="zh-CN"/>
        </w:rPr>
        <w:t>朝阳检察院</w:t>
      </w:r>
      <w:r>
        <w:rPr>
          <w:rFonts w:hint="eastAsia" w:ascii="仿宋_GB2312" w:hAnsi="宋体" w:eastAsia="仿宋_GB2312" w:cs="宋体"/>
          <w:color w:val="auto"/>
          <w:kern w:val="0"/>
          <w:sz w:val="32"/>
          <w:szCs w:val="32"/>
          <w:highlight w:val="none"/>
        </w:rPr>
        <w:t>全年预算数为</w:t>
      </w:r>
      <w:r>
        <w:rPr>
          <w:rFonts w:hint="eastAsia" w:ascii="仿宋_GB2312" w:hAnsi="宋体" w:eastAsia="仿宋_GB2312" w:cs="宋体"/>
          <w:color w:val="auto"/>
          <w:kern w:val="0"/>
          <w:sz w:val="32"/>
          <w:szCs w:val="32"/>
          <w:highlight w:val="none"/>
          <w:lang w:val="en-US" w:eastAsia="zh-CN"/>
        </w:rPr>
        <w:t>18,819.52</w:t>
      </w:r>
      <w:r>
        <w:rPr>
          <w:rFonts w:hint="eastAsia" w:ascii="仿宋_GB2312" w:hAnsi="宋体" w:eastAsia="仿宋_GB2312" w:cs="宋体"/>
          <w:color w:val="auto"/>
          <w:kern w:val="0"/>
          <w:sz w:val="32"/>
          <w:szCs w:val="32"/>
          <w:highlight w:val="none"/>
        </w:rPr>
        <w:t>万元，年末结余结转金额为</w:t>
      </w:r>
      <w:r>
        <w:rPr>
          <w:rFonts w:hint="eastAsia" w:ascii="仿宋_GB2312" w:hAnsi="宋体" w:eastAsia="仿宋_GB2312" w:cs="宋体"/>
          <w:color w:val="auto"/>
          <w:kern w:val="0"/>
          <w:sz w:val="32"/>
          <w:szCs w:val="32"/>
          <w:highlight w:val="none"/>
          <w:lang w:val="en-US" w:eastAsia="zh-CN"/>
        </w:rPr>
        <w:t>644.08</w:t>
      </w:r>
      <w:r>
        <w:rPr>
          <w:rFonts w:hint="eastAsia" w:ascii="仿宋_GB2312" w:hAnsi="宋体" w:eastAsia="仿宋_GB2312" w:cs="宋体"/>
          <w:color w:val="auto"/>
          <w:kern w:val="0"/>
          <w:sz w:val="32"/>
          <w:szCs w:val="32"/>
          <w:highlight w:val="none"/>
        </w:rPr>
        <w:t>万元，结余结转率</w:t>
      </w:r>
      <w:r>
        <w:rPr>
          <w:rFonts w:hint="eastAsia" w:ascii="仿宋_GB2312" w:hAnsi="宋体" w:eastAsia="仿宋_GB2312" w:cs="宋体"/>
          <w:color w:val="auto"/>
          <w:kern w:val="0"/>
          <w:sz w:val="32"/>
          <w:szCs w:val="32"/>
          <w:highlight w:val="none"/>
          <w:lang w:val="en-US" w:eastAsia="zh-CN"/>
        </w:rPr>
        <w:t>3.42</w:t>
      </w:r>
      <w:r>
        <w:rPr>
          <w:rFonts w:hint="eastAsia" w:ascii="仿宋_GB2312" w:hAnsi="宋体" w:eastAsia="仿宋_GB2312" w:cs="宋体"/>
          <w:color w:val="auto"/>
          <w:kern w:val="0"/>
          <w:sz w:val="32"/>
          <w:szCs w:val="32"/>
          <w:highlight w:val="none"/>
        </w:rPr>
        <w:t>%。本年结转结余率较上年</w:t>
      </w:r>
      <w:r>
        <w:rPr>
          <w:rFonts w:hint="eastAsia" w:ascii="仿宋_GB2312" w:hAnsi="宋体" w:eastAsia="仿宋_GB2312" w:cs="宋体"/>
          <w:color w:val="auto"/>
          <w:kern w:val="0"/>
          <w:sz w:val="32"/>
          <w:szCs w:val="32"/>
          <w:highlight w:val="none"/>
          <w:lang w:eastAsia="zh-CN"/>
        </w:rPr>
        <w:t>减少</w:t>
      </w:r>
      <w:r>
        <w:rPr>
          <w:rFonts w:hint="eastAsia" w:ascii="仿宋_GB2312" w:hAnsi="宋体" w:eastAsia="仿宋_GB2312" w:cs="宋体"/>
          <w:color w:val="auto"/>
          <w:kern w:val="0"/>
          <w:sz w:val="32"/>
          <w:szCs w:val="32"/>
          <w:highlight w:val="none"/>
          <w:lang w:val="en-US" w:eastAsia="zh-CN"/>
        </w:rPr>
        <w:t>0.11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21" w:name="_Toc31387"/>
      <w:r>
        <w:rPr>
          <w:rFonts w:hint="eastAsia" w:ascii="楷体_GB2312" w:eastAsia="楷体_GB2312"/>
          <w:b/>
          <w:bCs/>
          <w:color w:val="auto"/>
          <w:sz w:val="32"/>
          <w:szCs w:val="32"/>
          <w:highlight w:val="none"/>
        </w:rPr>
        <w:t>（五）部门预决算差异率</w:t>
      </w:r>
      <w:bookmarkEnd w:id="2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黑体" w:hAnsi="黑体" w:eastAsia="黑体"/>
          <w:color w:val="auto"/>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年年初预算数为</w:t>
      </w:r>
      <w:r>
        <w:rPr>
          <w:rFonts w:hint="eastAsia" w:ascii="仿宋_GB2312" w:hAnsi="宋体" w:eastAsia="仿宋_GB2312" w:cs="宋体"/>
          <w:color w:val="auto"/>
          <w:kern w:val="0"/>
          <w:sz w:val="32"/>
          <w:szCs w:val="32"/>
          <w:highlight w:val="none"/>
          <w:lang w:val="en-US" w:eastAsia="zh-CN"/>
        </w:rPr>
        <w:t>19,393.21</w:t>
      </w:r>
      <w:r>
        <w:rPr>
          <w:rFonts w:hint="eastAsia" w:ascii="仿宋_GB2312" w:hAnsi="宋体" w:eastAsia="仿宋_GB2312" w:cs="宋体"/>
          <w:color w:val="auto"/>
          <w:kern w:val="0"/>
          <w:sz w:val="32"/>
          <w:szCs w:val="32"/>
          <w:highlight w:val="none"/>
        </w:rPr>
        <w:t xml:space="preserve">万元，决算数为 </w:t>
      </w:r>
      <w:r>
        <w:rPr>
          <w:rFonts w:hint="eastAsia" w:ascii="仿宋_GB2312" w:hAnsi="宋体" w:eastAsia="仿宋_GB2312" w:cs="宋体"/>
          <w:color w:val="auto"/>
          <w:kern w:val="0"/>
          <w:sz w:val="32"/>
          <w:szCs w:val="32"/>
          <w:highlight w:val="none"/>
          <w:lang w:val="en-US" w:eastAsia="zh-CN"/>
        </w:rPr>
        <w:t>18,819.52</w:t>
      </w:r>
      <w:r>
        <w:rPr>
          <w:rFonts w:hint="eastAsia" w:ascii="仿宋_GB2312" w:hAnsi="宋体" w:eastAsia="仿宋_GB2312" w:cs="宋体"/>
          <w:color w:val="auto"/>
          <w:kern w:val="0"/>
          <w:sz w:val="32"/>
          <w:szCs w:val="32"/>
          <w:highlight w:val="none"/>
        </w:rPr>
        <w:t>万元，差额为</w:t>
      </w:r>
      <w:r>
        <w:rPr>
          <w:rFonts w:hint="eastAsia" w:ascii="仿宋_GB2312" w:hAnsi="宋体" w:eastAsia="仿宋_GB2312" w:cs="宋体"/>
          <w:color w:val="auto"/>
          <w:kern w:val="0"/>
          <w:sz w:val="32"/>
          <w:szCs w:val="32"/>
          <w:highlight w:val="none"/>
          <w:lang w:val="en-US" w:eastAsia="zh-CN"/>
        </w:rPr>
        <w:t>573.69</w:t>
      </w:r>
      <w:r>
        <w:rPr>
          <w:rFonts w:hint="eastAsia" w:ascii="仿宋_GB2312" w:hAnsi="宋体" w:eastAsia="仿宋_GB2312" w:cs="宋体"/>
          <w:color w:val="auto"/>
          <w:kern w:val="0"/>
          <w:sz w:val="32"/>
          <w:szCs w:val="32"/>
          <w:highlight w:val="none"/>
        </w:rPr>
        <w:t>万元, 占年初预算批复总额的</w:t>
      </w:r>
      <w:r>
        <w:rPr>
          <w:rFonts w:hint="eastAsia" w:ascii="仿宋_GB2312" w:hAnsi="宋体" w:eastAsia="仿宋_GB2312" w:cs="宋体"/>
          <w:color w:val="auto"/>
          <w:kern w:val="0"/>
          <w:sz w:val="32"/>
          <w:szCs w:val="32"/>
          <w:highlight w:val="none"/>
          <w:lang w:val="en-US" w:eastAsia="zh-CN"/>
        </w:rPr>
        <w:t>2.96</w:t>
      </w:r>
      <w:r>
        <w:rPr>
          <w:rFonts w:hint="eastAsia" w:ascii="仿宋_GB2312" w:hAnsi="宋体" w:eastAsia="仿宋_GB2312" w:cs="宋体"/>
          <w:color w:val="auto"/>
          <w:kern w:val="0"/>
          <w:sz w:val="32"/>
          <w:szCs w:val="32"/>
          <w:highlight w:val="none"/>
        </w:rPr>
        <w:t>%。部门预决算差异率远低于市级平均差异率（28.3%）</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部门预决算差异率控制情况较好，预算管理水平不断提升。</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firstLine="640" w:firstLineChars="200"/>
        <w:textAlignment w:val="auto"/>
        <w:outlineLvl w:val="0"/>
        <w:rPr>
          <w:rFonts w:ascii="黑体" w:hAnsi="黑体" w:eastAsia="黑体"/>
          <w:color w:val="auto"/>
          <w:sz w:val="32"/>
          <w:szCs w:val="32"/>
          <w:highlight w:val="none"/>
        </w:rPr>
      </w:pPr>
      <w:bookmarkStart w:id="22" w:name="_Toc21506"/>
      <w:r>
        <w:rPr>
          <w:rFonts w:hint="eastAsia" w:ascii="黑体" w:hAnsi="黑体" w:eastAsia="黑体"/>
          <w:color w:val="auto"/>
          <w:sz w:val="32"/>
          <w:szCs w:val="32"/>
          <w:highlight w:val="none"/>
        </w:rPr>
        <w:t>五、总体</w:t>
      </w:r>
      <w:r>
        <w:rPr>
          <w:rFonts w:hint="eastAsia" w:ascii="黑体" w:hAnsi="黑体" w:eastAsia="黑体" w:cs="宋体"/>
          <w:color w:val="auto"/>
          <w:kern w:val="0"/>
          <w:sz w:val="32"/>
          <w:szCs w:val="32"/>
          <w:highlight w:val="none"/>
        </w:rPr>
        <w:t>评价</w:t>
      </w:r>
      <w:r>
        <w:rPr>
          <w:rFonts w:ascii="黑体" w:hAnsi="黑体" w:eastAsia="黑体"/>
          <w:color w:val="auto"/>
          <w:sz w:val="32"/>
          <w:szCs w:val="32"/>
          <w:highlight w:val="none"/>
        </w:rPr>
        <w:t>结论</w:t>
      </w:r>
      <w:bookmarkEnd w:id="22"/>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lang w:eastAsia="zh-CN"/>
        </w:rPr>
      </w:pPr>
      <w:bookmarkStart w:id="23" w:name="_Toc19340"/>
      <w:r>
        <w:rPr>
          <w:rFonts w:hint="eastAsia" w:ascii="楷体_GB2312" w:eastAsia="楷体_GB2312"/>
          <w:b/>
          <w:bCs/>
          <w:color w:val="auto"/>
          <w:sz w:val="32"/>
          <w:szCs w:val="32"/>
          <w:highlight w:val="none"/>
        </w:rPr>
        <w:t>（一）评价得分情况</w:t>
      </w:r>
      <w:bookmarkEnd w:id="2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年度</w:t>
      </w:r>
      <w:r>
        <w:rPr>
          <w:rFonts w:hint="eastAsia" w:ascii="仿宋_GB2312" w:hAnsi="仿宋" w:eastAsia="仿宋_GB2312" w:cs="Times New Roman"/>
          <w:color w:val="auto"/>
          <w:sz w:val="32"/>
          <w:szCs w:val="32"/>
          <w:highlight w:val="none"/>
          <w:lang w:val="en-US" w:eastAsia="zh-CN"/>
        </w:rPr>
        <w:t>，朝阳检察院</w:t>
      </w:r>
      <w:r>
        <w:rPr>
          <w:rFonts w:hint="eastAsia" w:ascii="仿宋_GB2312" w:hAnsi="宋体" w:eastAsia="仿宋_GB2312" w:cs="宋体"/>
          <w:color w:val="auto"/>
          <w:kern w:val="0"/>
          <w:sz w:val="32"/>
          <w:szCs w:val="32"/>
          <w:highlight w:val="none"/>
        </w:rPr>
        <w:t>整体支出绩效评价综合得分</w:t>
      </w:r>
      <w:r>
        <w:rPr>
          <w:rFonts w:hint="eastAsia" w:ascii="仿宋_GB2312" w:hAnsi="宋体" w:eastAsia="仿宋_GB2312" w:cs="宋体"/>
          <w:color w:val="auto"/>
          <w:kern w:val="0"/>
          <w:sz w:val="32"/>
          <w:szCs w:val="32"/>
          <w:highlight w:val="none"/>
          <w:lang w:val="en-US" w:eastAsia="zh-CN"/>
        </w:rPr>
        <w:t>92</w:t>
      </w:r>
      <w:r>
        <w:rPr>
          <w:rFonts w:hint="eastAsia" w:ascii="仿宋_GB2312" w:hAnsi="宋体" w:eastAsia="仿宋_GB2312" w:cs="宋体"/>
          <w:color w:val="auto"/>
          <w:kern w:val="0"/>
          <w:sz w:val="32"/>
          <w:szCs w:val="32"/>
          <w:highlight w:val="none"/>
        </w:rPr>
        <w:t>分，其中</w:t>
      </w:r>
      <w:r>
        <w:rPr>
          <w:rFonts w:hint="eastAsia" w:ascii="仿宋_GB2312" w:hAnsi="宋体" w:eastAsia="仿宋_GB2312" w:cs="宋体"/>
          <w:color w:val="auto"/>
          <w:kern w:val="0"/>
          <w:sz w:val="32"/>
          <w:szCs w:val="32"/>
          <w:highlight w:val="none"/>
          <w:lang w:val="en-US" w:eastAsia="zh-CN"/>
        </w:rPr>
        <w:t>当年</w:t>
      </w:r>
      <w:r>
        <w:rPr>
          <w:rFonts w:hint="eastAsia" w:ascii="仿宋_GB2312" w:hAnsi="宋体" w:eastAsia="仿宋_GB2312" w:cs="宋体"/>
          <w:color w:val="auto"/>
          <w:kern w:val="0"/>
          <w:sz w:val="32"/>
          <w:szCs w:val="32"/>
          <w:highlight w:val="none"/>
        </w:rPr>
        <w:t>预算执行情况</w:t>
      </w:r>
      <w:r>
        <w:rPr>
          <w:rFonts w:hint="eastAsia" w:ascii="仿宋_GB2312" w:hAnsi="宋体" w:eastAsia="仿宋_GB2312" w:cs="宋体"/>
          <w:color w:val="auto"/>
          <w:kern w:val="0"/>
          <w:sz w:val="32"/>
          <w:szCs w:val="32"/>
          <w:highlight w:val="none"/>
          <w:lang w:val="en-US" w:eastAsia="zh-CN"/>
        </w:rPr>
        <w:t>19.30</w:t>
      </w:r>
      <w:r>
        <w:rPr>
          <w:rFonts w:hint="eastAsia" w:ascii="仿宋_GB2312" w:hAnsi="宋体" w:eastAsia="仿宋_GB2312" w:cs="宋体"/>
          <w:color w:val="auto"/>
          <w:kern w:val="0"/>
          <w:sz w:val="32"/>
          <w:szCs w:val="32"/>
          <w:highlight w:val="none"/>
        </w:rPr>
        <w:t>分、整体绩效目标实现情况</w:t>
      </w:r>
      <w:r>
        <w:rPr>
          <w:rFonts w:hint="eastAsia" w:ascii="仿宋_GB2312" w:hAnsi="宋体" w:eastAsia="仿宋_GB2312" w:cs="宋体"/>
          <w:color w:val="auto"/>
          <w:kern w:val="0"/>
          <w:sz w:val="32"/>
          <w:szCs w:val="32"/>
          <w:highlight w:val="none"/>
          <w:lang w:val="en-US" w:eastAsia="zh-CN"/>
        </w:rPr>
        <w:t>56.00</w:t>
      </w:r>
      <w:r>
        <w:rPr>
          <w:rFonts w:hint="eastAsia" w:ascii="仿宋_GB2312" w:hAnsi="宋体" w:eastAsia="仿宋_GB2312" w:cs="宋体"/>
          <w:color w:val="auto"/>
          <w:kern w:val="0"/>
          <w:sz w:val="32"/>
          <w:szCs w:val="32"/>
          <w:highlight w:val="none"/>
        </w:rPr>
        <w:t>分、预算管理情况</w:t>
      </w:r>
      <w:r>
        <w:rPr>
          <w:rFonts w:hint="eastAsia" w:ascii="仿宋_GB2312" w:hAnsi="宋体" w:eastAsia="仿宋_GB2312" w:cs="宋体"/>
          <w:color w:val="auto"/>
          <w:kern w:val="0"/>
          <w:sz w:val="32"/>
          <w:szCs w:val="32"/>
          <w:highlight w:val="none"/>
          <w:lang w:val="en-US" w:eastAsia="zh-CN"/>
        </w:rPr>
        <w:t>16.70</w:t>
      </w:r>
      <w:r>
        <w:rPr>
          <w:rFonts w:hint="eastAsia" w:ascii="仿宋_GB2312" w:hAnsi="宋体" w:eastAsia="仿宋_GB2312" w:cs="宋体"/>
          <w:color w:val="auto"/>
          <w:kern w:val="0"/>
          <w:sz w:val="32"/>
          <w:szCs w:val="32"/>
          <w:highlight w:val="none"/>
        </w:rPr>
        <w:t>分，绩效评定结论为“</w:t>
      </w:r>
      <w:r>
        <w:rPr>
          <w:rFonts w:hint="eastAsia" w:ascii="仿宋_GB2312" w:hAnsi="宋体" w:eastAsia="仿宋_GB2312" w:cs="宋体"/>
          <w:color w:val="auto"/>
          <w:kern w:val="0"/>
          <w:sz w:val="32"/>
          <w:szCs w:val="32"/>
          <w:highlight w:val="none"/>
          <w:lang w:val="en-US" w:eastAsia="zh-CN"/>
        </w:rPr>
        <w:t>优</w:t>
      </w:r>
      <w:r>
        <w:rPr>
          <w:rFonts w:hint="eastAsia" w:ascii="仿宋_GB2312" w:hAnsi="宋体" w:eastAsia="仿宋_GB2312" w:cs="宋体"/>
          <w:color w:val="auto"/>
          <w:kern w:val="0"/>
          <w:sz w:val="32"/>
          <w:szCs w:val="32"/>
          <w:highlight w:val="none"/>
        </w:rPr>
        <w:t>”。具体情况</w:t>
      </w:r>
      <w:r>
        <w:rPr>
          <w:rFonts w:hint="eastAsia" w:ascii="仿宋_GB2312" w:hAnsi="宋体" w:eastAsia="仿宋_GB2312" w:cs="宋体"/>
          <w:color w:val="auto"/>
          <w:kern w:val="0"/>
          <w:sz w:val="32"/>
          <w:szCs w:val="32"/>
          <w:highlight w:val="none"/>
          <w:lang w:val="en-US" w:eastAsia="zh-CN"/>
        </w:rPr>
        <w:t>详见下表</w:t>
      </w:r>
      <w:r>
        <w:rPr>
          <w:rFonts w:hint="eastAsia" w:ascii="仿宋_GB2312" w:hAnsi="宋体" w:eastAsia="仿宋_GB2312" w:cs="宋体"/>
          <w:color w:val="auto"/>
          <w:kern w:val="0"/>
          <w:sz w:val="32"/>
          <w:szCs w:val="32"/>
          <w:highlight w:val="none"/>
        </w:rPr>
        <w:t>。</w:t>
      </w:r>
    </w:p>
    <w:tbl>
      <w:tblPr>
        <w:tblStyle w:val="12"/>
        <w:tblW w:w="8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3069"/>
        <w:gridCol w:w="2403"/>
        <w:gridCol w:w="2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cantSplit/>
          <w:trHeight w:val="855" w:hRule="atLeast"/>
        </w:trPr>
        <w:tc>
          <w:tcPr>
            <w:tcW w:w="3069"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bCs w:val="0"/>
                <w:color w:val="auto"/>
                <w:sz w:val="28"/>
                <w:szCs w:val="28"/>
                <w:highlight w:val="none"/>
              </w:rPr>
            </w:pPr>
            <w:r>
              <w:rPr>
                <w:rFonts w:hint="eastAsia" w:ascii="仿宋_GB2312" w:hAnsi="仿宋_GB2312" w:eastAsia="仿宋_GB2312" w:cs="仿宋_GB2312"/>
                <w:b/>
                <w:bCs w:val="0"/>
                <w:color w:val="auto"/>
                <w:sz w:val="28"/>
                <w:szCs w:val="28"/>
                <w:highlight w:val="none"/>
              </w:rPr>
              <w:t>评价内容</w:t>
            </w:r>
          </w:p>
        </w:tc>
        <w:tc>
          <w:tcPr>
            <w:tcW w:w="24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bCs w:val="0"/>
                <w:color w:val="auto"/>
                <w:sz w:val="28"/>
                <w:szCs w:val="28"/>
                <w:highlight w:val="none"/>
              </w:rPr>
            </w:pPr>
            <w:r>
              <w:rPr>
                <w:rFonts w:hint="eastAsia" w:ascii="仿宋_GB2312" w:hAnsi="仿宋_GB2312" w:eastAsia="仿宋_GB2312" w:cs="仿宋_GB2312"/>
                <w:b/>
                <w:bCs w:val="0"/>
                <w:color w:val="auto"/>
                <w:sz w:val="28"/>
                <w:szCs w:val="28"/>
                <w:highlight w:val="none"/>
              </w:rPr>
              <w:t>分值</w:t>
            </w:r>
          </w:p>
        </w:tc>
        <w:tc>
          <w:tcPr>
            <w:tcW w:w="2986"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bCs w:val="0"/>
                <w:color w:val="auto"/>
                <w:sz w:val="28"/>
                <w:szCs w:val="28"/>
                <w:highlight w:val="none"/>
              </w:rPr>
            </w:pPr>
            <w:r>
              <w:rPr>
                <w:rFonts w:hint="eastAsia" w:ascii="仿宋_GB2312" w:hAnsi="仿宋_GB2312" w:eastAsia="仿宋_GB2312" w:cs="仿宋_GB2312"/>
                <w:b/>
                <w:bCs w:val="0"/>
                <w:color w:val="auto"/>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685" w:hRule="atLeast"/>
        </w:trPr>
        <w:tc>
          <w:tcPr>
            <w:tcW w:w="3069" w:type="dxa"/>
            <w:shd w:val="clear" w:color="auto" w:fill="auto"/>
            <w:noWrap w:val="0"/>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当年预算执行情况</w:t>
            </w:r>
          </w:p>
        </w:tc>
        <w:tc>
          <w:tcPr>
            <w:tcW w:w="24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20.00</w:t>
            </w:r>
          </w:p>
        </w:tc>
        <w:tc>
          <w:tcPr>
            <w:tcW w:w="2986"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499" w:hRule="atLeast"/>
        </w:trPr>
        <w:tc>
          <w:tcPr>
            <w:tcW w:w="3069"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lang w:eastAsia="zh-CN"/>
              </w:rPr>
            </w:pPr>
            <w:r>
              <w:rPr>
                <w:rFonts w:hint="eastAsia" w:ascii="仿宋_GB2312" w:hAnsi="仿宋_GB2312" w:eastAsia="仿宋_GB2312" w:cs="仿宋_GB2312"/>
                <w:b w:val="0"/>
                <w:bCs/>
                <w:color w:val="auto"/>
                <w:sz w:val="28"/>
                <w:szCs w:val="28"/>
                <w:highlight w:val="none"/>
              </w:rPr>
              <w:t>整体绩效目标实现情况</w:t>
            </w:r>
          </w:p>
        </w:tc>
        <w:tc>
          <w:tcPr>
            <w:tcW w:w="24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60.00</w:t>
            </w:r>
          </w:p>
        </w:tc>
        <w:tc>
          <w:tcPr>
            <w:tcW w:w="2986"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468" w:hRule="atLeast"/>
        </w:trPr>
        <w:tc>
          <w:tcPr>
            <w:tcW w:w="3069"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lang w:eastAsia="zh-CN"/>
              </w:rPr>
            </w:pPr>
            <w:r>
              <w:rPr>
                <w:rFonts w:hint="eastAsia" w:ascii="仿宋_GB2312" w:hAnsi="仿宋_GB2312" w:eastAsia="仿宋_GB2312" w:cs="仿宋_GB2312"/>
                <w:b w:val="0"/>
                <w:bCs/>
                <w:color w:val="auto"/>
                <w:sz w:val="28"/>
                <w:szCs w:val="28"/>
                <w:highlight w:val="none"/>
              </w:rPr>
              <w:t>预算管理情况</w:t>
            </w:r>
          </w:p>
        </w:tc>
        <w:tc>
          <w:tcPr>
            <w:tcW w:w="24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20.00</w:t>
            </w:r>
          </w:p>
        </w:tc>
        <w:tc>
          <w:tcPr>
            <w:tcW w:w="2986"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2" w:hRule="atLeast"/>
        </w:trPr>
        <w:tc>
          <w:tcPr>
            <w:tcW w:w="3069"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综合得分</w:t>
            </w:r>
          </w:p>
        </w:tc>
        <w:tc>
          <w:tcPr>
            <w:tcW w:w="24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100.00</w:t>
            </w:r>
          </w:p>
        </w:tc>
        <w:tc>
          <w:tcPr>
            <w:tcW w:w="2986"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474" w:hRule="atLeast"/>
        </w:trPr>
        <w:tc>
          <w:tcPr>
            <w:tcW w:w="3069"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绩效评定级别</w:t>
            </w:r>
          </w:p>
        </w:tc>
        <w:tc>
          <w:tcPr>
            <w:tcW w:w="5389" w:type="dxa"/>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Chars="0"/>
              <w:jc w:val="center"/>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优</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_GB2312" w:eastAsia="楷体_GB2312"/>
          <w:b/>
          <w:bCs/>
          <w:color w:val="auto"/>
          <w:sz w:val="32"/>
          <w:szCs w:val="32"/>
          <w:highlight w:val="none"/>
        </w:rPr>
      </w:pPr>
      <w:bookmarkStart w:id="24" w:name="_Toc29659"/>
      <w:r>
        <w:rPr>
          <w:rFonts w:hint="eastAsia" w:ascii="楷体_GB2312" w:eastAsia="楷体_GB2312"/>
          <w:b/>
          <w:bCs/>
          <w:color w:val="auto"/>
          <w:sz w:val="32"/>
          <w:szCs w:val="32"/>
          <w:highlight w:val="none"/>
        </w:rPr>
        <w:t>（二）存在的问题及原因分析</w:t>
      </w:r>
      <w:bookmarkEnd w:id="2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bCs/>
          <w:kern w:val="0"/>
          <w:sz w:val="32"/>
          <w:szCs w:val="28"/>
        </w:rPr>
      </w:pPr>
      <w:r>
        <w:rPr>
          <w:rFonts w:hint="eastAsia" w:ascii="仿宋_GB2312" w:hAnsi="楷体" w:eastAsia="仿宋_GB2312"/>
          <w:bCs/>
          <w:kern w:val="0"/>
          <w:sz w:val="32"/>
          <w:szCs w:val="28"/>
        </w:rPr>
        <w:t>1.项目绩效目标设置不够细化量化。绩效目标的设定未涵盖的项目所有内容、绩效指标设置完整、产出和效益指标之间不够对应、服务对象范围考虑不全面等问题。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color w:val="auto"/>
          <w:kern w:val="0"/>
          <w:sz w:val="32"/>
          <w:szCs w:val="32"/>
          <w:highlight w:val="none"/>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w:t>
      </w:r>
      <w:r>
        <w:rPr>
          <w:rFonts w:hint="eastAsia" w:ascii="仿宋_GB2312" w:hAnsi="仿宋_GB2312" w:eastAsia="仿宋_GB2312" w:cs="仿宋_GB2312"/>
          <w:color w:val="auto"/>
          <w:sz w:val="32"/>
          <w:szCs w:val="32"/>
          <w:highlight w:val="none"/>
          <w:lang w:eastAsia="zh-CN"/>
        </w:rPr>
        <w:t>个别项目年度指标值较实际完成值设定偏低，指标设定科学性有待加强。</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firstLine="640" w:firstLineChars="200"/>
        <w:textAlignment w:val="auto"/>
        <w:outlineLvl w:val="0"/>
        <w:rPr>
          <w:rFonts w:hint="eastAsia" w:ascii="仿宋_GB2312" w:hAnsi="宋体" w:eastAsia="仿宋_GB2312" w:cs="宋体"/>
          <w:color w:val="auto"/>
          <w:kern w:val="0"/>
          <w:sz w:val="32"/>
          <w:szCs w:val="32"/>
          <w:highlight w:val="none"/>
        </w:rPr>
      </w:pPr>
      <w:bookmarkStart w:id="25" w:name="_Toc16278"/>
      <w:r>
        <w:rPr>
          <w:rFonts w:hint="eastAsia" w:ascii="黑体" w:hAnsi="黑体" w:eastAsia="黑体" w:cs="宋体"/>
          <w:color w:val="auto"/>
          <w:kern w:val="0"/>
          <w:sz w:val="32"/>
          <w:szCs w:val="32"/>
          <w:highlight w:val="none"/>
        </w:rPr>
        <w:t>六、措施建议</w:t>
      </w:r>
      <w:bookmarkEnd w:id="2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lang w:eastAsia="zh-CN"/>
        </w:rPr>
        <w:t>建议在编制绩效指标时，加强需求调研及项目前期论证，对项目实施过程中可能出现的潜在风险合理预判，督促项目实施进度，切实保障项目有序、有效运行。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lang w:val="en-US" w:eastAsia="zh-CN"/>
        </w:rPr>
        <w:t>2.需进一步</w:t>
      </w:r>
      <w:r>
        <w:rPr>
          <w:rFonts w:hint="eastAsia" w:ascii="仿宋_GB2312" w:hAnsi="宋体" w:eastAsia="仿宋_GB2312" w:cs="宋体"/>
          <w:color w:val="auto"/>
          <w:kern w:val="0"/>
          <w:sz w:val="32"/>
          <w:szCs w:val="32"/>
          <w:highlight w:val="none"/>
          <w:lang w:eastAsia="zh-CN"/>
        </w:rPr>
        <w:t>明确各主要工作任务的功能特性，围绕核心工作，从中概括、提炼出最能反映项目预期实现程度的关键性指标，将其确定为相应的绩效指标，并通过收集资料相关基础数据，确定绩效标准，结合预期进展，预计投入等情况，确定绩效指标的具体数值。</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firstLine="640" w:firstLineChars="200"/>
        <w:textAlignment w:val="auto"/>
        <w:outlineLvl w:val="0"/>
        <w:rPr>
          <w:rFonts w:hint="eastAsia" w:ascii="黑体" w:hAnsi="黑体" w:eastAsia="黑体" w:cs="宋体"/>
          <w:color w:val="auto"/>
          <w:kern w:val="0"/>
          <w:sz w:val="32"/>
          <w:szCs w:val="32"/>
          <w:highlight w:val="none"/>
          <w:lang w:val="en-US" w:eastAsia="zh-CN"/>
        </w:rPr>
      </w:pPr>
      <w:bookmarkStart w:id="26" w:name="_Toc31264"/>
      <w:r>
        <w:rPr>
          <w:rFonts w:hint="eastAsia" w:ascii="黑体" w:hAnsi="黑体" w:eastAsia="黑体" w:cs="宋体"/>
          <w:color w:val="auto"/>
          <w:kern w:val="0"/>
          <w:sz w:val="32"/>
          <w:szCs w:val="32"/>
          <w:highlight w:val="none"/>
          <w:lang w:val="en-US" w:eastAsia="zh-CN"/>
        </w:rPr>
        <w:t>七、附件</w:t>
      </w:r>
      <w:bookmarkEnd w:id="26"/>
    </w:p>
    <w:p>
      <w:pPr>
        <w:pStyle w:val="4"/>
        <w:ind w:firstLine="960" w:firstLineChars="300"/>
        <w:rPr>
          <w:rFonts w:hint="eastAsia"/>
          <w:lang w:val="en-US" w:eastAsia="zh-CN"/>
        </w:rPr>
      </w:pPr>
      <w:r>
        <w:rPr>
          <w:rFonts w:hint="eastAsia" w:ascii="仿宋_GB2312" w:hAnsi="仿宋_GB2312" w:eastAsia="仿宋_GB2312" w:cs="仿宋_GB2312"/>
          <w:color w:val="000000"/>
          <w:kern w:val="0"/>
          <w:sz w:val="32"/>
          <w:szCs w:val="32"/>
          <w:lang w:val="en-US" w:eastAsia="zh-CN"/>
        </w:rPr>
        <w:t>附件：</w:t>
      </w: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度</w:t>
      </w:r>
      <w:r>
        <w:rPr>
          <w:rFonts w:hint="eastAsia" w:ascii="仿宋_GB2312" w:hAnsi="仿宋_GB2312" w:eastAsia="仿宋_GB2312" w:cs="仿宋_GB2312"/>
          <w:color w:val="000000"/>
          <w:kern w:val="0"/>
          <w:sz w:val="32"/>
          <w:szCs w:val="32"/>
        </w:rPr>
        <w:t>部门整体绩效评价指标体系评分表</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黑体" w:hAnsi="黑体" w:eastAsia="黑体" w:cs="宋体"/>
          <w:color w:val="auto"/>
          <w:kern w:val="0"/>
          <w:sz w:val="32"/>
          <w:szCs w:val="32"/>
          <w:highlight w:val="none"/>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default" w:ascii="黑体" w:hAnsi="黑体" w:eastAsia="黑体" w:cs="宋体"/>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附件：</w:t>
      </w: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度</w:t>
      </w:r>
      <w:r>
        <w:rPr>
          <w:rFonts w:hint="eastAsia" w:ascii="仿宋_GB2312" w:hAnsi="仿宋_GB2312" w:eastAsia="仿宋_GB2312" w:cs="仿宋_GB2312"/>
          <w:color w:val="000000"/>
          <w:kern w:val="0"/>
          <w:sz w:val="32"/>
          <w:szCs w:val="32"/>
        </w:rPr>
        <w:t>部门整体绩效评价指标体系评分表</w:t>
      </w:r>
    </w:p>
    <w:tbl>
      <w:tblPr>
        <w:tblStyle w:val="12"/>
        <w:tblW w:w="4945" w:type="pct"/>
        <w:tblInd w:w="0" w:type="dxa"/>
        <w:tblLayout w:type="autofit"/>
        <w:tblCellMar>
          <w:top w:w="0" w:type="dxa"/>
          <w:left w:w="108" w:type="dxa"/>
          <w:bottom w:w="0" w:type="dxa"/>
          <w:right w:w="108" w:type="dxa"/>
        </w:tblCellMar>
      </w:tblPr>
      <w:tblGrid>
        <w:gridCol w:w="1135"/>
        <w:gridCol w:w="1138"/>
        <w:gridCol w:w="1116"/>
        <w:gridCol w:w="1016"/>
        <w:gridCol w:w="890"/>
        <w:gridCol w:w="859"/>
        <w:gridCol w:w="859"/>
        <w:gridCol w:w="3542"/>
        <w:gridCol w:w="3463"/>
      </w:tblGrid>
      <w:tr>
        <w:tblPrEx>
          <w:tblCellMar>
            <w:top w:w="0" w:type="dxa"/>
            <w:left w:w="108" w:type="dxa"/>
            <w:bottom w:w="0" w:type="dxa"/>
            <w:right w:w="108" w:type="dxa"/>
          </w:tblCellMar>
        </w:tblPrEx>
        <w:trPr>
          <w:trHeight w:val="736" w:hRule="atLeast"/>
        </w:trPr>
        <w:tc>
          <w:tcPr>
            <w:tcW w:w="5000" w:type="pct"/>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highlight w:val="none"/>
              </w:rPr>
            </w:pPr>
            <w:r>
              <w:rPr>
                <w:rFonts w:hint="eastAsia" w:ascii="方正小标宋简体" w:hAnsi="黑体" w:eastAsia="方正小标宋简体" w:cs="宋体"/>
                <w:color w:val="000000"/>
                <w:kern w:val="0"/>
                <w:sz w:val="32"/>
                <w:szCs w:val="32"/>
              </w:rPr>
              <w:t>202</w:t>
            </w:r>
            <w:r>
              <w:rPr>
                <w:rFonts w:hint="eastAsia" w:ascii="方正小标宋简体" w:hAnsi="黑体" w:eastAsia="方正小标宋简体" w:cs="宋体"/>
                <w:color w:val="000000"/>
                <w:kern w:val="0"/>
                <w:sz w:val="32"/>
                <w:szCs w:val="32"/>
                <w:lang w:val="en-US" w:eastAsia="zh-CN"/>
              </w:rPr>
              <w:t>3</w:t>
            </w:r>
            <w:r>
              <w:rPr>
                <w:rFonts w:hint="eastAsia" w:ascii="方正小标宋简体" w:hAnsi="黑体" w:eastAsia="方正小标宋简体" w:cs="宋体"/>
                <w:color w:val="000000"/>
                <w:kern w:val="0"/>
                <w:sz w:val="32"/>
                <w:szCs w:val="32"/>
              </w:rPr>
              <w:t>年部门整体绩效评价指标体系评分表</w:t>
            </w:r>
          </w:p>
        </w:tc>
      </w:tr>
      <w:tr>
        <w:tblPrEx>
          <w:tblCellMar>
            <w:top w:w="0" w:type="dxa"/>
            <w:left w:w="108" w:type="dxa"/>
            <w:bottom w:w="0" w:type="dxa"/>
            <w:right w:w="108" w:type="dxa"/>
          </w:tblCellMar>
        </w:tblPrEx>
        <w:trPr>
          <w:trHeight w:val="574"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一、当年预算执行情况（20分）</w:t>
            </w:r>
          </w:p>
        </w:tc>
      </w:tr>
      <w:tr>
        <w:tblPrEx>
          <w:tblCellMar>
            <w:top w:w="0" w:type="dxa"/>
            <w:left w:w="108" w:type="dxa"/>
            <w:bottom w:w="0" w:type="dxa"/>
            <w:right w:w="108" w:type="dxa"/>
          </w:tblCellMar>
        </w:tblPrEx>
        <w:trPr>
          <w:trHeight w:val="798" w:hRule="atLeast"/>
        </w:trPr>
        <w:tc>
          <w:tcPr>
            <w:tcW w:w="4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763" w:hRule="atLeast"/>
        </w:trPr>
        <w:tc>
          <w:tcPr>
            <w:tcW w:w="406"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18,819.52</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18175.44</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6.</w:t>
            </w:r>
            <w:r>
              <w:rPr>
                <w:rFonts w:hint="eastAsia" w:ascii="宋体" w:hAnsi="宋体" w:cs="宋体"/>
                <w:color w:val="000000"/>
                <w:kern w:val="0"/>
                <w:sz w:val="20"/>
                <w:szCs w:val="20"/>
                <w:lang w:val="en-US" w:eastAsia="zh-CN"/>
              </w:rPr>
              <w:t>58</w:t>
            </w:r>
            <w:r>
              <w:rPr>
                <w:rFonts w:ascii="宋体" w:hAnsi="宋体" w:cs="宋体"/>
                <w:color w:val="000000"/>
                <w:kern w:val="0"/>
                <w:sz w:val="20"/>
                <w:szCs w:val="20"/>
              </w:rPr>
              <w:t>%</w:t>
            </w:r>
            <w:r>
              <w:rPr>
                <w:rFonts w:hint="eastAsia" w:ascii="宋体" w:hAnsi="宋体" w:cs="宋体"/>
                <w:color w:val="000000"/>
                <w:kern w:val="0"/>
                <w:sz w:val="20"/>
                <w:szCs w:val="20"/>
              </w:rPr>
              <w:t>　</w:t>
            </w:r>
          </w:p>
        </w:tc>
        <w:tc>
          <w:tcPr>
            <w:tcW w:w="30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30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19.3</w:t>
            </w:r>
            <w:r>
              <w:rPr>
                <w:rFonts w:hint="eastAsia" w:ascii="宋体" w:hAnsi="宋体" w:cs="宋体"/>
                <w:color w:val="000000"/>
                <w:kern w:val="0"/>
                <w:sz w:val="20"/>
                <w:szCs w:val="20"/>
              </w:rPr>
              <w:t>　</w:t>
            </w:r>
          </w:p>
        </w:tc>
        <w:tc>
          <w:tcPr>
            <w:tcW w:w="126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部门全年执行数与全年预算数的比率。资金总体</w:t>
            </w:r>
            <w:r>
              <w:rPr>
                <w:rFonts w:ascii="宋体" w:hAnsi="宋体" w:cs="宋体"/>
                <w:color w:val="000000"/>
                <w:kern w:val="0"/>
                <w:sz w:val="20"/>
                <w:szCs w:val="20"/>
              </w:rPr>
              <w:t>=基本支出+项目支出+其他</w:t>
            </w:r>
          </w:p>
        </w:tc>
        <w:tc>
          <w:tcPr>
            <w:tcW w:w="123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①得分一档最高不能超过该指标分值上限（</w:t>
            </w:r>
            <w:r>
              <w:rPr>
                <w:rFonts w:ascii="宋体" w:hAnsi="宋体" w:cs="宋体"/>
                <w:color w:val="000000"/>
                <w:kern w:val="0"/>
                <w:sz w:val="20"/>
                <w:szCs w:val="20"/>
              </w:rPr>
              <w:t>20分）。</w:t>
            </w:r>
            <w:r>
              <w:rPr>
                <w:rFonts w:ascii="宋体" w:hAnsi="宋体" w:cs="宋体"/>
                <w:color w:val="000000"/>
                <w:kern w:val="0"/>
                <w:sz w:val="20"/>
                <w:szCs w:val="20"/>
              </w:rPr>
              <w:br w:type="textWrapping"/>
            </w:r>
            <w:r>
              <w:rPr>
                <w:rFonts w:hint="eastAsia" w:ascii="宋体" w:hAnsi="宋体" w:cs="宋体"/>
                <w:color w:val="000000"/>
                <w:kern w:val="0"/>
                <w:sz w:val="20"/>
                <w:szCs w:val="20"/>
              </w:rPr>
              <w:t>②该指标若为正向指标，则得分计算方法应用全年实际值（</w:t>
            </w:r>
            <w:r>
              <w:rPr>
                <w:rFonts w:ascii="宋体" w:hAnsi="宋体" w:cs="宋体"/>
                <w:color w:val="000000"/>
                <w:kern w:val="0"/>
                <w:sz w:val="20"/>
                <w:szCs w:val="20"/>
              </w:rPr>
              <w:t>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727"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14893.45</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14642.99</w:t>
            </w:r>
          </w:p>
        </w:tc>
        <w:tc>
          <w:tcPr>
            <w:tcW w:w="316"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745"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3926.07</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3532.45</w:t>
            </w:r>
          </w:p>
        </w:tc>
        <w:tc>
          <w:tcPr>
            <w:tcW w:w="31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3069"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1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584"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608" w:hRule="atLeast"/>
        </w:trPr>
        <w:tc>
          <w:tcPr>
            <w:tcW w:w="4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20"/>
                <w:szCs w:val="20"/>
              </w:rPr>
            </w:pPr>
            <w:r>
              <w:rPr>
                <w:rFonts w:hint="eastAsia" w:ascii="宋体" w:hAnsi="宋体" w:cs="宋体"/>
                <w:bCs/>
                <w:color w:val="000000"/>
                <w:kern w:val="0"/>
                <w:sz w:val="20"/>
                <w:szCs w:val="20"/>
              </w:rPr>
              <w:t>指标</w:t>
            </w:r>
            <w:r>
              <w:rPr>
                <w:rFonts w:ascii="宋体" w:hAnsi="宋体" w:cs="宋体"/>
                <w:bCs/>
                <w:color w:val="000000"/>
                <w:kern w:val="0"/>
                <w:sz w:val="20"/>
                <w:szCs w:val="20"/>
              </w:rPr>
              <w:t>解释</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w:t>
            </w:r>
            <w:r>
              <w:rPr>
                <w:rFonts w:ascii="宋体" w:hAnsi="宋体" w:cs="宋体"/>
                <w:color w:val="000000"/>
                <w:kern w:val="0"/>
                <w:sz w:val="20"/>
                <w:szCs w:val="20"/>
              </w:rPr>
              <w:t>分标准</w:t>
            </w:r>
          </w:p>
        </w:tc>
      </w:tr>
      <w:tr>
        <w:tblPrEx>
          <w:tblCellMar>
            <w:top w:w="0" w:type="dxa"/>
            <w:left w:w="108" w:type="dxa"/>
            <w:bottom w:w="0" w:type="dxa"/>
            <w:right w:w="108" w:type="dxa"/>
          </w:tblCellMar>
        </w:tblPrEx>
        <w:trPr>
          <w:trHeight w:val="1429" w:hRule="atLeast"/>
        </w:trPr>
        <w:tc>
          <w:tcPr>
            <w:tcW w:w="406"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40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产出数量</w:t>
            </w:r>
          </w:p>
        </w:tc>
        <w:tc>
          <w:tcPr>
            <w:tcW w:w="3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eastAsia="宋体" w:cs="宋体"/>
                <w:sz w:val="20"/>
                <w:szCs w:val="20"/>
              </w:rPr>
              <w:t>完成各项年度工作任务。</w:t>
            </w:r>
          </w:p>
        </w:tc>
        <w:tc>
          <w:tcPr>
            <w:tcW w:w="31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完成　</w:t>
            </w:r>
          </w:p>
        </w:tc>
        <w:tc>
          <w:tcPr>
            <w:tcW w:w="30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307" w:type="pct"/>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126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b/>
                <w:bCs/>
                <w:color w:val="000000"/>
                <w:kern w:val="0"/>
                <w:sz w:val="20"/>
                <w:szCs w:val="20"/>
              </w:rPr>
              <w:t>产出数量</w:t>
            </w:r>
            <w:r>
              <w:rPr>
                <w:rFonts w:hint="eastAsia" w:ascii="宋体" w:hAnsi="宋体" w:cs="宋体"/>
                <w:color w:val="000000"/>
                <w:kern w:val="0"/>
                <w:sz w:val="20"/>
                <w:szCs w:val="20"/>
              </w:rPr>
              <w:t>：计划完成率</w:t>
            </w:r>
            <w:r>
              <w:rPr>
                <w:rFonts w:ascii="宋体" w:hAnsi="宋体" w:cs="宋体"/>
                <w:color w:val="000000"/>
                <w:kern w:val="0"/>
                <w:sz w:val="20"/>
                <w:szCs w:val="20"/>
              </w:rPr>
              <w:t>=（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20"/>
                <w:szCs w:val="20"/>
              </w:rPr>
              <w:t>产出质量</w:t>
            </w:r>
            <w:r>
              <w:rPr>
                <w:rFonts w:hint="eastAsia" w:ascii="宋体" w:hAnsi="宋体" w:cs="宋体"/>
                <w:color w:val="000000"/>
                <w:kern w:val="0"/>
                <w:sz w:val="20"/>
                <w:szCs w:val="20"/>
              </w:rPr>
              <w:t>：质量达标率</w:t>
            </w:r>
            <w:r>
              <w:rPr>
                <w:rFonts w:ascii="宋体" w:hAnsi="宋体" w:cs="宋体"/>
                <w:color w:val="000000"/>
                <w:kern w:val="0"/>
                <w:sz w:val="20"/>
                <w:szCs w:val="20"/>
              </w:rPr>
              <w:t>=质量达标工作数/实际完成工作数×100%。质量达标工作数：一定时期（年度或规划期）内部门（单位）实际完成工作数中达到部门绩效目标要求（绩效标准值）的工作任务数量。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20"/>
                <w:szCs w:val="20"/>
              </w:rPr>
              <w:t>产出进度：</w:t>
            </w:r>
            <w:r>
              <w:rPr>
                <w:rFonts w:hint="eastAsia" w:ascii="宋体" w:hAnsi="宋体" w:cs="宋体"/>
                <w:color w:val="000000"/>
                <w:kern w:val="0"/>
                <w:sz w:val="20"/>
                <w:szCs w:val="20"/>
              </w:rPr>
              <w:t>按时完成率</w:t>
            </w:r>
            <w:r>
              <w:rPr>
                <w:rFonts w:ascii="宋体" w:hAnsi="宋体" w:cs="宋体"/>
                <w:color w:val="000000"/>
                <w:kern w:val="0"/>
                <w:sz w:val="20"/>
                <w:szCs w:val="20"/>
              </w:rPr>
              <w:t>=（按时完成工作数/实际完成工作数）×100%。按时完成工作数：部门（单位）按照整体绩效目标确定的时限实际完成的工作任务数量。</w:t>
            </w:r>
            <w:r>
              <w:rPr>
                <w:rFonts w:hint="eastAsia" w:ascii="宋体" w:hAnsi="宋体" w:cs="宋体"/>
                <w:b/>
                <w:bCs/>
                <w:color w:val="000000"/>
                <w:kern w:val="0"/>
                <w:sz w:val="20"/>
                <w:szCs w:val="20"/>
              </w:rPr>
              <w:t>产出成本</w:t>
            </w:r>
            <w:r>
              <w:rPr>
                <w:rFonts w:hint="eastAsia" w:ascii="宋体" w:hAnsi="宋体" w:cs="宋体"/>
                <w:color w:val="000000"/>
                <w:kern w:val="0"/>
                <w:sz w:val="20"/>
                <w:szCs w:val="20"/>
              </w:rPr>
              <w:t>：单位产出相对于上一年度的节约额；②单位产出相对于市场同类产出的节约额；③部门公用经费的控制情况。</w:t>
            </w:r>
          </w:p>
        </w:tc>
        <w:tc>
          <w:tcPr>
            <w:tcW w:w="123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部门根据本单位情况自行确定并选择产出指标，合理确定各项指标权重。可量化的指标按照比率</w:t>
            </w:r>
            <w:r>
              <w:rPr>
                <w:rFonts w:ascii="宋体" w:hAnsi="宋体" w:cs="宋体"/>
                <w:color w:val="000000"/>
                <w:kern w:val="0"/>
                <w:sz w:val="20"/>
                <w:szCs w:val="20"/>
              </w:rPr>
              <w:t>*单项指标分值即为该指标得分。如果不能定量评价，则以定性的方式进行自评。</w:t>
            </w:r>
          </w:p>
        </w:tc>
      </w:tr>
      <w:tr>
        <w:tblPrEx>
          <w:tblCellMar>
            <w:top w:w="0" w:type="dxa"/>
            <w:left w:w="108" w:type="dxa"/>
            <w:bottom w:w="0" w:type="dxa"/>
            <w:right w:w="108" w:type="dxa"/>
          </w:tblCellMar>
        </w:tblPrEx>
        <w:trPr>
          <w:trHeight w:val="1490"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产出质量</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eastAsia="宋体" w:cs="宋体"/>
                <w:sz w:val="20"/>
                <w:szCs w:val="20"/>
              </w:rPr>
              <w:t>根据各项任务要求，保质保量完成</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kern w:val="0"/>
                <w:sz w:val="20"/>
                <w:szCs w:val="20"/>
              </w:rPr>
            </w:pPr>
          </w:p>
        </w:tc>
        <w:tc>
          <w:tcPr>
            <w:tcW w:w="1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3329"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产出时效</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eastAsia="宋体" w:cs="宋体"/>
                <w:sz w:val="20"/>
                <w:szCs w:val="20"/>
              </w:rPr>
              <w:t>按照预算批复，完成全年收支指标及工作任务。根据市财政进度要求执行。</w:t>
            </w:r>
            <w:r>
              <w:rPr>
                <w:rFonts w:hint="eastAsia" w:ascii="宋体" w:hAnsi="宋体" w:cs="宋体"/>
                <w:color w:val="000000"/>
                <w:sz w:val="20"/>
                <w:szCs w:val="20"/>
              </w:rPr>
              <w:t>　</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kern w:val="0"/>
                <w:sz w:val="20"/>
                <w:szCs w:val="20"/>
              </w:rPr>
            </w:pPr>
          </w:p>
        </w:tc>
        <w:tc>
          <w:tcPr>
            <w:tcW w:w="1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3329"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产出成本</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eastAsia="宋体" w:cs="宋体"/>
                <w:sz w:val="20"/>
                <w:szCs w:val="20"/>
              </w:rPr>
              <w:t>严格按照要求编制预算，严格执行预算，少花钱多办事，严格控制实施成本。</w:t>
            </w:r>
            <w:r>
              <w:rPr>
                <w:rFonts w:hint="eastAsia" w:ascii="宋体" w:hAnsi="宋体" w:cs="宋体"/>
                <w:color w:val="000000"/>
                <w:kern w:val="0"/>
                <w:sz w:val="20"/>
                <w:szCs w:val="20"/>
              </w:rPr>
              <w:t>　</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1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815"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0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307" w:type="pct"/>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126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b/>
                <w:bCs/>
                <w:color w:val="000000"/>
                <w:kern w:val="0"/>
                <w:sz w:val="20"/>
                <w:szCs w:val="20"/>
              </w:rPr>
              <w:t>经济效益</w:t>
            </w:r>
            <w:r>
              <w:rPr>
                <w:rFonts w:hint="eastAsia" w:ascii="宋体" w:hAnsi="宋体" w:cs="宋体"/>
                <w:color w:val="000000"/>
                <w:kern w:val="0"/>
                <w:sz w:val="20"/>
                <w:szCs w:val="20"/>
              </w:rPr>
              <w:t>：部门（单位）履行职责对经济发展所带来的直接或间接影响。</w:t>
            </w:r>
            <w:r>
              <w:rPr>
                <w:rFonts w:hint="eastAsia" w:ascii="宋体" w:hAnsi="宋体" w:cs="宋体"/>
                <w:b/>
                <w:bCs/>
                <w:color w:val="000000"/>
                <w:kern w:val="0"/>
                <w:sz w:val="20"/>
                <w:szCs w:val="20"/>
              </w:rPr>
              <w:t>社会效益</w:t>
            </w:r>
            <w:r>
              <w:rPr>
                <w:rFonts w:hint="eastAsia" w:ascii="宋体" w:hAnsi="宋体" w:cs="宋体"/>
                <w:color w:val="000000"/>
                <w:kern w:val="0"/>
                <w:sz w:val="20"/>
                <w:szCs w:val="20"/>
              </w:rPr>
              <w:t>：部门（单位）履行职责对社会发展所带来的直接或间接影响。</w:t>
            </w:r>
            <w:r>
              <w:rPr>
                <w:rFonts w:hint="eastAsia" w:ascii="宋体" w:hAnsi="宋体" w:cs="宋体"/>
                <w:b/>
                <w:bCs/>
                <w:color w:val="000000"/>
                <w:kern w:val="0"/>
                <w:sz w:val="20"/>
                <w:szCs w:val="20"/>
              </w:rPr>
              <w:t>环境效益</w:t>
            </w:r>
            <w:r>
              <w:rPr>
                <w:rFonts w:hint="eastAsia" w:ascii="宋体" w:hAnsi="宋体" w:cs="宋体"/>
                <w:color w:val="000000"/>
                <w:kern w:val="0"/>
                <w:sz w:val="20"/>
                <w:szCs w:val="20"/>
              </w:rPr>
              <w:t>：部门（单位）履行职责对环境所带来的直接或间接影响。</w:t>
            </w:r>
            <w:r>
              <w:rPr>
                <w:rFonts w:hint="eastAsia" w:ascii="宋体" w:hAnsi="宋体" w:cs="宋体"/>
                <w:b/>
                <w:bCs/>
                <w:color w:val="000000"/>
                <w:kern w:val="0"/>
                <w:sz w:val="20"/>
                <w:szCs w:val="20"/>
              </w:rPr>
              <w:t>可持续性影响：</w:t>
            </w:r>
            <w:r>
              <w:rPr>
                <w:rFonts w:hint="eastAsia" w:ascii="宋体" w:hAnsi="宋体" w:cs="宋体"/>
                <w:color w:val="000000"/>
                <w:kern w:val="0"/>
                <w:sz w:val="20"/>
                <w:szCs w:val="20"/>
              </w:rPr>
              <w:t>部门绩效目标实现的长效机制建设情况，部门工作效率提升措施的创新。</w:t>
            </w:r>
            <w:r>
              <w:rPr>
                <w:rFonts w:hint="eastAsia" w:ascii="宋体" w:hAnsi="宋体" w:cs="宋体"/>
                <w:b/>
                <w:bCs/>
                <w:color w:val="000000"/>
                <w:kern w:val="0"/>
                <w:sz w:val="20"/>
                <w:szCs w:val="20"/>
              </w:rPr>
              <w:t>服务对象满意度</w:t>
            </w:r>
            <w:r>
              <w:rPr>
                <w:rFonts w:hint="eastAsia" w:ascii="宋体" w:hAnsi="宋体" w:cs="宋体"/>
                <w:color w:val="000000"/>
                <w:kern w:val="0"/>
                <w:sz w:val="20"/>
                <w:szCs w:val="20"/>
              </w:rPr>
              <w:t>：部门（单位）的服务对象对部门履职效果的满意程度。</w:t>
            </w:r>
          </w:p>
        </w:tc>
        <w:tc>
          <w:tcPr>
            <w:tcW w:w="123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1490"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构建检察工作质量提升的长效机制</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基本完成</w:t>
            </w: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kern w:val="0"/>
                <w:sz w:val="20"/>
                <w:szCs w:val="20"/>
              </w:rPr>
            </w:pPr>
          </w:p>
        </w:tc>
        <w:tc>
          <w:tcPr>
            <w:tcW w:w="1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1751"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07"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1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594"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847" w:hRule="atLeast"/>
        </w:trPr>
        <w:tc>
          <w:tcPr>
            <w:tcW w:w="4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30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30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Cs/>
                <w:color w:val="000000"/>
                <w:kern w:val="0"/>
                <w:sz w:val="20"/>
                <w:szCs w:val="20"/>
              </w:rPr>
              <w:t>指标</w:t>
            </w:r>
            <w:r>
              <w:rPr>
                <w:rFonts w:ascii="宋体" w:hAnsi="宋体" w:cs="宋体"/>
                <w:bCs/>
                <w:color w:val="000000"/>
                <w:kern w:val="0"/>
                <w:sz w:val="20"/>
                <w:szCs w:val="20"/>
              </w:rPr>
              <w:t>解释</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w:t>
            </w:r>
            <w:r>
              <w:rPr>
                <w:rFonts w:ascii="宋体" w:hAnsi="宋体" w:cs="宋体"/>
                <w:color w:val="000000"/>
                <w:kern w:val="0"/>
                <w:sz w:val="20"/>
                <w:szCs w:val="20"/>
              </w:rPr>
              <w:t>分标准</w:t>
            </w:r>
          </w:p>
        </w:tc>
      </w:tr>
      <w:tr>
        <w:tblPrEx>
          <w:tblCellMar>
            <w:top w:w="0" w:type="dxa"/>
            <w:left w:w="108" w:type="dxa"/>
            <w:bottom w:w="0" w:type="dxa"/>
            <w:right w:w="108" w:type="dxa"/>
          </w:tblCellMar>
        </w:tblPrEx>
        <w:trPr>
          <w:trHeight w:val="2543" w:hRule="atLeast"/>
        </w:trPr>
        <w:tc>
          <w:tcPr>
            <w:tcW w:w="406"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40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360" w:type="pct"/>
            <w:tcBorders>
              <w:top w:val="single" w:color="auto" w:sz="4" w:space="0"/>
              <w:left w:val="single" w:color="auto" w:sz="4" w:space="0"/>
              <w:bottom w:val="single" w:color="auto" w:sz="4" w:space="0"/>
              <w:right w:val="single" w:color="auto" w:sz="4" w:space="0"/>
            </w:tcBorders>
            <w:vAlign w:val="center"/>
          </w:tcPr>
          <w:p>
            <w:pPr>
              <w:widowControl/>
              <w:autoSpaceDN w:val="0"/>
              <w:jc w:val="center"/>
              <w:rPr>
                <w:rFonts w:ascii="宋体" w:hAnsi="宋体" w:cs="宋体"/>
                <w:color w:val="000000"/>
                <w:kern w:val="0"/>
                <w:sz w:val="20"/>
                <w:szCs w:val="20"/>
              </w:rPr>
            </w:pPr>
            <w:r>
              <w:rPr>
                <w:rFonts w:hint="eastAsia" w:ascii="宋体" w:hAnsi="宋体" w:cs="宋体"/>
                <w:color w:val="000000"/>
                <w:kern w:val="0"/>
                <w:sz w:val="20"/>
                <w:szCs w:val="20"/>
              </w:rPr>
              <w:t>管理制度是否完整、合规　</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较健全　</w:t>
            </w:r>
          </w:p>
        </w:tc>
        <w:tc>
          <w:tcPr>
            <w:tcW w:w="30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0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0.5</w:t>
            </w:r>
            <w:r>
              <w:rPr>
                <w:rFonts w:hint="eastAsia" w:ascii="宋体" w:hAnsi="宋体" w:cs="宋体"/>
                <w:color w:val="000000"/>
                <w:kern w:val="0"/>
                <w:sz w:val="20"/>
                <w:szCs w:val="20"/>
              </w:rPr>
              <w:t>　</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b/>
                <w:bCs/>
                <w:color w:val="000000"/>
                <w:kern w:val="0"/>
                <w:sz w:val="20"/>
                <w:szCs w:val="20"/>
              </w:rPr>
              <w:t>财务管理制度健全性</w:t>
            </w:r>
            <w:r>
              <w:rPr>
                <w:rFonts w:ascii="宋体" w:hAnsi="宋体" w:cs="宋体"/>
                <w:b/>
                <w:bCs/>
                <w:color w:val="000000"/>
                <w:kern w:val="0"/>
                <w:sz w:val="20"/>
                <w:szCs w:val="20"/>
              </w:rPr>
              <w:t>:</w:t>
            </w:r>
            <w:r>
              <w:rPr>
                <w:rFonts w:hint="eastAsia" w:ascii="宋体" w:hAnsi="宋体" w:cs="宋体"/>
                <w:color w:val="000000"/>
                <w:kern w:val="0"/>
                <w:sz w:val="20"/>
                <w:szCs w:val="20"/>
              </w:rPr>
              <w:t>部门（单位）为加强财务管理、规范财务行为而制定的管理制度。</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①预算资金管理办法、绩效跟踪管理办法、资产管理办法等各项制度是否健全；②部门内部财务管理制度是否完整、合规；③会计核算制度是否完整、合规。每有一项不合格扣</w:t>
            </w:r>
            <w:r>
              <w:rPr>
                <w:rFonts w:ascii="宋体" w:hAnsi="宋体" w:cs="宋体"/>
                <w:color w:val="000000"/>
                <w:kern w:val="0"/>
                <w:sz w:val="20"/>
                <w:szCs w:val="20"/>
              </w:rPr>
              <w:t>0.5分，扣完为止。</w:t>
            </w:r>
          </w:p>
        </w:tc>
      </w:tr>
      <w:tr>
        <w:tblPrEx>
          <w:tblCellMar>
            <w:top w:w="0" w:type="dxa"/>
            <w:left w:w="108" w:type="dxa"/>
            <w:bottom w:w="0" w:type="dxa"/>
            <w:right w:w="108" w:type="dxa"/>
          </w:tblCellMar>
        </w:tblPrEx>
        <w:trPr>
          <w:trHeight w:val="4432"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360" w:type="pct"/>
            <w:tcBorders>
              <w:top w:val="single" w:color="auto" w:sz="4" w:space="0"/>
              <w:left w:val="single" w:color="auto" w:sz="4" w:space="0"/>
              <w:bottom w:val="single" w:color="auto" w:sz="4" w:space="0"/>
              <w:right w:val="single" w:color="auto" w:sz="4" w:space="0"/>
            </w:tcBorders>
            <w:vAlign w:val="center"/>
          </w:tcPr>
          <w:p>
            <w:pPr>
              <w:widowControl/>
              <w:autoSpaceDN w:val="0"/>
              <w:jc w:val="center"/>
              <w:rPr>
                <w:rFonts w:ascii="宋体" w:hAnsi="宋体" w:cs="宋体"/>
                <w:color w:val="000000"/>
                <w:kern w:val="0"/>
                <w:sz w:val="20"/>
                <w:szCs w:val="20"/>
              </w:rPr>
            </w:pPr>
            <w:r>
              <w:rPr>
                <w:rFonts w:hint="eastAsia" w:ascii="宋体" w:hAnsi="宋体" w:cs="宋体"/>
                <w:color w:val="000000"/>
                <w:kern w:val="0"/>
                <w:sz w:val="20"/>
                <w:szCs w:val="20"/>
              </w:rPr>
              <w:t>符合相关规定，有完整的审批程序和手续　</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eastAsiaTheme="minorEastAsia"/>
                <w:color w:val="000000"/>
                <w:kern w:val="0"/>
                <w:sz w:val="20"/>
                <w:szCs w:val="20"/>
                <w:lang w:eastAsia="zh-CN"/>
              </w:rPr>
            </w:pPr>
            <w:r>
              <w:rPr>
                <w:rFonts w:hint="eastAsia" w:ascii="宋体" w:hAnsi="宋体" w:cs="宋体"/>
                <w:color w:val="000000"/>
                <w:kern w:val="0"/>
                <w:sz w:val="20"/>
                <w:szCs w:val="20"/>
                <w:lang w:val="en-US" w:eastAsia="zh-CN"/>
              </w:rPr>
              <w:t>符合</w:t>
            </w:r>
          </w:p>
        </w:tc>
        <w:tc>
          <w:tcPr>
            <w:tcW w:w="30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30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　</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b/>
                <w:bCs/>
                <w:color w:val="000000"/>
                <w:kern w:val="0"/>
                <w:sz w:val="20"/>
                <w:szCs w:val="20"/>
              </w:rPr>
              <w:t>资金使用合规性和安全性</w:t>
            </w:r>
            <w:r>
              <w:rPr>
                <w:rFonts w:ascii="宋体" w:hAnsi="宋体" w:cs="宋体"/>
                <w:b/>
                <w:bCs/>
                <w:color w:val="000000"/>
                <w:kern w:val="0"/>
                <w:sz w:val="20"/>
                <w:szCs w:val="20"/>
              </w:rPr>
              <w:t>:</w:t>
            </w:r>
            <w:r>
              <w:rPr>
                <w:rFonts w:hint="eastAsia" w:ascii="宋体" w:hAnsi="宋体" w:cs="宋体"/>
                <w:color w:val="000000"/>
                <w:kern w:val="0"/>
                <w:sz w:val="20"/>
                <w:szCs w:val="20"/>
              </w:rPr>
              <w:t>部门（单位）使用预算资金是否符合相关的预算财务管理制度的规定，是否符合相关规定的开支范围，用以反映考核部门（单位）预算资金的规范运行和安全运行情况。</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color w:val="000000"/>
                <w:kern w:val="0"/>
                <w:sz w:val="20"/>
                <w:szCs w:val="20"/>
              </w:rPr>
              <w:t>0.5分，扣完为止。</w:t>
            </w:r>
          </w:p>
        </w:tc>
      </w:tr>
      <w:tr>
        <w:tblPrEx>
          <w:tblCellMar>
            <w:top w:w="0" w:type="dxa"/>
            <w:left w:w="108" w:type="dxa"/>
            <w:bottom w:w="0" w:type="dxa"/>
            <w:right w:w="108" w:type="dxa"/>
          </w:tblCellMar>
        </w:tblPrEx>
        <w:trPr>
          <w:trHeight w:val="2314"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会计基础信息真实、完整、准确　</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符合要求　</w:t>
            </w:r>
          </w:p>
        </w:tc>
        <w:tc>
          <w:tcPr>
            <w:tcW w:w="30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0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1</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b/>
                <w:bCs/>
                <w:color w:val="000000"/>
                <w:kern w:val="0"/>
                <w:sz w:val="20"/>
                <w:szCs w:val="20"/>
              </w:rPr>
              <w:t>会计基础信息完善性</w:t>
            </w:r>
            <w:r>
              <w:rPr>
                <w:rFonts w:ascii="宋体" w:hAnsi="宋体" w:cs="宋体"/>
                <w:b/>
                <w:bCs/>
                <w:color w:val="000000"/>
                <w:kern w:val="0"/>
                <w:sz w:val="20"/>
                <w:szCs w:val="20"/>
              </w:rPr>
              <w:t>:</w:t>
            </w:r>
            <w:r>
              <w:rPr>
                <w:rFonts w:hint="eastAsia" w:ascii="宋体" w:hAnsi="宋体" w:cs="宋体"/>
                <w:color w:val="000000"/>
                <w:kern w:val="0"/>
                <w:sz w:val="20"/>
                <w:szCs w:val="20"/>
              </w:rPr>
              <w:t>部门（单位）会计基础信息情况。</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①基础数据信息和会计信息资料是否真实；②基础数据信息和会计信息资料是否完整；③基础数据信息和会计信息资料是否准确。每有一项不合格扣</w:t>
            </w:r>
            <w:r>
              <w:rPr>
                <w:rFonts w:ascii="宋体" w:hAnsi="宋体" w:cs="宋体"/>
                <w:color w:val="000000"/>
                <w:kern w:val="0"/>
                <w:sz w:val="20"/>
                <w:szCs w:val="20"/>
              </w:rPr>
              <w:t>0.5分，扣完为止。</w:t>
            </w:r>
          </w:p>
        </w:tc>
      </w:tr>
      <w:tr>
        <w:tblPrEx>
          <w:tblCellMar>
            <w:top w:w="0" w:type="dxa"/>
            <w:left w:w="108" w:type="dxa"/>
            <w:bottom w:w="0" w:type="dxa"/>
            <w:right w:w="108" w:type="dxa"/>
          </w:tblCellMar>
        </w:tblPrEx>
        <w:trPr>
          <w:trHeight w:val="3696"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资产制度健全，管理规范</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sz w:val="20"/>
                <w:szCs w:val="20"/>
              </w:rPr>
              <w:t>基本规范</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eastAsiaTheme="minorEastAsia"/>
                <w:color w:val="000000"/>
                <w:kern w:val="0"/>
                <w:sz w:val="20"/>
                <w:szCs w:val="20"/>
                <w:lang w:eastAsia="zh-CN"/>
              </w:rPr>
            </w:pPr>
            <w:r>
              <w:rPr>
                <w:rFonts w:ascii="宋体" w:hAnsi="宋体" w:cs="宋体"/>
                <w:color w:val="000000"/>
                <w:kern w:val="0"/>
                <w:sz w:val="20"/>
                <w:szCs w:val="20"/>
              </w:rPr>
              <w:t>3.</w:t>
            </w:r>
            <w:r>
              <w:rPr>
                <w:rFonts w:hint="eastAsia" w:ascii="宋体" w:hAnsi="宋体" w:cs="宋体"/>
                <w:color w:val="000000"/>
                <w:kern w:val="0"/>
                <w:sz w:val="20"/>
                <w:szCs w:val="20"/>
                <w:lang w:val="en-US" w:eastAsia="zh-CN"/>
              </w:rPr>
              <w:t>2</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b/>
                <w:bCs/>
                <w:color w:val="000000"/>
                <w:kern w:val="0"/>
                <w:sz w:val="20"/>
                <w:szCs w:val="20"/>
              </w:rPr>
              <w:t>资产管理规范性</w:t>
            </w:r>
            <w:r>
              <w:rPr>
                <w:rFonts w:ascii="宋体" w:hAnsi="宋体" w:cs="宋体"/>
                <w:b/>
                <w:bCs/>
                <w:color w:val="000000"/>
                <w:kern w:val="0"/>
                <w:sz w:val="20"/>
                <w:szCs w:val="20"/>
              </w:rPr>
              <w:t>:</w:t>
            </w:r>
            <w:r>
              <w:rPr>
                <w:rFonts w:hint="eastAsia" w:ascii="宋体" w:hAnsi="宋体" w:cs="宋体"/>
                <w:color w:val="000000"/>
                <w:kern w:val="0"/>
                <w:sz w:val="20"/>
                <w:szCs w:val="20"/>
              </w:rPr>
              <w:t>部门（单位）的资产是否保持安全完整，资产配置是否合理，资产使用和资产处理是否规范，用以反映和考核部门（单位）资产管理的整体水平。</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①对外投资行为是否经审批，是否存在投资亏损；②是否有因管理不当发生严重资产损失和丢失情况；③是否</w:t>
            </w:r>
            <w:r>
              <w:rPr>
                <w:rFonts w:hint="eastAsia" w:ascii="宋体" w:hAnsi="宋体" w:cs="宋体"/>
                <w:b/>
                <w:bCs/>
                <w:color w:val="000000"/>
                <w:kern w:val="0"/>
                <w:sz w:val="20"/>
                <w:szCs w:val="20"/>
              </w:rPr>
              <w:t>存在超标准配置资产</w:t>
            </w:r>
            <w:r>
              <w:rPr>
                <w:rFonts w:hint="eastAsia" w:ascii="宋体" w:hAnsi="宋体" w:cs="宋体"/>
                <w:color w:val="000000"/>
                <w:kern w:val="0"/>
                <w:sz w:val="20"/>
                <w:szCs w:val="20"/>
              </w:rPr>
              <w:t>；④资产使用是否规范，是否存在未经批准擅自出租、出借资产行为；⑤资产处置是否规范，是否存在不按要求进行报批或资产不公开处置行为；⑥其它资产管理制度办法执行情况。每有一项不合格扣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color w:val="000000"/>
                <w:kern w:val="0"/>
                <w:sz w:val="20"/>
                <w:szCs w:val="20"/>
              </w:rPr>
              <w:t>0.8分，扣完为止。</w:t>
            </w:r>
          </w:p>
        </w:tc>
      </w:tr>
      <w:tr>
        <w:tblPrEx>
          <w:tblCellMar>
            <w:top w:w="0" w:type="dxa"/>
            <w:left w:w="108" w:type="dxa"/>
            <w:bottom w:w="0" w:type="dxa"/>
            <w:right w:w="108" w:type="dxa"/>
          </w:tblCellMar>
        </w:tblPrEx>
        <w:trPr>
          <w:trHeight w:val="1855"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360"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全过程绩效管理</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重视绩效管理，组织较好</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eastAsiaTheme="minorEastAsia"/>
                <w:color w:val="000000"/>
                <w:kern w:val="0"/>
                <w:sz w:val="20"/>
                <w:szCs w:val="20"/>
                <w:lang w:eastAsia="zh-CN"/>
              </w:rPr>
            </w:pPr>
            <w:r>
              <w:rPr>
                <w:rFonts w:hint="eastAsia" w:ascii="宋体" w:hAnsi="宋体" w:cs="宋体"/>
                <w:color w:val="000000"/>
                <w:kern w:val="0"/>
                <w:sz w:val="20"/>
                <w:szCs w:val="20"/>
                <w:lang w:val="en-US" w:eastAsia="zh-CN"/>
              </w:rPr>
              <w:t>2</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b/>
                <w:bCs/>
                <w:color w:val="000000"/>
                <w:kern w:val="0"/>
                <w:sz w:val="20"/>
                <w:szCs w:val="20"/>
              </w:rPr>
              <w:t>绩效管理情况</w:t>
            </w:r>
            <w:r>
              <w:rPr>
                <w:rFonts w:ascii="宋体" w:hAnsi="宋体" w:cs="宋体"/>
                <w:b/>
                <w:bCs/>
                <w:color w:val="000000"/>
                <w:kern w:val="0"/>
                <w:sz w:val="20"/>
                <w:szCs w:val="20"/>
              </w:rPr>
              <w:t>:</w:t>
            </w:r>
            <w:r>
              <w:rPr>
                <w:rFonts w:hint="eastAsia" w:ascii="宋体" w:hAnsi="宋体" w:cs="宋体"/>
                <w:color w:val="000000"/>
                <w:kern w:val="0"/>
                <w:sz w:val="20"/>
                <w:szCs w:val="20"/>
              </w:rPr>
              <w:t>考核部门（单位）在绩效管理信息的汇总和应用情况。</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①部门（单位）是否及时对绩效信息进行汇总分析整理；②部门（单位）是否对绩效目标</w:t>
            </w:r>
            <w:r>
              <w:rPr>
                <w:rFonts w:hint="eastAsia" w:ascii="宋体" w:hAnsi="宋体" w:cs="宋体"/>
                <w:b/>
                <w:bCs/>
                <w:color w:val="000000"/>
                <w:kern w:val="0"/>
                <w:sz w:val="20"/>
                <w:szCs w:val="20"/>
              </w:rPr>
              <w:t>偏离情况及时进行矫</w:t>
            </w:r>
            <w:r>
              <w:rPr>
                <w:rFonts w:hint="eastAsia" w:ascii="宋体" w:hAnsi="宋体" w:cs="宋体"/>
                <w:color w:val="000000"/>
                <w:kern w:val="0"/>
                <w:sz w:val="20"/>
                <w:szCs w:val="20"/>
              </w:rPr>
              <w:t>正。每有一项不合格扣</w:t>
            </w:r>
            <w:r>
              <w:rPr>
                <w:rFonts w:ascii="宋体" w:hAnsi="宋体" w:cs="宋体"/>
                <w:color w:val="000000"/>
                <w:kern w:val="0"/>
                <w:sz w:val="20"/>
                <w:szCs w:val="20"/>
              </w:rPr>
              <w:t>2分。</w:t>
            </w:r>
          </w:p>
        </w:tc>
      </w:tr>
      <w:tr>
        <w:tblPrEx>
          <w:tblCellMar>
            <w:top w:w="0" w:type="dxa"/>
            <w:left w:w="108" w:type="dxa"/>
            <w:bottom w:w="0" w:type="dxa"/>
            <w:right w:w="108" w:type="dxa"/>
          </w:tblCellMar>
        </w:tblPrEx>
        <w:trPr>
          <w:trHeight w:val="484"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755"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20"/>
                <w:szCs w:val="20"/>
              </w:rPr>
              <w:t>指标</w:t>
            </w:r>
            <w:r>
              <w:rPr>
                <w:rFonts w:ascii="宋体" w:hAnsi="宋体" w:cs="宋体"/>
                <w:bCs/>
                <w:color w:val="000000"/>
                <w:kern w:val="0"/>
                <w:sz w:val="20"/>
                <w:szCs w:val="20"/>
              </w:rPr>
              <w:t>解释</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cs="宋体"/>
                <w:color w:val="000000"/>
                <w:kern w:val="0"/>
                <w:sz w:val="20"/>
                <w:szCs w:val="20"/>
              </w:rPr>
              <w:t>评</w:t>
            </w:r>
            <w:r>
              <w:rPr>
                <w:rFonts w:ascii="宋体" w:hAnsi="宋体" w:cs="宋体"/>
                <w:color w:val="000000"/>
                <w:kern w:val="0"/>
                <w:sz w:val="20"/>
                <w:szCs w:val="20"/>
              </w:rPr>
              <w:t>分标准</w:t>
            </w:r>
          </w:p>
        </w:tc>
      </w:tr>
      <w:tr>
        <w:tblPrEx>
          <w:tblCellMar>
            <w:top w:w="0" w:type="dxa"/>
            <w:left w:w="108" w:type="dxa"/>
            <w:bottom w:w="0" w:type="dxa"/>
            <w:right w:w="108" w:type="dxa"/>
          </w:tblCellMar>
        </w:tblPrEx>
        <w:trPr>
          <w:trHeight w:val="2961"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755"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3.53</w:t>
            </w:r>
            <w:r>
              <w:rPr>
                <w:rFonts w:ascii="宋体" w:hAnsi="宋体" w:cs="宋体"/>
                <w:color w:val="000000"/>
                <w:kern w:val="0"/>
                <w:sz w:val="20"/>
                <w:szCs w:val="20"/>
              </w:rPr>
              <w:t>%</w:t>
            </w:r>
            <w:r>
              <w:rPr>
                <w:rFonts w:hint="eastAsia" w:ascii="宋体" w:hAnsi="宋体" w:cs="宋体"/>
                <w:color w:val="000000"/>
                <w:kern w:val="0"/>
                <w:sz w:val="20"/>
                <w:szCs w:val="20"/>
              </w:rPr>
              <w:t>　</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3.42%</w:t>
            </w:r>
            <w:r>
              <w:rPr>
                <w:rFonts w:hint="eastAsia" w:ascii="宋体" w:hAnsi="宋体" w:cs="宋体"/>
                <w:color w:val="000000"/>
                <w:kern w:val="0"/>
                <w:sz w:val="20"/>
                <w:szCs w:val="20"/>
              </w:rPr>
              <w:t>　</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结转结余率</w:t>
            </w:r>
            <w:r>
              <w:rPr>
                <w:rFonts w:ascii="宋体" w:hAnsi="宋体" w:cs="宋体"/>
                <w:color w:val="000000"/>
                <w:kern w:val="0"/>
                <w:sz w:val="20"/>
                <w:szCs w:val="20"/>
              </w:rPr>
              <w:t>=结转结余总额/支出预算数×100%。</w:t>
            </w:r>
            <w:r>
              <w:rPr>
                <w:rFonts w:ascii="宋体" w:hAnsi="宋体" w:cs="宋体"/>
                <w:color w:val="000000"/>
                <w:kern w:val="0"/>
                <w:sz w:val="20"/>
                <w:szCs w:val="20"/>
              </w:rPr>
              <w:br w:type="textWrapping"/>
            </w:r>
            <w:r>
              <w:rPr>
                <w:rFonts w:hint="eastAsia" w:ascii="宋体" w:hAnsi="宋体" w:cs="宋体"/>
                <w:color w:val="000000"/>
                <w:kern w:val="0"/>
                <w:sz w:val="20"/>
                <w:szCs w:val="20"/>
              </w:rPr>
              <w:t>结转结余总额：部门（单位）本年度的结转资金与结余资金之和。</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部门结转结余率低于上年的不扣分；高于上年结余率，每高出</w:t>
            </w:r>
            <w:r>
              <w:rPr>
                <w:rFonts w:ascii="宋体" w:hAnsi="宋体" w:cs="宋体"/>
                <w:color w:val="000000"/>
                <w:kern w:val="0"/>
                <w:sz w:val="20"/>
                <w:szCs w:val="20"/>
              </w:rPr>
              <w:t>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1176"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07"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755"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1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2.96</w:t>
            </w:r>
            <w:r>
              <w:rPr>
                <w:rFonts w:ascii="宋体" w:hAnsi="宋体" w:cs="宋体"/>
                <w:color w:val="000000"/>
                <w:kern w:val="0"/>
                <w:sz w:val="20"/>
                <w:szCs w:val="20"/>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highlight w:val="none"/>
              </w:rPr>
              <w:t>4</w:t>
            </w:r>
          </w:p>
        </w:tc>
        <w:tc>
          <w:tcPr>
            <w:tcW w:w="12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通过年度部门决算与年初部门预算对比，对部门的年度支出情况进行考核，衡量部门预算的约束力。</w:t>
            </w:r>
          </w:p>
        </w:tc>
        <w:tc>
          <w:tcPr>
            <w:tcW w:w="123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部门预决算差异率高于市级平均差异率（</w:t>
            </w:r>
            <w:r>
              <w:rPr>
                <w:rFonts w:ascii="宋体" w:hAnsi="宋体" w:cs="宋体"/>
                <w:color w:val="000000"/>
                <w:kern w:val="0"/>
                <w:sz w:val="20"/>
                <w:szCs w:val="20"/>
              </w:rPr>
              <w:t>28.3%）的，每高出10%（含），扣0.4分，扣完为止。</w:t>
            </w:r>
          </w:p>
        </w:tc>
      </w:tr>
      <w:tr>
        <w:tblPrEx>
          <w:tblCellMar>
            <w:top w:w="0" w:type="dxa"/>
            <w:left w:w="108" w:type="dxa"/>
            <w:bottom w:w="0" w:type="dxa"/>
            <w:right w:w="108" w:type="dxa"/>
          </w:tblCellMar>
        </w:tblPrEx>
        <w:trPr>
          <w:trHeight w:val="611" w:hRule="atLeast"/>
        </w:trPr>
        <w:tc>
          <w:tcPr>
            <w:tcW w:w="1886" w:type="pct"/>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92</w:t>
            </w:r>
          </w:p>
        </w:tc>
        <w:tc>
          <w:tcPr>
            <w:tcW w:w="2498"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pStyle w:val="4"/>
        <w:rPr>
          <w:rFonts w:hint="default"/>
          <w:lang w:val="en-US" w:eastAsia="zh-CN"/>
        </w:rPr>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FA4D378-7DCE-465A-8C17-814C5B279CCC}"/>
  </w:font>
  <w:font w:name="黑体">
    <w:panose1 w:val="02010609060101010101"/>
    <w:charset w:val="86"/>
    <w:family w:val="auto"/>
    <w:pitch w:val="default"/>
    <w:sig w:usb0="800002BF" w:usb1="38CF7CFA" w:usb2="00000016" w:usb3="00000000" w:csb0="00040001" w:csb1="00000000"/>
    <w:embedRegular r:id="rId2" w:fontKey="{1EE042CD-FFEB-4332-AC25-29AE122BF6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0AF73BBF-FCC4-4C6C-BFD6-58A1EA82DEF1}"/>
  </w:font>
  <w:font w:name="仿宋_GB2312">
    <w:panose1 w:val="02010609030101010101"/>
    <w:charset w:val="86"/>
    <w:family w:val="auto"/>
    <w:pitch w:val="default"/>
    <w:sig w:usb0="00000001" w:usb1="080E0000" w:usb2="00000000" w:usb3="00000000" w:csb0="00040000" w:csb1="00000000"/>
    <w:embedRegular r:id="rId4" w:fontKey="{1AE31E0F-18B0-41C4-82EC-94E90B47D018}"/>
  </w:font>
  <w:font w:name="方正小标宋简体">
    <w:panose1 w:val="02000000000000000000"/>
    <w:charset w:val="86"/>
    <w:family w:val="auto"/>
    <w:pitch w:val="default"/>
    <w:sig w:usb0="00000001" w:usb1="08000000" w:usb2="00000000" w:usb3="00000000" w:csb0="00040000" w:csb1="00000000"/>
    <w:embedRegular r:id="rId5" w:fontKey="{66C73C11-8975-44BC-ABEB-DE3B8EE41883}"/>
  </w:font>
  <w:font w:name="楷体">
    <w:panose1 w:val="02010609060101010101"/>
    <w:charset w:val="86"/>
    <w:family w:val="modern"/>
    <w:pitch w:val="default"/>
    <w:sig w:usb0="800002BF" w:usb1="38CF7CFA" w:usb2="00000016" w:usb3="00000000" w:csb0="00040001" w:csb1="00000000"/>
    <w:embedRegular r:id="rId6" w:fontKey="{4DB25148-873A-445C-ACDE-582CACC93ECF}"/>
  </w:font>
  <w:font w:name="楷体_GB2312">
    <w:panose1 w:val="02010609030101010101"/>
    <w:charset w:val="86"/>
    <w:family w:val="modern"/>
    <w:pitch w:val="default"/>
    <w:sig w:usb0="00000001" w:usb1="080E0000" w:usb2="00000000" w:usb3="00000000" w:csb0="00040000" w:csb1="00000000"/>
    <w:embedRegular r:id="rId7" w:fontKey="{AAC23A76-86F9-4995-BD18-02456A2F3D41}"/>
  </w:font>
  <w:font w:name="仿宋">
    <w:panose1 w:val="02010609060101010101"/>
    <w:charset w:val="86"/>
    <w:family w:val="modern"/>
    <w:pitch w:val="default"/>
    <w:sig w:usb0="800002BF" w:usb1="38CF7CFA" w:usb2="00000016" w:usb3="00000000" w:csb0="00040001" w:csb1="00000000"/>
    <w:embedRegular r:id="rId8" w:fontKey="{19382598-BDF9-4D87-94A3-E7919FB3369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742AD7"/>
    <w:multiLevelType w:val="multilevel"/>
    <w:tmpl w:val="5B742AD7"/>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3"/>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5ODkyODMwNWM2NmE5NjYxNWUxYWNjNWYxMGU4ZmMifQ=="/>
  </w:docVars>
  <w:rsids>
    <w:rsidRoot w:val="4984094E"/>
    <w:rsid w:val="01B92A59"/>
    <w:rsid w:val="069E5E79"/>
    <w:rsid w:val="077A3CEC"/>
    <w:rsid w:val="078C54C5"/>
    <w:rsid w:val="078E278D"/>
    <w:rsid w:val="07E37AE3"/>
    <w:rsid w:val="08042893"/>
    <w:rsid w:val="084E5EC0"/>
    <w:rsid w:val="08BE7516"/>
    <w:rsid w:val="09561A6E"/>
    <w:rsid w:val="09CB7473"/>
    <w:rsid w:val="0BAA0710"/>
    <w:rsid w:val="0C253B5F"/>
    <w:rsid w:val="101822F4"/>
    <w:rsid w:val="18530F2D"/>
    <w:rsid w:val="1ACE63D1"/>
    <w:rsid w:val="1C3811AC"/>
    <w:rsid w:val="1CE60C6D"/>
    <w:rsid w:val="214124B7"/>
    <w:rsid w:val="22237002"/>
    <w:rsid w:val="22394A78"/>
    <w:rsid w:val="237E2AA6"/>
    <w:rsid w:val="2383089A"/>
    <w:rsid w:val="248A24C9"/>
    <w:rsid w:val="2565432C"/>
    <w:rsid w:val="281C7D4D"/>
    <w:rsid w:val="29C12081"/>
    <w:rsid w:val="2B1F10A9"/>
    <w:rsid w:val="2B512E32"/>
    <w:rsid w:val="2B6109A4"/>
    <w:rsid w:val="2BC71CBD"/>
    <w:rsid w:val="2E605132"/>
    <w:rsid w:val="2EB53AF6"/>
    <w:rsid w:val="2EFF4F33"/>
    <w:rsid w:val="2F655284"/>
    <w:rsid w:val="2FA650F9"/>
    <w:rsid w:val="31D91610"/>
    <w:rsid w:val="32BB116A"/>
    <w:rsid w:val="33FE7D0C"/>
    <w:rsid w:val="34B56F99"/>
    <w:rsid w:val="361C228F"/>
    <w:rsid w:val="369A2E37"/>
    <w:rsid w:val="36AA0DE7"/>
    <w:rsid w:val="375E37C5"/>
    <w:rsid w:val="37F27B20"/>
    <w:rsid w:val="3D954E00"/>
    <w:rsid w:val="3DF15DAF"/>
    <w:rsid w:val="3F785B42"/>
    <w:rsid w:val="410660EA"/>
    <w:rsid w:val="41CA05F3"/>
    <w:rsid w:val="41E530CF"/>
    <w:rsid w:val="447E086E"/>
    <w:rsid w:val="44AC4EE5"/>
    <w:rsid w:val="469A78E4"/>
    <w:rsid w:val="471A6376"/>
    <w:rsid w:val="4984094E"/>
    <w:rsid w:val="4C3E48B5"/>
    <w:rsid w:val="4DDD319F"/>
    <w:rsid w:val="4EC663B2"/>
    <w:rsid w:val="4F080C24"/>
    <w:rsid w:val="50C57353"/>
    <w:rsid w:val="535E75EB"/>
    <w:rsid w:val="56263E05"/>
    <w:rsid w:val="56EB73E7"/>
    <w:rsid w:val="58A5065D"/>
    <w:rsid w:val="5A0C18CD"/>
    <w:rsid w:val="5AD022D5"/>
    <w:rsid w:val="5F2466BD"/>
    <w:rsid w:val="60310124"/>
    <w:rsid w:val="604B086F"/>
    <w:rsid w:val="6054057D"/>
    <w:rsid w:val="6233547D"/>
    <w:rsid w:val="63C74FF8"/>
    <w:rsid w:val="64BA04E9"/>
    <w:rsid w:val="6887539C"/>
    <w:rsid w:val="691B3B5C"/>
    <w:rsid w:val="6A1816BA"/>
    <w:rsid w:val="6BD9731F"/>
    <w:rsid w:val="6EF957BC"/>
    <w:rsid w:val="730D32D1"/>
    <w:rsid w:val="7ADB5F92"/>
    <w:rsid w:val="7B7B66DC"/>
    <w:rsid w:val="7C75137E"/>
    <w:rsid w:val="7CB26E8E"/>
    <w:rsid w:val="7CD83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autoRedefine/>
    <w:qFormat/>
    <w:uiPriority w:val="0"/>
    <w:pPr>
      <w:keepNext/>
      <w:keepLines/>
      <w:numPr>
        <w:ilvl w:val="3"/>
        <w:numId w:val="1"/>
      </w:numPr>
      <w:spacing w:before="280" w:after="290" w:line="374" w:lineRule="auto"/>
      <w:outlineLvl w:val="3"/>
    </w:pPr>
    <w:rPr>
      <w:rFonts w:ascii="Arial" w:hAnsi="Arial" w:eastAsia="黑体"/>
      <w:b/>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ind w:firstLine="200" w:firstLineChars="200"/>
    </w:pPr>
    <w:rPr>
      <w:rFonts w:ascii="Calibri" w:hAnsi="Calibri" w:eastAsia="仿宋_GB2312"/>
      <w:sz w:val="32"/>
      <w:szCs w:val="22"/>
    </w:rPr>
  </w:style>
  <w:style w:type="paragraph" w:styleId="4">
    <w:name w:val="Normal Indent"/>
    <w:basedOn w:val="1"/>
    <w:autoRedefine/>
    <w:semiHidden/>
    <w:unhideWhenUsed/>
    <w:qFormat/>
    <w:uiPriority w:val="99"/>
    <w:pPr>
      <w:ind w:firstLine="420" w:firstLineChars="200"/>
    </w:pPr>
  </w:style>
  <w:style w:type="paragraph" w:styleId="5">
    <w:name w:val="Body Text Indent"/>
    <w:basedOn w:val="1"/>
    <w:autoRedefine/>
    <w:semiHidden/>
    <w:unhideWhenUsed/>
    <w:qFormat/>
    <w:uiPriority w:val="99"/>
    <w:pPr>
      <w:spacing w:after="120"/>
      <w:ind w:left="420" w:leftChars="200"/>
    </w:pPr>
  </w:style>
  <w:style w:type="paragraph" w:styleId="6">
    <w:name w:val="toc 3"/>
    <w:basedOn w:val="1"/>
    <w:next w:val="1"/>
    <w:autoRedefine/>
    <w:qFormat/>
    <w:uiPriority w:val="0"/>
    <w:pPr>
      <w:ind w:left="840" w:leftChars="400"/>
    </w:pPr>
  </w:style>
  <w:style w:type="paragraph" w:styleId="7">
    <w:name w:val="footer"/>
    <w:autoRedefine/>
    <w:qFormat/>
    <w:uiPriority w:val="99"/>
    <w:pPr>
      <w:widowControl w:val="0"/>
      <w:tabs>
        <w:tab w:val="center" w:pos="4153"/>
        <w:tab w:val="right" w:pos="8306"/>
      </w:tabs>
      <w:snapToGrid w:val="0"/>
      <w:jc w:val="left"/>
    </w:pPr>
    <w:rPr>
      <w:rFonts w:ascii="Times New Roman" w:hAnsi="Times New Roman" w:eastAsia="宋体" w:cs="Times New Roman"/>
      <w:kern w:val="2"/>
      <w:sz w:val="18"/>
      <w:szCs w:val="20"/>
      <w:lang w:val="en-US" w:eastAsia="zh-CN" w:bidi="ar-SA"/>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0"/>
  </w:style>
  <w:style w:type="paragraph" w:styleId="10">
    <w:name w:val="toc 2"/>
    <w:basedOn w:val="1"/>
    <w:next w:val="1"/>
    <w:autoRedefine/>
    <w:qFormat/>
    <w:uiPriority w:val="0"/>
    <w:pPr>
      <w:ind w:left="420" w:leftChars="200"/>
    </w:pPr>
  </w:style>
  <w:style w:type="paragraph" w:styleId="11">
    <w:name w:val="Body Text First Indent 2"/>
    <w:basedOn w:val="5"/>
    <w:autoRedefine/>
    <w:qFormat/>
    <w:uiPriority w:val="99"/>
    <w:pPr>
      <w:spacing w:after="360"/>
      <w:ind w:left="0" w:leftChars="0" w:firstLine="420" w:firstLineChars="200"/>
    </w:pPr>
    <w:rPr>
      <w:rFonts w:eastAsia="仿宋_GB2312"/>
      <w:kern w:val="1"/>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2024-05-05T05:23:00Z</dcterms:created>
  <dc:creator>WH</dc:creator>
  <cp:lastModifiedBy>WH</cp:lastModifiedBy>
  <dcterms:modified xsi:type="dcterms:W3CDTF">2024-05-20T03:16:31Z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6ED399C2807942B7806909C4A1CBCA67_11</vt:lpwstr>
  </property>
</Properties>
</file>