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color w:val="auto"/>
          <w:sz w:val="52"/>
          <w:szCs w:val="52"/>
        </w:rPr>
      </w:pPr>
    </w:p>
    <w:p>
      <w:pPr>
        <w:jc w:val="center"/>
        <w:rPr>
          <w:b/>
          <w:bCs/>
          <w:color w:val="auto"/>
          <w:sz w:val="52"/>
          <w:szCs w:val="52"/>
        </w:rPr>
      </w:pPr>
    </w:p>
    <w:p>
      <w:pPr>
        <w:jc w:val="center"/>
        <w:rPr>
          <w:b/>
          <w:bCs/>
          <w:color w:val="auto"/>
          <w:sz w:val="52"/>
          <w:szCs w:val="52"/>
        </w:rPr>
      </w:pPr>
    </w:p>
    <w:p>
      <w:pPr>
        <w:jc w:val="center"/>
        <w:rPr>
          <w:b/>
          <w:bCs/>
          <w:color w:val="auto"/>
          <w:sz w:val="52"/>
          <w:szCs w:val="52"/>
        </w:rPr>
      </w:pPr>
      <w:r>
        <w:rPr>
          <w:rFonts w:hint="eastAsia"/>
          <w:b/>
          <w:bCs/>
          <w:color w:val="auto"/>
          <w:sz w:val="52"/>
          <w:szCs w:val="52"/>
        </w:rPr>
        <w:t xml:space="preserve">   北京市市级财政支出项目</w:t>
      </w:r>
    </w:p>
    <w:p>
      <w:pPr>
        <w:jc w:val="center"/>
        <w:rPr>
          <w:b/>
          <w:bCs/>
          <w:color w:val="auto"/>
          <w:sz w:val="52"/>
          <w:szCs w:val="52"/>
        </w:rPr>
      </w:pPr>
      <w:r>
        <w:rPr>
          <w:rFonts w:hint="eastAsia"/>
          <w:b/>
          <w:bCs/>
          <w:color w:val="auto"/>
          <w:sz w:val="52"/>
          <w:szCs w:val="52"/>
        </w:rPr>
        <w:t>绩效评价报告</w:t>
      </w:r>
    </w:p>
    <w:p>
      <w:pPr>
        <w:jc w:val="center"/>
        <w:rPr>
          <w:rFonts w:hint="eastAsia" w:ascii="宋体" w:hAnsi="宋体" w:eastAsia="宋体"/>
          <w:b/>
          <w:bCs/>
          <w:color w:val="auto"/>
          <w:sz w:val="52"/>
          <w:lang w:val="en-US" w:eastAsia="zh-CN"/>
        </w:rPr>
      </w:pPr>
    </w:p>
    <w:p>
      <w:pPr>
        <w:jc w:val="center"/>
        <w:rPr>
          <w:rFonts w:ascii="宋体" w:hAnsi="宋体"/>
          <w:color w:val="auto"/>
          <w:sz w:val="30"/>
        </w:rPr>
      </w:pPr>
    </w:p>
    <w:p>
      <w:pPr>
        <w:rPr>
          <w:rFonts w:ascii="宋体" w:hAnsi="宋体"/>
          <w:color w:val="auto"/>
          <w:sz w:val="30"/>
        </w:rPr>
      </w:pPr>
    </w:p>
    <w:p>
      <w:pPr>
        <w:jc w:val="center"/>
        <w:rPr>
          <w:rFonts w:ascii="宋体" w:hAnsi="宋体"/>
          <w:color w:val="auto"/>
          <w:sz w:val="30"/>
        </w:rPr>
      </w:pPr>
    </w:p>
    <w:p>
      <w:pPr>
        <w:jc w:val="center"/>
        <w:rPr>
          <w:rFonts w:ascii="宋体" w:hAnsi="宋体"/>
          <w:color w:val="auto"/>
          <w:sz w:val="30"/>
        </w:rPr>
      </w:pPr>
    </w:p>
    <w:p>
      <w:pPr>
        <w:ind w:firstLine="960" w:firstLineChars="300"/>
        <w:rPr>
          <w:rFonts w:ascii="宋体" w:hAnsi="宋体"/>
          <w:color w:val="auto"/>
          <w:sz w:val="32"/>
          <w:u w:val="single"/>
        </w:rPr>
      </w:pPr>
      <w:r>
        <w:rPr>
          <w:rFonts w:hint="eastAsia" w:ascii="宋体" w:hAnsi="宋体"/>
          <w:color w:val="auto"/>
          <w:sz w:val="32"/>
        </w:rPr>
        <w:t>主管部门</w:t>
      </w:r>
      <w:r>
        <w:rPr>
          <w:rFonts w:hint="eastAsia" w:ascii="宋体" w:hAnsi="宋体"/>
          <w:color w:val="auto"/>
          <w:sz w:val="32"/>
          <w:u w:val="single"/>
        </w:rPr>
        <w:t xml:space="preserve">        北京市房山区人民检察院             </w:t>
      </w:r>
    </w:p>
    <w:p>
      <w:pPr>
        <w:ind w:firstLine="960" w:firstLineChars="300"/>
        <w:rPr>
          <w:rFonts w:ascii="宋体" w:hAnsi="宋体"/>
          <w:color w:val="auto"/>
          <w:sz w:val="32"/>
          <w:u w:val="single"/>
        </w:rPr>
      </w:pPr>
      <w:r>
        <w:rPr>
          <w:rFonts w:hint="eastAsia" w:ascii="宋体" w:hAnsi="宋体"/>
          <w:color w:val="auto"/>
          <w:sz w:val="32"/>
        </w:rPr>
        <w:t>项目单位</w:t>
      </w:r>
      <w:r>
        <w:rPr>
          <w:rFonts w:ascii="宋体" w:hAnsi="宋体"/>
          <w:color w:val="auto"/>
          <w:sz w:val="32"/>
          <w:u w:val="single"/>
        </w:rPr>
        <w:t xml:space="preserve"> </w:t>
      </w:r>
      <w:r>
        <w:rPr>
          <w:rFonts w:hint="eastAsia" w:ascii="宋体" w:hAnsi="宋体"/>
          <w:color w:val="auto"/>
          <w:sz w:val="32"/>
          <w:u w:val="single"/>
        </w:rPr>
        <w:t xml:space="preserve">       北京市房山区人民检察院            </w:t>
      </w:r>
    </w:p>
    <w:p>
      <w:pPr>
        <w:ind w:firstLine="960" w:firstLineChars="300"/>
        <w:rPr>
          <w:rFonts w:ascii="宋体" w:hAnsi="宋体"/>
          <w:color w:val="auto"/>
          <w:sz w:val="32"/>
          <w:u w:val="single"/>
        </w:rPr>
      </w:pPr>
      <w:r>
        <w:rPr>
          <w:rFonts w:hint="eastAsia" w:ascii="宋体" w:hAnsi="宋体"/>
          <w:color w:val="auto"/>
          <w:sz w:val="32"/>
        </w:rPr>
        <w:t>项目名称</w:t>
      </w:r>
      <w:r>
        <w:rPr>
          <w:rFonts w:hint="eastAsia" w:ascii="宋体" w:hAnsi="宋体"/>
          <w:color w:val="auto"/>
          <w:sz w:val="32"/>
          <w:u w:val="single"/>
        </w:rPr>
        <w:t xml:space="preserve">            办案</w:t>
      </w:r>
      <w:r>
        <w:rPr>
          <w:rFonts w:hint="eastAsia"/>
          <w:color w:val="auto"/>
          <w:sz w:val="32"/>
          <w:u w:val="single"/>
        </w:rPr>
        <w:t>业务费</w:t>
      </w:r>
      <w:r>
        <w:rPr>
          <w:rFonts w:hint="eastAsia" w:ascii="宋体" w:hAnsi="宋体"/>
          <w:color w:val="auto"/>
          <w:sz w:val="32"/>
          <w:u w:val="single"/>
        </w:rPr>
        <w:t xml:space="preserve">                   </w:t>
      </w:r>
    </w:p>
    <w:p>
      <w:pPr>
        <w:ind w:firstLine="960" w:firstLineChars="300"/>
        <w:rPr>
          <w:rFonts w:ascii="宋体" w:hAnsi="宋体"/>
          <w:color w:val="auto"/>
          <w:sz w:val="32"/>
        </w:rPr>
      </w:pPr>
      <w:r>
        <w:rPr>
          <w:rFonts w:hint="eastAsia" w:ascii="宋体" w:hAnsi="宋体"/>
          <w:color w:val="auto"/>
          <w:sz w:val="32"/>
        </w:rPr>
        <w:t xml:space="preserve">评价单位 </w:t>
      </w:r>
      <w:r>
        <w:rPr>
          <w:rFonts w:ascii="宋体" w:hAnsi="宋体"/>
          <w:color w:val="auto"/>
          <w:sz w:val="32"/>
          <w:u w:val="single"/>
        </w:rPr>
        <w:t xml:space="preserve"> </w:t>
      </w:r>
      <w:r>
        <w:rPr>
          <w:rFonts w:hint="eastAsia" w:ascii="宋体" w:hAnsi="宋体"/>
          <w:color w:val="auto"/>
          <w:sz w:val="32"/>
          <w:u w:val="single"/>
        </w:rPr>
        <w:t xml:space="preserve">      北京市房山区人民检察院              </w:t>
      </w:r>
    </w:p>
    <w:p>
      <w:pPr>
        <w:spacing w:line="360" w:lineRule="auto"/>
        <w:ind w:firstLine="960" w:firstLineChars="300"/>
        <w:jc w:val="both"/>
        <w:rPr>
          <w:rFonts w:ascii="宋体" w:hAnsi="宋体"/>
          <w:color w:val="auto"/>
          <w:sz w:val="32"/>
          <w:szCs w:val="32"/>
        </w:rPr>
      </w:pPr>
      <w:r>
        <w:rPr>
          <w:rFonts w:hint="eastAsia" w:ascii="宋体" w:hAnsi="宋体" w:cs="宋体"/>
          <w:color w:val="auto"/>
          <w:sz w:val="32"/>
          <w:szCs w:val="32"/>
        </w:rPr>
        <w:t>参与评价</w:t>
      </w:r>
    </w:p>
    <w:p>
      <w:pPr>
        <w:spacing w:line="360" w:lineRule="auto"/>
        <w:ind w:firstLine="992" w:firstLineChars="310"/>
        <w:jc w:val="both"/>
        <w:rPr>
          <w:rFonts w:ascii="宋体" w:hAnsi="宋体"/>
          <w:color w:val="auto"/>
          <w:sz w:val="32"/>
          <w:szCs w:val="32"/>
        </w:rPr>
      </w:pPr>
      <w:r>
        <w:rPr>
          <w:rFonts w:hint="eastAsia" w:ascii="宋体" w:hAnsi="宋体" w:cs="宋体"/>
          <w:color w:val="auto"/>
          <w:sz w:val="32"/>
          <w:szCs w:val="32"/>
        </w:rPr>
        <w:t>中介机构</w:t>
      </w:r>
      <w:r>
        <w:rPr>
          <w:rFonts w:ascii="宋体" w:hAnsi="宋体" w:cs="宋体"/>
          <w:color w:val="auto"/>
          <w:sz w:val="32"/>
          <w:szCs w:val="32"/>
          <w:u w:val="single"/>
        </w:rPr>
        <w:t xml:space="preserve">    </w:t>
      </w:r>
      <w:r>
        <w:rPr>
          <w:rFonts w:hint="eastAsia" w:ascii="宋体" w:hAnsi="宋体" w:cs="宋体"/>
          <w:color w:val="auto"/>
          <w:sz w:val="32"/>
          <w:szCs w:val="32"/>
          <w:u w:val="single"/>
        </w:rPr>
        <w:t>北京润</w:t>
      </w:r>
      <w:r>
        <w:rPr>
          <w:rFonts w:hint="eastAsia" w:ascii="宋体" w:hAnsi="宋体" w:eastAsia="宋体" w:cs="宋体"/>
          <w:color w:val="auto"/>
          <w:sz w:val="30"/>
          <w:szCs w:val="30"/>
        </w:rPr>
        <w:drawing>
          <wp:anchor distT="0" distB="0" distL="114300" distR="114300" simplePos="0" relativeHeight="251663360"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15"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r>
        <w:rPr>
          <w:rFonts w:hint="eastAsia" w:ascii="宋体" w:hAnsi="宋体" w:cs="宋体"/>
          <w:color w:val="auto"/>
          <w:sz w:val="32"/>
          <w:szCs w:val="32"/>
          <w:u w:val="single"/>
        </w:rPr>
        <w:t>芃会计师事务所（普通合伙）</w:t>
      </w:r>
    </w:p>
    <w:p>
      <w:pPr>
        <w:jc w:val="center"/>
        <w:rPr>
          <w:rFonts w:ascii="宋体" w:hAnsi="宋体"/>
          <w:color w:val="auto"/>
          <w:sz w:val="36"/>
          <w:szCs w:val="36"/>
        </w:rPr>
      </w:pPr>
      <w:r>
        <w:rPr>
          <w:rFonts w:hint="eastAsia" w:ascii="宋体" w:hAnsi="宋体"/>
          <w:color w:val="auto"/>
          <w:sz w:val="36"/>
          <w:szCs w:val="36"/>
        </w:rPr>
        <w:t xml:space="preserve">  </w:t>
      </w:r>
      <w:r>
        <w:rPr>
          <w:rFonts w:hint="eastAsia" w:ascii="宋体" w:hAnsi="宋体" w:eastAsia="宋体" w:cs="宋体"/>
          <w:color w:val="auto"/>
          <w:sz w:val="30"/>
          <w:szCs w:val="30"/>
        </w:rPr>
        <w:drawing>
          <wp:anchor distT="0" distB="0" distL="114300" distR="114300" simplePos="0" relativeHeight="251659264"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4"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p>
    <w:p>
      <w:pPr>
        <w:jc w:val="center"/>
        <w:rPr>
          <w:rFonts w:ascii="宋体" w:hAnsi="宋体"/>
          <w:color w:val="auto"/>
          <w:sz w:val="32"/>
          <w:szCs w:val="32"/>
        </w:rPr>
      </w:pPr>
      <w:r>
        <w:rPr>
          <w:rFonts w:hint="eastAsia" w:ascii="宋体" w:hAnsi="宋体" w:eastAsia="宋体" w:cs="宋体"/>
          <w:color w:val="auto"/>
          <w:sz w:val="30"/>
          <w:szCs w:val="30"/>
        </w:rPr>
        <w:drawing>
          <wp:anchor distT="0" distB="0" distL="114300" distR="114300" simplePos="0" relativeHeight="251661312" behindDoc="1" locked="0" layoutInCell="1" allowOverlap="1">
            <wp:simplePos x="0" y="0"/>
            <wp:positionH relativeFrom="column">
              <wp:posOffset>3190240</wp:posOffset>
            </wp:positionH>
            <wp:positionV relativeFrom="paragraph">
              <wp:posOffset>5375275</wp:posOffset>
            </wp:positionV>
            <wp:extent cx="1986915" cy="2694940"/>
            <wp:effectExtent l="231775" t="351155" r="235585" b="354330"/>
            <wp:wrapNone/>
            <wp:docPr id="8"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r>
        <w:rPr>
          <w:rFonts w:hint="eastAsia" w:ascii="宋体" w:hAnsi="宋体" w:eastAsia="宋体" w:cs="宋体"/>
          <w:color w:val="auto"/>
          <w:sz w:val="30"/>
          <w:szCs w:val="30"/>
        </w:rPr>
        <w:drawing>
          <wp:anchor distT="0" distB="0" distL="114300" distR="114300" simplePos="0" relativeHeight="251660288"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5"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p>
    <w:p>
      <w:pPr>
        <w:jc w:val="center"/>
        <w:rPr>
          <w:rFonts w:ascii="宋体" w:hAnsi="宋体"/>
          <w:color w:val="auto"/>
          <w:sz w:val="32"/>
          <w:szCs w:val="32"/>
        </w:rPr>
      </w:pPr>
      <w:r>
        <w:rPr>
          <w:rFonts w:hint="eastAsia" w:ascii="宋体" w:hAnsi="宋体" w:eastAsia="宋体" w:cs="宋体"/>
          <w:color w:val="auto"/>
          <w:sz w:val="30"/>
          <w:szCs w:val="30"/>
        </w:rPr>
        <w:drawing>
          <wp:anchor distT="0" distB="0" distL="114300" distR="114300" simplePos="0" relativeHeight="251662336"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10"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r>
        <w:rPr>
          <w:rFonts w:hint="eastAsia" w:ascii="宋体" w:hAnsi="宋体"/>
          <w:color w:val="auto"/>
          <w:sz w:val="32"/>
          <w:szCs w:val="32"/>
        </w:rPr>
        <w:t>北京市房山区</w:t>
      </w:r>
      <w:r>
        <w:rPr>
          <w:rFonts w:hint="eastAsia" w:ascii="宋体" w:hAnsi="宋体"/>
          <w:color w:val="auto"/>
          <w:sz w:val="32"/>
        </w:rPr>
        <w:t>人民</w:t>
      </w:r>
      <w:r>
        <w:rPr>
          <w:rFonts w:hint="eastAsia" w:ascii="宋体" w:hAnsi="宋体"/>
          <w:color w:val="auto"/>
          <w:sz w:val="32"/>
          <w:szCs w:val="32"/>
        </w:rPr>
        <w:t>检察院</w:t>
      </w:r>
    </w:p>
    <w:p>
      <w:pPr>
        <w:jc w:val="center"/>
        <w:rPr>
          <w:rFonts w:ascii="宋体" w:hAnsi="宋体"/>
          <w:color w:val="auto"/>
          <w:sz w:val="32"/>
          <w:szCs w:val="32"/>
        </w:rPr>
      </w:pPr>
      <w:r>
        <w:rPr>
          <w:rFonts w:hint="eastAsia" w:ascii="宋体" w:hAnsi="宋体"/>
          <w:color w:val="auto"/>
          <w:sz w:val="32"/>
          <w:szCs w:val="32"/>
        </w:rPr>
        <w:t xml:space="preserve"> 二○二</w:t>
      </w:r>
      <w:r>
        <w:rPr>
          <w:rFonts w:hint="eastAsia" w:ascii="宋体" w:hAnsi="宋体"/>
          <w:color w:val="auto"/>
          <w:sz w:val="32"/>
          <w:szCs w:val="32"/>
          <w:lang w:val="en-US" w:eastAsia="zh-CN"/>
        </w:rPr>
        <w:t>四</w:t>
      </w:r>
      <w:r>
        <w:rPr>
          <w:rFonts w:hint="eastAsia" w:ascii="宋体" w:hAnsi="宋体"/>
          <w:color w:val="auto"/>
          <w:sz w:val="32"/>
          <w:szCs w:val="32"/>
        </w:rPr>
        <w:t>年五月</w:t>
      </w:r>
    </w:p>
    <w:p>
      <w:pPr>
        <w:ind w:firstLine="1767" w:firstLineChars="400"/>
        <w:jc w:val="center"/>
        <w:rPr>
          <w:rFonts w:ascii="宋体" w:hAnsi="宋体"/>
          <w:b/>
          <w:color w:val="auto"/>
          <w:sz w:val="44"/>
          <w:szCs w:val="44"/>
        </w:rPr>
        <w:sectPr>
          <w:headerReference r:id="rId3" w:type="default"/>
          <w:pgSz w:w="11906" w:h="16838"/>
          <w:pgMar w:top="1440" w:right="1646" w:bottom="1440" w:left="1800" w:header="851" w:footer="992" w:gutter="0"/>
          <w:pgNumType w:start="1"/>
          <w:cols w:space="425" w:num="1"/>
          <w:docGrid w:type="lines" w:linePitch="312" w:charSpace="0"/>
        </w:sectPr>
      </w:pPr>
      <w:bookmarkStart w:id="0" w:name="OLE_LINK1"/>
    </w:p>
    <w:p>
      <w:pPr>
        <w:jc w:val="center"/>
        <w:rPr>
          <w:rFonts w:ascii="宋体" w:hAnsi="宋体"/>
          <w:b/>
          <w:color w:val="auto"/>
          <w:sz w:val="32"/>
          <w:szCs w:val="32"/>
        </w:rPr>
      </w:pPr>
      <w:r>
        <w:rPr>
          <w:rFonts w:hint="eastAsia" w:ascii="宋体" w:hAnsi="宋体"/>
          <w:b/>
          <w:color w:val="auto"/>
          <w:sz w:val="32"/>
          <w:szCs w:val="32"/>
        </w:rPr>
        <w:t>目  录</w:t>
      </w:r>
    </w:p>
    <w:bookmarkEnd w:id="0"/>
    <w:sdt>
      <w:sdtPr>
        <w:rPr>
          <w:rFonts w:ascii="宋体" w:hAnsi="宋体"/>
          <w:color w:val="auto"/>
        </w:rPr>
        <w:id w:val="147462180"/>
        <w15:color w:val="DBDBDB"/>
      </w:sdtPr>
      <w:sdtEndPr>
        <w:rPr>
          <w:rFonts w:ascii="宋体" w:hAnsi="宋体"/>
          <w:b/>
          <w:color w:val="auto"/>
        </w:rPr>
      </w:sdtEndPr>
      <w:sdtContent>
        <w:p>
          <w:pPr>
            <w:jc w:val="center"/>
            <w:rPr>
              <w:b/>
              <w:color w:val="auto"/>
            </w:rPr>
          </w:pPr>
          <w:bookmarkStart w:id="1" w:name="_Toc15792"/>
          <w:r>
            <w:rPr>
              <w:color w:val="auto"/>
            </w:rPr>
            <w:fldChar w:fldCharType="begin"/>
          </w:r>
          <w:r>
            <w:rPr>
              <w:color w:val="auto"/>
            </w:rPr>
            <w:instrText xml:space="preserve">TOC \o "1-2" \h \u </w:instrText>
          </w:r>
          <w:r>
            <w:rPr>
              <w:color w:val="auto"/>
            </w:rPr>
            <w:fldChar w:fldCharType="separate"/>
          </w:r>
        </w:p>
        <w:p>
          <w:pPr>
            <w:pStyle w:val="26"/>
            <w:tabs>
              <w:tab w:val="right" w:leader="dot" w:pos="8460"/>
            </w:tabs>
            <w:rPr>
              <w:b/>
              <w:color w:val="auto"/>
              <w:sz w:val="24"/>
              <w:szCs w:val="24"/>
            </w:rPr>
          </w:pPr>
          <w:r>
            <w:rPr>
              <w:color w:val="auto"/>
            </w:rPr>
            <w:fldChar w:fldCharType="begin"/>
          </w:r>
          <w:r>
            <w:rPr>
              <w:color w:val="auto"/>
            </w:rPr>
            <w:instrText xml:space="preserve"> HYPERLINK \l "_Toc12088" </w:instrText>
          </w:r>
          <w:r>
            <w:rPr>
              <w:color w:val="auto"/>
            </w:rPr>
            <w:fldChar w:fldCharType="separate"/>
          </w:r>
          <w:r>
            <w:rPr>
              <w:rFonts w:hint="eastAsia" w:ascii="黑体" w:hAnsi="黑体" w:eastAsia="黑体" w:cs="黑体"/>
              <w:b/>
              <w:color w:val="auto"/>
              <w:sz w:val="24"/>
              <w:szCs w:val="24"/>
            </w:rPr>
            <w:t>一、基本情况</w:t>
          </w:r>
          <w:r>
            <w:rPr>
              <w:b/>
              <w:color w:val="auto"/>
              <w:sz w:val="24"/>
              <w:szCs w:val="24"/>
            </w:rPr>
            <w:tab/>
          </w:r>
          <w:r>
            <w:rPr>
              <w:b/>
              <w:color w:val="auto"/>
              <w:sz w:val="24"/>
              <w:szCs w:val="24"/>
            </w:rPr>
            <w:fldChar w:fldCharType="begin"/>
          </w:r>
          <w:r>
            <w:rPr>
              <w:b/>
              <w:color w:val="auto"/>
              <w:sz w:val="24"/>
              <w:szCs w:val="24"/>
            </w:rPr>
            <w:instrText xml:space="preserve"> PAGEREF _Toc12088 \h </w:instrText>
          </w:r>
          <w:r>
            <w:rPr>
              <w:b/>
              <w:color w:val="auto"/>
              <w:sz w:val="24"/>
              <w:szCs w:val="24"/>
            </w:rPr>
            <w:fldChar w:fldCharType="separate"/>
          </w:r>
          <w:r>
            <w:rPr>
              <w:b/>
              <w:color w:val="auto"/>
              <w:sz w:val="24"/>
              <w:szCs w:val="24"/>
            </w:rPr>
            <w:t>1</w:t>
          </w:r>
          <w:r>
            <w:rPr>
              <w:b/>
              <w:color w:val="auto"/>
              <w:sz w:val="24"/>
              <w:szCs w:val="24"/>
            </w:rPr>
            <w:fldChar w:fldCharType="end"/>
          </w:r>
          <w:r>
            <w:rPr>
              <w:b/>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"_Toc28826" </w:instrText>
          </w:r>
          <w:r>
            <w:rPr>
              <w:color w:val="auto"/>
            </w:rPr>
            <w:fldChar w:fldCharType="separate"/>
          </w:r>
          <w:r>
            <w:rPr>
              <w:rFonts w:hint="eastAsia" w:ascii="楷体_GB2312" w:hAnsi="楷体_GB2312" w:eastAsia="楷体_GB2312" w:cs="楷体_GB2312"/>
              <w:color w:val="auto"/>
              <w:sz w:val="24"/>
              <w:szCs w:val="24"/>
            </w:rPr>
            <w:t>（一）项目概况。</w:t>
          </w:r>
          <w:r>
            <w:rPr>
              <w:color w:val="auto"/>
              <w:sz w:val="24"/>
              <w:szCs w:val="24"/>
            </w:rPr>
            <w:tab/>
          </w:r>
          <w:r>
            <w:rPr>
              <w:color w:val="auto"/>
              <w:sz w:val="24"/>
              <w:szCs w:val="24"/>
            </w:rPr>
            <w:fldChar w:fldCharType="begin"/>
          </w:r>
          <w:r>
            <w:rPr>
              <w:color w:val="auto"/>
              <w:sz w:val="24"/>
              <w:szCs w:val="24"/>
            </w:rPr>
            <w:instrText xml:space="preserve"> PAGEREF _Toc28826 \h </w:instrText>
          </w:r>
          <w:r>
            <w:rPr>
              <w:color w:val="auto"/>
              <w:sz w:val="24"/>
              <w:szCs w:val="24"/>
            </w:rPr>
            <w:fldChar w:fldCharType="separate"/>
          </w:r>
          <w:r>
            <w:rPr>
              <w:color w:val="auto"/>
              <w:sz w:val="24"/>
              <w:szCs w:val="24"/>
            </w:rPr>
            <w:t>1</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"_Toc3654" </w:instrText>
          </w:r>
          <w:r>
            <w:rPr>
              <w:color w:val="auto"/>
            </w:rPr>
            <w:fldChar w:fldCharType="separate"/>
          </w:r>
          <w:r>
            <w:rPr>
              <w:rFonts w:hint="eastAsia" w:ascii="楷体_GB2312" w:hAnsi="楷体_GB2312" w:eastAsia="楷体_GB2312" w:cs="楷体_GB2312"/>
              <w:color w:val="auto"/>
              <w:sz w:val="24"/>
              <w:szCs w:val="24"/>
            </w:rPr>
            <w:t>（二）项目绩效目标。</w:t>
          </w:r>
          <w:r>
            <w:rPr>
              <w:color w:val="auto"/>
              <w:sz w:val="24"/>
              <w:szCs w:val="24"/>
            </w:rPr>
            <w:tab/>
          </w:r>
          <w:r>
            <w:rPr>
              <w:color w:val="auto"/>
              <w:sz w:val="24"/>
              <w:szCs w:val="24"/>
            </w:rPr>
            <w:fldChar w:fldCharType="begin"/>
          </w:r>
          <w:r>
            <w:rPr>
              <w:color w:val="auto"/>
              <w:sz w:val="24"/>
              <w:szCs w:val="24"/>
            </w:rPr>
            <w:instrText xml:space="preserve"> PAGEREF _Toc3654 \h </w:instrText>
          </w:r>
          <w:r>
            <w:rPr>
              <w:color w:val="auto"/>
              <w:sz w:val="24"/>
              <w:szCs w:val="24"/>
            </w:rPr>
            <w:fldChar w:fldCharType="separate"/>
          </w:r>
          <w:r>
            <w:rPr>
              <w:color w:val="auto"/>
              <w:sz w:val="24"/>
              <w:szCs w:val="24"/>
            </w:rPr>
            <w:t>3</w:t>
          </w:r>
          <w:r>
            <w:rPr>
              <w:color w:val="auto"/>
              <w:sz w:val="24"/>
              <w:szCs w:val="24"/>
            </w:rPr>
            <w:fldChar w:fldCharType="end"/>
          </w:r>
          <w:r>
            <w:rPr>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"_Toc19132" </w:instrText>
          </w:r>
          <w:r>
            <w:rPr>
              <w:color w:val="auto"/>
            </w:rPr>
            <w:fldChar w:fldCharType="separate"/>
          </w:r>
          <w:r>
            <w:rPr>
              <w:rFonts w:hint="eastAsia" w:ascii="黑体" w:hAnsi="黑体" w:eastAsia="黑体" w:cs="黑体"/>
              <w:b/>
              <w:color w:val="auto"/>
              <w:sz w:val="24"/>
              <w:szCs w:val="24"/>
            </w:rPr>
            <w:t>二、绩效评价工作开展情况</w:t>
          </w:r>
          <w:r>
            <w:rPr>
              <w:b/>
              <w:color w:val="auto"/>
              <w:sz w:val="24"/>
              <w:szCs w:val="24"/>
            </w:rPr>
            <w:tab/>
          </w:r>
          <w:r>
            <w:rPr>
              <w:b/>
              <w:color w:val="auto"/>
              <w:sz w:val="24"/>
              <w:szCs w:val="24"/>
            </w:rPr>
            <w:fldChar w:fldCharType="begin"/>
          </w:r>
          <w:r>
            <w:rPr>
              <w:b/>
              <w:color w:val="auto"/>
              <w:sz w:val="24"/>
              <w:szCs w:val="24"/>
            </w:rPr>
            <w:instrText xml:space="preserve"> PAGEREF _Toc19132 \h </w:instrText>
          </w:r>
          <w:r>
            <w:rPr>
              <w:b/>
              <w:color w:val="auto"/>
              <w:sz w:val="24"/>
              <w:szCs w:val="24"/>
            </w:rPr>
            <w:fldChar w:fldCharType="separate"/>
          </w:r>
          <w:r>
            <w:rPr>
              <w:b/>
              <w:color w:val="auto"/>
              <w:sz w:val="24"/>
              <w:szCs w:val="24"/>
            </w:rPr>
            <w:t>4</w:t>
          </w:r>
          <w:r>
            <w:rPr>
              <w:b/>
              <w:color w:val="auto"/>
              <w:sz w:val="24"/>
              <w:szCs w:val="24"/>
            </w:rPr>
            <w:fldChar w:fldCharType="end"/>
          </w:r>
          <w:r>
            <w:rPr>
              <w:b/>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"_Toc25628" </w:instrText>
          </w:r>
          <w:r>
            <w:rPr>
              <w:color w:val="auto"/>
            </w:rPr>
            <w:fldChar w:fldCharType="separate"/>
          </w:r>
          <w:r>
            <w:rPr>
              <w:rFonts w:hint="eastAsia" w:ascii="楷体_GB2312" w:hAnsi="楷体_GB2312" w:eastAsia="楷体_GB2312" w:cs="楷体_GB2312"/>
              <w:color w:val="auto"/>
              <w:sz w:val="24"/>
              <w:szCs w:val="24"/>
            </w:rPr>
            <w:t>（一）绩效评价目的、对象和范围。</w:t>
          </w:r>
          <w:r>
            <w:rPr>
              <w:color w:val="auto"/>
              <w:sz w:val="24"/>
              <w:szCs w:val="24"/>
            </w:rPr>
            <w:tab/>
          </w:r>
          <w:r>
            <w:rPr>
              <w:color w:val="auto"/>
              <w:sz w:val="24"/>
              <w:szCs w:val="24"/>
            </w:rPr>
            <w:fldChar w:fldCharType="begin"/>
          </w:r>
          <w:r>
            <w:rPr>
              <w:color w:val="auto"/>
              <w:sz w:val="24"/>
              <w:szCs w:val="24"/>
            </w:rPr>
            <w:instrText xml:space="preserve"> PAGEREF _Toc25628 \h </w:instrText>
          </w:r>
          <w:r>
            <w:rPr>
              <w:color w:val="auto"/>
              <w:sz w:val="24"/>
              <w:szCs w:val="24"/>
            </w:rPr>
            <w:fldChar w:fldCharType="separate"/>
          </w:r>
          <w:r>
            <w:rPr>
              <w:color w:val="auto"/>
              <w:sz w:val="24"/>
              <w:szCs w:val="24"/>
            </w:rPr>
            <w:t>4</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"_Toc4433" </w:instrText>
          </w:r>
          <w:r>
            <w:rPr>
              <w:color w:val="auto"/>
            </w:rPr>
            <w:fldChar w:fldCharType="separate"/>
          </w:r>
          <w:r>
            <w:rPr>
              <w:rFonts w:hint="eastAsia" w:ascii="楷体_GB2312" w:hAnsi="楷体_GB2312" w:eastAsia="楷体_GB2312" w:cs="楷体_GB2312"/>
              <w:color w:val="auto"/>
              <w:sz w:val="24"/>
              <w:szCs w:val="24"/>
            </w:rPr>
            <w:t>（二）绩效评价原则、评价指标体系（附表说明）、评价方法、评价标准等。</w:t>
          </w:r>
          <w:r>
            <w:rPr>
              <w:color w:val="auto"/>
              <w:sz w:val="24"/>
              <w:szCs w:val="24"/>
            </w:rPr>
            <w:tab/>
          </w:r>
          <w:r>
            <w:rPr>
              <w:color w:val="auto"/>
              <w:sz w:val="24"/>
              <w:szCs w:val="24"/>
            </w:rPr>
            <w:fldChar w:fldCharType="begin"/>
          </w:r>
          <w:r>
            <w:rPr>
              <w:color w:val="auto"/>
              <w:sz w:val="24"/>
              <w:szCs w:val="24"/>
            </w:rPr>
            <w:instrText xml:space="preserve"> PAGEREF _Toc4433 \h </w:instrText>
          </w:r>
          <w:r>
            <w:rPr>
              <w:color w:val="auto"/>
              <w:sz w:val="24"/>
              <w:szCs w:val="24"/>
            </w:rPr>
            <w:fldChar w:fldCharType="separate"/>
          </w:r>
          <w:r>
            <w:rPr>
              <w:color w:val="auto"/>
              <w:sz w:val="24"/>
              <w:szCs w:val="24"/>
            </w:rPr>
            <w:t>4</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"_Toc21549" </w:instrText>
          </w:r>
          <w:r>
            <w:rPr>
              <w:color w:val="auto"/>
            </w:rPr>
            <w:fldChar w:fldCharType="separate"/>
          </w:r>
          <w:r>
            <w:rPr>
              <w:rFonts w:hint="eastAsia" w:ascii="楷体_GB2312" w:hAnsi="楷体_GB2312" w:eastAsia="楷体_GB2312" w:cs="楷体_GB2312"/>
              <w:color w:val="auto"/>
              <w:sz w:val="24"/>
              <w:szCs w:val="24"/>
            </w:rPr>
            <w:t>（三）绩效评价工作过程。</w:t>
          </w:r>
          <w:r>
            <w:rPr>
              <w:color w:val="auto"/>
              <w:sz w:val="24"/>
              <w:szCs w:val="24"/>
            </w:rPr>
            <w:tab/>
          </w:r>
          <w:r>
            <w:rPr>
              <w:color w:val="auto"/>
              <w:sz w:val="24"/>
              <w:szCs w:val="24"/>
            </w:rPr>
            <w:fldChar w:fldCharType="begin"/>
          </w:r>
          <w:r>
            <w:rPr>
              <w:color w:val="auto"/>
              <w:sz w:val="24"/>
              <w:szCs w:val="24"/>
            </w:rPr>
            <w:instrText xml:space="preserve"> PAGEREF _Toc21549 \h </w:instrText>
          </w:r>
          <w:r>
            <w:rPr>
              <w:color w:val="auto"/>
              <w:sz w:val="24"/>
              <w:szCs w:val="24"/>
            </w:rPr>
            <w:fldChar w:fldCharType="separate"/>
          </w:r>
          <w:r>
            <w:rPr>
              <w:color w:val="auto"/>
              <w:sz w:val="24"/>
              <w:szCs w:val="24"/>
            </w:rPr>
            <w:t>5</w:t>
          </w:r>
          <w:r>
            <w:rPr>
              <w:color w:val="auto"/>
              <w:sz w:val="24"/>
              <w:szCs w:val="24"/>
            </w:rPr>
            <w:fldChar w:fldCharType="end"/>
          </w:r>
          <w:r>
            <w:rPr>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"_Toc29893" </w:instrText>
          </w:r>
          <w:r>
            <w:rPr>
              <w:color w:val="auto"/>
            </w:rPr>
            <w:fldChar w:fldCharType="separate"/>
          </w:r>
          <w:r>
            <w:rPr>
              <w:rFonts w:hint="eastAsia" w:ascii="黑体" w:hAnsi="黑体" w:eastAsia="黑体" w:cs="黑体"/>
              <w:b/>
              <w:color w:val="auto"/>
              <w:sz w:val="24"/>
              <w:szCs w:val="24"/>
            </w:rPr>
            <w:t>三、综合评价情况及评价结论（附相关评分表）</w:t>
          </w:r>
          <w:r>
            <w:rPr>
              <w:b/>
              <w:color w:val="auto"/>
              <w:sz w:val="24"/>
              <w:szCs w:val="24"/>
            </w:rPr>
            <w:tab/>
          </w:r>
          <w:r>
            <w:rPr>
              <w:b/>
              <w:color w:val="auto"/>
              <w:sz w:val="24"/>
              <w:szCs w:val="24"/>
            </w:rPr>
            <w:fldChar w:fldCharType="begin"/>
          </w:r>
          <w:r>
            <w:rPr>
              <w:b/>
              <w:color w:val="auto"/>
              <w:sz w:val="24"/>
              <w:szCs w:val="24"/>
            </w:rPr>
            <w:instrText xml:space="preserve"> PAGEREF _Toc29893 \h </w:instrText>
          </w:r>
          <w:r>
            <w:rPr>
              <w:b/>
              <w:color w:val="auto"/>
              <w:sz w:val="24"/>
              <w:szCs w:val="24"/>
            </w:rPr>
            <w:fldChar w:fldCharType="separate"/>
          </w:r>
          <w:r>
            <w:rPr>
              <w:b/>
              <w:color w:val="auto"/>
              <w:sz w:val="24"/>
              <w:szCs w:val="24"/>
            </w:rPr>
            <w:t>6</w:t>
          </w:r>
          <w:r>
            <w:rPr>
              <w:b/>
              <w:color w:val="auto"/>
              <w:sz w:val="24"/>
              <w:szCs w:val="24"/>
            </w:rPr>
            <w:fldChar w:fldCharType="end"/>
          </w:r>
          <w:r>
            <w:rPr>
              <w:b/>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"_Toc5929" </w:instrText>
          </w:r>
          <w:r>
            <w:rPr>
              <w:color w:val="auto"/>
            </w:rPr>
            <w:fldChar w:fldCharType="separate"/>
          </w:r>
          <w:r>
            <w:rPr>
              <w:rFonts w:hint="eastAsia" w:ascii="黑体" w:hAnsi="黑体" w:eastAsia="黑体" w:cs="黑体"/>
              <w:b/>
              <w:color w:val="auto"/>
              <w:sz w:val="24"/>
              <w:szCs w:val="24"/>
            </w:rPr>
            <w:t>四、绩效评价指标分析</w:t>
          </w:r>
          <w:r>
            <w:rPr>
              <w:b/>
              <w:color w:val="auto"/>
              <w:sz w:val="24"/>
              <w:szCs w:val="24"/>
            </w:rPr>
            <w:tab/>
          </w:r>
          <w:r>
            <w:rPr>
              <w:b/>
              <w:color w:val="auto"/>
              <w:sz w:val="24"/>
              <w:szCs w:val="24"/>
            </w:rPr>
            <w:fldChar w:fldCharType="begin"/>
          </w:r>
          <w:r>
            <w:rPr>
              <w:b/>
              <w:color w:val="auto"/>
              <w:sz w:val="24"/>
              <w:szCs w:val="24"/>
            </w:rPr>
            <w:instrText xml:space="preserve"> PAGEREF _Toc5929 \h </w:instrText>
          </w:r>
          <w:r>
            <w:rPr>
              <w:b/>
              <w:color w:val="auto"/>
              <w:sz w:val="24"/>
              <w:szCs w:val="24"/>
            </w:rPr>
            <w:fldChar w:fldCharType="separate"/>
          </w:r>
          <w:r>
            <w:rPr>
              <w:b/>
              <w:color w:val="auto"/>
              <w:sz w:val="24"/>
              <w:szCs w:val="24"/>
            </w:rPr>
            <w:t>7</w:t>
          </w:r>
          <w:r>
            <w:rPr>
              <w:b/>
              <w:color w:val="auto"/>
              <w:sz w:val="24"/>
              <w:szCs w:val="24"/>
            </w:rPr>
            <w:fldChar w:fldCharType="end"/>
          </w:r>
          <w:r>
            <w:rPr>
              <w:b/>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"_Toc9322" </w:instrText>
          </w:r>
          <w:r>
            <w:rPr>
              <w:color w:val="auto"/>
            </w:rPr>
            <w:fldChar w:fldCharType="separate"/>
          </w:r>
          <w:r>
            <w:rPr>
              <w:rFonts w:hint="eastAsia" w:ascii="楷体_GB2312" w:hAnsi="楷体_GB2312" w:eastAsia="楷体_GB2312" w:cs="楷体_GB2312"/>
              <w:color w:val="auto"/>
              <w:sz w:val="24"/>
              <w:szCs w:val="24"/>
            </w:rPr>
            <w:t>（一）项目决策情况。</w:t>
          </w:r>
          <w:r>
            <w:rPr>
              <w:color w:val="auto"/>
              <w:sz w:val="24"/>
              <w:szCs w:val="24"/>
            </w:rPr>
            <w:tab/>
          </w:r>
          <w:r>
            <w:rPr>
              <w:color w:val="auto"/>
              <w:sz w:val="24"/>
              <w:szCs w:val="24"/>
            </w:rPr>
            <w:fldChar w:fldCharType="begin"/>
          </w:r>
          <w:r>
            <w:rPr>
              <w:color w:val="auto"/>
              <w:sz w:val="24"/>
              <w:szCs w:val="24"/>
            </w:rPr>
            <w:instrText xml:space="preserve"> PAGEREF _Toc9322 \h </w:instrText>
          </w:r>
          <w:r>
            <w:rPr>
              <w:color w:val="auto"/>
              <w:sz w:val="24"/>
              <w:szCs w:val="24"/>
            </w:rPr>
            <w:fldChar w:fldCharType="separate"/>
          </w:r>
          <w:r>
            <w:rPr>
              <w:color w:val="auto"/>
              <w:sz w:val="24"/>
              <w:szCs w:val="24"/>
            </w:rPr>
            <w:t>7</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"_Toc23695" </w:instrText>
          </w:r>
          <w:r>
            <w:rPr>
              <w:color w:val="auto"/>
            </w:rPr>
            <w:fldChar w:fldCharType="separate"/>
          </w:r>
          <w:r>
            <w:rPr>
              <w:rFonts w:hint="eastAsia" w:ascii="楷体_GB2312" w:hAnsi="楷体_GB2312" w:eastAsia="楷体_GB2312" w:cs="楷体_GB2312"/>
              <w:color w:val="auto"/>
              <w:sz w:val="24"/>
              <w:szCs w:val="24"/>
            </w:rPr>
            <w:t>（二）项目过程情况。</w:t>
          </w:r>
          <w:r>
            <w:rPr>
              <w:color w:val="auto"/>
              <w:sz w:val="24"/>
              <w:szCs w:val="24"/>
            </w:rPr>
            <w:tab/>
          </w:r>
          <w:r>
            <w:rPr>
              <w:color w:val="auto"/>
              <w:sz w:val="24"/>
              <w:szCs w:val="24"/>
            </w:rPr>
            <w:fldChar w:fldCharType="begin"/>
          </w:r>
          <w:r>
            <w:rPr>
              <w:color w:val="auto"/>
              <w:sz w:val="24"/>
              <w:szCs w:val="24"/>
            </w:rPr>
            <w:instrText xml:space="preserve"> PAGEREF _Toc23695 \h </w:instrText>
          </w:r>
          <w:r>
            <w:rPr>
              <w:color w:val="auto"/>
              <w:sz w:val="24"/>
              <w:szCs w:val="24"/>
            </w:rPr>
            <w:fldChar w:fldCharType="separate"/>
          </w:r>
          <w:r>
            <w:rPr>
              <w:color w:val="auto"/>
              <w:sz w:val="24"/>
              <w:szCs w:val="24"/>
            </w:rPr>
            <w:t>8</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"_Toc7385" </w:instrText>
          </w:r>
          <w:r>
            <w:rPr>
              <w:color w:val="auto"/>
            </w:rPr>
            <w:fldChar w:fldCharType="separate"/>
          </w:r>
          <w:r>
            <w:rPr>
              <w:rFonts w:hint="eastAsia" w:ascii="楷体_GB2312" w:hAnsi="楷体_GB2312" w:eastAsia="楷体_GB2312" w:cs="楷体_GB2312"/>
              <w:color w:val="auto"/>
              <w:sz w:val="24"/>
              <w:szCs w:val="24"/>
            </w:rPr>
            <w:t>（三）项目产出情况。</w:t>
          </w:r>
          <w:r>
            <w:rPr>
              <w:color w:val="auto"/>
              <w:sz w:val="24"/>
              <w:szCs w:val="24"/>
            </w:rPr>
            <w:tab/>
          </w:r>
          <w:r>
            <w:rPr>
              <w:color w:val="auto"/>
              <w:sz w:val="24"/>
              <w:szCs w:val="24"/>
            </w:rPr>
            <w:fldChar w:fldCharType="begin"/>
          </w:r>
          <w:r>
            <w:rPr>
              <w:color w:val="auto"/>
              <w:sz w:val="24"/>
              <w:szCs w:val="24"/>
            </w:rPr>
            <w:instrText xml:space="preserve"> PAGEREF _Toc7385 \h </w:instrText>
          </w:r>
          <w:r>
            <w:rPr>
              <w:color w:val="auto"/>
              <w:sz w:val="24"/>
              <w:szCs w:val="24"/>
            </w:rPr>
            <w:fldChar w:fldCharType="separate"/>
          </w:r>
          <w:r>
            <w:rPr>
              <w:color w:val="auto"/>
              <w:sz w:val="24"/>
              <w:szCs w:val="24"/>
            </w:rPr>
            <w:t>10</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"_Toc18556" </w:instrText>
          </w:r>
          <w:r>
            <w:rPr>
              <w:color w:val="auto"/>
            </w:rPr>
            <w:fldChar w:fldCharType="separate"/>
          </w:r>
          <w:r>
            <w:rPr>
              <w:rFonts w:hint="eastAsia" w:ascii="楷体_GB2312" w:hAnsi="楷体_GB2312" w:eastAsia="楷体_GB2312" w:cs="楷体_GB2312"/>
              <w:color w:val="auto"/>
              <w:sz w:val="24"/>
              <w:szCs w:val="24"/>
            </w:rPr>
            <w:t>（四）项目效益情况。</w:t>
          </w:r>
          <w:r>
            <w:rPr>
              <w:color w:val="auto"/>
              <w:sz w:val="24"/>
              <w:szCs w:val="24"/>
            </w:rPr>
            <w:tab/>
          </w:r>
          <w:r>
            <w:rPr>
              <w:color w:val="auto"/>
              <w:sz w:val="24"/>
              <w:szCs w:val="24"/>
            </w:rPr>
            <w:fldChar w:fldCharType="begin"/>
          </w:r>
          <w:r>
            <w:rPr>
              <w:color w:val="auto"/>
              <w:sz w:val="24"/>
              <w:szCs w:val="24"/>
            </w:rPr>
            <w:instrText xml:space="preserve"> PAGEREF _Toc18556 \h </w:instrText>
          </w:r>
          <w:r>
            <w:rPr>
              <w:color w:val="auto"/>
              <w:sz w:val="24"/>
              <w:szCs w:val="24"/>
            </w:rPr>
            <w:fldChar w:fldCharType="separate"/>
          </w:r>
          <w:r>
            <w:rPr>
              <w:color w:val="auto"/>
              <w:sz w:val="24"/>
              <w:szCs w:val="24"/>
            </w:rPr>
            <w:t>11</w:t>
          </w:r>
          <w:r>
            <w:rPr>
              <w:color w:val="auto"/>
              <w:sz w:val="24"/>
              <w:szCs w:val="24"/>
            </w:rPr>
            <w:fldChar w:fldCharType="end"/>
          </w:r>
          <w:r>
            <w:rPr>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"_Toc19452" </w:instrText>
          </w:r>
          <w:r>
            <w:rPr>
              <w:color w:val="auto"/>
            </w:rPr>
            <w:fldChar w:fldCharType="separate"/>
          </w:r>
          <w:r>
            <w:rPr>
              <w:rFonts w:hint="eastAsia" w:ascii="黑体" w:hAnsi="黑体" w:eastAsia="黑体" w:cs="黑体"/>
              <w:b/>
              <w:color w:val="auto"/>
              <w:sz w:val="24"/>
              <w:szCs w:val="24"/>
            </w:rPr>
            <w:t>五、主要经验及做法、存在的问题及原因分析</w:t>
          </w:r>
          <w:r>
            <w:rPr>
              <w:b/>
              <w:color w:val="auto"/>
              <w:sz w:val="24"/>
              <w:szCs w:val="24"/>
            </w:rPr>
            <w:tab/>
          </w:r>
          <w:r>
            <w:rPr>
              <w:b/>
              <w:color w:val="auto"/>
              <w:sz w:val="24"/>
              <w:szCs w:val="24"/>
            </w:rPr>
            <w:fldChar w:fldCharType="begin"/>
          </w:r>
          <w:r>
            <w:rPr>
              <w:b/>
              <w:color w:val="auto"/>
              <w:sz w:val="24"/>
              <w:szCs w:val="24"/>
            </w:rPr>
            <w:instrText xml:space="preserve"> PAGEREF _Toc19452 \h </w:instrText>
          </w:r>
          <w:r>
            <w:rPr>
              <w:b/>
              <w:color w:val="auto"/>
              <w:sz w:val="24"/>
              <w:szCs w:val="24"/>
            </w:rPr>
            <w:fldChar w:fldCharType="separate"/>
          </w:r>
          <w:r>
            <w:rPr>
              <w:b/>
              <w:color w:val="auto"/>
              <w:sz w:val="24"/>
              <w:szCs w:val="24"/>
            </w:rPr>
            <w:t>13</w:t>
          </w:r>
          <w:r>
            <w:rPr>
              <w:b/>
              <w:color w:val="auto"/>
              <w:sz w:val="24"/>
              <w:szCs w:val="24"/>
            </w:rPr>
            <w:fldChar w:fldCharType="end"/>
          </w:r>
          <w:r>
            <w:rPr>
              <w:b/>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"_Toc2672" </w:instrText>
          </w:r>
          <w:r>
            <w:rPr>
              <w:color w:val="auto"/>
            </w:rPr>
            <w:fldChar w:fldCharType="separate"/>
          </w:r>
          <w:r>
            <w:rPr>
              <w:rFonts w:hint="eastAsia" w:ascii="楷体_GB2312" w:hAnsi="楷体_GB2312" w:eastAsia="楷体_GB2312" w:cs="楷体_GB2312"/>
              <w:color w:val="auto"/>
              <w:sz w:val="24"/>
              <w:szCs w:val="24"/>
            </w:rPr>
            <w:t>（一）主要经验及做法。</w:t>
          </w:r>
          <w:r>
            <w:rPr>
              <w:color w:val="auto"/>
              <w:sz w:val="24"/>
              <w:szCs w:val="24"/>
            </w:rPr>
            <w:tab/>
          </w:r>
          <w:r>
            <w:rPr>
              <w:color w:val="auto"/>
              <w:sz w:val="24"/>
              <w:szCs w:val="24"/>
            </w:rPr>
            <w:fldChar w:fldCharType="begin"/>
          </w:r>
          <w:r>
            <w:rPr>
              <w:color w:val="auto"/>
              <w:sz w:val="24"/>
              <w:szCs w:val="24"/>
            </w:rPr>
            <w:instrText xml:space="preserve"> PAGEREF _Toc2672 \h </w:instrText>
          </w:r>
          <w:r>
            <w:rPr>
              <w:color w:val="auto"/>
              <w:sz w:val="24"/>
              <w:szCs w:val="24"/>
            </w:rPr>
            <w:fldChar w:fldCharType="separate"/>
          </w:r>
          <w:r>
            <w:rPr>
              <w:color w:val="auto"/>
              <w:sz w:val="24"/>
              <w:szCs w:val="24"/>
            </w:rPr>
            <w:t>13</w:t>
          </w:r>
          <w:r>
            <w:rPr>
              <w:color w:val="auto"/>
              <w:sz w:val="24"/>
              <w:szCs w:val="24"/>
            </w:rPr>
            <w:fldChar w:fldCharType="end"/>
          </w:r>
          <w:r>
            <w:rPr>
              <w:color w:val="auto"/>
              <w:sz w:val="24"/>
              <w:szCs w:val="24"/>
            </w:rPr>
            <w:fldChar w:fldCharType="end"/>
          </w:r>
        </w:p>
        <w:p>
          <w:pPr>
            <w:pStyle w:val="27"/>
            <w:tabs>
              <w:tab w:val="right" w:leader="dot" w:pos="8460"/>
            </w:tabs>
            <w:ind w:left="420"/>
            <w:rPr>
              <w:color w:val="auto"/>
              <w:sz w:val="24"/>
              <w:szCs w:val="24"/>
            </w:rPr>
          </w:pPr>
          <w:r>
            <w:rPr>
              <w:color w:val="auto"/>
            </w:rPr>
            <w:fldChar w:fldCharType="begin"/>
          </w:r>
          <w:r>
            <w:rPr>
              <w:color w:val="auto"/>
            </w:rPr>
            <w:instrText xml:space="preserve"> HYPERLINK \l "_Toc8104" </w:instrText>
          </w:r>
          <w:r>
            <w:rPr>
              <w:color w:val="auto"/>
            </w:rPr>
            <w:fldChar w:fldCharType="separate"/>
          </w:r>
          <w:r>
            <w:rPr>
              <w:rFonts w:hint="eastAsia" w:ascii="楷体_GB2312" w:hAnsi="楷体_GB2312" w:eastAsia="楷体_GB2312" w:cs="楷体_GB2312"/>
              <w:color w:val="auto"/>
              <w:sz w:val="24"/>
              <w:szCs w:val="24"/>
            </w:rPr>
            <w:t>（二）存在的问题及原因分析</w:t>
          </w:r>
          <w:r>
            <w:rPr>
              <w:color w:val="auto"/>
              <w:sz w:val="24"/>
              <w:szCs w:val="24"/>
            </w:rPr>
            <w:tab/>
          </w:r>
          <w:r>
            <w:rPr>
              <w:color w:val="auto"/>
              <w:sz w:val="24"/>
              <w:szCs w:val="24"/>
            </w:rPr>
            <w:fldChar w:fldCharType="begin"/>
          </w:r>
          <w:r>
            <w:rPr>
              <w:color w:val="auto"/>
              <w:sz w:val="24"/>
              <w:szCs w:val="24"/>
            </w:rPr>
            <w:instrText xml:space="preserve"> PAGEREF _Toc8104 \h </w:instrText>
          </w:r>
          <w:r>
            <w:rPr>
              <w:color w:val="auto"/>
              <w:sz w:val="24"/>
              <w:szCs w:val="24"/>
            </w:rPr>
            <w:fldChar w:fldCharType="separate"/>
          </w:r>
          <w:r>
            <w:rPr>
              <w:color w:val="auto"/>
              <w:sz w:val="24"/>
              <w:szCs w:val="24"/>
            </w:rPr>
            <w:t>14</w:t>
          </w:r>
          <w:r>
            <w:rPr>
              <w:color w:val="auto"/>
              <w:sz w:val="24"/>
              <w:szCs w:val="24"/>
            </w:rPr>
            <w:fldChar w:fldCharType="end"/>
          </w:r>
          <w:r>
            <w:rPr>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"_Toc11253" </w:instrText>
          </w:r>
          <w:r>
            <w:rPr>
              <w:color w:val="auto"/>
            </w:rPr>
            <w:fldChar w:fldCharType="separate"/>
          </w:r>
          <w:r>
            <w:rPr>
              <w:rFonts w:hint="eastAsia" w:ascii="黑体" w:hAnsi="黑体" w:eastAsia="黑体" w:cs="黑体"/>
              <w:b/>
              <w:color w:val="auto"/>
              <w:sz w:val="24"/>
              <w:szCs w:val="24"/>
            </w:rPr>
            <w:t>六、 有关建议</w:t>
          </w:r>
          <w:r>
            <w:rPr>
              <w:b/>
              <w:color w:val="auto"/>
              <w:sz w:val="24"/>
              <w:szCs w:val="24"/>
            </w:rPr>
            <w:tab/>
          </w:r>
          <w:r>
            <w:rPr>
              <w:b/>
              <w:color w:val="auto"/>
              <w:sz w:val="24"/>
              <w:szCs w:val="24"/>
            </w:rPr>
            <w:fldChar w:fldCharType="begin"/>
          </w:r>
          <w:r>
            <w:rPr>
              <w:b/>
              <w:color w:val="auto"/>
              <w:sz w:val="24"/>
              <w:szCs w:val="24"/>
            </w:rPr>
            <w:instrText xml:space="preserve"> PAGEREF _Toc11253 \h </w:instrText>
          </w:r>
          <w:r>
            <w:rPr>
              <w:b/>
              <w:color w:val="auto"/>
              <w:sz w:val="24"/>
              <w:szCs w:val="24"/>
            </w:rPr>
            <w:fldChar w:fldCharType="separate"/>
          </w:r>
          <w:r>
            <w:rPr>
              <w:b/>
              <w:color w:val="auto"/>
              <w:sz w:val="24"/>
              <w:szCs w:val="24"/>
            </w:rPr>
            <w:t>14</w:t>
          </w:r>
          <w:r>
            <w:rPr>
              <w:b/>
              <w:color w:val="auto"/>
              <w:sz w:val="24"/>
              <w:szCs w:val="24"/>
            </w:rPr>
            <w:fldChar w:fldCharType="end"/>
          </w:r>
          <w:r>
            <w:rPr>
              <w:b/>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"_Toc10784" </w:instrText>
          </w:r>
          <w:r>
            <w:rPr>
              <w:color w:val="auto"/>
            </w:rPr>
            <w:fldChar w:fldCharType="separate"/>
          </w:r>
          <w:r>
            <w:rPr>
              <w:rFonts w:hint="eastAsia" w:ascii="黑体" w:hAnsi="黑体" w:eastAsia="黑体" w:cs="黑体"/>
              <w:b/>
              <w:color w:val="auto"/>
              <w:sz w:val="24"/>
              <w:szCs w:val="24"/>
            </w:rPr>
            <w:t>七、其他需要说明的问题</w:t>
          </w:r>
          <w:r>
            <w:rPr>
              <w:b/>
              <w:color w:val="auto"/>
              <w:sz w:val="24"/>
              <w:szCs w:val="24"/>
            </w:rPr>
            <w:tab/>
          </w:r>
          <w:r>
            <w:rPr>
              <w:b/>
              <w:color w:val="auto"/>
              <w:sz w:val="24"/>
              <w:szCs w:val="24"/>
            </w:rPr>
            <w:fldChar w:fldCharType="begin"/>
          </w:r>
          <w:r>
            <w:rPr>
              <w:b/>
              <w:color w:val="auto"/>
              <w:sz w:val="24"/>
              <w:szCs w:val="24"/>
            </w:rPr>
            <w:instrText xml:space="preserve"> PAGEREF _Toc10784 \h </w:instrText>
          </w:r>
          <w:r>
            <w:rPr>
              <w:b/>
              <w:color w:val="auto"/>
              <w:sz w:val="24"/>
              <w:szCs w:val="24"/>
            </w:rPr>
            <w:fldChar w:fldCharType="separate"/>
          </w:r>
          <w:r>
            <w:rPr>
              <w:b/>
              <w:color w:val="auto"/>
              <w:sz w:val="24"/>
              <w:szCs w:val="24"/>
            </w:rPr>
            <w:t>15</w:t>
          </w:r>
          <w:r>
            <w:rPr>
              <w:b/>
              <w:color w:val="auto"/>
              <w:sz w:val="24"/>
              <w:szCs w:val="24"/>
            </w:rPr>
            <w:fldChar w:fldCharType="end"/>
          </w:r>
          <w:r>
            <w:rPr>
              <w:b/>
              <w:color w:val="auto"/>
              <w:sz w:val="24"/>
              <w:szCs w:val="24"/>
            </w:rPr>
            <w:fldChar w:fldCharType="end"/>
          </w:r>
        </w:p>
        <w:p>
          <w:pPr>
            <w:pStyle w:val="26"/>
            <w:tabs>
              <w:tab w:val="right" w:leader="dot" w:pos="8460"/>
            </w:tabs>
            <w:rPr>
              <w:b/>
              <w:color w:val="auto"/>
              <w:sz w:val="24"/>
              <w:szCs w:val="24"/>
            </w:rPr>
          </w:pPr>
          <w:r>
            <w:rPr>
              <w:color w:val="auto"/>
            </w:rPr>
            <w:fldChar w:fldCharType="begin"/>
          </w:r>
          <w:r>
            <w:rPr>
              <w:color w:val="auto"/>
            </w:rPr>
            <w:instrText xml:space="preserve"> HYPERLINK \l "_Toc5027" </w:instrText>
          </w:r>
          <w:r>
            <w:rPr>
              <w:color w:val="auto"/>
            </w:rPr>
            <w:fldChar w:fldCharType="separate"/>
          </w:r>
          <w:r>
            <w:rPr>
              <w:rFonts w:hint="eastAsia" w:ascii="黑体" w:hAnsi="黑体" w:eastAsia="黑体" w:cs="黑体"/>
              <w:b/>
              <w:color w:val="auto"/>
              <w:sz w:val="24"/>
              <w:szCs w:val="24"/>
            </w:rPr>
            <w:t>八、附件</w:t>
          </w:r>
          <w:r>
            <w:rPr>
              <w:b/>
              <w:color w:val="auto"/>
              <w:sz w:val="24"/>
              <w:szCs w:val="24"/>
            </w:rPr>
            <w:tab/>
          </w:r>
          <w:r>
            <w:rPr>
              <w:b/>
              <w:color w:val="auto"/>
              <w:sz w:val="24"/>
              <w:szCs w:val="24"/>
            </w:rPr>
            <w:fldChar w:fldCharType="begin"/>
          </w:r>
          <w:r>
            <w:rPr>
              <w:b/>
              <w:color w:val="auto"/>
              <w:sz w:val="24"/>
              <w:szCs w:val="24"/>
            </w:rPr>
            <w:instrText xml:space="preserve"> PAGEREF _Toc5027 \h </w:instrText>
          </w:r>
          <w:r>
            <w:rPr>
              <w:b/>
              <w:color w:val="auto"/>
              <w:sz w:val="24"/>
              <w:szCs w:val="24"/>
            </w:rPr>
            <w:fldChar w:fldCharType="separate"/>
          </w:r>
          <w:r>
            <w:rPr>
              <w:b/>
              <w:color w:val="auto"/>
              <w:sz w:val="24"/>
              <w:szCs w:val="24"/>
            </w:rPr>
            <w:t>15</w:t>
          </w:r>
          <w:r>
            <w:rPr>
              <w:b/>
              <w:color w:val="auto"/>
              <w:sz w:val="24"/>
              <w:szCs w:val="24"/>
            </w:rPr>
            <w:fldChar w:fldCharType="end"/>
          </w:r>
          <w:r>
            <w:rPr>
              <w:b/>
              <w:color w:val="auto"/>
              <w:sz w:val="24"/>
              <w:szCs w:val="24"/>
            </w:rPr>
            <w:fldChar w:fldCharType="end"/>
          </w:r>
        </w:p>
        <w:p>
          <w:pPr>
            <w:pStyle w:val="26"/>
            <w:tabs>
              <w:tab w:val="right" w:leader="dot" w:pos="8460"/>
            </w:tabs>
            <w:rPr>
              <w:b/>
              <w:color w:val="auto"/>
              <w:sz w:val="24"/>
              <w:szCs w:val="24"/>
            </w:rPr>
          </w:pPr>
        </w:p>
        <w:p>
          <w:pPr>
            <w:rPr>
              <w:color w:val="auto"/>
            </w:rPr>
          </w:pPr>
          <w:r>
            <w:rPr>
              <w:b/>
              <w:color w:val="auto"/>
            </w:rPr>
            <w:fldChar w:fldCharType="end"/>
          </w:r>
        </w:p>
      </w:sdtContent>
    </w:sdt>
    <w:p>
      <w:pPr>
        <w:jc w:val="center"/>
        <w:outlineLvl w:val="0"/>
        <w:rPr>
          <w:rFonts w:ascii="宋体" w:hAnsi="宋体"/>
          <w:b/>
          <w:color w:val="auto"/>
          <w:sz w:val="44"/>
          <w:szCs w:val="44"/>
        </w:rPr>
        <w:sectPr>
          <w:footerReference r:id="rId4" w:type="default"/>
          <w:pgSz w:w="11906" w:h="16838"/>
          <w:pgMar w:top="1440" w:right="1646" w:bottom="1440" w:left="1800" w:header="851" w:footer="992" w:gutter="0"/>
          <w:pgNumType w:start="1"/>
          <w:cols w:space="425" w:num="1"/>
          <w:docGrid w:type="lines" w:linePitch="312" w:charSpace="0"/>
        </w:sectPr>
      </w:pPr>
      <w:bookmarkStart w:id="2" w:name="_Toc29478"/>
    </w:p>
    <w:p>
      <w:pPr>
        <w:jc w:val="center"/>
        <w:outlineLvl w:val="0"/>
        <w:rPr>
          <w:rFonts w:ascii="宋体" w:hAnsi="宋体"/>
          <w:b/>
          <w:color w:val="auto"/>
          <w:sz w:val="44"/>
          <w:szCs w:val="44"/>
        </w:rPr>
      </w:pPr>
      <w:r>
        <w:rPr>
          <w:rFonts w:hint="eastAsia" w:ascii="宋体" w:hAnsi="宋体"/>
          <w:b/>
          <w:color w:val="auto"/>
          <w:sz w:val="44"/>
          <w:szCs w:val="44"/>
        </w:rPr>
        <w:t>北京市房山区人民检察院</w:t>
      </w:r>
      <w:bookmarkEnd w:id="1"/>
      <w:bookmarkEnd w:id="2"/>
    </w:p>
    <w:p>
      <w:pPr>
        <w:jc w:val="center"/>
        <w:outlineLvl w:val="0"/>
        <w:rPr>
          <w:rFonts w:ascii="宋体" w:hAnsi="宋体"/>
          <w:b/>
          <w:color w:val="auto"/>
          <w:sz w:val="44"/>
          <w:szCs w:val="44"/>
        </w:rPr>
      </w:pPr>
      <w:bookmarkStart w:id="3" w:name="_Toc366"/>
      <w:bookmarkStart w:id="4" w:name="_Toc26220"/>
      <w:bookmarkStart w:id="5" w:name="_Toc20402"/>
      <w:r>
        <w:rPr>
          <w:rFonts w:hint="eastAsia" w:ascii="宋体" w:hAnsi="宋体"/>
          <w:b/>
          <w:color w:val="auto"/>
          <w:sz w:val="44"/>
          <w:szCs w:val="44"/>
        </w:rPr>
        <w:t>202</w:t>
      </w:r>
      <w:r>
        <w:rPr>
          <w:rFonts w:hint="eastAsia" w:ascii="宋体" w:hAnsi="宋体"/>
          <w:b/>
          <w:color w:val="auto"/>
          <w:sz w:val="44"/>
          <w:szCs w:val="44"/>
          <w:lang w:val="en-US" w:eastAsia="zh-CN"/>
        </w:rPr>
        <w:t>3</w:t>
      </w:r>
      <w:r>
        <w:rPr>
          <w:rFonts w:hint="eastAsia" w:ascii="宋体" w:hAnsi="宋体"/>
          <w:b/>
          <w:color w:val="auto"/>
          <w:sz w:val="44"/>
          <w:szCs w:val="44"/>
        </w:rPr>
        <w:t>年办案业务费项目支出绩效评价报告</w:t>
      </w:r>
      <w:bookmarkEnd w:id="3"/>
      <w:bookmarkEnd w:id="4"/>
      <w:bookmarkEnd w:id="5"/>
    </w:p>
    <w:p>
      <w:pPr>
        <w:jc w:val="center"/>
        <w:rPr>
          <w:rFonts w:ascii="宋体" w:hAnsi="宋体"/>
          <w:b/>
          <w:bCs/>
          <w:color w:val="auto"/>
          <w:sz w:val="44"/>
          <w:szCs w:val="44"/>
        </w:rPr>
      </w:pPr>
    </w:p>
    <w:p>
      <w:pPr>
        <w:spacing w:line="600" w:lineRule="exact"/>
        <w:ind w:firstLine="640" w:firstLineChars="200"/>
        <w:outlineLvl w:val="0"/>
        <w:rPr>
          <w:rFonts w:ascii="黑体" w:hAnsi="黑体" w:eastAsia="黑体" w:cs="黑体"/>
          <w:color w:val="auto"/>
          <w:sz w:val="32"/>
          <w:szCs w:val="32"/>
        </w:rPr>
      </w:pPr>
      <w:bookmarkStart w:id="6" w:name="_Toc339894407"/>
      <w:bookmarkStart w:id="7" w:name="_Toc339891245"/>
      <w:bookmarkStart w:id="8" w:name="_Toc169183181"/>
      <w:bookmarkStart w:id="9" w:name="_Toc12088"/>
      <w:r>
        <w:rPr>
          <w:rFonts w:hint="eastAsia" w:ascii="黑体" w:hAnsi="黑体" w:eastAsia="黑体" w:cs="黑体"/>
          <w:color w:val="auto"/>
          <w:sz w:val="32"/>
          <w:szCs w:val="32"/>
        </w:rPr>
        <w:t>一、</w:t>
      </w:r>
      <w:bookmarkEnd w:id="6"/>
      <w:bookmarkEnd w:id="7"/>
      <w:bookmarkEnd w:id="8"/>
      <w:r>
        <w:rPr>
          <w:rFonts w:hint="eastAsia" w:ascii="黑体" w:hAnsi="黑体" w:eastAsia="黑体" w:cs="黑体"/>
          <w:color w:val="auto"/>
          <w:sz w:val="32"/>
          <w:szCs w:val="32"/>
        </w:rPr>
        <w:t>基本情况</w:t>
      </w:r>
      <w:bookmarkEnd w:id="9"/>
    </w:p>
    <w:p>
      <w:pPr>
        <w:spacing w:line="600" w:lineRule="exact"/>
        <w:ind w:firstLine="640" w:firstLineChars="200"/>
        <w:outlineLvl w:val="1"/>
        <w:rPr>
          <w:rFonts w:ascii="楷体_GB2312" w:hAnsi="楷体_GB2312" w:eastAsia="楷体_GB2312" w:cs="楷体_GB2312"/>
          <w:color w:val="auto"/>
          <w:sz w:val="32"/>
          <w:szCs w:val="32"/>
        </w:rPr>
      </w:pPr>
      <w:bookmarkStart w:id="10" w:name="_Toc339894408"/>
      <w:bookmarkStart w:id="11" w:name="_Toc339891246"/>
      <w:bookmarkStart w:id="12" w:name="_Toc28826"/>
      <w:r>
        <w:rPr>
          <w:rFonts w:hint="eastAsia" w:ascii="楷体_GB2312" w:hAnsi="楷体_GB2312" w:eastAsia="楷体_GB2312" w:cs="楷体_GB2312"/>
          <w:color w:val="auto"/>
          <w:sz w:val="32"/>
          <w:szCs w:val="32"/>
        </w:rPr>
        <w:t>（一）项目概况</w:t>
      </w:r>
      <w:bookmarkEnd w:id="10"/>
      <w:bookmarkEnd w:id="11"/>
      <w:r>
        <w:rPr>
          <w:rFonts w:hint="eastAsia" w:ascii="楷体_GB2312" w:hAnsi="楷体_GB2312" w:eastAsia="楷体_GB2312" w:cs="楷体_GB2312"/>
          <w:color w:val="auto"/>
          <w:sz w:val="32"/>
          <w:szCs w:val="32"/>
        </w:rPr>
        <w:t>。</w:t>
      </w:r>
      <w:bookmarkEnd w:id="12"/>
    </w:p>
    <w:p>
      <w:pPr>
        <w:spacing w:line="640" w:lineRule="exact"/>
        <w:ind w:left="-180"/>
        <w:rPr>
          <w:rFonts w:ascii="仿宋_GB2312" w:hAnsi="仿宋" w:eastAsia="仿宋_GB2312"/>
          <w:bCs/>
          <w:color w:val="auto"/>
          <w:sz w:val="32"/>
          <w:szCs w:val="32"/>
        </w:rPr>
      </w:pPr>
      <w:r>
        <w:rPr>
          <w:rFonts w:hint="eastAsia" w:ascii="仿宋_GB2312" w:hAnsi="宋体" w:eastAsia="仿宋_GB2312"/>
          <w:bCs/>
          <w:color w:val="auto"/>
          <w:sz w:val="32"/>
          <w:szCs w:val="32"/>
        </w:rPr>
        <w:t xml:space="preserve">     </w:t>
      </w:r>
      <w:r>
        <w:rPr>
          <w:rFonts w:hint="eastAsia" w:ascii="仿宋" w:hAnsi="仿宋" w:eastAsia="仿宋"/>
          <w:bCs/>
          <w:color w:val="auto"/>
          <w:sz w:val="32"/>
          <w:szCs w:val="32"/>
        </w:rPr>
        <w:t>1．</w:t>
      </w:r>
      <w:r>
        <w:rPr>
          <w:rFonts w:hint="eastAsia" w:ascii="仿宋_GB2312" w:hAnsi="仿宋" w:eastAsia="仿宋_GB2312"/>
          <w:bCs/>
          <w:color w:val="auto"/>
          <w:sz w:val="32"/>
          <w:szCs w:val="32"/>
        </w:rPr>
        <w:t>项目实施主体及主要内容。</w:t>
      </w:r>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（1）实施主体</w:t>
      </w:r>
    </w:p>
    <w:p>
      <w:pPr>
        <w:pStyle w:val="21"/>
        <w:ind w:firstLine="560" w:firstLineChars="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2023年</w:t>
      </w:r>
      <w:r>
        <w:rPr>
          <w:rFonts w:hint="eastAsia" w:ascii="仿宋_GB2312" w:eastAsia="仿宋_GB2312"/>
          <w:color w:val="auto"/>
          <w:sz w:val="32"/>
          <w:szCs w:val="32"/>
        </w:rPr>
        <w:t>办案业务费”项目（以下简称“该项目”）由北京市房山区人民检察院（以下简称“房山区检察院”）负责具体组织管理。</w:t>
      </w:r>
    </w:p>
    <w:p>
      <w:pPr>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房山区检察院在房山区内依法行使检察权。其主要职责：</w:t>
      </w:r>
    </w:p>
    <w:p>
      <w:pPr>
        <w:ind w:firstLine="640" w:firstLineChars="200"/>
        <w:rPr>
          <w:rFonts w:ascii="仿宋_GB2312" w:hAnsi="仿宋" w:eastAsia="仿宋_GB2312"/>
          <w:color w:val="auto"/>
          <w:sz w:val="32"/>
          <w:szCs w:val="32"/>
        </w:rPr>
      </w:pPr>
      <w:r>
        <w:rPr>
          <w:rFonts w:hint="eastAsia" w:ascii="仿宋_GB2312" w:hAnsi="Calibri" w:eastAsia="仿宋_GB2312" w:cs="Calibri"/>
          <w:color w:val="auto"/>
          <w:sz w:val="32"/>
          <w:szCs w:val="32"/>
        </w:rPr>
        <w:t>①</w:t>
      </w:r>
      <w:r>
        <w:rPr>
          <w:rFonts w:hint="eastAsia" w:ascii="仿宋_GB2312" w:hAnsi="仿宋" w:eastAsia="仿宋_GB2312"/>
          <w:color w:val="auto"/>
          <w:sz w:val="32"/>
          <w:szCs w:val="32"/>
        </w:rPr>
        <w:t>对于叛国案、分裂国家案以及严重破坏国家的政策、法律、法令、政令统一实施的重大犯罪案件行使国家检察权。</w:t>
      </w:r>
    </w:p>
    <w:p>
      <w:pPr>
        <w:ind w:firstLine="640" w:firstLineChars="200"/>
        <w:rPr>
          <w:rFonts w:ascii="仿宋_GB2312" w:hAnsi="仿宋" w:eastAsia="仿宋_GB2312"/>
          <w:color w:val="auto"/>
          <w:sz w:val="32"/>
          <w:szCs w:val="32"/>
        </w:rPr>
      </w:pPr>
      <w:r>
        <w:rPr>
          <w:rFonts w:hint="eastAsia" w:ascii="仿宋_GB2312" w:hAnsi="Calibri" w:eastAsia="仿宋_GB2312" w:cs="Calibri"/>
          <w:color w:val="auto"/>
          <w:sz w:val="32"/>
          <w:szCs w:val="32"/>
        </w:rPr>
        <w:t>②</w:t>
      </w:r>
      <w:r>
        <w:rPr>
          <w:rFonts w:hint="eastAsia" w:ascii="仿宋_GB2312" w:hAnsi="仿宋" w:eastAsia="仿宋_GB2312"/>
          <w:color w:val="auto"/>
          <w:sz w:val="32"/>
          <w:szCs w:val="32"/>
        </w:rPr>
        <w:t>对于直接受理的刑事案件进行侦查。</w:t>
      </w:r>
    </w:p>
    <w:p>
      <w:pPr>
        <w:ind w:firstLine="640" w:firstLineChars="200"/>
        <w:rPr>
          <w:rFonts w:ascii="仿宋_GB2312" w:hAnsi="仿宋" w:eastAsia="仿宋_GB2312"/>
          <w:color w:val="auto"/>
          <w:sz w:val="32"/>
          <w:szCs w:val="32"/>
        </w:rPr>
      </w:pPr>
      <w:r>
        <w:rPr>
          <w:rFonts w:hint="eastAsia" w:ascii="仿宋_GB2312" w:hAnsi="Calibri" w:eastAsia="仿宋_GB2312" w:cs="Calibri"/>
          <w:color w:val="auto"/>
          <w:sz w:val="32"/>
          <w:szCs w:val="32"/>
        </w:rPr>
        <w:t>③</w:t>
      </w:r>
      <w:r>
        <w:rPr>
          <w:rFonts w:hint="eastAsia" w:ascii="仿宋_GB2312" w:hAnsi="仿宋" w:eastAsia="仿宋_GB2312"/>
          <w:color w:val="auto"/>
          <w:sz w:val="32"/>
          <w:szCs w:val="32"/>
        </w:rPr>
        <w:t>对于公安机关办理的刑事案件进行审查，决定是否批准逮捕、起诉；对于公安机关的立案活动、侦查活动是否合法实行监督。</w:t>
      </w:r>
    </w:p>
    <w:p>
      <w:pPr>
        <w:ind w:firstLine="640" w:firstLineChars="200"/>
        <w:rPr>
          <w:rFonts w:ascii="Calibri" w:hAnsi="Calibri" w:eastAsia="仿宋_GB2312" w:cs="Calibri"/>
          <w:color w:val="auto"/>
          <w:sz w:val="32"/>
          <w:szCs w:val="32"/>
        </w:rPr>
      </w:pPr>
      <w:r>
        <w:rPr>
          <w:rFonts w:hint="eastAsia" w:ascii="Calibri" w:hAnsi="Calibri" w:eastAsia="仿宋_GB2312" w:cs="Calibri"/>
          <w:color w:val="auto"/>
          <w:sz w:val="32"/>
          <w:szCs w:val="32"/>
        </w:rPr>
        <w:t>④对于刑事案件提起公诉，支持公诉；对于房山区人民法院刑事审判活动是否合法实行监督。</w:t>
      </w:r>
    </w:p>
    <w:p>
      <w:pPr>
        <w:ind w:firstLine="640" w:firstLineChars="200"/>
        <w:rPr>
          <w:rFonts w:ascii="仿宋_GB2312" w:hAnsi="仿宋" w:eastAsia="仿宋_GB2312"/>
          <w:color w:val="auto"/>
          <w:sz w:val="32"/>
          <w:szCs w:val="32"/>
        </w:rPr>
      </w:pPr>
      <w:r>
        <w:rPr>
          <w:rFonts w:hint="eastAsia" w:ascii="Calibri" w:hAnsi="Calibri" w:eastAsia="仿宋_GB2312" w:cs="Calibri"/>
          <w:color w:val="auto"/>
          <w:sz w:val="32"/>
          <w:szCs w:val="32"/>
        </w:rPr>
        <w:t>⑤</w:t>
      </w:r>
      <w:r>
        <w:rPr>
          <w:rFonts w:hint="eastAsia" w:ascii="仿宋_GB2312" w:hAnsi="仿宋" w:eastAsia="仿宋_GB2312"/>
          <w:color w:val="auto"/>
          <w:sz w:val="32"/>
          <w:szCs w:val="32"/>
        </w:rPr>
        <w:t>对于刑事案件判决、裁定的执行和监狱、看守所、劳动改造机关的活动是否合法实行监督。</w:t>
      </w:r>
    </w:p>
    <w:p>
      <w:pPr>
        <w:ind w:firstLine="640" w:firstLineChars="200"/>
        <w:rPr>
          <w:rFonts w:ascii="仿宋_GB2312" w:hAnsi="仿宋" w:eastAsia="仿宋_GB2312"/>
          <w:color w:val="auto"/>
          <w:sz w:val="32"/>
          <w:szCs w:val="32"/>
        </w:rPr>
      </w:pPr>
      <w:r>
        <w:rPr>
          <w:rFonts w:hint="eastAsia" w:ascii="Calibri" w:hAnsi="Calibri" w:eastAsia="仿宋_GB2312" w:cs="Calibri"/>
          <w:color w:val="auto"/>
          <w:sz w:val="32"/>
          <w:szCs w:val="32"/>
        </w:rPr>
        <w:t>⑥</w:t>
      </w:r>
      <w:r>
        <w:rPr>
          <w:rFonts w:hint="eastAsia" w:ascii="仿宋_GB2312" w:hAnsi="仿宋" w:eastAsia="仿宋_GB2312"/>
          <w:color w:val="auto"/>
          <w:sz w:val="32"/>
          <w:szCs w:val="32"/>
        </w:rPr>
        <w:t>对于民事诉讼和行政诉讼是否合法实行监督。</w:t>
      </w:r>
    </w:p>
    <w:p>
      <w:pPr>
        <w:ind w:firstLine="640" w:firstLineChars="200"/>
        <w:rPr>
          <w:rFonts w:ascii="仿宋_GB2312" w:hAnsi="仿宋" w:eastAsia="仿宋_GB2312"/>
          <w:color w:val="auto"/>
          <w:sz w:val="32"/>
          <w:szCs w:val="32"/>
        </w:rPr>
      </w:pPr>
      <w:r>
        <w:rPr>
          <w:rFonts w:hint="eastAsia" w:ascii="Calibri" w:hAnsi="Calibri" w:eastAsia="仿宋_GB2312" w:cs="Calibri"/>
          <w:color w:val="auto"/>
          <w:sz w:val="32"/>
          <w:szCs w:val="32"/>
        </w:rPr>
        <w:t>⑦</w:t>
      </w:r>
      <w:r>
        <w:rPr>
          <w:rFonts w:hint="eastAsia" w:ascii="仿宋_GB2312" w:hAnsi="仿宋" w:eastAsia="仿宋_GB2312"/>
          <w:color w:val="auto"/>
          <w:sz w:val="32"/>
          <w:szCs w:val="32"/>
        </w:rPr>
        <w:t>法律规定的其他职权。</w:t>
      </w:r>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（2）项目主要内容</w:t>
      </w:r>
    </w:p>
    <w:p>
      <w:pPr>
        <w:spacing w:line="64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该项目</w:t>
      </w:r>
      <w:r>
        <w:rPr>
          <w:rFonts w:hint="eastAsia" w:ascii="仿宋_GB2312" w:eastAsia="仿宋_GB2312"/>
          <w:color w:val="auto"/>
          <w:sz w:val="32"/>
          <w:szCs w:val="32"/>
        </w:rPr>
        <w:t>是为保障人民检察院业务工作特定需要所支出的办案（业务）相关支出，包括：办案费、消耗费、会议费、业务租赁费、业务维修费、检察宣传费、教育培训费、奖励费、派驻机构经费和其他业务费等。</w:t>
      </w:r>
    </w:p>
    <w:p>
      <w:pPr>
        <w:spacing w:line="640" w:lineRule="exact"/>
        <w:ind w:firstLine="640" w:firstLineChars="200"/>
        <w:rPr>
          <w:rFonts w:ascii="仿宋" w:hAnsi="仿宋" w:eastAsia="仿宋"/>
          <w:bCs/>
          <w:color w:val="auto"/>
          <w:sz w:val="32"/>
          <w:szCs w:val="32"/>
        </w:rPr>
      </w:pPr>
      <w:r>
        <w:rPr>
          <w:rFonts w:hint="eastAsia" w:ascii="仿宋" w:hAnsi="仿宋" w:eastAsia="仿宋"/>
          <w:bCs/>
          <w:color w:val="auto"/>
          <w:sz w:val="32"/>
          <w:szCs w:val="32"/>
        </w:rPr>
        <w:t>2．项目立项依据及背景。</w:t>
      </w:r>
    </w:p>
    <w:p>
      <w:pPr>
        <w:spacing w:line="640" w:lineRule="exact"/>
        <w:ind w:firstLine="640" w:firstLineChars="200"/>
        <w:rPr>
          <w:rFonts w:ascii="仿宋_GB2312" w:eastAsia="仿宋_GB2312"/>
          <w:color w:val="auto"/>
          <w:sz w:val="32"/>
          <w:szCs w:val="32"/>
        </w:rPr>
      </w:pPr>
      <w:bookmarkStart w:id="13" w:name="_Toc339891247"/>
      <w:bookmarkStart w:id="14" w:name="_Toc339894409"/>
      <w:r>
        <w:rPr>
          <w:rFonts w:hint="eastAsia" w:ascii="仿宋_GB2312" w:eastAsia="仿宋_GB2312"/>
          <w:color w:val="auto"/>
          <w:sz w:val="32"/>
          <w:szCs w:val="32"/>
        </w:rPr>
        <w:t>为充分保障房山区检察院全年侦查监督、公诉、审判监督、执行监督、民事行政监督、公益诉讼、控告申诉、刑事案件侦查等各项工作开展的经费需要，根据《中共中央办公厅、国务院办公厅印发&lt;关于加强政法经费保障工作的意见&gt;的通知》和《财政部关于印发&lt;政法经费分类保障办法（试行）&gt;的通知》（财行〔2009〕209号）、《</w:t>
      </w:r>
      <w:r>
        <w:rPr>
          <w:rFonts w:ascii="仿宋_GB2312" w:eastAsia="仿宋_GB2312"/>
          <w:color w:val="auto"/>
          <w:sz w:val="32"/>
          <w:szCs w:val="32"/>
        </w:rPr>
        <w:t>财政部</w:t>
      </w:r>
      <w:r>
        <w:rPr>
          <w:rFonts w:hint="eastAsia" w:ascii="仿宋_GB2312" w:eastAsia="仿宋_GB2312"/>
          <w:color w:val="auto"/>
          <w:sz w:val="32"/>
          <w:szCs w:val="32"/>
        </w:rPr>
        <w:t>、</w:t>
      </w:r>
      <w:r>
        <w:rPr>
          <w:rFonts w:ascii="仿宋_GB2312" w:eastAsia="仿宋_GB2312"/>
          <w:color w:val="auto"/>
          <w:sz w:val="32"/>
          <w:szCs w:val="32"/>
        </w:rPr>
        <w:t>最高人民检察院</w:t>
      </w:r>
      <w:r>
        <w:rPr>
          <w:rFonts w:hint="eastAsia" w:ascii="仿宋_GB2312" w:eastAsia="仿宋_GB2312"/>
          <w:color w:val="auto"/>
          <w:sz w:val="32"/>
          <w:szCs w:val="32"/>
        </w:rPr>
        <w:t>&lt;</w:t>
      </w:r>
      <w:r>
        <w:rPr>
          <w:rFonts w:ascii="仿宋_GB2312" w:eastAsia="仿宋_GB2312"/>
          <w:color w:val="auto"/>
          <w:sz w:val="32"/>
          <w:szCs w:val="32"/>
        </w:rPr>
        <w:t>人民检察院财务管理办法</w:t>
      </w:r>
      <w:r>
        <w:rPr>
          <w:rFonts w:hint="eastAsia" w:ascii="仿宋_GB2312" w:eastAsia="仿宋_GB2312"/>
          <w:color w:val="auto"/>
          <w:sz w:val="32"/>
          <w:szCs w:val="32"/>
        </w:rPr>
        <w:t>&gt;的通知》规定，办案（业务）经费是为保障检察院业务工作特定需要所支出的经费，参考往年办案业务费支出情况，并结合</w:t>
      </w:r>
      <w:r>
        <w:rPr>
          <w:rFonts w:hint="eastAsia" w:ascii="仿宋_GB2312" w:eastAsia="仿宋_GB2312"/>
          <w:color w:val="auto"/>
          <w:sz w:val="32"/>
          <w:szCs w:val="32"/>
          <w:lang w:eastAsia="zh-CN"/>
        </w:rPr>
        <w:t>2023年</w:t>
      </w:r>
      <w:r>
        <w:rPr>
          <w:rFonts w:hint="eastAsia" w:ascii="仿宋_GB2312" w:eastAsia="仿宋_GB2312"/>
          <w:color w:val="auto"/>
          <w:sz w:val="32"/>
          <w:szCs w:val="32"/>
        </w:rPr>
        <w:t>院重点工作及经费需求，申请</w:t>
      </w:r>
      <w:r>
        <w:rPr>
          <w:rFonts w:hint="eastAsia" w:ascii="仿宋_GB2312" w:eastAsia="仿宋_GB2312"/>
          <w:color w:val="auto"/>
          <w:sz w:val="32"/>
          <w:szCs w:val="32"/>
          <w:lang w:val="en-US" w:eastAsia="zh-CN"/>
        </w:rPr>
        <w:t>该项目经费490</w:t>
      </w:r>
      <w:r>
        <w:rPr>
          <w:rFonts w:hint="eastAsia" w:ascii="仿宋_GB2312" w:eastAsia="仿宋_GB2312"/>
          <w:color w:val="auto"/>
          <w:sz w:val="32"/>
          <w:szCs w:val="32"/>
        </w:rPr>
        <w:t>.00万元。</w:t>
      </w:r>
    </w:p>
    <w:p>
      <w:pPr>
        <w:spacing w:line="640" w:lineRule="exact"/>
        <w:ind w:firstLine="640" w:firstLineChars="200"/>
        <w:rPr>
          <w:rFonts w:ascii="仿宋" w:hAnsi="仿宋" w:eastAsia="仿宋"/>
          <w:bCs/>
          <w:color w:val="auto"/>
          <w:sz w:val="32"/>
          <w:szCs w:val="32"/>
        </w:rPr>
      </w:pPr>
      <w:r>
        <w:rPr>
          <w:rFonts w:hint="eastAsia" w:ascii="仿宋" w:hAnsi="仿宋" w:eastAsia="仿宋"/>
          <w:bCs/>
          <w:color w:val="auto"/>
          <w:sz w:val="32"/>
          <w:szCs w:val="32"/>
        </w:rPr>
        <w:t>3．项目资金情况</w:t>
      </w:r>
      <w:bookmarkEnd w:id="13"/>
      <w:bookmarkEnd w:id="14"/>
      <w:r>
        <w:rPr>
          <w:rFonts w:hint="eastAsia" w:ascii="仿宋" w:hAnsi="仿宋" w:eastAsia="仿宋"/>
          <w:bCs/>
          <w:color w:val="auto"/>
          <w:sz w:val="32"/>
          <w:szCs w:val="32"/>
        </w:rPr>
        <w:t>。</w:t>
      </w:r>
    </w:p>
    <w:p>
      <w:pPr>
        <w:spacing w:line="640" w:lineRule="exact"/>
        <w:ind w:firstLine="640" w:firstLineChars="200"/>
        <w:rPr>
          <w:color w:val="auto"/>
        </w:rPr>
      </w:pPr>
      <w:bookmarkStart w:id="15" w:name="_Toc339894410"/>
      <w:bookmarkStart w:id="16" w:name="_Toc339891248"/>
      <w:r>
        <w:rPr>
          <w:rFonts w:hint="eastAsia" w:ascii="仿宋_GB2312" w:eastAsia="仿宋_GB2312"/>
          <w:color w:val="auto"/>
          <w:sz w:val="32"/>
          <w:szCs w:val="32"/>
          <w:lang w:eastAsia="zh-CN"/>
        </w:rPr>
        <w:t>2023年</w:t>
      </w:r>
      <w:r>
        <w:rPr>
          <w:rFonts w:hint="eastAsia" w:ascii="仿宋_GB2312" w:eastAsia="仿宋_GB2312"/>
          <w:color w:val="auto"/>
          <w:sz w:val="32"/>
          <w:szCs w:val="32"/>
        </w:rPr>
        <w:t>房山区检察院按照需求申请</w:t>
      </w:r>
      <w:r>
        <w:rPr>
          <w:rFonts w:hint="eastAsia" w:ascii="仿宋_GB2312" w:eastAsia="仿宋_GB2312"/>
          <w:color w:val="auto"/>
          <w:sz w:val="32"/>
          <w:szCs w:val="32"/>
          <w:lang w:val="en-US" w:eastAsia="zh-CN"/>
        </w:rPr>
        <w:t>该项目</w:t>
      </w:r>
      <w:r>
        <w:rPr>
          <w:rFonts w:hint="eastAsia" w:ascii="仿宋_GB2312" w:eastAsia="仿宋_GB2312"/>
          <w:color w:val="auto"/>
          <w:sz w:val="32"/>
          <w:szCs w:val="32"/>
        </w:rPr>
        <w:t>预算金额</w:t>
      </w:r>
      <w:r>
        <w:rPr>
          <w:rFonts w:hint="eastAsia" w:ascii="仿宋_GB2312" w:eastAsia="仿宋_GB2312"/>
          <w:color w:val="auto"/>
          <w:sz w:val="32"/>
          <w:szCs w:val="32"/>
          <w:lang w:val="en-US" w:eastAsia="zh-CN"/>
        </w:rPr>
        <w:t>490</w:t>
      </w:r>
      <w:r>
        <w:rPr>
          <w:rFonts w:hint="eastAsia" w:ascii="仿宋_GB2312" w:eastAsia="仿宋_GB2312"/>
          <w:color w:val="auto"/>
          <w:sz w:val="32"/>
          <w:szCs w:val="32"/>
        </w:rPr>
        <w:t>.0</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2023年9月按财政要求核减预算58.60</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截止</w:t>
      </w:r>
      <w:r>
        <w:rPr>
          <w:rFonts w:hint="eastAsia" w:ascii="仿宋_GB2312" w:eastAsia="仿宋_GB2312"/>
          <w:color w:val="auto"/>
          <w:sz w:val="32"/>
          <w:szCs w:val="32"/>
          <w:lang w:eastAsia="zh-CN"/>
        </w:rPr>
        <w:t>2023年</w:t>
      </w:r>
      <w:r>
        <w:rPr>
          <w:rFonts w:hint="eastAsia" w:ascii="仿宋_GB2312" w:eastAsia="仿宋_GB2312"/>
          <w:color w:val="auto"/>
          <w:sz w:val="32"/>
          <w:szCs w:val="32"/>
        </w:rPr>
        <w:t>12月31日实际</w:t>
      </w:r>
      <w:r>
        <w:rPr>
          <w:rFonts w:hint="eastAsia" w:ascii="仿宋_GB2312" w:eastAsia="仿宋_GB2312"/>
          <w:color w:val="auto"/>
          <w:sz w:val="32"/>
          <w:szCs w:val="32"/>
          <w:lang w:val="en-US" w:eastAsia="zh-CN"/>
        </w:rPr>
        <w:t>全年预算金额431.40</w:t>
      </w:r>
      <w:r>
        <w:rPr>
          <w:rFonts w:hint="eastAsia" w:ascii="仿宋_GB2312" w:eastAsia="仿宋_GB2312"/>
          <w:color w:val="auto"/>
          <w:sz w:val="32"/>
          <w:szCs w:val="32"/>
        </w:rPr>
        <w:t>万元</w:t>
      </w:r>
      <w:r>
        <w:rPr>
          <w:rFonts w:hint="eastAsia" w:ascii="仿宋_GB2312" w:eastAsia="仿宋_GB2312"/>
          <w:color w:val="auto"/>
          <w:sz w:val="32"/>
          <w:szCs w:val="32"/>
          <w:lang w:eastAsia="zh-CN"/>
        </w:rPr>
        <w:t>，实</w:t>
      </w:r>
      <w:r>
        <w:rPr>
          <w:rFonts w:hint="eastAsia" w:ascii="仿宋_GB2312" w:hAnsi="仿宋" w:eastAsia="仿宋_GB2312"/>
          <w:color w:val="auto"/>
          <w:sz w:val="32"/>
          <w:szCs w:val="32"/>
        </w:rPr>
        <w:t>际使用</w:t>
      </w:r>
      <w:r>
        <w:rPr>
          <w:rFonts w:hint="eastAsia" w:ascii="仿宋_GB2312" w:eastAsia="仿宋_GB2312"/>
          <w:color w:val="auto"/>
          <w:sz w:val="32"/>
          <w:szCs w:val="32"/>
        </w:rPr>
        <w:t>金额</w:t>
      </w:r>
      <w:r>
        <w:rPr>
          <w:rFonts w:hint="eastAsia" w:ascii="仿宋_GB2312" w:eastAsia="仿宋_GB2312"/>
          <w:color w:val="auto"/>
          <w:sz w:val="32"/>
          <w:szCs w:val="32"/>
          <w:lang w:eastAsia="zh-CN"/>
        </w:rPr>
        <w:t>431.40</w:t>
      </w:r>
      <w:r>
        <w:rPr>
          <w:rFonts w:hint="eastAsia" w:ascii="仿宋_GB2312" w:hAnsi="仿宋" w:eastAsia="仿宋_GB2312"/>
          <w:color w:val="auto"/>
          <w:sz w:val="32"/>
          <w:szCs w:val="32"/>
        </w:rPr>
        <w:t>万元，结余金额0.00万元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30.68</w:t>
      </w:r>
      <w:r>
        <w:rPr>
          <w:rFonts w:hint="eastAsia" w:ascii="仿宋_GB2312" w:eastAsia="仿宋_GB2312"/>
          <w:color w:val="auto"/>
          <w:sz w:val="32"/>
          <w:szCs w:val="32"/>
        </w:rPr>
        <w:t>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于2024年2月上交财政</w:t>
      </w:r>
      <w:r>
        <w:rPr>
          <w:rFonts w:hint="eastAsia" w:ascii="仿宋_GB2312" w:hAnsi="仿宋" w:eastAsia="仿宋_GB2312"/>
          <w:color w:val="auto"/>
          <w:sz w:val="32"/>
          <w:szCs w:val="32"/>
        </w:rPr>
        <w:t>。</w:t>
      </w:r>
      <w:r>
        <w:rPr>
          <w:rFonts w:hint="eastAsia" w:ascii="仿宋_GB2312" w:eastAsia="仿宋_GB2312"/>
          <w:color w:val="auto"/>
          <w:sz w:val="32"/>
          <w:szCs w:val="32"/>
          <w:highlight w:val="none"/>
        </w:rPr>
        <w:t>支出明细：</w:t>
      </w:r>
      <w:r>
        <w:rPr>
          <w:rFonts w:hint="eastAsia" w:ascii="仿宋_GB2312" w:hAnsi="仿宋" w:eastAsia="仿宋_GB2312"/>
          <w:color w:val="auto"/>
          <w:sz w:val="32"/>
          <w:szCs w:val="32"/>
          <w:highlight w:val="none"/>
        </w:rPr>
        <w:t>办案类费用</w:t>
      </w:r>
      <w:r>
        <w:rPr>
          <w:rFonts w:hint="eastAsia" w:ascii="仿宋_GB2312" w:hAnsi="仿宋" w:eastAsia="仿宋_GB2312"/>
          <w:color w:val="auto"/>
          <w:sz w:val="32"/>
          <w:szCs w:val="32"/>
          <w:highlight w:val="none"/>
          <w:lang w:val="en-US" w:eastAsia="zh-CN"/>
        </w:rPr>
        <w:t>80.08</w:t>
      </w:r>
      <w:r>
        <w:rPr>
          <w:rFonts w:ascii="仿宋_GB2312" w:hAnsi="仿宋" w:eastAsia="仿宋_GB2312"/>
          <w:color w:val="auto"/>
          <w:sz w:val="32"/>
          <w:szCs w:val="32"/>
          <w:highlight w:val="none"/>
        </w:rPr>
        <w:t>万元</w:t>
      </w:r>
      <w:r>
        <w:rPr>
          <w:rFonts w:hint="eastAsia" w:ascii="仿宋_GB2312" w:hAnsi="仿宋" w:eastAsia="仿宋_GB2312"/>
          <w:color w:val="auto"/>
          <w:sz w:val="32"/>
          <w:szCs w:val="32"/>
          <w:highlight w:val="none"/>
        </w:rPr>
        <w:t>；培训费用</w:t>
      </w:r>
      <w:r>
        <w:rPr>
          <w:rFonts w:hint="eastAsia" w:ascii="仿宋_GB2312" w:hAnsi="仿宋" w:eastAsia="仿宋_GB2312"/>
          <w:color w:val="auto"/>
          <w:sz w:val="32"/>
          <w:szCs w:val="32"/>
          <w:highlight w:val="none"/>
          <w:lang w:val="en-US" w:eastAsia="zh-CN"/>
        </w:rPr>
        <w:t>26.88</w:t>
      </w:r>
      <w:r>
        <w:rPr>
          <w:rFonts w:hint="eastAsia" w:ascii="仿宋_GB2312" w:hAnsi="仿宋" w:eastAsia="仿宋_GB2312"/>
          <w:color w:val="auto"/>
          <w:sz w:val="32"/>
          <w:szCs w:val="32"/>
          <w:highlight w:val="none"/>
        </w:rPr>
        <w:t>万元；宣传费用</w:t>
      </w:r>
      <w:r>
        <w:rPr>
          <w:rFonts w:hint="eastAsia" w:ascii="仿宋_GB2312" w:hAnsi="仿宋" w:eastAsia="仿宋_GB2312"/>
          <w:color w:val="auto"/>
          <w:sz w:val="32"/>
          <w:szCs w:val="32"/>
          <w:highlight w:val="none"/>
          <w:lang w:val="en-US" w:eastAsia="zh-CN"/>
        </w:rPr>
        <w:t>79.27</w:t>
      </w:r>
      <w:r>
        <w:rPr>
          <w:rFonts w:hint="eastAsia" w:ascii="仿宋_GB2312" w:hAnsi="仿宋" w:eastAsia="仿宋_GB2312"/>
          <w:color w:val="auto"/>
          <w:sz w:val="32"/>
          <w:szCs w:val="32"/>
          <w:highlight w:val="none"/>
        </w:rPr>
        <w:t>万元；其他</w:t>
      </w:r>
      <w:r>
        <w:rPr>
          <w:rFonts w:hint="eastAsia" w:ascii="仿宋_GB2312" w:hAnsi="仿宋" w:eastAsia="仿宋_GB2312"/>
          <w:color w:val="auto"/>
          <w:sz w:val="32"/>
          <w:szCs w:val="32"/>
          <w:highlight w:val="none"/>
          <w:lang w:eastAsia="zh-CN"/>
        </w:rPr>
        <w:t>各项</w:t>
      </w:r>
      <w:r>
        <w:rPr>
          <w:rFonts w:hint="eastAsia" w:ascii="仿宋_GB2312" w:hAnsi="仿宋" w:eastAsia="仿宋_GB2312"/>
          <w:color w:val="auto"/>
          <w:sz w:val="32"/>
          <w:szCs w:val="32"/>
          <w:highlight w:val="none"/>
        </w:rPr>
        <w:t>费用</w:t>
      </w:r>
      <w:r>
        <w:rPr>
          <w:rFonts w:hint="eastAsia" w:ascii="仿宋_GB2312" w:hAnsi="仿宋" w:eastAsia="仿宋_GB2312"/>
          <w:color w:val="auto"/>
          <w:sz w:val="32"/>
          <w:szCs w:val="32"/>
          <w:highlight w:val="none"/>
          <w:lang w:val="en-US" w:eastAsia="zh-CN"/>
        </w:rPr>
        <w:t>245.17</w:t>
      </w:r>
      <w:r>
        <w:rPr>
          <w:rFonts w:hint="eastAsia" w:ascii="仿宋_GB2312" w:hAnsi="仿宋" w:eastAsia="仿宋_GB2312"/>
          <w:color w:val="auto"/>
          <w:sz w:val="32"/>
          <w:szCs w:val="32"/>
          <w:highlight w:val="none"/>
        </w:rPr>
        <w:t>万元。</w:t>
      </w:r>
    </w:p>
    <w:p>
      <w:pPr>
        <w:spacing w:line="600" w:lineRule="exact"/>
        <w:ind w:firstLine="640" w:firstLineChars="200"/>
        <w:outlineLvl w:val="1"/>
        <w:rPr>
          <w:rFonts w:ascii="楷体_GB2312" w:hAnsi="楷体_GB2312" w:eastAsia="楷体_GB2312" w:cs="楷体_GB2312"/>
          <w:color w:val="auto"/>
          <w:sz w:val="32"/>
          <w:szCs w:val="32"/>
        </w:rPr>
      </w:pPr>
      <w:bookmarkStart w:id="17" w:name="_Toc3654"/>
      <w:r>
        <w:rPr>
          <w:rFonts w:hint="eastAsia" w:ascii="楷体_GB2312" w:hAnsi="楷体_GB2312" w:eastAsia="楷体_GB2312" w:cs="楷体_GB2312"/>
          <w:color w:val="auto"/>
          <w:sz w:val="32"/>
          <w:szCs w:val="32"/>
        </w:rPr>
        <w:t>（二）</w:t>
      </w:r>
      <w:bookmarkEnd w:id="15"/>
      <w:bookmarkEnd w:id="16"/>
      <w:r>
        <w:rPr>
          <w:rFonts w:hint="eastAsia" w:ascii="楷体_GB2312" w:hAnsi="楷体_GB2312" w:eastAsia="楷体_GB2312" w:cs="楷体_GB2312"/>
          <w:color w:val="auto"/>
          <w:sz w:val="32"/>
          <w:szCs w:val="32"/>
        </w:rPr>
        <w:t>项目绩效目标。</w:t>
      </w:r>
      <w:bookmarkEnd w:id="17"/>
    </w:p>
    <w:p>
      <w:pPr>
        <w:spacing w:line="640" w:lineRule="exact"/>
        <w:ind w:firstLine="640" w:firstLineChars="200"/>
        <w:rPr>
          <w:rFonts w:ascii="仿宋_GB2312" w:hAnsi="仿宋" w:eastAsia="仿宋_GB2312"/>
          <w:color w:val="auto"/>
          <w:sz w:val="32"/>
          <w:szCs w:val="32"/>
        </w:rPr>
      </w:pPr>
      <w:r>
        <w:rPr>
          <w:rFonts w:ascii="仿宋_GB2312" w:eastAsia="仿宋_GB2312"/>
          <w:color w:val="auto"/>
          <w:sz w:val="32"/>
          <w:szCs w:val="32"/>
        </w:rPr>
        <w:t>1.</w:t>
      </w:r>
      <w:r>
        <w:rPr>
          <w:rFonts w:hint="eastAsia" w:ascii="仿宋_GB2312" w:hAnsi="仿宋" w:eastAsia="仿宋_GB2312"/>
          <w:color w:val="auto"/>
          <w:sz w:val="32"/>
          <w:szCs w:val="32"/>
        </w:rPr>
        <w:t>项目总体目标。</w:t>
      </w:r>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lang w:val="en-US" w:eastAsia="zh-CN"/>
        </w:rPr>
        <w:t>该</w:t>
      </w:r>
      <w:r>
        <w:rPr>
          <w:rFonts w:hint="eastAsia" w:ascii="仿宋_GB2312" w:hAnsi="仿宋" w:eastAsia="仿宋_GB2312"/>
          <w:color w:val="auto"/>
          <w:sz w:val="32"/>
          <w:szCs w:val="32"/>
        </w:rPr>
        <w:t>项目总体绩效目标</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为</w:t>
      </w:r>
      <w:r>
        <w:rPr>
          <w:rFonts w:hint="eastAsia" w:ascii="仿宋_GB2312" w:hAnsi="仿宋" w:eastAsia="仿宋_GB2312"/>
          <w:color w:val="auto"/>
          <w:sz w:val="32"/>
          <w:szCs w:val="32"/>
          <w:lang w:eastAsia="zh-CN"/>
        </w:rPr>
        <w:t>充分保障房山区检察院全年侦查监督、公诉、审判监督、执行监督、民事行政监督、公益诉讼、控告申诉、刑事案件侦查等各项工作开展的经费需要</w:t>
      </w:r>
      <w:r>
        <w:rPr>
          <w:rFonts w:hint="eastAsia" w:ascii="仿宋_GB2312" w:hAnsi="仿宋" w:eastAsia="仿宋_GB2312"/>
          <w:color w:val="auto"/>
          <w:sz w:val="32"/>
          <w:szCs w:val="32"/>
        </w:rPr>
        <w:t>。</w:t>
      </w:r>
    </w:p>
    <w:p>
      <w:pPr>
        <w:spacing w:line="64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w:t>
      </w:r>
      <w:r>
        <w:rPr>
          <w:rFonts w:ascii="仿宋_GB2312" w:eastAsia="仿宋_GB2312"/>
          <w:color w:val="auto"/>
          <w:sz w:val="32"/>
          <w:szCs w:val="32"/>
        </w:rPr>
        <w:t>.</w:t>
      </w:r>
      <w:r>
        <w:rPr>
          <w:rFonts w:hint="eastAsia" w:ascii="仿宋_GB2312" w:eastAsia="仿宋_GB2312"/>
          <w:color w:val="auto"/>
          <w:sz w:val="32"/>
          <w:szCs w:val="32"/>
        </w:rPr>
        <w:t>项目阶段性目标及具体指标。</w:t>
      </w:r>
    </w:p>
    <w:p>
      <w:pPr>
        <w:ind w:firstLine="640" w:firstLineChars="200"/>
        <w:rPr>
          <w:rFonts w:hint="eastAsia" w:ascii="仿宋_GB2312" w:hAnsi="仿宋" w:eastAsia="仿宋_GB2312"/>
          <w:color w:val="auto"/>
          <w:sz w:val="32"/>
          <w:szCs w:val="32"/>
          <w:lang w:eastAsia="zh-CN"/>
        </w:rPr>
      </w:pPr>
      <w:bookmarkStart w:id="18" w:name="_Toc339894411"/>
      <w:bookmarkStart w:id="19" w:name="_Toc339891249"/>
      <w:r>
        <w:rPr>
          <w:rFonts w:hint="eastAsia" w:ascii="仿宋_GB2312" w:hAnsi="仿宋" w:eastAsia="仿宋_GB2312"/>
          <w:color w:val="auto"/>
          <w:sz w:val="32"/>
          <w:szCs w:val="32"/>
        </w:rPr>
        <w:t>房山区检察院结合“十四五”时期检察工作发展规划、</w:t>
      </w:r>
      <w:r>
        <w:rPr>
          <w:rFonts w:hint="eastAsia" w:ascii="仿宋_GB2312" w:hAnsi="仿宋" w:eastAsia="仿宋_GB2312"/>
          <w:color w:val="auto"/>
          <w:sz w:val="32"/>
          <w:szCs w:val="32"/>
          <w:lang w:eastAsia="zh-CN"/>
        </w:rPr>
        <w:t>2023年</w:t>
      </w:r>
      <w:r>
        <w:rPr>
          <w:rFonts w:hint="eastAsia" w:ascii="仿宋_GB2312" w:hAnsi="仿宋" w:eastAsia="仿宋_GB2312"/>
          <w:color w:val="auto"/>
          <w:sz w:val="32"/>
          <w:szCs w:val="32"/>
        </w:rPr>
        <w:t>工作计划，以及院工作职责职能，制定了</w:t>
      </w:r>
      <w:r>
        <w:rPr>
          <w:rFonts w:hint="eastAsia" w:ascii="仿宋_GB2312" w:hAnsi="仿宋" w:eastAsia="仿宋_GB2312"/>
          <w:color w:val="auto"/>
          <w:sz w:val="32"/>
          <w:szCs w:val="32"/>
          <w:lang w:eastAsia="zh-CN"/>
        </w:rPr>
        <w:t>该项目</w:t>
      </w:r>
      <w:r>
        <w:rPr>
          <w:rFonts w:hint="eastAsia" w:ascii="仿宋_GB2312" w:hAnsi="仿宋" w:eastAsia="仿宋_GB2312"/>
          <w:color w:val="auto"/>
          <w:sz w:val="32"/>
          <w:szCs w:val="32"/>
        </w:rPr>
        <w:t>的具体绩效指标</w:t>
      </w:r>
      <w:r>
        <w:rPr>
          <w:rFonts w:hint="eastAsia" w:ascii="仿宋_GB2312" w:hAnsi="仿宋" w:eastAsia="仿宋_GB2312"/>
          <w:color w:val="auto"/>
          <w:sz w:val="32"/>
          <w:szCs w:val="32"/>
          <w:lang w:val="en-US" w:eastAsia="zh-CN"/>
        </w:rPr>
        <w:t>如下</w:t>
      </w:r>
      <w:r>
        <w:rPr>
          <w:rFonts w:hint="eastAsia" w:ascii="仿宋_GB2312" w:hAnsi="仿宋" w:eastAsia="仿宋_GB2312"/>
          <w:color w:val="auto"/>
          <w:sz w:val="32"/>
          <w:szCs w:val="32"/>
        </w:rPr>
        <w:t>：</w:t>
      </w:r>
    </w:p>
    <w:tbl>
      <w:tblPr>
        <w:tblStyle w:val="15"/>
        <w:tblW w:w="86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312"/>
        <w:gridCol w:w="3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0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二级指标</w:t>
            </w:r>
          </w:p>
        </w:tc>
        <w:tc>
          <w:tcPr>
            <w:tcW w:w="3312"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三级指标</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004" w:type="dxa"/>
            <w:vMerge w:val="restart"/>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保障业务部门数量</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2004" w:type="dxa"/>
            <w:vMerge w:val="continue"/>
            <w:noWrap/>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案件受理数</w:t>
            </w:r>
          </w:p>
        </w:tc>
        <w:tc>
          <w:tcPr>
            <w:tcW w:w="33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≥3500件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2004" w:type="dxa"/>
            <w:vMerge w:val="continue"/>
            <w:noWrap/>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公开听证</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≥15次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2004" w:type="dxa"/>
            <w:vMerge w:val="continue"/>
            <w:noWrap/>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差旅</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2004" w:type="dxa"/>
            <w:vMerge w:val="continue"/>
            <w:noWrap/>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法律宣传</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2004" w:type="dxa"/>
            <w:vMerge w:val="continue"/>
            <w:noWrap/>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业务培训</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2004"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受理案件结案率</w:t>
            </w:r>
          </w:p>
        </w:tc>
        <w:tc>
          <w:tcPr>
            <w:tcW w:w="3357" w:type="dxa"/>
            <w:noWrap w:val="0"/>
            <w:vAlign w:val="center"/>
          </w:tcPr>
          <w:p>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20"/>
                <w:szCs w:val="20"/>
                <w:u w:val="none"/>
                <w:lang w:val="en-US" w:eastAsia="zh-CN" w:bidi="ar"/>
              </w:rPr>
              <w:t>≥</w:t>
            </w:r>
            <w:r>
              <w:rPr>
                <w:rFonts w:hint="eastAsia" w:ascii="宋体" w:hAnsi="宋体" w:eastAsia="宋体" w:cs="宋体"/>
                <w:i w:val="0"/>
                <w:iCs w:val="0"/>
                <w:color w:val="auto"/>
                <w:kern w:val="0"/>
                <w:sz w:val="18"/>
                <w:szCs w:val="18"/>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2004" w:type="dxa"/>
            <w:vMerge w:val="continue"/>
            <w:noWrap w:val="0"/>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检察建议采纳率</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20"/>
                <w:szCs w:val="20"/>
                <w:u w:val="none"/>
                <w:lang w:val="en-US" w:eastAsia="zh-CN" w:bidi="ar"/>
              </w:rPr>
              <w:t>≥</w:t>
            </w:r>
            <w:r>
              <w:rPr>
                <w:rFonts w:hint="eastAsia" w:ascii="宋体" w:hAnsi="宋体" w:eastAsia="宋体" w:cs="宋体"/>
                <w:i w:val="0"/>
                <w:iCs w:val="0"/>
                <w:color w:val="auto"/>
                <w:kern w:val="0"/>
                <w:sz w:val="18"/>
                <w:szCs w:val="18"/>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200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预算控制数</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≤490.00万元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2004" w:type="dxa"/>
            <w:vMerge w:val="restart"/>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效益指标</w:t>
            </w: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服务区域经济社会发展</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2004" w:type="dxa"/>
            <w:vMerge w:val="continue"/>
            <w:noWrap w:val="0"/>
            <w:vAlign w:val="center"/>
          </w:tcPr>
          <w:p>
            <w:pPr>
              <w:jc w:val="center"/>
              <w:rPr>
                <w:rFonts w:hint="eastAsia" w:ascii="宋体" w:hAnsi="宋体" w:eastAsia="宋体" w:cs="宋体"/>
                <w:i w:val="0"/>
                <w:iCs w:val="0"/>
                <w:color w:val="auto"/>
                <w:sz w:val="18"/>
                <w:szCs w:val="18"/>
                <w:u w:val="none"/>
              </w:rPr>
            </w:pP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打击犯罪力度</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200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服务对象满意度指标</w:t>
            </w:r>
          </w:p>
        </w:tc>
        <w:tc>
          <w:tcPr>
            <w:tcW w:w="3312"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检察工作报告人大审议支持率</w:t>
            </w:r>
          </w:p>
        </w:tc>
        <w:tc>
          <w:tcPr>
            <w:tcW w:w="3357"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20"/>
                <w:szCs w:val="20"/>
                <w:u w:val="none"/>
                <w:lang w:val="en-US" w:eastAsia="zh-CN" w:bidi="ar"/>
              </w:rPr>
              <w:t>≥</w:t>
            </w:r>
            <w:r>
              <w:rPr>
                <w:rFonts w:hint="eastAsia" w:ascii="宋体" w:hAnsi="宋体" w:eastAsia="宋体" w:cs="宋体"/>
                <w:i w:val="0"/>
                <w:iCs w:val="0"/>
                <w:color w:val="auto"/>
                <w:kern w:val="0"/>
                <w:sz w:val="18"/>
                <w:szCs w:val="18"/>
                <w:u w:val="none"/>
                <w:lang w:val="en-US" w:eastAsia="zh-CN" w:bidi="ar"/>
              </w:rPr>
              <w:t>95%</w:t>
            </w:r>
          </w:p>
        </w:tc>
      </w:tr>
    </w:tbl>
    <w:p>
      <w:pPr>
        <w:spacing w:line="600" w:lineRule="exact"/>
        <w:ind w:firstLine="640" w:firstLineChars="200"/>
        <w:outlineLvl w:val="0"/>
        <w:rPr>
          <w:rFonts w:ascii="黑体" w:hAnsi="黑体" w:eastAsia="黑体" w:cs="黑体"/>
          <w:color w:val="auto"/>
          <w:sz w:val="32"/>
          <w:szCs w:val="32"/>
        </w:rPr>
      </w:pPr>
      <w:bookmarkStart w:id="20" w:name="_Toc19132"/>
      <w:r>
        <w:rPr>
          <w:rFonts w:hint="eastAsia" w:ascii="黑体" w:hAnsi="黑体" w:eastAsia="黑体" w:cs="黑体"/>
          <w:color w:val="auto"/>
          <w:sz w:val="32"/>
          <w:szCs w:val="32"/>
        </w:rPr>
        <w:t>二、</w:t>
      </w:r>
      <w:bookmarkEnd w:id="18"/>
      <w:bookmarkEnd w:id="19"/>
      <w:r>
        <w:rPr>
          <w:rFonts w:hint="eastAsia" w:ascii="黑体" w:hAnsi="黑体" w:eastAsia="黑体" w:cs="黑体"/>
          <w:color w:val="auto"/>
          <w:sz w:val="32"/>
          <w:szCs w:val="32"/>
        </w:rPr>
        <w:t>绩效评价工作开展情况</w:t>
      </w:r>
      <w:bookmarkEnd w:id="20"/>
    </w:p>
    <w:p>
      <w:pPr>
        <w:spacing w:line="600" w:lineRule="exact"/>
        <w:ind w:firstLine="640" w:firstLineChars="200"/>
        <w:outlineLvl w:val="1"/>
        <w:rPr>
          <w:rFonts w:ascii="楷体_GB2312" w:hAnsi="楷体_GB2312" w:eastAsia="楷体_GB2312" w:cs="楷体_GB2312"/>
          <w:color w:val="auto"/>
          <w:sz w:val="32"/>
          <w:szCs w:val="32"/>
        </w:rPr>
      </w:pPr>
      <w:bookmarkStart w:id="21" w:name="_Toc339891250"/>
      <w:bookmarkStart w:id="22" w:name="_Toc339894412"/>
      <w:bookmarkStart w:id="23" w:name="_Toc25628"/>
      <w:r>
        <w:rPr>
          <w:rFonts w:hint="eastAsia" w:ascii="楷体_GB2312" w:hAnsi="楷体_GB2312" w:eastAsia="楷体_GB2312" w:cs="楷体_GB2312"/>
          <w:color w:val="auto"/>
          <w:sz w:val="32"/>
          <w:szCs w:val="32"/>
        </w:rPr>
        <w:t>（一）</w:t>
      </w:r>
      <w:bookmarkEnd w:id="21"/>
      <w:bookmarkEnd w:id="22"/>
      <w:r>
        <w:rPr>
          <w:rFonts w:hint="eastAsia" w:ascii="楷体_GB2312" w:hAnsi="楷体_GB2312" w:eastAsia="楷体_GB2312" w:cs="楷体_GB2312"/>
          <w:color w:val="auto"/>
          <w:sz w:val="32"/>
          <w:szCs w:val="32"/>
        </w:rPr>
        <w:t>绩效评价目的、对象和范围。</w:t>
      </w:r>
      <w:bookmarkEnd w:id="23"/>
    </w:p>
    <w:p>
      <w:pPr>
        <w:spacing w:line="360" w:lineRule="auto"/>
        <w:ind w:firstLine="640"/>
        <w:outlineLvl w:val="1"/>
        <w:rPr>
          <w:rFonts w:ascii="仿宋_GB2312" w:eastAsia="仿宋_GB2312"/>
          <w:color w:val="auto"/>
          <w:sz w:val="32"/>
          <w:szCs w:val="32"/>
        </w:rPr>
      </w:pPr>
      <w:bookmarkStart w:id="24" w:name="_Toc15908"/>
      <w:bookmarkStart w:id="25" w:name="_Toc339894413"/>
      <w:bookmarkStart w:id="26" w:name="_Toc339891251"/>
      <w:r>
        <w:rPr>
          <w:rFonts w:ascii="仿宋_GB2312" w:eastAsia="仿宋_GB2312"/>
          <w:color w:val="auto"/>
          <w:sz w:val="32"/>
          <w:szCs w:val="32"/>
        </w:rPr>
        <w:t>1.</w:t>
      </w:r>
      <w:r>
        <w:rPr>
          <w:rFonts w:hint="eastAsia" w:ascii="仿宋_GB2312" w:eastAsia="仿宋_GB2312"/>
          <w:color w:val="auto"/>
          <w:sz w:val="32"/>
          <w:szCs w:val="32"/>
        </w:rPr>
        <w:t>评价目的</w:t>
      </w:r>
      <w:bookmarkEnd w:id="24"/>
      <w:r>
        <w:rPr>
          <w:rFonts w:hint="eastAsia" w:ascii="仿宋_GB2312" w:eastAsia="仿宋_GB2312"/>
          <w:color w:val="auto"/>
          <w:sz w:val="32"/>
          <w:szCs w:val="32"/>
        </w:rPr>
        <w:t>。</w:t>
      </w:r>
    </w:p>
    <w:p>
      <w:pPr>
        <w:spacing w:line="360" w:lineRule="auto"/>
        <w:ind w:firstLine="640"/>
        <w:rPr>
          <w:rFonts w:ascii="仿宋_GB2312" w:eastAsia="仿宋_GB2312"/>
          <w:color w:val="auto"/>
          <w:sz w:val="32"/>
          <w:szCs w:val="32"/>
        </w:rPr>
      </w:pPr>
      <w:r>
        <w:rPr>
          <w:rFonts w:hint="eastAsia" w:ascii="仿宋_GB2312" w:eastAsia="仿宋_GB2312" w:cs="仿宋_GB2312"/>
          <w:color w:val="auto"/>
          <w:sz w:val="32"/>
          <w:szCs w:val="32"/>
        </w:rPr>
        <w:t>通过绩效评价，衡量和考核房山区检察院使用财政资金的绩效，了解、分析、检验资金使用是否达到预期目标，资金管理是否规范，资金使用是否有效。通过总结经验，分析问题，采取切实措施，进一步改进和加强财政支出项目管理，提高财政资金使用效益。</w:t>
      </w:r>
    </w:p>
    <w:p>
      <w:pPr>
        <w:spacing w:line="520" w:lineRule="exact"/>
        <w:ind w:firstLine="640" w:firstLineChars="200"/>
        <w:outlineLvl w:val="1"/>
        <w:rPr>
          <w:rFonts w:ascii="仿宋_GB2312" w:hAnsi="仿宋_GB2312" w:eastAsia="仿宋_GB2312" w:cs="仿宋_GB2312"/>
          <w:color w:val="auto"/>
          <w:kern w:val="0"/>
          <w:sz w:val="32"/>
          <w:szCs w:val="32"/>
        </w:rPr>
      </w:pPr>
      <w:bookmarkStart w:id="27" w:name="_Toc17981"/>
      <w:bookmarkStart w:id="28" w:name="_Toc15005"/>
      <w:r>
        <w:rPr>
          <w:rFonts w:hint="eastAsia" w:ascii="仿宋_GB2312" w:hAnsi="仿宋_GB2312" w:eastAsia="仿宋_GB2312" w:cs="仿宋_GB2312"/>
          <w:color w:val="auto"/>
          <w:kern w:val="0"/>
          <w:sz w:val="32"/>
          <w:szCs w:val="32"/>
        </w:rPr>
        <w:t>2.绩效评价对象和范围</w:t>
      </w:r>
      <w:bookmarkEnd w:id="27"/>
      <w:bookmarkEnd w:id="28"/>
      <w:r>
        <w:rPr>
          <w:rFonts w:hint="eastAsia" w:ascii="仿宋_GB2312" w:hAnsi="仿宋_GB2312" w:eastAsia="仿宋_GB2312" w:cs="仿宋_GB2312"/>
          <w:color w:val="auto"/>
          <w:kern w:val="0"/>
          <w:sz w:val="32"/>
          <w:szCs w:val="32"/>
        </w:rPr>
        <w:t>。</w:t>
      </w:r>
    </w:p>
    <w:p>
      <w:pPr>
        <w:spacing w:line="360" w:lineRule="auto"/>
        <w:ind w:firstLine="64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按照北京市财政局的要求，对房山区检察院“</w:t>
      </w:r>
      <w:r>
        <w:rPr>
          <w:rFonts w:hint="eastAsia" w:ascii="仿宋_GB2312" w:hAnsi="仿宋_GB2312" w:eastAsia="仿宋_GB2312" w:cs="仿宋_GB2312"/>
          <w:color w:val="auto"/>
          <w:kern w:val="0"/>
          <w:sz w:val="32"/>
          <w:szCs w:val="32"/>
          <w:lang w:eastAsia="zh-CN"/>
        </w:rPr>
        <w:t xml:space="preserve"> 202</w:t>
      </w:r>
      <w:r>
        <w:rPr>
          <w:rFonts w:hint="eastAsia" w:ascii="仿宋_GB2312" w:hAnsi="仿宋_GB2312" w:eastAsia="仿宋_GB2312" w:cs="仿宋_GB2312"/>
          <w:color w:val="auto"/>
          <w:kern w:val="0"/>
          <w:sz w:val="32"/>
          <w:szCs w:val="32"/>
          <w:lang w:val="en-US" w:eastAsia="zh-CN"/>
        </w:rPr>
        <w:t>3</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检察业务费</w:t>
      </w:r>
      <w:r>
        <w:rPr>
          <w:rFonts w:hint="eastAsia" w:ascii="仿宋_GB2312" w:hAnsi="仿宋_GB2312" w:eastAsia="仿宋_GB2312" w:cs="仿宋_GB2312"/>
          <w:color w:val="auto"/>
          <w:kern w:val="0"/>
          <w:sz w:val="32"/>
          <w:szCs w:val="32"/>
        </w:rPr>
        <w:t>”项目进行绩效评价。</w:t>
      </w:r>
    </w:p>
    <w:p>
      <w:pPr>
        <w:spacing w:line="600" w:lineRule="exact"/>
        <w:ind w:firstLine="640" w:firstLineChars="200"/>
        <w:outlineLvl w:val="1"/>
        <w:rPr>
          <w:rFonts w:ascii="楷体_GB2312" w:hAnsi="楷体_GB2312" w:eastAsia="楷体_GB2312" w:cs="楷体_GB2312"/>
          <w:color w:val="auto"/>
          <w:sz w:val="32"/>
          <w:szCs w:val="32"/>
        </w:rPr>
      </w:pPr>
      <w:bookmarkStart w:id="29" w:name="_Toc4433"/>
      <w:r>
        <w:rPr>
          <w:rFonts w:hint="eastAsia" w:ascii="楷体_GB2312" w:hAnsi="楷体_GB2312" w:eastAsia="楷体_GB2312" w:cs="楷体_GB2312"/>
          <w:color w:val="auto"/>
          <w:sz w:val="32"/>
          <w:szCs w:val="32"/>
        </w:rPr>
        <w:t>（二）绩效评价原则、评价指标体系（附表说明）、评价方法、评价标准等。</w:t>
      </w:r>
      <w:bookmarkEnd w:id="29"/>
    </w:p>
    <w:p>
      <w:pPr>
        <w:spacing w:line="360" w:lineRule="auto"/>
        <w:ind w:firstLine="640"/>
        <w:rPr>
          <w:rFonts w:ascii="仿宋_GB2312" w:eastAsia="仿宋_GB2312" w:cs="仿宋_GB2312"/>
          <w:color w:val="auto"/>
          <w:sz w:val="32"/>
          <w:szCs w:val="32"/>
        </w:rPr>
      </w:pPr>
      <w:r>
        <w:rPr>
          <w:rFonts w:hint="eastAsia" w:ascii="仿宋_GB2312" w:eastAsia="仿宋_GB2312" w:cs="仿宋_GB2312"/>
          <w:color w:val="auto"/>
          <w:sz w:val="32"/>
          <w:szCs w:val="32"/>
        </w:rPr>
        <w:t>1.评价原则和方法。</w:t>
      </w:r>
    </w:p>
    <w:p>
      <w:pPr>
        <w:spacing w:line="360" w:lineRule="auto"/>
        <w:ind w:firstLine="640"/>
        <w:rPr>
          <w:rFonts w:ascii="仿宋_GB2312" w:eastAsia="仿宋_GB2312"/>
          <w:color w:val="auto"/>
          <w:sz w:val="32"/>
          <w:szCs w:val="32"/>
        </w:rPr>
      </w:pPr>
      <w:r>
        <w:rPr>
          <w:rFonts w:hint="eastAsia" w:ascii="仿宋_GB2312" w:eastAsia="仿宋_GB2312"/>
          <w:color w:val="auto"/>
          <w:sz w:val="32"/>
          <w:szCs w:val="32"/>
        </w:rPr>
        <w:t>本次评价工作遵循“客观、公正、科学、规范”的原则，采用对比、座谈、现场勘查、问卷调查、统计分析、专家评议等方法，评价工作组结合项目特点，主要采用比较法、专家评议法等开展具体工作，对项目预期目标与实施效果进行定性和定量分析。</w:t>
      </w:r>
    </w:p>
    <w:p>
      <w:pPr>
        <w:spacing w:line="360" w:lineRule="auto"/>
        <w:ind w:firstLine="640"/>
        <w:rPr>
          <w:rFonts w:ascii="仿宋_GB2312" w:eastAsia="仿宋_GB2312" w:cs="仿宋_GB2312"/>
          <w:color w:val="auto"/>
          <w:sz w:val="32"/>
          <w:szCs w:val="32"/>
        </w:rPr>
      </w:pPr>
      <w:r>
        <w:rPr>
          <w:rFonts w:hint="eastAsia" w:ascii="仿宋_GB2312" w:eastAsia="仿宋_GB2312" w:cs="仿宋_GB2312"/>
          <w:color w:val="auto"/>
          <w:sz w:val="32"/>
          <w:szCs w:val="32"/>
        </w:rPr>
        <w:t>2</w:t>
      </w:r>
      <w:r>
        <w:rPr>
          <w:rFonts w:ascii="仿宋_GB2312" w:eastAsia="仿宋_GB2312" w:cs="仿宋_GB2312"/>
          <w:color w:val="auto"/>
          <w:sz w:val="32"/>
          <w:szCs w:val="32"/>
        </w:rPr>
        <w:t>.</w:t>
      </w:r>
      <w:r>
        <w:rPr>
          <w:rFonts w:hint="eastAsia" w:ascii="仿宋_GB2312" w:hAnsi="仿宋_GB2312" w:eastAsia="仿宋_GB2312" w:cs="仿宋_GB2312"/>
          <w:color w:val="auto"/>
          <w:kern w:val="0"/>
          <w:sz w:val="32"/>
          <w:szCs w:val="32"/>
        </w:rPr>
        <w:t>评价指标体系和评价标准。</w:t>
      </w:r>
    </w:p>
    <w:p>
      <w:pPr>
        <w:spacing w:line="360" w:lineRule="auto"/>
        <w:ind w:firstLine="640"/>
        <w:rPr>
          <w:rFonts w:ascii="仿宋_GB2312" w:eastAsia="仿宋_GB2312"/>
          <w:color w:val="auto"/>
          <w:sz w:val="32"/>
          <w:szCs w:val="32"/>
        </w:rPr>
      </w:pPr>
      <w:r>
        <w:rPr>
          <w:rFonts w:hint="eastAsia" w:ascii="仿宋_GB2312" w:eastAsia="仿宋_GB2312"/>
          <w:color w:val="auto"/>
          <w:sz w:val="32"/>
          <w:szCs w:val="32"/>
        </w:rPr>
        <w:t>绩效评价工作组针对该项目的实际情况，在仔细审阅项目负责人提交的评价资料的基础上，本着遵循“相关性、重要性、可比性和系统性”原则，参照“北京市财政支出项目绩效评价指标体系”，会同专家组科学、客观的编制了该项目的指标体系初稿，形成了符合该项目资金特点的评价指标体系，明确了评价标准、细化了评价指标。围绕项目决策、项目过程、项目产出及项目效益，制定了</w:t>
      </w:r>
      <w:r>
        <w:rPr>
          <w:rFonts w:hint="eastAsia" w:ascii="仿宋_GB2312" w:eastAsia="仿宋_GB2312"/>
          <w:color w:val="auto"/>
          <w:sz w:val="32"/>
          <w:szCs w:val="32"/>
          <w:lang w:eastAsia="zh-CN"/>
        </w:rPr>
        <w:t>该项目</w:t>
      </w:r>
      <w:r>
        <w:rPr>
          <w:rFonts w:hint="eastAsia" w:ascii="仿宋_GB2312" w:eastAsia="仿宋_GB2312"/>
          <w:color w:val="auto"/>
          <w:sz w:val="32"/>
          <w:szCs w:val="32"/>
        </w:rPr>
        <w:t>绩效评价指标体系，指标权重及具体内容见附件。</w:t>
      </w:r>
    </w:p>
    <w:bookmarkEnd w:id="25"/>
    <w:bookmarkEnd w:id="26"/>
    <w:p>
      <w:pPr>
        <w:spacing w:line="600" w:lineRule="exact"/>
        <w:ind w:firstLine="640" w:firstLineChars="200"/>
        <w:outlineLvl w:val="1"/>
        <w:rPr>
          <w:rFonts w:ascii="楷体_GB2312" w:hAnsi="楷体_GB2312" w:eastAsia="楷体_GB2312" w:cs="楷体_GB2312"/>
          <w:color w:val="auto"/>
          <w:sz w:val="32"/>
          <w:szCs w:val="32"/>
        </w:rPr>
      </w:pPr>
      <w:bookmarkStart w:id="30" w:name="_Toc21549"/>
      <w:bookmarkStart w:id="31" w:name="_Toc339891252"/>
      <w:bookmarkStart w:id="32" w:name="_Toc339894414"/>
      <w:r>
        <w:rPr>
          <w:rFonts w:hint="eastAsia" w:ascii="楷体_GB2312" w:hAnsi="楷体_GB2312" w:eastAsia="楷体_GB2312" w:cs="楷体_GB2312"/>
          <w:color w:val="auto"/>
          <w:sz w:val="32"/>
          <w:szCs w:val="32"/>
        </w:rPr>
        <w:t>（三）绩效评价工作过程。</w:t>
      </w:r>
      <w:bookmarkEnd w:id="30"/>
    </w:p>
    <w:p>
      <w:pPr>
        <w:spacing w:line="360" w:lineRule="auto"/>
        <w:ind w:firstLine="640"/>
        <w:rPr>
          <w:rFonts w:ascii="仿宋_GB2312" w:eastAsia="仿宋_GB2312"/>
          <w:color w:val="auto"/>
          <w:sz w:val="32"/>
          <w:szCs w:val="32"/>
        </w:rPr>
      </w:pPr>
      <w:bookmarkStart w:id="33" w:name="_Toc5906"/>
      <w:r>
        <w:rPr>
          <w:rFonts w:hint="eastAsia" w:ascii="仿宋_GB2312" w:eastAsia="仿宋_GB2312"/>
          <w:color w:val="auto"/>
          <w:sz w:val="32"/>
          <w:szCs w:val="32"/>
        </w:rPr>
        <w:t>为确保绩效评价工作的客观公正，评价工作组严格按照绩效评价工作程序组织实施绩效评价工作，绩效评价工作程序主要分为评价准备、评价实施、评价总结三个阶段。具体实施情况如下：</w:t>
      </w:r>
      <w:bookmarkEnd w:id="33"/>
    </w:p>
    <w:p>
      <w:pPr>
        <w:spacing w:line="360" w:lineRule="auto"/>
        <w:ind w:firstLine="64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前期准备情况。</w:t>
      </w:r>
    </w:p>
    <w:p>
      <w:pPr>
        <w:spacing w:line="360" w:lineRule="auto"/>
        <w:ind w:firstLine="640"/>
        <w:rPr>
          <w:rFonts w:ascii="仿宋_GB2312" w:eastAsia="仿宋_GB2312" w:cs="仿宋_GB2312"/>
          <w:color w:val="auto"/>
          <w:sz w:val="32"/>
          <w:szCs w:val="32"/>
        </w:rPr>
      </w:pPr>
      <w:r>
        <w:rPr>
          <w:rFonts w:hint="eastAsia" w:eastAsia="仿宋_GB2312"/>
          <w:color w:val="auto"/>
          <w:sz w:val="32"/>
          <w:szCs w:val="32"/>
        </w:rPr>
        <w:t>根据《</w:t>
      </w:r>
      <w:r>
        <w:rPr>
          <w:rFonts w:hint="eastAsia" w:eastAsia="仿宋_GB2312"/>
          <w:color w:val="auto"/>
          <w:sz w:val="32"/>
          <w:szCs w:val="32"/>
          <w:lang w:eastAsia="zh-CN"/>
        </w:rPr>
        <w:t>中共北京市委</w:t>
      </w:r>
      <w:r>
        <w:rPr>
          <w:rFonts w:hint="eastAsia" w:eastAsia="仿宋_GB2312"/>
          <w:color w:val="auto"/>
          <w:sz w:val="32"/>
          <w:szCs w:val="32"/>
          <w:lang w:val="en-US" w:eastAsia="zh-CN"/>
        </w:rPr>
        <w:t xml:space="preserve"> 北京市人民政府 关于全面实施预算绩效管理的实施意见</w:t>
      </w:r>
      <w:r>
        <w:rPr>
          <w:rFonts w:hint="eastAsia" w:eastAsia="仿宋_GB2312"/>
          <w:color w:val="auto"/>
          <w:sz w:val="32"/>
          <w:szCs w:val="32"/>
        </w:rPr>
        <w:t>》《北京市</w:t>
      </w:r>
      <w:r>
        <w:rPr>
          <w:rFonts w:hint="eastAsia" w:eastAsia="仿宋_GB2312"/>
          <w:color w:val="auto"/>
          <w:sz w:val="32"/>
          <w:szCs w:val="32"/>
          <w:lang w:eastAsia="zh-CN"/>
        </w:rPr>
        <w:t>项目</w:t>
      </w:r>
      <w:r>
        <w:rPr>
          <w:rFonts w:hint="eastAsia" w:eastAsia="仿宋_GB2312"/>
          <w:color w:val="auto"/>
          <w:sz w:val="32"/>
          <w:szCs w:val="32"/>
        </w:rPr>
        <w:t>支出绩效评价管理办法》《北京市财政局</w:t>
      </w:r>
      <w:r>
        <w:rPr>
          <w:rFonts w:hint="eastAsia" w:eastAsia="仿宋_GB2312"/>
          <w:color w:val="auto"/>
          <w:sz w:val="32"/>
          <w:szCs w:val="32"/>
          <w:lang w:val="en-US" w:eastAsia="zh-CN"/>
        </w:rPr>
        <w:t xml:space="preserve"> </w:t>
      </w:r>
      <w:r>
        <w:rPr>
          <w:rFonts w:hint="eastAsia" w:eastAsia="仿宋_GB2312"/>
          <w:color w:val="auto"/>
          <w:sz w:val="32"/>
          <w:szCs w:val="32"/>
        </w:rPr>
        <w:t>关于开展202</w:t>
      </w:r>
      <w:r>
        <w:rPr>
          <w:rFonts w:hint="eastAsia" w:eastAsia="仿宋_GB2312"/>
          <w:color w:val="auto"/>
          <w:sz w:val="32"/>
          <w:szCs w:val="32"/>
          <w:lang w:val="en-US" w:eastAsia="zh-CN"/>
        </w:rPr>
        <w:t>4</w:t>
      </w:r>
      <w:r>
        <w:rPr>
          <w:rFonts w:hint="eastAsia" w:eastAsia="仿宋_GB2312"/>
          <w:color w:val="auto"/>
          <w:sz w:val="32"/>
          <w:szCs w:val="32"/>
        </w:rPr>
        <w:t>年预算绩效管理</w:t>
      </w:r>
      <w:r>
        <w:rPr>
          <w:rFonts w:hint="eastAsia" w:eastAsia="仿宋_GB2312"/>
          <w:color w:val="auto"/>
          <w:sz w:val="32"/>
          <w:szCs w:val="32"/>
          <w:lang w:eastAsia="zh-CN"/>
        </w:rPr>
        <w:t>相关</w:t>
      </w:r>
      <w:r>
        <w:rPr>
          <w:rFonts w:hint="eastAsia" w:eastAsia="仿宋_GB2312"/>
          <w:color w:val="auto"/>
          <w:sz w:val="32"/>
          <w:szCs w:val="32"/>
        </w:rPr>
        <w:t>工作的</w:t>
      </w:r>
      <w:r>
        <w:rPr>
          <w:rFonts w:hint="eastAsia" w:eastAsia="仿宋_GB2312"/>
          <w:color w:val="auto"/>
          <w:sz w:val="32"/>
          <w:szCs w:val="32"/>
          <w:lang w:val="en-US" w:eastAsia="zh-CN"/>
        </w:rPr>
        <w:t>函</w:t>
      </w:r>
      <w:r>
        <w:rPr>
          <w:rFonts w:hint="eastAsia" w:eastAsia="仿宋_GB2312"/>
          <w:color w:val="auto"/>
          <w:sz w:val="32"/>
          <w:szCs w:val="32"/>
        </w:rPr>
        <w:t>》等文件规定，房山区检察院和参与评价的中介机构共同组成绩效评价工作组，对绩效评价工作任务进行了明确分工。遴选专家，组建评价专家组。绩效评价工作组依据客观、公正的原则，结合项目特点，遴选2名管理专家、1名业务专家、1名财政专家、1名财务专家，组建评价专家组，并做好专家培训工作</w:t>
      </w:r>
      <w:r>
        <w:rPr>
          <w:rFonts w:hint="eastAsia" w:ascii="仿宋_GB2312" w:eastAsia="仿宋_GB2312" w:cs="仿宋_GB2312"/>
          <w:color w:val="auto"/>
          <w:sz w:val="32"/>
          <w:szCs w:val="32"/>
        </w:rPr>
        <w:t>。</w:t>
      </w:r>
    </w:p>
    <w:p>
      <w:pPr>
        <w:spacing w:line="360" w:lineRule="auto"/>
        <w:ind w:firstLine="64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现场核查情况。</w:t>
      </w:r>
    </w:p>
    <w:p>
      <w:pPr>
        <w:spacing w:line="360" w:lineRule="auto"/>
        <w:ind w:firstLine="640"/>
        <w:rPr>
          <w:rFonts w:ascii="仿宋_GB2312" w:eastAsia="仿宋_GB2312" w:cs="仿宋_GB2312"/>
          <w:color w:val="auto"/>
          <w:sz w:val="32"/>
          <w:szCs w:val="32"/>
        </w:rPr>
      </w:pPr>
      <w:r>
        <w:rPr>
          <w:rFonts w:hint="eastAsia" w:ascii="仿宋_GB2312" w:eastAsia="仿宋_GB2312" w:cs="仿宋_GB2312"/>
          <w:color w:val="auto"/>
          <w:sz w:val="32"/>
          <w:szCs w:val="32"/>
        </w:rPr>
        <w:t>根据绩效评价工作组工作安排到房山区检察院进行实地调研，进一步了解该项目的实际情况。在实地调研过程中注意把控财政部门对预算资金管理要求，关注绩效评价过程中需要注意的问题。</w:t>
      </w:r>
    </w:p>
    <w:p>
      <w:pPr>
        <w:spacing w:line="360" w:lineRule="auto"/>
        <w:ind w:firstLine="640"/>
        <w:rPr>
          <w:rFonts w:eastAsia="仿宋_GB2312"/>
          <w:color w:val="auto"/>
          <w:sz w:val="32"/>
          <w:szCs w:val="32"/>
        </w:rPr>
      </w:pPr>
      <w:r>
        <w:rPr>
          <w:rFonts w:ascii="仿宋_GB2312" w:eastAsia="仿宋_GB2312"/>
          <w:color w:val="auto"/>
          <w:sz w:val="32"/>
          <w:szCs w:val="32"/>
        </w:rPr>
        <w:t>3.</w:t>
      </w:r>
      <w:r>
        <w:rPr>
          <w:rFonts w:hint="eastAsia" w:eastAsia="仿宋_GB2312"/>
          <w:color w:val="auto"/>
          <w:sz w:val="32"/>
          <w:szCs w:val="32"/>
        </w:rPr>
        <w:t>资料信息汇总。</w:t>
      </w:r>
    </w:p>
    <w:p>
      <w:pPr>
        <w:spacing w:line="360" w:lineRule="auto"/>
        <w:ind w:firstLine="640"/>
        <w:rPr>
          <w:rFonts w:eastAsia="仿宋_GB2312"/>
          <w:color w:val="auto"/>
          <w:sz w:val="32"/>
          <w:szCs w:val="32"/>
        </w:rPr>
      </w:pPr>
      <w:r>
        <w:rPr>
          <w:rFonts w:hint="eastAsia" w:ascii="仿宋_GB2312" w:hAnsi="仿宋" w:eastAsia="仿宋_GB2312"/>
          <w:color w:val="auto"/>
          <w:sz w:val="32"/>
          <w:szCs w:val="32"/>
        </w:rPr>
        <w:t>绩效</w:t>
      </w:r>
      <w:r>
        <w:rPr>
          <w:rFonts w:hint="eastAsia" w:eastAsia="仿宋_GB2312"/>
          <w:color w:val="auto"/>
          <w:sz w:val="32"/>
          <w:szCs w:val="32"/>
        </w:rPr>
        <w:t>评价工作组在充分调</w:t>
      </w:r>
      <w:r>
        <w:rPr>
          <w:rFonts w:hint="eastAsia" w:ascii="仿宋_GB2312" w:eastAsia="仿宋_GB2312"/>
          <w:color w:val="auto"/>
          <w:sz w:val="32"/>
          <w:szCs w:val="32"/>
        </w:rPr>
        <w:t>研的基础上，对资料进行逐一核实，由项目相关各方确认后，按照指标体系内容和评价重点对资料进行分类整理，形成专家资料</w:t>
      </w:r>
      <w:r>
        <w:rPr>
          <w:rFonts w:hint="eastAsia" w:eastAsia="仿宋_GB2312"/>
          <w:color w:val="auto"/>
          <w:sz w:val="32"/>
          <w:szCs w:val="32"/>
        </w:rPr>
        <w:t>手册，供专家审阅评议。</w:t>
      </w:r>
    </w:p>
    <w:p>
      <w:pPr>
        <w:spacing w:line="360" w:lineRule="auto"/>
        <w:ind w:firstLine="640"/>
        <w:rPr>
          <w:rFonts w:eastAsia="仿宋_GB2312"/>
          <w:color w:val="auto"/>
          <w:sz w:val="32"/>
          <w:szCs w:val="32"/>
        </w:rPr>
      </w:pPr>
      <w:r>
        <w:rPr>
          <w:rFonts w:ascii="仿宋_GB2312" w:eastAsia="仿宋_GB2312"/>
          <w:color w:val="auto"/>
          <w:sz w:val="32"/>
          <w:szCs w:val="32"/>
        </w:rPr>
        <w:t>4.</w:t>
      </w:r>
      <w:r>
        <w:rPr>
          <w:rFonts w:hint="eastAsia" w:eastAsia="仿宋_GB2312"/>
          <w:color w:val="auto"/>
          <w:sz w:val="32"/>
          <w:szCs w:val="32"/>
        </w:rPr>
        <w:t>专家评价。</w:t>
      </w:r>
    </w:p>
    <w:p>
      <w:pPr>
        <w:spacing w:line="360" w:lineRule="auto"/>
        <w:ind w:firstLine="640"/>
        <w:rPr>
          <w:rFonts w:eastAsia="仿宋_GB2312"/>
          <w:color w:val="auto"/>
          <w:sz w:val="32"/>
          <w:szCs w:val="32"/>
        </w:rPr>
      </w:pPr>
      <w:r>
        <w:rPr>
          <w:rFonts w:hint="eastAsia" w:eastAsia="仿宋_GB2312"/>
          <w:color w:val="auto"/>
          <w:sz w:val="32"/>
          <w:szCs w:val="32"/>
        </w:rPr>
        <w:t>绩效评价工作组于202</w:t>
      </w:r>
      <w:r>
        <w:rPr>
          <w:rFonts w:hint="eastAsia" w:eastAsia="仿宋_GB2312"/>
          <w:color w:val="auto"/>
          <w:sz w:val="32"/>
          <w:szCs w:val="32"/>
          <w:lang w:val="en-US" w:eastAsia="zh-CN"/>
        </w:rPr>
        <w:t>4</w:t>
      </w:r>
      <w:r>
        <w:rPr>
          <w:rFonts w:hint="eastAsia" w:eastAsia="仿宋_GB2312"/>
          <w:color w:val="auto"/>
          <w:sz w:val="32"/>
          <w:szCs w:val="32"/>
        </w:rPr>
        <w:t>年5月</w:t>
      </w:r>
      <w:r>
        <w:rPr>
          <w:rFonts w:hint="eastAsia" w:eastAsia="仿宋_GB2312"/>
          <w:color w:val="auto"/>
          <w:sz w:val="32"/>
          <w:szCs w:val="32"/>
          <w:lang w:val="en-US" w:eastAsia="zh-CN"/>
        </w:rPr>
        <w:t>17</w:t>
      </w:r>
      <w:r>
        <w:rPr>
          <w:rFonts w:hint="eastAsia" w:eastAsia="仿宋_GB2312"/>
          <w:color w:val="auto"/>
          <w:sz w:val="32"/>
          <w:szCs w:val="32"/>
        </w:rPr>
        <w:t>日组织召开正式评价会。专家依据项目执行情况和绩效评价指标体系，对</w:t>
      </w:r>
      <w:r>
        <w:rPr>
          <w:rFonts w:hint="eastAsia" w:eastAsia="仿宋_GB2312"/>
          <w:color w:val="auto"/>
          <w:sz w:val="32"/>
          <w:szCs w:val="32"/>
          <w:lang w:eastAsia="zh-CN"/>
        </w:rPr>
        <w:t>该项目</w:t>
      </w:r>
      <w:r>
        <w:rPr>
          <w:rFonts w:hint="eastAsia" w:eastAsia="仿宋_GB2312"/>
          <w:color w:val="auto"/>
          <w:sz w:val="32"/>
          <w:szCs w:val="32"/>
        </w:rPr>
        <w:t>的决策、过程、产出和效益等方面进行评价和打分，出具个人评价意见；最终由专家评价工作组讨论形成整体评价结论、意见和建议。</w:t>
      </w:r>
    </w:p>
    <w:p>
      <w:pPr>
        <w:spacing w:line="360" w:lineRule="auto"/>
        <w:ind w:firstLine="64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评价报告。</w:t>
      </w:r>
    </w:p>
    <w:p>
      <w:pPr>
        <w:spacing w:line="360" w:lineRule="auto"/>
        <w:ind w:firstLine="640"/>
        <w:rPr>
          <w:rFonts w:eastAsia="仿宋_GB2312"/>
          <w:color w:val="auto"/>
          <w:sz w:val="32"/>
          <w:szCs w:val="32"/>
        </w:rPr>
      </w:pPr>
      <w:r>
        <w:rPr>
          <w:rFonts w:hint="eastAsia" w:eastAsia="仿宋_GB2312"/>
          <w:color w:val="auto"/>
          <w:sz w:val="32"/>
          <w:szCs w:val="32"/>
        </w:rPr>
        <w:t>绩效评价工作组根据专家讨论意见和评价结果，完成绩效评价报告初稿的撰写工作。报告初稿报经房山区检察院审核，并与</w:t>
      </w:r>
      <w:r>
        <w:rPr>
          <w:rFonts w:hint="eastAsia" w:ascii="仿宋_GB2312" w:eastAsia="仿宋_GB2312"/>
          <w:color w:val="auto"/>
          <w:sz w:val="32"/>
          <w:szCs w:val="32"/>
        </w:rPr>
        <w:t>房山区检察院</w:t>
      </w:r>
      <w:r>
        <w:rPr>
          <w:rFonts w:hint="eastAsia" w:eastAsia="仿宋_GB2312"/>
          <w:color w:val="auto"/>
          <w:sz w:val="32"/>
          <w:szCs w:val="32"/>
        </w:rPr>
        <w:t>沟通反馈后，形成评价报告终稿。</w:t>
      </w:r>
    </w:p>
    <w:p>
      <w:pPr>
        <w:spacing w:line="600" w:lineRule="exact"/>
        <w:ind w:firstLine="640" w:firstLineChars="200"/>
        <w:outlineLvl w:val="0"/>
        <w:rPr>
          <w:rFonts w:ascii="黑体" w:hAnsi="黑体" w:eastAsia="黑体" w:cs="黑体"/>
          <w:color w:val="auto"/>
          <w:sz w:val="32"/>
          <w:szCs w:val="32"/>
        </w:rPr>
      </w:pPr>
      <w:bookmarkStart w:id="34" w:name="_Toc29893"/>
      <w:r>
        <w:rPr>
          <w:rFonts w:hint="eastAsia" w:ascii="黑体" w:hAnsi="黑体" w:eastAsia="黑体" w:cs="黑体"/>
          <w:color w:val="auto"/>
          <w:sz w:val="32"/>
          <w:szCs w:val="32"/>
        </w:rPr>
        <w:t>三、综合评价情况及评价结论（附相关评分表）</w:t>
      </w:r>
      <w:bookmarkEnd w:id="34"/>
    </w:p>
    <w:p>
      <w:pPr>
        <w:pStyle w:val="7"/>
        <w:spacing w:after="0" w:line="360" w:lineRule="auto"/>
        <w:ind w:left="0" w:leftChars="0" w:firstLine="640" w:firstLineChars="200"/>
        <w:rPr>
          <w:rFonts w:ascii="仿宋_GB2312" w:eastAsia="仿宋_GB2312"/>
          <w:color w:val="auto"/>
          <w:sz w:val="32"/>
          <w:szCs w:val="32"/>
          <w:highlight w:val="none"/>
        </w:rPr>
      </w:pPr>
      <w:r>
        <w:rPr>
          <w:rFonts w:hint="eastAsia" w:ascii="仿宋_GB2312" w:eastAsia="仿宋_GB2312" w:cs="仿宋_GB2312"/>
          <w:color w:val="auto"/>
          <w:sz w:val="32"/>
          <w:szCs w:val="32"/>
          <w:highlight w:val="none"/>
        </w:rPr>
        <w:t>经专家及绩效评价工作组评议，该项目</w:t>
      </w:r>
      <w:r>
        <w:rPr>
          <w:rFonts w:hint="eastAsia" w:ascii="仿宋_GB2312" w:eastAsia="仿宋_GB2312"/>
          <w:bCs/>
          <w:color w:val="auto"/>
          <w:kern w:val="44"/>
          <w:sz w:val="32"/>
          <w:szCs w:val="32"/>
          <w:highlight w:val="none"/>
        </w:rPr>
        <w:t>绩效评价综合得</w:t>
      </w:r>
      <w:r>
        <w:rPr>
          <w:rFonts w:hint="eastAsia" w:ascii="仿宋_GB2312" w:eastAsia="仿宋_GB2312" w:cs="仿宋_GB2312"/>
          <w:color w:val="auto"/>
          <w:sz w:val="32"/>
          <w:szCs w:val="32"/>
          <w:highlight w:val="none"/>
        </w:rPr>
        <w:t>分</w:t>
      </w:r>
      <w:r>
        <w:rPr>
          <w:rFonts w:hint="eastAsia" w:ascii="仿宋_GB2312" w:eastAsia="仿宋_GB2312" w:cs="仿宋_GB2312"/>
          <w:color w:val="auto"/>
          <w:sz w:val="32"/>
          <w:szCs w:val="32"/>
          <w:highlight w:val="none"/>
          <w:lang w:val="en-US" w:eastAsia="zh-CN"/>
        </w:rPr>
        <w:t>90.02</w:t>
      </w:r>
      <w:r>
        <w:rPr>
          <w:rFonts w:hint="eastAsia" w:ascii="仿宋_GB2312" w:eastAsia="仿宋_GB2312" w:cs="仿宋_GB2312"/>
          <w:color w:val="auto"/>
          <w:sz w:val="32"/>
          <w:szCs w:val="32"/>
          <w:highlight w:val="none"/>
        </w:rPr>
        <w:t>分，绩效级别评定为“</w:t>
      </w:r>
      <w:r>
        <w:rPr>
          <w:rFonts w:hint="eastAsia" w:ascii="仿宋_GB2312" w:eastAsia="仿宋_GB2312" w:cs="仿宋_GB2312"/>
          <w:color w:val="auto"/>
          <w:sz w:val="32"/>
          <w:szCs w:val="32"/>
          <w:highlight w:val="none"/>
          <w:lang w:val="en-US" w:eastAsia="zh-CN"/>
        </w:rPr>
        <w:t>优秀</w:t>
      </w:r>
      <w:r>
        <w:rPr>
          <w:rFonts w:hint="eastAsia" w:ascii="仿宋_GB2312" w:eastAsia="仿宋_GB2312" w:cs="仿宋_GB2312"/>
          <w:color w:val="auto"/>
          <w:sz w:val="32"/>
          <w:szCs w:val="32"/>
          <w:highlight w:val="none"/>
        </w:rPr>
        <w:t>”。其中，</w:t>
      </w:r>
      <w:r>
        <w:rPr>
          <w:rFonts w:hint="eastAsia" w:ascii="仿宋_GB2312" w:eastAsia="仿宋_GB2312"/>
          <w:color w:val="auto"/>
          <w:sz w:val="32"/>
          <w:szCs w:val="32"/>
          <w:highlight w:val="none"/>
        </w:rPr>
        <w:t>项目决策8.</w:t>
      </w:r>
      <w:r>
        <w:rPr>
          <w:rFonts w:hint="eastAsia" w:ascii="仿宋_GB2312" w:eastAsia="仿宋_GB2312"/>
          <w:color w:val="auto"/>
          <w:sz w:val="32"/>
          <w:szCs w:val="32"/>
          <w:highlight w:val="none"/>
          <w:lang w:val="en-US" w:eastAsia="zh-CN"/>
        </w:rPr>
        <w:t>90</w:t>
      </w:r>
      <w:r>
        <w:rPr>
          <w:rFonts w:hint="eastAsia" w:ascii="仿宋_GB2312" w:eastAsia="仿宋_GB2312"/>
          <w:color w:val="auto"/>
          <w:sz w:val="32"/>
          <w:szCs w:val="32"/>
          <w:highlight w:val="none"/>
        </w:rPr>
        <w:t>分，项目过程1</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04</w:t>
      </w:r>
      <w:r>
        <w:rPr>
          <w:rFonts w:hint="eastAsia" w:ascii="仿宋_GB2312" w:eastAsia="仿宋_GB2312"/>
          <w:color w:val="auto"/>
          <w:sz w:val="32"/>
          <w:szCs w:val="32"/>
          <w:highlight w:val="none"/>
        </w:rPr>
        <w:t>分，项目产出3</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88</w:t>
      </w:r>
      <w:r>
        <w:rPr>
          <w:rFonts w:hint="eastAsia" w:ascii="仿宋_GB2312" w:eastAsia="仿宋_GB2312"/>
          <w:color w:val="auto"/>
          <w:sz w:val="32"/>
          <w:szCs w:val="32"/>
          <w:highlight w:val="none"/>
        </w:rPr>
        <w:t>分，项目效益2</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分</w:t>
      </w:r>
      <w:r>
        <w:rPr>
          <w:rFonts w:hint="eastAsia" w:ascii="仿宋_GB2312" w:eastAsia="仿宋_GB2312"/>
          <w:bCs/>
          <w:color w:val="auto"/>
          <w:kern w:val="44"/>
          <w:sz w:val="32"/>
          <w:szCs w:val="32"/>
          <w:highlight w:val="none"/>
        </w:rPr>
        <w:t>。具体情况详见下</w:t>
      </w:r>
      <w:r>
        <w:rPr>
          <w:rFonts w:hint="eastAsia" w:ascii="仿宋_GB2312" w:eastAsia="仿宋_GB2312"/>
          <w:color w:val="auto"/>
          <w:sz w:val="32"/>
          <w:szCs w:val="32"/>
          <w:highlight w:val="none"/>
        </w:rPr>
        <w:t>表。</w:t>
      </w:r>
    </w:p>
    <w:p>
      <w:pPr>
        <w:pStyle w:val="7"/>
        <w:spacing w:after="0"/>
        <w:ind w:left="0" w:leftChars="0"/>
        <w:jc w:val="center"/>
        <w:rPr>
          <w:rFonts w:ascii="宋体"/>
          <w:b/>
          <w:color w:val="auto"/>
          <w:sz w:val="28"/>
          <w:szCs w:val="28"/>
          <w:highlight w:val="none"/>
        </w:rPr>
      </w:pPr>
      <w:r>
        <w:rPr>
          <w:rFonts w:hint="eastAsia" w:ascii="宋体" w:hAnsi="宋体"/>
          <w:b/>
          <w:color w:val="auto"/>
          <w:sz w:val="28"/>
          <w:szCs w:val="28"/>
          <w:highlight w:val="none"/>
          <w:lang w:eastAsia="zh-CN"/>
        </w:rPr>
        <w:t>2023年</w:t>
      </w:r>
      <w:r>
        <w:rPr>
          <w:rFonts w:hint="eastAsia" w:ascii="宋体" w:hAnsi="宋体"/>
          <w:b/>
          <w:color w:val="auto"/>
          <w:sz w:val="28"/>
          <w:szCs w:val="28"/>
          <w:highlight w:val="none"/>
        </w:rPr>
        <w:t>办案业务费项目绩效评价结论一览表</w:t>
      </w:r>
    </w:p>
    <w:tbl>
      <w:tblPr>
        <w:tblStyle w:val="15"/>
        <w:tblW w:w="8447"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
      <w:tblGrid>
        <w:gridCol w:w="2685"/>
        <w:gridCol w:w="2718"/>
        <w:gridCol w:w="304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86"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color w:val="auto"/>
                <w:sz w:val="24"/>
                <w:highlight w:val="none"/>
              </w:rPr>
            </w:pPr>
            <w:r>
              <w:rPr>
                <w:rFonts w:hint="eastAsia" w:ascii="宋体" w:hAnsi="宋体"/>
                <w:b/>
                <w:color w:val="auto"/>
                <w:sz w:val="24"/>
                <w:highlight w:val="none"/>
              </w:rPr>
              <w:t>评价内容</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color w:val="auto"/>
                <w:sz w:val="24"/>
                <w:highlight w:val="none"/>
              </w:rPr>
            </w:pPr>
            <w:r>
              <w:rPr>
                <w:rFonts w:hint="eastAsia" w:ascii="宋体" w:hAnsi="宋体"/>
                <w:b/>
                <w:color w:val="auto"/>
                <w:sz w:val="24"/>
                <w:highlight w:val="none"/>
              </w:rPr>
              <w:t>分值</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color w:val="auto"/>
                <w:sz w:val="24"/>
                <w:highlight w:val="none"/>
              </w:rPr>
            </w:pPr>
            <w:r>
              <w:rPr>
                <w:rFonts w:hint="eastAsia" w:ascii="宋体" w:hAnsi="宋体"/>
                <w:b/>
                <w:color w:val="auto"/>
                <w:sz w:val="24"/>
                <w:highlight w:val="none"/>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86"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pStyle w:val="5"/>
              <w:adjustRightInd w:val="0"/>
              <w:snapToGrid w:val="0"/>
              <w:spacing w:line="300" w:lineRule="auto"/>
              <w:ind w:firstLine="0"/>
              <w:jc w:val="center"/>
              <w:rPr>
                <w:rFonts w:ascii="宋体"/>
                <w:bCs/>
                <w:color w:val="auto"/>
                <w:sz w:val="24"/>
                <w:szCs w:val="24"/>
                <w:highlight w:val="none"/>
              </w:rPr>
            </w:pPr>
            <w:r>
              <w:rPr>
                <w:rFonts w:hint="eastAsia" w:ascii="宋体" w:hAnsi="宋体"/>
                <w:bCs/>
                <w:color w:val="auto"/>
                <w:sz w:val="24"/>
                <w:szCs w:val="24"/>
                <w:highlight w:val="none"/>
              </w:rPr>
              <w:t>项目决策</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color w:val="auto"/>
                <w:sz w:val="24"/>
                <w:highlight w:val="none"/>
              </w:rPr>
            </w:pPr>
            <w:r>
              <w:rPr>
                <w:rFonts w:hint="eastAsia" w:ascii="宋体"/>
                <w:bCs/>
                <w:color w:val="auto"/>
                <w:sz w:val="24"/>
                <w:highlight w:val="none"/>
              </w:rPr>
              <w:t>10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eastAsia="宋体"/>
                <w:bCs/>
                <w:color w:val="auto"/>
                <w:sz w:val="24"/>
                <w:highlight w:val="none"/>
                <w:lang w:val="en-US" w:eastAsia="zh-CN"/>
              </w:rPr>
            </w:pPr>
            <w:r>
              <w:rPr>
                <w:rFonts w:hint="eastAsia" w:ascii="宋体"/>
                <w:bCs/>
                <w:color w:val="auto"/>
                <w:sz w:val="24"/>
                <w:highlight w:val="none"/>
              </w:rPr>
              <w:t>8.</w:t>
            </w:r>
            <w:r>
              <w:rPr>
                <w:rFonts w:hint="eastAsia" w:ascii="宋体"/>
                <w:bCs/>
                <w:color w:val="auto"/>
                <w:sz w:val="24"/>
                <w:highlight w:val="none"/>
                <w:lang w:val="en-US" w:eastAsia="zh-CN"/>
              </w:rPr>
              <w:t>90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81"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hAnsi="宋体"/>
                <w:bCs/>
                <w:color w:val="auto"/>
                <w:sz w:val="24"/>
                <w:highlight w:val="none"/>
              </w:rPr>
            </w:pPr>
            <w:r>
              <w:rPr>
                <w:rFonts w:hint="eastAsia" w:ascii="宋体" w:hAnsi="宋体"/>
                <w:bCs/>
                <w:color w:val="auto"/>
                <w:sz w:val="24"/>
                <w:highlight w:val="none"/>
              </w:rPr>
              <w:t>项目过程</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color w:val="auto"/>
                <w:sz w:val="24"/>
                <w:highlight w:val="none"/>
              </w:rPr>
            </w:pPr>
            <w:r>
              <w:rPr>
                <w:rFonts w:hint="eastAsia" w:ascii="宋体"/>
                <w:bCs/>
                <w:color w:val="auto"/>
                <w:sz w:val="24"/>
                <w:highlight w:val="none"/>
              </w:rPr>
              <w:t>20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eastAsia="宋体"/>
                <w:bCs/>
                <w:color w:val="auto"/>
                <w:sz w:val="24"/>
                <w:highlight w:val="none"/>
                <w:lang w:val="en-US" w:eastAsia="zh-CN"/>
              </w:rPr>
            </w:pPr>
            <w:r>
              <w:rPr>
                <w:rFonts w:hint="eastAsia" w:ascii="宋体"/>
                <w:bCs/>
                <w:color w:val="auto"/>
                <w:sz w:val="24"/>
                <w:highlight w:val="none"/>
              </w:rPr>
              <w:t>1</w:t>
            </w:r>
            <w:r>
              <w:rPr>
                <w:rFonts w:hint="eastAsia" w:ascii="宋体"/>
                <w:bCs/>
                <w:color w:val="auto"/>
                <w:sz w:val="24"/>
                <w:highlight w:val="none"/>
                <w:lang w:val="en-US" w:eastAsia="zh-CN"/>
              </w:rPr>
              <w:t>8</w:t>
            </w:r>
            <w:r>
              <w:rPr>
                <w:rFonts w:hint="eastAsia" w:ascii="宋体"/>
                <w:bCs/>
                <w:color w:val="auto"/>
                <w:sz w:val="24"/>
                <w:highlight w:val="none"/>
              </w:rPr>
              <w:t>.</w:t>
            </w:r>
            <w:r>
              <w:rPr>
                <w:rFonts w:hint="eastAsia" w:ascii="宋体"/>
                <w:bCs/>
                <w:color w:val="auto"/>
                <w:sz w:val="24"/>
                <w:highlight w:val="none"/>
                <w:lang w:val="en-US" w:eastAsia="zh-CN"/>
              </w:rPr>
              <w:t>04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11"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Cs/>
                <w:color w:val="auto"/>
                <w:sz w:val="24"/>
                <w:highlight w:val="none"/>
              </w:rPr>
            </w:pPr>
            <w:r>
              <w:rPr>
                <w:rFonts w:hint="eastAsia" w:ascii="宋体" w:hAnsi="宋体"/>
                <w:bCs/>
                <w:color w:val="auto"/>
                <w:sz w:val="24"/>
                <w:highlight w:val="none"/>
              </w:rPr>
              <w:t>项目产出</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color w:val="auto"/>
                <w:sz w:val="24"/>
                <w:highlight w:val="none"/>
              </w:rPr>
            </w:pPr>
            <w:r>
              <w:rPr>
                <w:rFonts w:hint="eastAsia" w:ascii="宋体"/>
                <w:bCs/>
                <w:color w:val="auto"/>
                <w:sz w:val="24"/>
                <w:highlight w:val="none"/>
              </w:rPr>
              <w:t>40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bCs/>
                <w:color w:val="auto"/>
                <w:sz w:val="24"/>
                <w:highlight w:val="none"/>
                <w:lang w:val="en-US"/>
              </w:rPr>
            </w:pPr>
            <w:r>
              <w:rPr>
                <w:rFonts w:hint="eastAsia" w:ascii="宋体"/>
                <w:bCs/>
                <w:color w:val="auto"/>
                <w:sz w:val="24"/>
                <w:highlight w:val="none"/>
              </w:rPr>
              <w:t>3</w:t>
            </w:r>
            <w:r>
              <w:rPr>
                <w:rFonts w:hint="eastAsia" w:ascii="宋体"/>
                <w:bCs/>
                <w:color w:val="auto"/>
                <w:sz w:val="24"/>
                <w:highlight w:val="none"/>
                <w:lang w:val="en-US" w:eastAsia="zh-CN"/>
              </w:rPr>
              <w:t>6</w:t>
            </w:r>
            <w:r>
              <w:rPr>
                <w:rFonts w:hint="eastAsia" w:ascii="宋体"/>
                <w:bCs/>
                <w:color w:val="auto"/>
                <w:sz w:val="24"/>
                <w:highlight w:val="none"/>
              </w:rPr>
              <w:t>.</w:t>
            </w:r>
            <w:r>
              <w:rPr>
                <w:rFonts w:hint="eastAsia" w:ascii="宋体"/>
                <w:bCs/>
                <w:color w:val="auto"/>
                <w:sz w:val="24"/>
                <w:highlight w:val="none"/>
                <w:lang w:val="en-US" w:eastAsia="zh-CN"/>
              </w:rPr>
              <w:t>88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64"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Cs/>
                <w:color w:val="auto"/>
                <w:sz w:val="24"/>
                <w:highlight w:val="none"/>
              </w:rPr>
            </w:pPr>
            <w:r>
              <w:rPr>
                <w:rFonts w:hint="eastAsia" w:ascii="宋体" w:hAnsi="宋体"/>
                <w:bCs/>
                <w:color w:val="auto"/>
                <w:sz w:val="24"/>
                <w:highlight w:val="none"/>
              </w:rPr>
              <w:t>项目效益</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color w:val="auto"/>
                <w:sz w:val="24"/>
                <w:highlight w:val="none"/>
              </w:rPr>
            </w:pPr>
            <w:r>
              <w:rPr>
                <w:rFonts w:hint="eastAsia" w:ascii="宋体"/>
                <w:bCs/>
                <w:color w:val="auto"/>
                <w:sz w:val="24"/>
                <w:highlight w:val="none"/>
              </w:rPr>
              <w:t>30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bCs/>
                <w:color w:val="auto"/>
                <w:sz w:val="24"/>
                <w:highlight w:val="none"/>
                <w:lang w:val="en-US"/>
              </w:rPr>
            </w:pPr>
            <w:r>
              <w:rPr>
                <w:rFonts w:hint="eastAsia" w:ascii="宋体"/>
                <w:bCs/>
                <w:color w:val="auto"/>
                <w:sz w:val="24"/>
                <w:highlight w:val="none"/>
              </w:rPr>
              <w:t>2</w:t>
            </w:r>
            <w:r>
              <w:rPr>
                <w:rFonts w:hint="eastAsia" w:ascii="宋体"/>
                <w:bCs/>
                <w:color w:val="auto"/>
                <w:sz w:val="24"/>
                <w:highlight w:val="none"/>
                <w:lang w:val="en-US" w:eastAsia="zh-CN"/>
              </w:rPr>
              <w:t>6</w:t>
            </w:r>
            <w:r>
              <w:rPr>
                <w:rFonts w:hint="eastAsia" w:ascii="宋体"/>
                <w:bCs/>
                <w:color w:val="auto"/>
                <w:sz w:val="24"/>
                <w:highlight w:val="none"/>
              </w:rPr>
              <w:t>.</w:t>
            </w:r>
            <w:r>
              <w:rPr>
                <w:rFonts w:hint="eastAsia" w:ascii="宋体"/>
                <w:bCs/>
                <w:color w:val="auto"/>
                <w:sz w:val="24"/>
                <w:highlight w:val="none"/>
                <w:lang w:val="en-US" w:eastAsia="zh-CN"/>
              </w:rPr>
              <w:t>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color w:val="auto"/>
                <w:sz w:val="24"/>
                <w:highlight w:val="none"/>
              </w:rPr>
            </w:pPr>
            <w:r>
              <w:rPr>
                <w:rFonts w:hint="eastAsia" w:ascii="宋体" w:hAnsi="宋体"/>
                <w:b/>
                <w:color w:val="auto"/>
                <w:sz w:val="24"/>
                <w:highlight w:val="none"/>
              </w:rPr>
              <w:t>综合得分</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
                <w:color w:val="auto"/>
                <w:sz w:val="24"/>
                <w:highlight w:val="none"/>
              </w:rPr>
            </w:pPr>
            <w:r>
              <w:rPr>
                <w:rFonts w:hint="eastAsia" w:ascii="宋体"/>
                <w:b/>
                <w:color w:val="auto"/>
                <w:sz w:val="24"/>
                <w:highlight w:val="none"/>
              </w:rPr>
              <w:t>100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eastAsia="宋体"/>
                <w:b/>
                <w:color w:val="auto"/>
                <w:sz w:val="24"/>
                <w:highlight w:val="none"/>
                <w:lang w:val="en-US" w:eastAsia="zh-CN"/>
              </w:rPr>
            </w:pPr>
            <w:r>
              <w:rPr>
                <w:rFonts w:hint="eastAsia" w:ascii="宋体"/>
                <w:b/>
                <w:color w:val="auto"/>
                <w:sz w:val="24"/>
                <w:highlight w:val="none"/>
                <w:lang w:val="en-US" w:eastAsia="zh-CN"/>
              </w:rPr>
              <w:t>90</w:t>
            </w:r>
            <w:r>
              <w:rPr>
                <w:rFonts w:hint="eastAsia" w:ascii="宋体"/>
                <w:b/>
                <w:color w:val="auto"/>
                <w:sz w:val="24"/>
                <w:highlight w:val="none"/>
              </w:rPr>
              <w:t>.</w:t>
            </w:r>
            <w:r>
              <w:rPr>
                <w:rFonts w:hint="eastAsia" w:ascii="宋体"/>
                <w:b/>
                <w:color w:val="auto"/>
                <w:sz w:val="24"/>
                <w:highlight w:val="none"/>
                <w:lang w:val="en-US" w:eastAsia="zh-CN"/>
              </w:rPr>
              <w:t>02</w:t>
            </w:r>
          </w:p>
        </w:tc>
      </w:tr>
    </w:tbl>
    <w:p>
      <w:pPr>
        <w:rPr>
          <w:color w:val="auto"/>
        </w:rPr>
      </w:pPr>
    </w:p>
    <w:bookmarkEnd w:id="31"/>
    <w:bookmarkEnd w:id="32"/>
    <w:p>
      <w:pPr>
        <w:spacing w:line="600" w:lineRule="exact"/>
        <w:ind w:firstLine="640" w:firstLineChars="200"/>
        <w:outlineLvl w:val="0"/>
        <w:rPr>
          <w:rFonts w:ascii="黑体" w:hAnsi="黑体" w:eastAsia="黑体" w:cs="黑体"/>
          <w:color w:val="auto"/>
          <w:sz w:val="32"/>
          <w:szCs w:val="32"/>
        </w:rPr>
      </w:pPr>
      <w:bookmarkStart w:id="35" w:name="_Toc5929"/>
      <w:bookmarkStart w:id="36" w:name="_Toc339894415"/>
      <w:bookmarkStart w:id="37" w:name="_Toc339891253"/>
      <w:r>
        <w:rPr>
          <w:rFonts w:hint="eastAsia" w:ascii="黑体" w:hAnsi="黑体" w:eastAsia="黑体" w:cs="黑体"/>
          <w:color w:val="auto"/>
          <w:sz w:val="32"/>
          <w:szCs w:val="32"/>
        </w:rPr>
        <w:t>四、绩效评价指标分析</w:t>
      </w:r>
      <w:bookmarkEnd w:id="35"/>
    </w:p>
    <w:bookmarkEnd w:id="36"/>
    <w:bookmarkEnd w:id="37"/>
    <w:p>
      <w:pPr>
        <w:spacing w:line="600" w:lineRule="exact"/>
        <w:ind w:firstLine="640" w:firstLineChars="200"/>
        <w:outlineLvl w:val="1"/>
        <w:rPr>
          <w:rFonts w:ascii="楷体_GB2312" w:hAnsi="楷体_GB2312" w:eastAsia="楷体_GB2312" w:cs="楷体_GB2312"/>
          <w:color w:val="auto"/>
          <w:sz w:val="32"/>
          <w:szCs w:val="32"/>
        </w:rPr>
      </w:pPr>
      <w:bookmarkStart w:id="38" w:name="_Toc9322"/>
      <w:bookmarkStart w:id="39" w:name="_Toc339891254"/>
      <w:bookmarkStart w:id="40" w:name="_Toc339894416"/>
      <w:r>
        <w:rPr>
          <w:rFonts w:hint="eastAsia" w:ascii="楷体_GB2312" w:hAnsi="楷体_GB2312" w:eastAsia="楷体_GB2312" w:cs="楷体_GB2312"/>
          <w:color w:val="auto"/>
          <w:sz w:val="32"/>
          <w:szCs w:val="32"/>
        </w:rPr>
        <w:t>（一）项目决策情况。</w:t>
      </w:r>
      <w:bookmarkEnd w:id="38"/>
    </w:p>
    <w:p>
      <w:pPr>
        <w:spacing w:line="360" w:lineRule="auto"/>
        <w:ind w:firstLine="640"/>
        <w:rPr>
          <w:rFonts w:ascii="仿宋_GB2312" w:hAnsi="宋体" w:eastAsia="仿宋_GB2312"/>
          <w:color w:val="auto"/>
          <w:sz w:val="32"/>
          <w:szCs w:val="32"/>
        </w:rPr>
      </w:pPr>
      <w:r>
        <w:rPr>
          <w:rFonts w:hint="eastAsia" w:ascii="仿宋_GB2312" w:eastAsia="仿宋_GB2312"/>
          <w:color w:val="auto"/>
          <w:sz w:val="32"/>
          <w:szCs w:val="32"/>
        </w:rPr>
        <w:t>房山区检察院</w:t>
      </w:r>
      <w:r>
        <w:rPr>
          <w:rFonts w:hint="eastAsia" w:ascii="仿宋_GB2312" w:hAnsi="宋体" w:eastAsia="仿宋_GB2312"/>
          <w:color w:val="auto"/>
          <w:sz w:val="32"/>
          <w:szCs w:val="32"/>
        </w:rPr>
        <w:t>根据预算申报要求，以及</w:t>
      </w:r>
      <w:r>
        <w:rPr>
          <w:rFonts w:hint="eastAsia" w:ascii="仿宋_GB2312" w:eastAsia="仿宋_GB2312"/>
          <w:color w:val="auto"/>
          <w:sz w:val="32"/>
          <w:szCs w:val="32"/>
        </w:rPr>
        <w:t>《中共中央办公厅、国务院办公厅印发&lt;关于加强政法经费保障工作的意见&gt;的通知》《财政部关于印发&lt;政法经费分类保障办法（试行）&gt;的通知》（财行〔2009〕209号）和《</w:t>
      </w:r>
      <w:r>
        <w:rPr>
          <w:rFonts w:ascii="仿宋_GB2312" w:eastAsia="仿宋_GB2312"/>
          <w:color w:val="auto"/>
          <w:sz w:val="32"/>
          <w:szCs w:val="32"/>
        </w:rPr>
        <w:t>财政部</w:t>
      </w:r>
      <w:r>
        <w:rPr>
          <w:rFonts w:hint="eastAsia" w:ascii="仿宋_GB2312" w:eastAsia="仿宋_GB2312"/>
          <w:color w:val="auto"/>
          <w:sz w:val="32"/>
          <w:szCs w:val="32"/>
        </w:rPr>
        <w:t>、</w:t>
      </w:r>
      <w:r>
        <w:rPr>
          <w:rFonts w:ascii="仿宋_GB2312" w:eastAsia="仿宋_GB2312"/>
          <w:color w:val="auto"/>
          <w:sz w:val="32"/>
          <w:szCs w:val="32"/>
        </w:rPr>
        <w:t>最高人民检察院</w:t>
      </w:r>
      <w:r>
        <w:rPr>
          <w:rFonts w:hint="eastAsia" w:ascii="仿宋_GB2312" w:eastAsia="仿宋_GB2312"/>
          <w:color w:val="auto"/>
          <w:sz w:val="32"/>
          <w:szCs w:val="32"/>
          <w:lang w:eastAsia="zh-CN"/>
        </w:rPr>
        <w:t>关于</w:t>
      </w:r>
      <w:r>
        <w:rPr>
          <w:rFonts w:hint="eastAsia" w:ascii="仿宋_GB2312" w:eastAsia="仿宋_GB2312"/>
          <w:color w:val="auto"/>
          <w:sz w:val="32"/>
          <w:szCs w:val="32"/>
        </w:rPr>
        <w:t>&lt;</w:t>
      </w:r>
      <w:r>
        <w:rPr>
          <w:rFonts w:ascii="仿宋_GB2312" w:eastAsia="仿宋_GB2312"/>
          <w:color w:val="auto"/>
          <w:sz w:val="32"/>
          <w:szCs w:val="32"/>
        </w:rPr>
        <w:t>人民检察院财务管理办法</w:t>
      </w:r>
      <w:r>
        <w:rPr>
          <w:rFonts w:hint="eastAsia" w:ascii="仿宋_GB2312" w:eastAsia="仿宋_GB2312"/>
          <w:color w:val="auto"/>
          <w:sz w:val="32"/>
          <w:szCs w:val="32"/>
        </w:rPr>
        <w:t>&gt;的通知》</w:t>
      </w:r>
      <w:r>
        <w:rPr>
          <w:rFonts w:hint="eastAsia" w:ascii="仿宋_GB2312" w:hAnsi="宋体" w:eastAsia="仿宋_GB2312"/>
          <w:color w:val="auto"/>
          <w:sz w:val="32"/>
          <w:szCs w:val="32"/>
        </w:rPr>
        <w:t>等文件</w:t>
      </w:r>
      <w:r>
        <w:rPr>
          <w:rFonts w:hint="eastAsia" w:ascii="仿宋_GB2312" w:eastAsia="仿宋_GB2312"/>
          <w:color w:val="auto"/>
          <w:sz w:val="32"/>
          <w:szCs w:val="32"/>
        </w:rPr>
        <w:t>规定</w:t>
      </w:r>
      <w:r>
        <w:rPr>
          <w:rFonts w:hint="eastAsia" w:ascii="仿宋_GB2312" w:hAnsi="宋体" w:eastAsia="仿宋_GB2312"/>
          <w:color w:val="auto"/>
          <w:sz w:val="32"/>
          <w:szCs w:val="32"/>
        </w:rPr>
        <w:t>，并结合</w:t>
      </w:r>
      <w:r>
        <w:rPr>
          <w:rFonts w:hint="eastAsia" w:ascii="仿宋_GB2312" w:eastAsia="仿宋_GB2312"/>
          <w:color w:val="auto"/>
          <w:sz w:val="32"/>
          <w:szCs w:val="32"/>
        </w:rPr>
        <w:t>房山区检察院</w:t>
      </w:r>
      <w:r>
        <w:rPr>
          <w:rFonts w:ascii="仿宋_GB2312" w:eastAsia="仿宋_GB2312"/>
          <w:color w:val="auto"/>
          <w:sz w:val="32"/>
          <w:szCs w:val="32"/>
        </w:rPr>
        <w:t>职能</w:t>
      </w:r>
      <w:r>
        <w:rPr>
          <w:rFonts w:hint="eastAsia" w:ascii="仿宋_GB2312" w:eastAsia="仿宋_GB2312"/>
          <w:color w:val="auto"/>
          <w:sz w:val="32"/>
          <w:szCs w:val="32"/>
        </w:rPr>
        <w:t>、</w:t>
      </w:r>
      <w:r>
        <w:rPr>
          <w:rFonts w:hint="eastAsia" w:ascii="仿宋_GB2312" w:eastAsia="仿宋_GB2312"/>
          <w:color w:val="auto"/>
          <w:sz w:val="32"/>
          <w:szCs w:val="32"/>
          <w:lang w:eastAsia="zh-CN"/>
        </w:rPr>
        <w:t>2023年</w:t>
      </w:r>
      <w:r>
        <w:rPr>
          <w:rFonts w:hint="eastAsia" w:ascii="仿宋_GB2312" w:eastAsia="仿宋_GB2312"/>
          <w:color w:val="auto"/>
          <w:sz w:val="32"/>
          <w:szCs w:val="32"/>
        </w:rPr>
        <w:t>重点工作计划、</w:t>
      </w:r>
      <w:r>
        <w:rPr>
          <w:rFonts w:hint="eastAsia" w:ascii="仿宋_GB2312" w:eastAsia="仿宋_GB2312"/>
          <w:color w:val="auto"/>
          <w:sz w:val="32"/>
          <w:szCs w:val="32"/>
          <w:lang w:eastAsia="zh-CN"/>
        </w:rPr>
        <w:t>2023年</w:t>
      </w:r>
      <w:r>
        <w:rPr>
          <w:rFonts w:hint="eastAsia" w:ascii="仿宋_GB2312" w:eastAsia="仿宋_GB2312"/>
          <w:color w:val="auto"/>
          <w:sz w:val="32"/>
          <w:szCs w:val="32"/>
        </w:rPr>
        <w:t>经费需求等相关内容，</w:t>
      </w:r>
      <w:r>
        <w:rPr>
          <w:rFonts w:hint="eastAsia" w:ascii="仿宋_GB2312" w:eastAsia="仿宋_GB2312"/>
          <w:color w:val="auto"/>
          <w:sz w:val="32"/>
          <w:szCs w:val="32"/>
          <w:lang w:val="en-US" w:eastAsia="zh-CN"/>
        </w:rPr>
        <w:t>申请该项目经费490</w:t>
      </w:r>
      <w:r>
        <w:rPr>
          <w:rFonts w:hint="eastAsia" w:ascii="仿宋_GB2312" w:eastAsia="仿宋_GB2312"/>
          <w:color w:val="auto"/>
          <w:sz w:val="32"/>
          <w:szCs w:val="32"/>
        </w:rPr>
        <w:t>.00万元，</w:t>
      </w:r>
      <w:r>
        <w:rPr>
          <w:rFonts w:hint="eastAsia" w:ascii="仿宋_GB2312" w:hAnsi="宋体" w:eastAsia="仿宋_GB2312"/>
          <w:color w:val="auto"/>
          <w:sz w:val="32"/>
          <w:szCs w:val="32"/>
        </w:rPr>
        <w:t>明确了该项目的总体目标，并设定了较为明确的产出数量指标、产出质量指标、</w:t>
      </w:r>
      <w:r>
        <w:rPr>
          <w:rFonts w:hint="eastAsia" w:ascii="仿宋_GB2312" w:hAnsi="宋体" w:eastAsia="仿宋_GB2312"/>
          <w:color w:val="auto"/>
          <w:sz w:val="32"/>
          <w:szCs w:val="32"/>
          <w:lang w:val="en-US" w:eastAsia="zh-CN"/>
        </w:rPr>
        <w:t>经济</w:t>
      </w:r>
      <w:r>
        <w:rPr>
          <w:rFonts w:hint="eastAsia" w:ascii="仿宋_GB2312" w:hAnsi="宋体" w:eastAsia="仿宋_GB2312"/>
          <w:color w:val="auto"/>
          <w:sz w:val="32"/>
          <w:szCs w:val="32"/>
        </w:rPr>
        <w:t>成本指标、效益指标、服务对象满意度指标等具体指标。为进一步适应新时期检察事业发展形势和工作管理要求，保障人民检察院依法履行职能和各项工作的顺利完成，</w:t>
      </w:r>
      <w:r>
        <w:rPr>
          <w:rFonts w:hint="eastAsia" w:ascii="仿宋_GB2312" w:hAnsi="仿宋" w:eastAsia="仿宋_GB2312"/>
          <w:color w:val="auto"/>
          <w:sz w:val="32"/>
          <w:szCs w:val="32"/>
          <w:highlight w:val="none"/>
          <w:lang w:eastAsia="zh-CN"/>
        </w:rPr>
        <w:t>房山区检察院</w:t>
      </w:r>
      <w:r>
        <w:rPr>
          <w:rFonts w:hint="eastAsia" w:ascii="仿宋_GB2312" w:hAnsi="仿宋" w:eastAsia="仿宋_GB2312"/>
          <w:color w:val="auto"/>
          <w:sz w:val="32"/>
          <w:szCs w:val="32"/>
          <w:highlight w:val="none"/>
        </w:rPr>
        <w:t>成立</w:t>
      </w:r>
      <w:r>
        <w:rPr>
          <w:rFonts w:hint="eastAsia" w:ascii="仿宋_GB2312" w:hAnsi="仿宋" w:eastAsia="仿宋_GB2312"/>
          <w:color w:val="auto"/>
          <w:sz w:val="32"/>
          <w:szCs w:val="32"/>
          <w:highlight w:val="none"/>
          <w:lang w:eastAsia="zh-CN"/>
        </w:rPr>
        <w:t>了</w:t>
      </w:r>
      <w:r>
        <w:rPr>
          <w:rFonts w:hint="eastAsia" w:ascii="仿宋_GB2312" w:hAnsi="仿宋" w:eastAsia="仿宋_GB2312"/>
          <w:color w:val="auto"/>
          <w:sz w:val="32"/>
          <w:szCs w:val="32"/>
          <w:highlight w:val="none"/>
        </w:rPr>
        <w:t>项目决策小组，组长由分管行政事务院领导担任，小组成员由项目需求部门、</w:t>
      </w:r>
      <w:r>
        <w:rPr>
          <w:rFonts w:hint="eastAsia" w:ascii="仿宋_GB2312" w:hAnsi="仿宋" w:eastAsia="仿宋_GB2312"/>
          <w:color w:val="auto"/>
          <w:sz w:val="32"/>
          <w:szCs w:val="32"/>
          <w:highlight w:val="none"/>
          <w:lang w:eastAsia="zh-CN"/>
        </w:rPr>
        <w:t>办公室（</w:t>
      </w:r>
      <w:r>
        <w:rPr>
          <w:rFonts w:hint="eastAsia" w:ascii="仿宋_GB2312" w:hAnsi="仿宋" w:eastAsia="仿宋_GB2312"/>
          <w:color w:val="auto"/>
          <w:sz w:val="32"/>
          <w:szCs w:val="32"/>
          <w:highlight w:val="none"/>
        </w:rPr>
        <w:t>行政事务管理</w:t>
      </w:r>
      <w:r>
        <w:rPr>
          <w:rFonts w:hint="eastAsia" w:ascii="仿宋_GB2312" w:hAnsi="仿宋" w:eastAsia="仿宋_GB2312"/>
          <w:color w:val="auto"/>
          <w:sz w:val="32"/>
          <w:szCs w:val="32"/>
          <w:highlight w:val="none"/>
          <w:lang w:eastAsia="zh-CN"/>
        </w:rPr>
        <w:t>部）</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检务督察部</w:t>
      </w:r>
      <w:r>
        <w:rPr>
          <w:rFonts w:hint="eastAsia" w:ascii="仿宋_GB2312" w:hAnsi="仿宋" w:eastAsia="仿宋_GB2312"/>
          <w:color w:val="auto"/>
          <w:sz w:val="32"/>
          <w:szCs w:val="32"/>
          <w:highlight w:val="none"/>
        </w:rPr>
        <w:t>及其他相关处室负责人组成。决策小组对</w:t>
      </w:r>
      <w:r>
        <w:rPr>
          <w:rFonts w:hint="eastAsia" w:ascii="仿宋_GB2312" w:hAnsi="仿宋" w:eastAsia="仿宋_GB2312"/>
          <w:color w:val="auto"/>
          <w:sz w:val="32"/>
          <w:szCs w:val="32"/>
          <w:highlight w:val="none"/>
          <w:lang w:val="en-US" w:eastAsia="zh-CN"/>
        </w:rPr>
        <w:t>该项目经费支出</w:t>
      </w:r>
      <w:r>
        <w:rPr>
          <w:rFonts w:hint="eastAsia" w:ascii="仿宋_GB2312" w:hAnsi="仿宋" w:eastAsia="仿宋_GB2312"/>
          <w:color w:val="auto"/>
          <w:sz w:val="32"/>
          <w:szCs w:val="32"/>
          <w:highlight w:val="none"/>
        </w:rPr>
        <w:t>进行审议，出具审议结果，并将审议结果上报党组会，经党组会研究通过后，依据有关规定向</w:t>
      </w:r>
      <w:r>
        <w:rPr>
          <w:rFonts w:hint="eastAsia" w:ascii="仿宋_GB2312" w:hAnsi="仿宋" w:eastAsia="仿宋_GB2312"/>
          <w:color w:val="auto"/>
          <w:sz w:val="32"/>
          <w:szCs w:val="32"/>
          <w:highlight w:val="none"/>
          <w:lang w:val="en-US" w:eastAsia="zh-CN"/>
        </w:rPr>
        <w:t>市</w:t>
      </w:r>
      <w:r>
        <w:rPr>
          <w:rFonts w:hint="eastAsia" w:ascii="仿宋_GB2312" w:hAnsi="仿宋" w:eastAsia="仿宋_GB2312"/>
          <w:color w:val="auto"/>
          <w:sz w:val="32"/>
          <w:szCs w:val="32"/>
          <w:highlight w:val="none"/>
        </w:rPr>
        <w:t>财政局提起申请</w:t>
      </w:r>
      <w:r>
        <w:rPr>
          <w:rFonts w:hint="eastAsia" w:ascii="仿宋_GB2312" w:hAnsi="宋体" w:eastAsia="仿宋_GB2312"/>
          <w:color w:val="auto"/>
          <w:sz w:val="32"/>
          <w:szCs w:val="32"/>
        </w:rPr>
        <w:t>。</w:t>
      </w:r>
      <w:r>
        <w:rPr>
          <w:rFonts w:hint="eastAsia" w:ascii="仿宋_GB2312" w:eastAsia="仿宋_GB2312"/>
          <w:color w:val="auto"/>
          <w:sz w:val="32"/>
          <w:szCs w:val="32"/>
        </w:rPr>
        <w:t>充分保障了房山区检察院全年侦查监督、公诉、审判监督、执行监督、民事行政监督、公益诉讼、控告申诉、刑事案件侦查等各项工作开展的经费需求。</w:t>
      </w:r>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评价认为，</w:t>
      </w:r>
      <w:r>
        <w:rPr>
          <w:rFonts w:hint="eastAsia" w:ascii="仿宋_GB2312" w:hAnsi="仿宋" w:eastAsia="仿宋_GB2312" w:cs="仿宋_GB2312"/>
          <w:color w:val="auto"/>
          <w:sz w:val="32"/>
          <w:szCs w:val="32"/>
        </w:rPr>
        <w:t>项目立项与</w:t>
      </w:r>
      <w:r>
        <w:rPr>
          <w:rFonts w:hint="eastAsia" w:ascii="仿宋_GB2312" w:eastAsia="仿宋_GB2312"/>
          <w:color w:val="auto"/>
          <w:sz w:val="32"/>
          <w:szCs w:val="32"/>
        </w:rPr>
        <w:t>房山区检察院</w:t>
      </w:r>
      <w:r>
        <w:rPr>
          <w:rFonts w:hint="eastAsia" w:ascii="仿宋_GB2312" w:hAnsi="仿宋" w:eastAsia="仿宋_GB2312" w:cs="仿宋_GB2312"/>
          <w:color w:val="auto"/>
          <w:sz w:val="32"/>
          <w:szCs w:val="32"/>
        </w:rPr>
        <w:t>职能、十四五规划、</w:t>
      </w:r>
      <w:r>
        <w:rPr>
          <w:rFonts w:hint="eastAsia" w:ascii="仿宋_GB2312" w:hAnsi="仿宋" w:eastAsia="仿宋_GB2312" w:cs="仿宋_GB2312"/>
          <w:color w:val="auto"/>
          <w:sz w:val="32"/>
          <w:szCs w:val="32"/>
          <w:lang w:eastAsia="zh-CN"/>
        </w:rPr>
        <w:t>2023年</w:t>
      </w:r>
      <w:r>
        <w:rPr>
          <w:rFonts w:hint="eastAsia" w:ascii="仿宋_GB2312" w:hAnsi="仿宋" w:eastAsia="仿宋_GB2312" w:cs="仿宋_GB2312"/>
          <w:color w:val="auto"/>
          <w:sz w:val="32"/>
          <w:szCs w:val="32"/>
        </w:rPr>
        <w:t>度工作计划、相关法律法规及政策要求相符，</w:t>
      </w:r>
      <w:r>
        <w:rPr>
          <w:rFonts w:hint="eastAsia" w:ascii="仿宋_GB2312" w:hAnsi="仿宋" w:eastAsia="仿宋_GB2312"/>
          <w:color w:val="auto"/>
          <w:sz w:val="32"/>
          <w:szCs w:val="32"/>
        </w:rPr>
        <w:t>项目立项依据充分、程序规范，</w:t>
      </w:r>
      <w:r>
        <w:rPr>
          <w:rFonts w:hint="eastAsia" w:ascii="仿宋_GB2312" w:hAnsi="宋体" w:eastAsia="仿宋_GB2312"/>
          <w:color w:val="auto"/>
          <w:sz w:val="32"/>
          <w:szCs w:val="32"/>
        </w:rPr>
        <w:t>绩效</w:t>
      </w:r>
      <w:r>
        <w:rPr>
          <w:rFonts w:hint="eastAsia" w:ascii="仿宋_GB2312" w:eastAsia="仿宋_GB2312"/>
          <w:color w:val="auto"/>
          <w:sz w:val="32"/>
          <w:szCs w:val="32"/>
        </w:rPr>
        <w:t>总体目标和具体指标较为合理、明确</w:t>
      </w:r>
      <w:r>
        <w:rPr>
          <w:rFonts w:hint="eastAsia" w:ascii="仿宋_GB2312" w:hAnsi="仿宋" w:eastAsia="仿宋_GB2312"/>
          <w:color w:val="auto"/>
          <w:sz w:val="32"/>
          <w:szCs w:val="32"/>
        </w:rPr>
        <w:t>、细化量化，预算编制较科学、资金分配较合理</w:t>
      </w:r>
      <w:r>
        <w:rPr>
          <w:rFonts w:hint="eastAsia" w:ascii="仿宋_GB2312" w:eastAsia="仿宋_GB2312"/>
          <w:color w:val="auto"/>
          <w:sz w:val="32"/>
          <w:szCs w:val="32"/>
        </w:rPr>
        <w:t>。</w:t>
      </w:r>
      <w:r>
        <w:rPr>
          <w:rFonts w:hint="eastAsia" w:ascii="仿宋_GB2312" w:hAnsi="仿宋" w:eastAsia="仿宋_GB2312"/>
          <w:color w:val="auto"/>
          <w:sz w:val="32"/>
          <w:szCs w:val="32"/>
        </w:rPr>
        <w:t>但个别绩效指标设定不够明确、合理</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细化量化</w:t>
      </w:r>
      <w:r>
        <w:rPr>
          <w:rFonts w:hint="eastAsia" w:ascii="仿宋_GB2312" w:hAnsi="仿宋" w:eastAsia="仿宋_GB2312"/>
          <w:color w:val="auto"/>
          <w:sz w:val="32"/>
          <w:szCs w:val="32"/>
          <w:lang w:val="en-US" w:eastAsia="zh-CN"/>
        </w:rPr>
        <w:t>不足</w:t>
      </w:r>
      <w:r>
        <w:rPr>
          <w:rFonts w:hint="eastAsia" w:ascii="仿宋_GB2312" w:hAnsi="仿宋" w:eastAsia="仿宋_GB2312"/>
          <w:color w:val="auto"/>
          <w:sz w:val="32"/>
          <w:szCs w:val="32"/>
        </w:rPr>
        <w:t>，未见项目需求分析及预算测算明细，项目预算分配依据不够充分。</w:t>
      </w:r>
    </w:p>
    <w:bookmarkEnd w:id="39"/>
    <w:bookmarkEnd w:id="40"/>
    <w:p>
      <w:pPr>
        <w:spacing w:line="600" w:lineRule="exact"/>
        <w:ind w:firstLine="640" w:firstLineChars="200"/>
        <w:outlineLvl w:val="1"/>
        <w:rPr>
          <w:rFonts w:ascii="楷体_GB2312" w:hAnsi="楷体_GB2312" w:eastAsia="楷体_GB2312" w:cs="楷体_GB2312"/>
          <w:color w:val="auto"/>
          <w:sz w:val="32"/>
          <w:szCs w:val="32"/>
        </w:rPr>
      </w:pPr>
      <w:bookmarkStart w:id="41" w:name="_Toc23695"/>
      <w:r>
        <w:rPr>
          <w:rFonts w:hint="eastAsia" w:ascii="楷体_GB2312" w:hAnsi="楷体_GB2312" w:eastAsia="楷体_GB2312" w:cs="楷体_GB2312"/>
          <w:color w:val="auto"/>
          <w:sz w:val="32"/>
          <w:szCs w:val="32"/>
        </w:rPr>
        <w:t>（二）项目过程情况。</w:t>
      </w:r>
      <w:bookmarkEnd w:id="41"/>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房山区检察院为加强财务及业务管理，规范财务行为，提高资金使用效益，根据国家法律、法规及北京市与房山区检察院相关规定，</w:t>
      </w:r>
      <w:r>
        <w:rPr>
          <w:rFonts w:hint="eastAsia" w:ascii="仿宋_GB2312" w:eastAsia="仿宋_GB2312"/>
          <w:color w:val="auto"/>
          <w:sz w:val="32"/>
          <w:szCs w:val="32"/>
        </w:rPr>
        <w:t>制定了《“三重一大”事项集体决策实施办法（试行）》、</w:t>
      </w:r>
      <w:r>
        <w:rPr>
          <w:rFonts w:hint="eastAsia" w:ascii="仿宋_GB2312" w:hAnsi="仿宋" w:eastAsia="仿宋_GB2312"/>
          <w:color w:val="auto"/>
          <w:sz w:val="32"/>
          <w:szCs w:val="32"/>
        </w:rPr>
        <w:t>《机关预算管理办法》、《院机关预算项目管理办法》、《货币资金管理办法》、《经费支出管理办法》、《差旅费管理办法》、《合同管理办法》</w:t>
      </w:r>
      <w:bookmarkStart w:id="58" w:name="_GoBack"/>
      <w:bookmarkEnd w:id="58"/>
      <w:r>
        <w:rPr>
          <w:rFonts w:hint="eastAsia" w:ascii="仿宋_GB2312" w:hAnsi="仿宋" w:eastAsia="仿宋_GB2312"/>
          <w:color w:val="auto"/>
          <w:sz w:val="32"/>
          <w:szCs w:val="32"/>
        </w:rPr>
        <w:t>等各项管理制度，并严格执行《人民检察院财务管理办法》等相关制度，各项制度基本满足了日常管理和核算要求。为保证资金安全、有效的使用，经院党组会研究决定，对大额资金支出实行了集体决策制度。</w:t>
      </w:r>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为保证项目按预算执行，并取得预期目标与成果，</w:t>
      </w:r>
      <w:r>
        <w:rPr>
          <w:rFonts w:hint="eastAsia" w:ascii="仿宋_GB2312" w:hAnsi="仿宋" w:eastAsia="仿宋_GB2312"/>
          <w:color w:val="auto"/>
          <w:sz w:val="32"/>
          <w:szCs w:val="32"/>
          <w:lang w:eastAsia="zh-CN"/>
        </w:rPr>
        <w:t>房山区检察院</w:t>
      </w:r>
      <w:r>
        <w:rPr>
          <w:rFonts w:hint="eastAsia" w:ascii="仿宋_GB2312" w:hAnsi="仿宋" w:eastAsia="仿宋_GB2312"/>
          <w:color w:val="auto"/>
          <w:sz w:val="32"/>
          <w:szCs w:val="32"/>
        </w:rPr>
        <w:t>成立项目实施领导小组，由院领导、业务部门、</w:t>
      </w:r>
      <w:r>
        <w:rPr>
          <w:rFonts w:hint="eastAsia" w:ascii="仿宋_GB2312" w:hAnsi="仿宋" w:eastAsia="仿宋_GB2312"/>
          <w:color w:val="auto"/>
          <w:sz w:val="32"/>
          <w:szCs w:val="32"/>
          <w:lang w:eastAsia="zh-CN"/>
        </w:rPr>
        <w:t>检务督察</w:t>
      </w:r>
      <w:r>
        <w:rPr>
          <w:rFonts w:hint="eastAsia" w:ascii="仿宋_GB2312" w:hAnsi="仿宋" w:eastAsia="仿宋_GB2312"/>
          <w:color w:val="auto"/>
          <w:sz w:val="32"/>
          <w:szCs w:val="32"/>
        </w:rPr>
        <w:t>部门以及财务部门共同组成。领导小组负责项目的</w:t>
      </w:r>
      <w:r>
        <w:rPr>
          <w:rFonts w:hint="eastAsia" w:ascii="仿宋_GB2312" w:hAnsi="仿宋" w:eastAsia="仿宋_GB2312"/>
          <w:color w:val="auto"/>
          <w:sz w:val="32"/>
          <w:szCs w:val="32"/>
          <w:lang w:val="en-US" w:eastAsia="zh-CN"/>
        </w:rPr>
        <w:t>立项</w:t>
      </w:r>
      <w:r>
        <w:rPr>
          <w:rFonts w:hint="eastAsia" w:ascii="仿宋_GB2312" w:hAnsi="仿宋" w:eastAsia="仿宋_GB2312"/>
          <w:color w:val="auto"/>
          <w:sz w:val="32"/>
          <w:szCs w:val="32"/>
        </w:rPr>
        <w:t>、项目</w:t>
      </w:r>
      <w:r>
        <w:rPr>
          <w:rFonts w:hint="eastAsia" w:ascii="仿宋_GB2312" w:hAnsi="仿宋" w:eastAsia="仿宋_GB2312"/>
          <w:color w:val="auto"/>
          <w:sz w:val="32"/>
          <w:szCs w:val="32"/>
          <w:lang w:val="en-US" w:eastAsia="zh-CN"/>
        </w:rPr>
        <w:t>执行过程</w:t>
      </w:r>
      <w:r>
        <w:rPr>
          <w:rFonts w:hint="eastAsia" w:ascii="仿宋_GB2312" w:hAnsi="仿宋" w:eastAsia="仿宋_GB2312"/>
          <w:color w:val="auto"/>
          <w:sz w:val="32"/>
          <w:szCs w:val="32"/>
        </w:rPr>
        <w:t>中各有关部门间的协调工作以及对项目的支出进度、项目的完成质量进行监督。</w:t>
      </w:r>
      <w:r>
        <w:rPr>
          <w:rFonts w:ascii="仿宋_GB2312" w:hAnsi="仿宋" w:eastAsia="仿宋_GB2312"/>
          <w:color w:val="auto"/>
          <w:sz w:val="32"/>
          <w:szCs w:val="32"/>
        </w:rPr>
        <w:t>成立了项目管理小组</w:t>
      </w:r>
      <w:r>
        <w:rPr>
          <w:rFonts w:hint="eastAsia" w:ascii="仿宋_GB2312" w:hAnsi="仿宋" w:eastAsia="仿宋_GB2312"/>
          <w:color w:val="auto"/>
          <w:sz w:val="32"/>
          <w:szCs w:val="32"/>
        </w:rPr>
        <w:t>，</w:t>
      </w:r>
      <w:r>
        <w:rPr>
          <w:rFonts w:ascii="仿宋_GB2312" w:hAnsi="仿宋" w:eastAsia="仿宋_GB2312"/>
          <w:color w:val="auto"/>
          <w:sz w:val="32"/>
          <w:szCs w:val="32"/>
        </w:rPr>
        <w:t>在项目实施过程中</w:t>
      </w:r>
      <w:r>
        <w:rPr>
          <w:rFonts w:hint="eastAsia" w:ascii="仿宋_GB2312" w:hAnsi="仿宋" w:eastAsia="仿宋_GB2312"/>
          <w:color w:val="auto"/>
          <w:sz w:val="32"/>
          <w:szCs w:val="32"/>
        </w:rPr>
        <w:t>，</w:t>
      </w:r>
      <w:r>
        <w:rPr>
          <w:rFonts w:ascii="仿宋_GB2312" w:hAnsi="仿宋" w:eastAsia="仿宋_GB2312"/>
          <w:color w:val="auto"/>
          <w:sz w:val="32"/>
          <w:szCs w:val="32"/>
          <w:highlight w:val="none"/>
        </w:rPr>
        <w:t>严格</w:t>
      </w:r>
      <w:r>
        <w:rPr>
          <w:rFonts w:hint="eastAsia" w:ascii="仿宋_GB2312" w:hAnsi="仿宋" w:eastAsia="仿宋_GB2312"/>
          <w:color w:val="auto"/>
          <w:sz w:val="32"/>
          <w:szCs w:val="32"/>
          <w:highlight w:val="none"/>
          <w:lang w:val="en-US" w:eastAsia="zh-CN"/>
        </w:rPr>
        <w:t>按照合同申报、支付预算</w:t>
      </w:r>
      <w:r>
        <w:rPr>
          <w:rFonts w:hint="eastAsia" w:ascii="仿宋_GB2312" w:hAnsi="仿宋" w:eastAsia="仿宋_GB2312"/>
          <w:color w:val="auto"/>
          <w:sz w:val="32"/>
          <w:szCs w:val="32"/>
          <w:highlight w:val="none"/>
        </w:rPr>
        <w:t>，院领导和项目负责人层层把关，</w:t>
      </w:r>
      <w:r>
        <w:rPr>
          <w:rFonts w:ascii="仿宋_GB2312" w:hAnsi="仿宋" w:eastAsia="仿宋_GB2312"/>
          <w:color w:val="auto"/>
          <w:sz w:val="32"/>
          <w:szCs w:val="32"/>
          <w:highlight w:val="none"/>
        </w:rPr>
        <w:t>构建</w:t>
      </w:r>
      <w:r>
        <w:rPr>
          <w:rFonts w:hint="eastAsia" w:ascii="仿宋_GB2312" w:hAnsi="仿宋" w:eastAsia="仿宋_GB2312"/>
          <w:color w:val="auto"/>
          <w:sz w:val="32"/>
          <w:szCs w:val="32"/>
          <w:highlight w:val="none"/>
          <w:lang w:val="en-US" w:eastAsia="zh-CN"/>
        </w:rPr>
        <w:t>了严密的</w:t>
      </w:r>
      <w:r>
        <w:rPr>
          <w:rFonts w:ascii="仿宋_GB2312" w:hAnsi="仿宋" w:eastAsia="仿宋_GB2312"/>
          <w:color w:val="auto"/>
          <w:sz w:val="32"/>
          <w:szCs w:val="32"/>
          <w:highlight w:val="none"/>
        </w:rPr>
        <w:t>资金监管体系，加大专项资金的监督检查力度</w:t>
      </w:r>
      <w:r>
        <w:rPr>
          <w:rFonts w:hint="eastAsia" w:ascii="仿宋_GB2312" w:hAnsi="仿宋" w:eastAsia="仿宋_GB2312"/>
          <w:color w:val="auto"/>
          <w:sz w:val="32"/>
          <w:szCs w:val="32"/>
          <w:highlight w:val="none"/>
        </w:rPr>
        <w:t>，</w:t>
      </w:r>
      <w:r>
        <w:rPr>
          <w:rFonts w:ascii="仿宋_GB2312" w:hAnsi="仿宋" w:eastAsia="仿宋_GB2312"/>
          <w:color w:val="auto"/>
          <w:sz w:val="32"/>
          <w:szCs w:val="32"/>
          <w:highlight w:val="none"/>
        </w:rPr>
        <w:t>实行全过程监督检查</w:t>
      </w:r>
      <w:r>
        <w:rPr>
          <w:rFonts w:hint="eastAsia" w:ascii="仿宋_GB2312" w:hAnsi="仿宋" w:eastAsia="仿宋_GB2312"/>
          <w:color w:val="auto"/>
          <w:sz w:val="32"/>
          <w:szCs w:val="32"/>
          <w:highlight w:val="none"/>
        </w:rPr>
        <w:t>。</w:t>
      </w:r>
      <w:r>
        <w:rPr>
          <w:rFonts w:ascii="仿宋_GB2312" w:hAnsi="仿宋" w:eastAsia="仿宋_GB2312"/>
          <w:color w:val="auto"/>
          <w:sz w:val="32"/>
          <w:szCs w:val="32"/>
          <w:highlight w:val="none"/>
        </w:rPr>
        <w:t>确保资金及时、足额到位和按项目</w:t>
      </w:r>
      <w:r>
        <w:rPr>
          <w:rFonts w:hint="eastAsia" w:ascii="仿宋_GB2312" w:hAnsi="仿宋" w:eastAsia="仿宋_GB2312"/>
          <w:color w:val="auto"/>
          <w:sz w:val="32"/>
          <w:szCs w:val="32"/>
          <w:highlight w:val="none"/>
          <w:lang w:val="en-US" w:eastAsia="zh-CN"/>
        </w:rPr>
        <w:t>进度要求</w:t>
      </w:r>
      <w:r>
        <w:rPr>
          <w:rFonts w:ascii="仿宋_GB2312" w:hAnsi="仿宋" w:eastAsia="仿宋_GB2312"/>
          <w:color w:val="auto"/>
          <w:sz w:val="32"/>
          <w:szCs w:val="32"/>
          <w:highlight w:val="none"/>
        </w:rPr>
        <w:t>使用，确保项目</w:t>
      </w:r>
      <w:r>
        <w:rPr>
          <w:rFonts w:hint="eastAsia" w:ascii="仿宋_GB2312" w:hAnsi="仿宋" w:eastAsia="仿宋_GB2312"/>
          <w:color w:val="auto"/>
          <w:sz w:val="32"/>
          <w:szCs w:val="32"/>
          <w:highlight w:val="none"/>
          <w:lang w:val="en-US" w:eastAsia="zh-CN"/>
        </w:rPr>
        <w:t>按时保质保量的</w:t>
      </w:r>
      <w:r>
        <w:rPr>
          <w:rFonts w:ascii="仿宋_GB2312" w:hAnsi="仿宋" w:eastAsia="仿宋_GB2312"/>
          <w:color w:val="auto"/>
          <w:sz w:val="32"/>
          <w:szCs w:val="32"/>
          <w:highlight w:val="none"/>
        </w:rPr>
        <w:t>完成。</w:t>
      </w:r>
      <w:r>
        <w:rPr>
          <w:rFonts w:hint="eastAsia" w:ascii="仿宋_GB2312" w:hAnsi="仿宋" w:eastAsia="仿宋_GB2312"/>
          <w:color w:val="auto"/>
          <w:sz w:val="32"/>
          <w:szCs w:val="32"/>
        </w:rPr>
        <w:t>成立了合同采购小组，成员包括办公室（行政事务管理部）负责人、需求部门负责人、第四检察部负责人、检务督察部负责人，检务督察部全程参与、全程监督项目实施。合同采购小组负责项目进行中各有关部门间的协调工作以及对整体项目的支出进度、项目的完成质量进行监管。在项目实施过程中，认真执行各项法律、法规以及检察院的财务制度，各部门依据部门职责分工，按项目各阶段的主要内容，合理安排项目各类支出。</w:t>
      </w:r>
      <w:r>
        <w:rPr>
          <w:rFonts w:ascii="仿宋_GB2312" w:hAnsi="仿宋" w:eastAsia="仿宋_GB2312"/>
          <w:color w:val="auto"/>
          <w:sz w:val="32"/>
          <w:szCs w:val="32"/>
        </w:rPr>
        <w:t>严格执行</w:t>
      </w:r>
      <w:r>
        <w:rPr>
          <w:rFonts w:hint="eastAsia" w:ascii="仿宋_GB2312" w:hAnsi="仿宋" w:eastAsia="仿宋_GB2312"/>
          <w:color w:val="auto"/>
          <w:sz w:val="32"/>
          <w:szCs w:val="32"/>
        </w:rPr>
        <w:t>《检察业务费开支范围》，形成了“早计划、早落实、早部署”的工作模式。在项目管理方面，院领导、合同采购小组和项目负责人层层把关，</w:t>
      </w:r>
      <w:r>
        <w:rPr>
          <w:rFonts w:ascii="仿宋_GB2312" w:hAnsi="仿宋" w:eastAsia="仿宋_GB2312"/>
          <w:color w:val="auto"/>
          <w:sz w:val="32"/>
          <w:szCs w:val="32"/>
        </w:rPr>
        <w:t>构建资金监管体系，加大专项资金的监督检查力度</w:t>
      </w:r>
      <w:r>
        <w:rPr>
          <w:rFonts w:hint="eastAsia" w:ascii="仿宋_GB2312" w:hAnsi="仿宋" w:eastAsia="仿宋_GB2312"/>
          <w:color w:val="auto"/>
          <w:sz w:val="32"/>
          <w:szCs w:val="32"/>
        </w:rPr>
        <w:t>，</w:t>
      </w:r>
      <w:r>
        <w:rPr>
          <w:rFonts w:ascii="仿宋_GB2312" w:hAnsi="仿宋" w:eastAsia="仿宋_GB2312"/>
          <w:color w:val="auto"/>
          <w:sz w:val="32"/>
          <w:szCs w:val="32"/>
        </w:rPr>
        <w:t>实行全过程监督检查</w:t>
      </w:r>
      <w:r>
        <w:rPr>
          <w:rFonts w:hint="eastAsia" w:ascii="仿宋_GB2312" w:hAnsi="仿宋" w:eastAsia="仿宋_GB2312"/>
          <w:color w:val="auto"/>
          <w:sz w:val="32"/>
          <w:szCs w:val="32"/>
        </w:rPr>
        <w:t>，</w:t>
      </w:r>
      <w:r>
        <w:rPr>
          <w:rFonts w:ascii="仿宋_GB2312" w:hAnsi="仿宋" w:eastAsia="仿宋_GB2312"/>
          <w:color w:val="auto"/>
          <w:sz w:val="32"/>
          <w:szCs w:val="32"/>
        </w:rPr>
        <w:t>确保项目</w:t>
      </w:r>
      <w:r>
        <w:rPr>
          <w:rFonts w:hint="eastAsia" w:ascii="仿宋_GB2312" w:hAnsi="仿宋" w:eastAsia="仿宋_GB2312"/>
          <w:color w:val="auto"/>
          <w:sz w:val="32"/>
          <w:szCs w:val="32"/>
        </w:rPr>
        <w:t>按时</w:t>
      </w:r>
      <w:r>
        <w:rPr>
          <w:rFonts w:ascii="仿宋_GB2312" w:hAnsi="仿宋" w:eastAsia="仿宋_GB2312"/>
          <w:color w:val="auto"/>
          <w:sz w:val="32"/>
          <w:szCs w:val="32"/>
        </w:rPr>
        <w:t>完成。</w:t>
      </w:r>
    </w:p>
    <w:p>
      <w:pPr>
        <w:spacing w:line="640" w:lineRule="exact"/>
        <w:ind w:firstLine="640" w:firstLineChars="200"/>
        <w:rPr>
          <w:rFonts w:ascii="仿宋_GB2312" w:hAnsi="仿宋" w:eastAsia="仿宋_GB2312"/>
          <w:color w:val="auto"/>
          <w:sz w:val="32"/>
          <w:szCs w:val="32"/>
        </w:rPr>
      </w:pPr>
      <w:r>
        <w:rPr>
          <w:rFonts w:hint="eastAsia" w:ascii="仿宋_GB2312" w:hAnsi="仿宋" w:eastAsia="仿宋_GB2312"/>
          <w:color w:val="auto"/>
          <w:sz w:val="32"/>
          <w:szCs w:val="32"/>
        </w:rPr>
        <w:t>评价认为，该项目的资金管理、组织实施较为有效，资金到位率100%、预算执行率100%，资金使用</w:t>
      </w:r>
      <w:r>
        <w:rPr>
          <w:rFonts w:hint="eastAsia" w:ascii="仿宋_GB2312" w:hAnsi="仿宋" w:eastAsia="仿宋_GB2312"/>
          <w:color w:val="auto"/>
          <w:sz w:val="32"/>
          <w:szCs w:val="32"/>
          <w:lang w:val="en-US" w:eastAsia="zh-CN"/>
        </w:rPr>
        <w:t>基本</w:t>
      </w:r>
      <w:r>
        <w:rPr>
          <w:rFonts w:hint="eastAsia" w:ascii="仿宋_GB2312" w:hAnsi="仿宋" w:eastAsia="仿宋_GB2312"/>
          <w:color w:val="auto"/>
          <w:sz w:val="32"/>
          <w:szCs w:val="32"/>
        </w:rPr>
        <w:t>合规，管理制度</w:t>
      </w:r>
      <w:r>
        <w:rPr>
          <w:rFonts w:hint="eastAsia" w:ascii="仿宋_GB2312" w:hAnsi="仿宋" w:eastAsia="仿宋_GB2312"/>
          <w:color w:val="auto"/>
          <w:sz w:val="32"/>
          <w:szCs w:val="32"/>
          <w:lang w:val="en-US" w:eastAsia="zh-CN"/>
        </w:rPr>
        <w:t>较为</w:t>
      </w:r>
      <w:r>
        <w:rPr>
          <w:rFonts w:hint="eastAsia" w:ascii="仿宋_GB2312" w:hAnsi="仿宋" w:eastAsia="仿宋_GB2312"/>
          <w:color w:val="auto"/>
          <w:sz w:val="32"/>
          <w:szCs w:val="32"/>
        </w:rPr>
        <w:t>健全，制度执行</w:t>
      </w:r>
      <w:r>
        <w:rPr>
          <w:rFonts w:hint="eastAsia" w:ascii="仿宋_GB2312" w:hAnsi="仿宋" w:eastAsia="仿宋_GB2312"/>
          <w:color w:val="auto"/>
          <w:sz w:val="32"/>
          <w:szCs w:val="32"/>
          <w:lang w:val="en-US" w:eastAsia="zh-CN"/>
        </w:rPr>
        <w:t>基本</w:t>
      </w:r>
      <w:r>
        <w:rPr>
          <w:rFonts w:hint="eastAsia" w:ascii="仿宋_GB2312" w:hAnsi="仿宋" w:eastAsia="仿宋_GB2312"/>
          <w:color w:val="auto"/>
          <w:sz w:val="32"/>
          <w:szCs w:val="32"/>
        </w:rPr>
        <w:t>有效。但实施方案内容不够完整，项目过程管理不够完善。</w:t>
      </w:r>
    </w:p>
    <w:p>
      <w:pPr>
        <w:spacing w:line="600" w:lineRule="exact"/>
        <w:ind w:firstLine="640" w:firstLineChars="200"/>
        <w:outlineLvl w:val="1"/>
        <w:rPr>
          <w:rFonts w:ascii="楷体_GB2312" w:hAnsi="楷体_GB2312" w:eastAsia="楷体_GB2312" w:cs="楷体_GB2312"/>
          <w:color w:val="auto"/>
          <w:sz w:val="32"/>
          <w:szCs w:val="32"/>
        </w:rPr>
      </w:pPr>
      <w:bookmarkStart w:id="42" w:name="_Toc7385"/>
      <w:r>
        <w:rPr>
          <w:rFonts w:hint="eastAsia" w:ascii="楷体_GB2312" w:hAnsi="楷体_GB2312" w:eastAsia="楷体_GB2312" w:cs="楷体_GB2312"/>
          <w:color w:val="auto"/>
          <w:sz w:val="32"/>
          <w:szCs w:val="32"/>
        </w:rPr>
        <w:t>（三）项目产出情况。</w:t>
      </w:r>
      <w:bookmarkEnd w:id="42"/>
    </w:p>
    <w:p>
      <w:pPr>
        <w:spacing w:line="640" w:lineRule="exact"/>
        <w:ind w:firstLine="640" w:firstLineChars="200"/>
        <w:rPr>
          <w:rFonts w:hint="eastAsia"/>
          <w:color w:val="auto"/>
          <w:lang w:val="en-US" w:eastAsia="zh-CN"/>
        </w:rPr>
      </w:pPr>
      <w:bookmarkStart w:id="43" w:name="_Toc387915321"/>
      <w:r>
        <w:rPr>
          <w:rFonts w:hint="eastAsia" w:ascii="仿宋_GB2312" w:hAnsi="仿宋" w:eastAsia="仿宋_GB2312"/>
          <w:color w:val="auto"/>
          <w:sz w:val="32"/>
          <w:szCs w:val="32"/>
        </w:rPr>
        <w:t>该项目实施按照申报书、年度工作计划、年度绩效指标的进度要求，已于</w:t>
      </w:r>
      <w:r>
        <w:rPr>
          <w:rFonts w:hint="eastAsia" w:ascii="仿宋_GB2312" w:hAnsi="仿宋" w:eastAsia="仿宋_GB2312"/>
          <w:color w:val="auto"/>
          <w:sz w:val="32"/>
          <w:szCs w:val="32"/>
          <w:lang w:eastAsia="zh-CN"/>
        </w:rPr>
        <w:t>2023年</w:t>
      </w:r>
      <w:r>
        <w:rPr>
          <w:rFonts w:hint="eastAsia" w:ascii="仿宋_GB2312" w:hAnsi="仿宋" w:eastAsia="仿宋_GB2312"/>
          <w:color w:val="auto"/>
          <w:sz w:val="32"/>
          <w:szCs w:val="32"/>
        </w:rPr>
        <w:t>12月31日完成</w:t>
      </w:r>
      <w:bookmarkEnd w:id="43"/>
      <w:r>
        <w:rPr>
          <w:rFonts w:hint="eastAsia" w:ascii="仿宋_GB2312" w:hAnsi="仿宋" w:eastAsia="仿宋_GB2312"/>
          <w:color w:val="auto"/>
          <w:sz w:val="32"/>
          <w:szCs w:val="32"/>
        </w:rPr>
        <w:t>了全年申报的相关工作。</w:t>
      </w:r>
      <w:r>
        <w:rPr>
          <w:rFonts w:hint="eastAsia" w:ascii="仿宋_GB2312" w:hAnsi="仿宋" w:eastAsia="仿宋_GB2312"/>
          <w:color w:val="auto"/>
          <w:sz w:val="32"/>
          <w:szCs w:val="32"/>
          <w:highlight w:val="none"/>
          <w:lang w:eastAsia="zh-CN"/>
        </w:rPr>
        <w:t>房山区检察院</w:t>
      </w:r>
      <w:r>
        <w:rPr>
          <w:rFonts w:hint="eastAsia" w:ascii="仿宋_GB2312" w:hAnsi="仿宋" w:eastAsia="仿宋_GB2312"/>
          <w:color w:val="auto"/>
          <w:sz w:val="32"/>
          <w:szCs w:val="32"/>
          <w:highlight w:val="none"/>
          <w:lang w:val="en-US" w:eastAsia="zh-CN"/>
        </w:rPr>
        <w:t>全年</w:t>
      </w:r>
      <w:r>
        <w:rPr>
          <w:rFonts w:hint="eastAsia" w:ascii="仿宋_GB2312" w:hAnsi="仿宋" w:eastAsia="仿宋_GB2312"/>
          <w:color w:val="auto"/>
          <w:sz w:val="32"/>
          <w:szCs w:val="32"/>
          <w:highlight w:val="none"/>
        </w:rPr>
        <w:t>受理案件</w:t>
      </w:r>
      <w:r>
        <w:rPr>
          <w:rFonts w:hint="eastAsia" w:ascii="仿宋_GB2312" w:hAnsi="仿宋" w:eastAsia="仿宋_GB2312"/>
          <w:color w:val="auto"/>
          <w:sz w:val="32"/>
          <w:szCs w:val="32"/>
          <w:highlight w:val="none"/>
          <w:lang w:val="en-US" w:eastAsia="zh-CN"/>
        </w:rPr>
        <w:t>7952</w:t>
      </w:r>
      <w:r>
        <w:rPr>
          <w:rFonts w:hint="eastAsia" w:ascii="仿宋_GB2312" w:hAnsi="仿宋" w:eastAsia="仿宋_GB2312"/>
          <w:color w:val="auto"/>
          <w:sz w:val="32"/>
          <w:szCs w:val="32"/>
          <w:highlight w:val="none"/>
        </w:rPr>
        <w:t>件、办结</w:t>
      </w:r>
      <w:r>
        <w:rPr>
          <w:rFonts w:hint="eastAsia" w:ascii="仿宋_GB2312" w:hAnsi="仿宋" w:eastAsia="仿宋_GB2312"/>
          <w:color w:val="auto"/>
          <w:sz w:val="32"/>
          <w:szCs w:val="32"/>
          <w:highlight w:val="none"/>
          <w:lang w:eastAsia="zh-CN"/>
        </w:rPr>
        <w:t>案件</w:t>
      </w:r>
      <w:r>
        <w:rPr>
          <w:rFonts w:hint="eastAsia" w:ascii="仿宋_GB2312" w:hAnsi="仿宋" w:eastAsia="仿宋_GB2312"/>
          <w:color w:val="auto"/>
          <w:sz w:val="32"/>
          <w:szCs w:val="32"/>
          <w:highlight w:val="none"/>
          <w:lang w:val="en-US" w:eastAsia="zh-CN"/>
        </w:rPr>
        <w:t>7608</w:t>
      </w:r>
      <w:r>
        <w:rPr>
          <w:rFonts w:hint="eastAsia" w:ascii="仿宋_GB2312" w:hAnsi="仿宋" w:eastAsia="仿宋_GB2312"/>
          <w:color w:val="auto"/>
          <w:sz w:val="32"/>
          <w:szCs w:val="32"/>
          <w:highlight w:val="none"/>
        </w:rPr>
        <w:t>件</w:t>
      </w:r>
      <w:r>
        <w:rPr>
          <w:rFonts w:hint="eastAsia" w:ascii="仿宋_GB2312" w:hAnsi="仿宋" w:eastAsia="仿宋_GB2312"/>
          <w:color w:val="auto"/>
          <w:sz w:val="32"/>
          <w:szCs w:val="32"/>
          <w:highlight w:val="none"/>
          <w:lang w:eastAsia="zh-CN"/>
        </w:rPr>
        <w:t>，受理案件结案率</w:t>
      </w:r>
      <w:r>
        <w:rPr>
          <w:rFonts w:hint="eastAsia" w:ascii="仿宋_GB2312" w:hAnsi="仿宋" w:eastAsia="仿宋_GB2312"/>
          <w:color w:val="auto"/>
          <w:sz w:val="32"/>
          <w:szCs w:val="32"/>
          <w:highlight w:val="none"/>
          <w:lang w:val="en-US" w:eastAsia="zh-CN"/>
        </w:rPr>
        <w:t>95.67%</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lang w:eastAsia="zh-CN"/>
        </w:rPr>
        <w:t>举行公开听证</w:t>
      </w:r>
      <w:r>
        <w:rPr>
          <w:rFonts w:hint="eastAsia" w:ascii="仿宋_GB2312" w:hAnsi="仿宋" w:eastAsia="仿宋_GB2312"/>
          <w:color w:val="auto"/>
          <w:sz w:val="32"/>
          <w:szCs w:val="32"/>
          <w:lang w:val="en-US" w:eastAsia="zh-CN"/>
        </w:rPr>
        <w:t>19次，公开听证案件51件；全年保障业务培训36次；全年保障办案差旅31人次；完成普法宣传133次；制发社会治理、再审（民事）、纠正违法、公益诉讼（行政）等各类检察建议1452个，检察建议采纳率99.45%。2023年度检察工作报告经房山区第九届人民代表大会第四次会议全体参会代表表决，获全票通过，完成了绩效指标的全部内容。具体绩效指标完成情况如下：</w:t>
      </w:r>
    </w:p>
    <w:tbl>
      <w:tblPr>
        <w:tblStyle w:val="15"/>
        <w:tblW w:w="84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46"/>
        <w:gridCol w:w="2884"/>
        <w:gridCol w:w="1539"/>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12" w:hRule="atLeast"/>
          <w:tblHeader/>
        </w:trPr>
        <w:tc>
          <w:tcPr>
            <w:tcW w:w="23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宋体" w:hAnsi="宋体" w:eastAsia="宋体" w:cs="宋体"/>
                <w:b/>
                <w:bCs/>
                <w:i w:val="0"/>
                <w:color w:val="auto"/>
                <w:sz w:val="21"/>
                <w:szCs w:val="21"/>
                <w:u w:val="none"/>
              </w:rPr>
            </w:pPr>
            <w:r>
              <w:rPr>
                <w:rFonts w:hint="eastAsia" w:ascii="宋体" w:hAnsi="宋体" w:eastAsia="宋体" w:cs="宋体"/>
                <w:b/>
                <w:bCs/>
                <w:i w:val="0"/>
                <w:color w:val="auto"/>
                <w:kern w:val="0"/>
                <w:sz w:val="21"/>
                <w:szCs w:val="21"/>
                <w:u w:val="none"/>
                <w:lang w:val="en-US" w:eastAsia="zh-CN" w:bidi="ar"/>
              </w:rPr>
              <w:t>二级指标</w:t>
            </w:r>
          </w:p>
        </w:tc>
        <w:tc>
          <w:tcPr>
            <w:tcW w:w="288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宋体" w:hAnsi="宋体" w:eastAsia="宋体" w:cs="宋体"/>
                <w:b/>
                <w:bCs/>
                <w:i w:val="0"/>
                <w:color w:val="auto"/>
                <w:sz w:val="21"/>
                <w:szCs w:val="21"/>
                <w:u w:val="none"/>
              </w:rPr>
            </w:pPr>
            <w:r>
              <w:rPr>
                <w:rFonts w:hint="eastAsia" w:ascii="宋体" w:hAnsi="宋体" w:eastAsia="宋体" w:cs="宋体"/>
                <w:b/>
                <w:bCs/>
                <w:i w:val="0"/>
                <w:color w:val="auto"/>
                <w:kern w:val="0"/>
                <w:sz w:val="21"/>
                <w:szCs w:val="21"/>
                <w:u w:val="none"/>
                <w:lang w:val="en-US" w:eastAsia="zh-CN" w:bidi="ar"/>
              </w:rPr>
              <w:t>三级指标</w:t>
            </w:r>
          </w:p>
        </w:tc>
        <w:tc>
          <w:tcPr>
            <w:tcW w:w="1539"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宋体" w:hAnsi="宋体" w:eastAsia="宋体" w:cs="宋体"/>
                <w:b/>
                <w:bCs/>
                <w:i w:val="0"/>
                <w:color w:val="auto"/>
                <w:sz w:val="21"/>
                <w:szCs w:val="21"/>
                <w:u w:val="none"/>
              </w:rPr>
            </w:pPr>
            <w:r>
              <w:rPr>
                <w:rFonts w:hint="eastAsia" w:ascii="宋体" w:hAnsi="宋体" w:eastAsia="宋体" w:cs="宋体"/>
                <w:b/>
                <w:bCs/>
                <w:i w:val="0"/>
                <w:color w:val="auto"/>
                <w:kern w:val="0"/>
                <w:sz w:val="21"/>
                <w:szCs w:val="21"/>
                <w:u w:val="none"/>
                <w:lang w:val="en-US" w:eastAsia="zh-CN" w:bidi="ar"/>
              </w:rPr>
              <w:t>年度指标值</w:t>
            </w:r>
          </w:p>
        </w:tc>
        <w:tc>
          <w:tcPr>
            <w:tcW w:w="171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宋体" w:hAnsi="宋体" w:eastAsia="宋体" w:cs="宋体"/>
                <w:b/>
                <w:bCs/>
                <w:i w:val="0"/>
                <w:color w:val="auto"/>
                <w:sz w:val="21"/>
                <w:szCs w:val="21"/>
                <w:u w:val="none"/>
              </w:rPr>
            </w:pPr>
            <w:r>
              <w:rPr>
                <w:rFonts w:hint="eastAsia" w:ascii="宋体" w:hAnsi="宋体" w:eastAsia="宋体" w:cs="宋体"/>
                <w:b/>
                <w:bCs/>
                <w:i w:val="0"/>
                <w:color w:val="auto"/>
                <w:kern w:val="0"/>
                <w:sz w:val="21"/>
                <w:szCs w:val="21"/>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12"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auto"/>
                <w:sz w:val="21"/>
                <w:szCs w:val="21"/>
                <w:u w:val="none"/>
              </w:rPr>
            </w:pPr>
          </w:p>
        </w:tc>
        <w:tc>
          <w:tcPr>
            <w:tcW w:w="1539"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171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数量指标</w:t>
            </w: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业务培训</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≥30次</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36次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案件受理数</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≥3500件</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7952件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保障业务部门</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≥11个</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公开听证</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≥15次</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19次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差旅</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≥20人次</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31人次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法律宣传次数</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≥100次</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133次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质量指标</w:t>
            </w: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受理案件结案率</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≥95%</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u w:val="none"/>
              </w:rPr>
            </w:pPr>
            <w:r>
              <w:rPr>
                <w:rFonts w:hint="eastAsia" w:ascii="宋体" w:hAnsi="宋体" w:eastAsia="宋体" w:cs="宋体"/>
                <w:i w:val="0"/>
                <w:color w:val="auto"/>
                <w:kern w:val="0"/>
                <w:sz w:val="21"/>
                <w:szCs w:val="21"/>
                <w:highlight w:val="none"/>
                <w:u w:val="none"/>
                <w:lang w:val="en-US" w:eastAsia="zh-CN" w:bidi="ar"/>
              </w:rPr>
              <w:t>9</w:t>
            </w:r>
            <w:r>
              <w:rPr>
                <w:rFonts w:hint="eastAsia" w:ascii="宋体" w:hAnsi="宋体" w:cs="宋体"/>
                <w:i w:val="0"/>
                <w:color w:val="auto"/>
                <w:kern w:val="0"/>
                <w:sz w:val="21"/>
                <w:szCs w:val="21"/>
                <w:highlight w:val="none"/>
                <w:u w:val="none"/>
                <w:lang w:val="en-US" w:eastAsia="zh-CN" w:bidi="ar"/>
              </w:rPr>
              <w:t>5</w:t>
            </w:r>
            <w:r>
              <w:rPr>
                <w:rFonts w:hint="eastAsia" w:ascii="宋体" w:hAnsi="宋体" w:eastAsia="宋体" w:cs="宋体"/>
                <w:i w:val="0"/>
                <w:color w:val="auto"/>
                <w:kern w:val="0"/>
                <w:sz w:val="21"/>
                <w:szCs w:val="21"/>
                <w:highlight w:val="none"/>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auto"/>
                <w:sz w:val="21"/>
                <w:szCs w:val="21"/>
                <w:u w:val="none"/>
              </w:rPr>
            </w:pP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检察建议采纳率</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≥95%</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经济成本指标</w:t>
            </w: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预算控制数</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≤490万元</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431.396932万元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社会效益指标</w:t>
            </w: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打击犯罪力度</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提升</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可持续影响指标</w:t>
            </w: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服务区域经济社会发展</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提升</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3" w:hRule="atLeast"/>
        </w:trPr>
        <w:tc>
          <w:tcPr>
            <w:tcW w:w="23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服务对象满意度指标</w:t>
            </w:r>
          </w:p>
        </w:tc>
        <w:tc>
          <w:tcPr>
            <w:tcW w:w="28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检察工作报告人大审议支持率</w:t>
            </w:r>
          </w:p>
        </w:tc>
        <w:tc>
          <w:tcPr>
            <w:tcW w:w="153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≥95%</w:t>
            </w:r>
          </w:p>
        </w:tc>
        <w:tc>
          <w:tcPr>
            <w:tcW w:w="171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100.00%</w:t>
            </w:r>
          </w:p>
        </w:tc>
      </w:tr>
    </w:tbl>
    <w:p>
      <w:pPr>
        <w:spacing w:line="640" w:lineRule="exact"/>
        <w:ind w:firstLine="640" w:firstLineChars="200"/>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rPr>
        <w:t>评价认为，该项目完成了预期产出数量，达到了预期产出质量标准，及时完成了</w:t>
      </w:r>
      <w:r>
        <w:rPr>
          <w:rFonts w:hint="eastAsia" w:ascii="仿宋_GB2312" w:hAnsi="仿宋" w:eastAsia="仿宋_GB2312"/>
          <w:color w:val="auto"/>
          <w:sz w:val="32"/>
          <w:szCs w:val="32"/>
          <w:lang w:eastAsia="zh-CN"/>
        </w:rPr>
        <w:t>2023年</w:t>
      </w:r>
      <w:r>
        <w:rPr>
          <w:rFonts w:hint="eastAsia" w:ascii="仿宋_GB2312" w:hAnsi="仿宋" w:eastAsia="仿宋_GB2312"/>
          <w:color w:val="auto"/>
          <w:sz w:val="32"/>
          <w:szCs w:val="32"/>
        </w:rPr>
        <w:t>相关工作，在预算控制方面采取了一定的成本控制措施，成本控制较好。</w:t>
      </w:r>
    </w:p>
    <w:p>
      <w:pPr>
        <w:spacing w:line="600" w:lineRule="exact"/>
        <w:ind w:firstLine="640" w:firstLineChars="200"/>
        <w:outlineLvl w:val="1"/>
        <w:rPr>
          <w:rFonts w:ascii="楷体_GB2312" w:hAnsi="楷体_GB2312" w:eastAsia="楷体_GB2312" w:cs="楷体_GB2312"/>
          <w:color w:val="auto"/>
          <w:sz w:val="32"/>
          <w:szCs w:val="32"/>
        </w:rPr>
      </w:pPr>
      <w:bookmarkStart w:id="44" w:name="_Toc18556"/>
      <w:r>
        <w:rPr>
          <w:rFonts w:hint="eastAsia" w:ascii="楷体_GB2312" w:hAnsi="楷体_GB2312" w:eastAsia="楷体_GB2312" w:cs="楷体_GB2312"/>
          <w:color w:val="auto"/>
          <w:sz w:val="32"/>
          <w:szCs w:val="32"/>
        </w:rPr>
        <w:t>（四）项目效益情况。</w:t>
      </w:r>
      <w:bookmarkEnd w:id="44"/>
    </w:p>
    <w:p>
      <w:pPr>
        <w:pStyle w:val="23"/>
        <w:ind w:firstLine="660"/>
        <w:rPr>
          <w:rFonts w:ascii="仿宋_GB2312" w:eastAsia="仿宋_GB2312"/>
          <w:color w:val="auto"/>
          <w:sz w:val="32"/>
          <w:szCs w:val="32"/>
        </w:rPr>
      </w:pPr>
      <w:r>
        <w:rPr>
          <w:rFonts w:hint="eastAsia" w:hAnsi="宋体" w:cs="宋体"/>
          <w:color w:val="auto"/>
          <w:sz w:val="32"/>
          <w:szCs w:val="32"/>
          <w:highlight w:val="none"/>
          <w:lang w:val="en-US" w:eastAsia="zh-CN"/>
        </w:rPr>
        <w:t>房山区检察院坚持和发展新时代“枫桥经验”，主动对接区城市管理指挥中心12345市民服务热线，建立“检察+热线”工作机制，深度融入“平安好邻居”品牌建设，深化检察服务e站，拓展检察监督线索，妥善办理公益诉讼、民事支持起诉等案件300余件。充分发挥“全国检察机关文明接待室”作用，成立“e心为民”接访团队，推进信访工作关口前移，院领导包案办理信访案件6件，检察服务e站小程序访问次数32万余次，留言2.4万余条，解决诉求1200余件。为了提升房山区检察院的影响力，</w:t>
      </w:r>
      <w:r>
        <w:rPr>
          <w:rFonts w:hint="eastAsia" w:hAnsi="宋体" w:cs="宋体"/>
          <w:color w:val="auto"/>
          <w:sz w:val="32"/>
          <w:szCs w:val="32"/>
          <w:highlight w:val="none"/>
        </w:rPr>
        <w:t>邀请了资深媒体记者来院采访，开展平面、电视、网络相结合的立体化宣传，增加</w:t>
      </w:r>
      <w:r>
        <w:rPr>
          <w:rFonts w:hAnsi="宋体" w:cs="宋体"/>
          <w:color w:val="auto"/>
          <w:sz w:val="32"/>
          <w:szCs w:val="32"/>
          <w:highlight w:val="none"/>
        </w:rPr>
        <w:t>了广大群众对</w:t>
      </w:r>
      <w:r>
        <w:rPr>
          <w:rFonts w:hint="eastAsia" w:hAnsi="宋体" w:cs="宋体"/>
          <w:color w:val="auto"/>
          <w:sz w:val="32"/>
          <w:szCs w:val="32"/>
          <w:highlight w:val="none"/>
        </w:rPr>
        <w:t>检察工作的认同和支持。</w:t>
      </w:r>
      <w:r>
        <w:rPr>
          <w:rFonts w:hint="eastAsia" w:hAnsi="宋体" w:cs="宋体"/>
          <w:color w:val="auto"/>
          <w:sz w:val="32"/>
          <w:szCs w:val="32"/>
          <w:highlight w:val="none"/>
          <w:lang w:val="en-US" w:eastAsia="zh-CN"/>
        </w:rPr>
        <w:t>为了提高广大民众的法律意识，加大了宣传力度，2023年制作了检察题材的房山检察版《万疆》MV宣传片，于年底在房山区检察院微信公众号推出，截至5月17日浏览量二千六百余次，点赞二百二十余个，同时作为房山区检察院宣传视频在电梯宣传屏、展厅等播放，多次在会议前播放，现场观看超千人次，并由房山区检察院干警在团拜会上合唱演出，市院、区委、区委政法委、区有关部门领导，部分人大代表和政协委员及房山区检察院全体干警均出席现场，获得一致好评；拍摄了大数据法律监督模型汇报视频2个，参加市检察院组织的全市检察机关大数据法律监督模型竞赛现场评选及最高检组织的全国检察机关大数据法律监督模型竞赛，相关大数据模型获评全国三等奖；与北京市石景山区人民检察院共同制作了公积金虚假诉讼法律监督大数据模型微电影《寻金迹》，于2024年1月1日由北京市检察院在其微信公众号</w:t>
      </w:r>
      <w:r>
        <w:rPr>
          <w:rFonts w:hint="eastAsia" w:ascii="仿宋_GB2312" w:hAnsi="宋体" w:eastAsia="仿宋_GB2312" w:cs="宋体"/>
          <w:color w:val="auto"/>
          <w:sz w:val="32"/>
          <w:szCs w:val="32"/>
          <w:highlight w:val="none"/>
          <w:lang w:val="en-US" w:eastAsia="zh-CN"/>
        </w:rPr>
        <w:t>、微博、抖音等多平台发布</w:t>
      </w:r>
      <w:r>
        <w:rPr>
          <w:rFonts w:hint="eastAsia" w:hAnsi="宋体" w:cs="宋体"/>
          <w:color w:val="auto"/>
          <w:sz w:val="32"/>
          <w:szCs w:val="32"/>
          <w:highlight w:val="none"/>
          <w:lang w:val="en-US" w:eastAsia="zh-CN"/>
        </w:rPr>
        <w:t>，于1月7日在北京广播电视台黄金档《财富剧场》栏目播出，于2月14日在北京卫视《法治进行时》春节特别节目播出并作了专题报道。主动与燕山石化、北京基金小镇、北京金融安全产业园对接，开展“防非反诈”、企业合规、知识产权保护等法律宣传，深化与区金融办、中国互联网金融协会信息共享、磋商协作机制，制发金融检察白皮书，参加2023北京国际金融安全论坛，提供政策法律咨询服务，向前一步防范化解金融风险，努力提升金融检察履职效能。</w:t>
      </w:r>
      <w:r>
        <w:rPr>
          <w:rFonts w:hint="eastAsia" w:hAnsi="宋体" w:cs="宋体"/>
          <w:color w:val="auto"/>
          <w:sz w:val="32"/>
          <w:szCs w:val="32"/>
          <w:highlight w:val="none"/>
        </w:rPr>
        <w:t>另外</w:t>
      </w:r>
      <w:r>
        <w:rPr>
          <w:rFonts w:hAnsi="宋体" w:cs="宋体"/>
          <w:color w:val="auto"/>
          <w:sz w:val="32"/>
          <w:szCs w:val="32"/>
          <w:highlight w:val="none"/>
        </w:rPr>
        <w:t>，</w:t>
      </w:r>
      <w:r>
        <w:rPr>
          <w:rFonts w:hint="eastAsia" w:hAnsi="宋体" w:cs="宋体"/>
          <w:color w:val="auto"/>
          <w:sz w:val="32"/>
          <w:szCs w:val="32"/>
          <w:highlight w:val="none"/>
          <w:lang w:eastAsia="zh-CN"/>
        </w:rPr>
        <w:t>房山区检察院</w:t>
      </w:r>
      <w:r>
        <w:rPr>
          <w:rFonts w:hint="eastAsia" w:hAnsi="宋体" w:cs="宋体"/>
          <w:color w:val="auto"/>
          <w:sz w:val="32"/>
          <w:szCs w:val="32"/>
          <w:highlight w:val="none"/>
        </w:rPr>
        <w:t>充分利用社会各界对检察工作进行外部监督，积极与相关部门合作，开展</w:t>
      </w:r>
      <w:r>
        <w:rPr>
          <w:rFonts w:hint="eastAsia" w:hAnsi="宋体" w:cs="宋体"/>
          <w:color w:val="auto"/>
          <w:sz w:val="32"/>
          <w:szCs w:val="32"/>
          <w:highlight w:val="none"/>
          <w:lang w:val="en-US" w:eastAsia="zh-CN"/>
        </w:rPr>
        <w:t>各类</w:t>
      </w:r>
      <w:r>
        <w:rPr>
          <w:rFonts w:hint="eastAsia" w:hAnsi="宋体" w:cs="宋体"/>
          <w:color w:val="auto"/>
          <w:sz w:val="32"/>
          <w:szCs w:val="32"/>
          <w:highlight w:val="none"/>
        </w:rPr>
        <w:t>主题的检察开放活动，及时向社会各界宣传检察工作，树立了良好的检察形象。</w:t>
      </w:r>
      <w:r>
        <w:rPr>
          <w:rFonts w:hint="eastAsia" w:hAnsi="仿宋" w:cs="Times New Roman"/>
          <w:color w:val="auto"/>
          <w:kern w:val="2"/>
          <w:sz w:val="32"/>
          <w:szCs w:val="32"/>
          <w:highlight w:val="none"/>
          <w:lang w:eastAsia="zh-CN"/>
        </w:rPr>
        <w:t>房山区检察院</w:t>
      </w:r>
      <w:r>
        <w:rPr>
          <w:rFonts w:hint="eastAsia" w:hAnsi="仿宋" w:cs="Times New Roman"/>
          <w:color w:val="auto"/>
          <w:kern w:val="2"/>
          <w:sz w:val="32"/>
          <w:szCs w:val="32"/>
          <w:highlight w:val="none"/>
        </w:rPr>
        <w:t>通过</w:t>
      </w:r>
      <w:r>
        <w:rPr>
          <w:rFonts w:hAnsi="仿宋" w:cs="Times New Roman"/>
          <w:color w:val="auto"/>
          <w:kern w:val="2"/>
          <w:sz w:val="32"/>
          <w:szCs w:val="32"/>
          <w:highlight w:val="none"/>
        </w:rPr>
        <w:t>聘请知名专家</w:t>
      </w:r>
      <w:r>
        <w:rPr>
          <w:rFonts w:hint="eastAsia" w:hAnsi="仿宋" w:cs="Times New Roman"/>
          <w:color w:val="auto"/>
          <w:kern w:val="2"/>
          <w:sz w:val="32"/>
          <w:szCs w:val="32"/>
          <w:highlight w:val="none"/>
        </w:rPr>
        <w:t>、</w:t>
      </w:r>
      <w:r>
        <w:rPr>
          <w:rFonts w:hAnsi="仿宋" w:cs="Times New Roman"/>
          <w:color w:val="auto"/>
          <w:kern w:val="2"/>
          <w:sz w:val="32"/>
          <w:szCs w:val="32"/>
          <w:highlight w:val="none"/>
        </w:rPr>
        <w:t>业务骨干经验交流等形式开展了多次培训活动</w:t>
      </w:r>
      <w:r>
        <w:rPr>
          <w:rFonts w:hint="eastAsia" w:hAnsi="仿宋" w:cs="Times New Roman"/>
          <w:color w:val="auto"/>
          <w:kern w:val="2"/>
          <w:sz w:val="32"/>
          <w:szCs w:val="32"/>
          <w:highlight w:val="none"/>
        </w:rPr>
        <w:t>，另外</w:t>
      </w:r>
      <w:r>
        <w:rPr>
          <w:rFonts w:hAnsi="仿宋" w:cs="Times New Roman"/>
          <w:color w:val="auto"/>
          <w:kern w:val="2"/>
          <w:sz w:val="32"/>
          <w:szCs w:val="32"/>
          <w:highlight w:val="none"/>
        </w:rPr>
        <w:t>积极参加上级部门组织的培训活动</w:t>
      </w:r>
      <w:r>
        <w:rPr>
          <w:rFonts w:hint="eastAsia" w:hAnsi="仿宋" w:cs="Times New Roman"/>
          <w:color w:val="auto"/>
          <w:kern w:val="2"/>
          <w:sz w:val="32"/>
          <w:szCs w:val="32"/>
          <w:highlight w:val="none"/>
        </w:rPr>
        <w:t>。通过</w:t>
      </w:r>
      <w:r>
        <w:rPr>
          <w:rFonts w:hAnsi="仿宋" w:cs="Times New Roman"/>
          <w:color w:val="auto"/>
          <w:kern w:val="2"/>
          <w:sz w:val="32"/>
          <w:szCs w:val="32"/>
          <w:highlight w:val="none"/>
        </w:rPr>
        <w:t>业务培训，提升了检察人员的专业素能</w:t>
      </w:r>
      <w:r>
        <w:rPr>
          <w:rFonts w:hint="eastAsia" w:hAnsi="仿宋" w:cs="Times New Roman"/>
          <w:color w:val="auto"/>
          <w:kern w:val="2"/>
          <w:sz w:val="32"/>
          <w:szCs w:val="32"/>
          <w:highlight w:val="none"/>
        </w:rPr>
        <w:t>，开阔了视野和</w:t>
      </w:r>
      <w:r>
        <w:rPr>
          <w:rFonts w:hAnsi="仿宋" w:cs="Times New Roman"/>
          <w:color w:val="auto"/>
          <w:kern w:val="2"/>
          <w:sz w:val="32"/>
          <w:szCs w:val="32"/>
          <w:highlight w:val="none"/>
        </w:rPr>
        <w:t>思维，实现了‘学人之长补己之短’</w:t>
      </w:r>
      <w:r>
        <w:rPr>
          <w:rFonts w:hint="eastAsia" w:hAnsi="仿宋" w:cs="Times New Roman"/>
          <w:color w:val="auto"/>
          <w:kern w:val="2"/>
          <w:sz w:val="32"/>
          <w:szCs w:val="32"/>
          <w:highlight w:val="none"/>
        </w:rPr>
        <w:t>，</w:t>
      </w:r>
      <w:r>
        <w:rPr>
          <w:rFonts w:hAnsi="仿宋" w:cs="Times New Roman"/>
          <w:color w:val="auto"/>
          <w:kern w:val="2"/>
          <w:sz w:val="32"/>
          <w:szCs w:val="32"/>
          <w:highlight w:val="none"/>
        </w:rPr>
        <w:t>最终用所学理论、经验、方法更好地指导检察工作实践</w:t>
      </w:r>
      <w:r>
        <w:rPr>
          <w:rFonts w:hint="eastAsia" w:ascii="Arial" w:hAnsi="Arial" w:cs="Arial"/>
          <w:color w:val="auto"/>
          <w:highlight w:val="none"/>
          <w:shd w:val="clear" w:color="auto" w:fill="FFFFFF"/>
          <w:lang w:eastAsia="zh-CN"/>
        </w:rPr>
        <w:t>。</w:t>
      </w:r>
      <w:r>
        <w:rPr>
          <w:rFonts w:hint="eastAsia" w:hAnsi="仿宋" w:cs="Times New Roman"/>
          <w:color w:val="auto"/>
          <w:kern w:val="2"/>
          <w:sz w:val="32"/>
          <w:szCs w:val="32"/>
          <w:highlight w:val="none"/>
          <w:lang w:eastAsia="zh-CN"/>
        </w:rPr>
        <w:t>房山区检察院</w:t>
      </w:r>
      <w:r>
        <w:rPr>
          <w:rFonts w:hint="eastAsia" w:hAnsi="仿宋" w:cs="Times New Roman"/>
          <w:color w:val="auto"/>
          <w:kern w:val="2"/>
          <w:sz w:val="32"/>
          <w:szCs w:val="32"/>
          <w:highlight w:val="none"/>
        </w:rPr>
        <w:t>检察人员依法履行</w:t>
      </w:r>
      <w:r>
        <w:rPr>
          <w:rFonts w:hAnsi="仿宋" w:cs="Times New Roman"/>
          <w:color w:val="auto"/>
          <w:kern w:val="2"/>
          <w:sz w:val="32"/>
          <w:szCs w:val="32"/>
          <w:highlight w:val="none"/>
        </w:rPr>
        <w:t>检察职责、</w:t>
      </w:r>
      <w:r>
        <w:rPr>
          <w:rFonts w:hint="eastAsia" w:hAnsi="仿宋" w:cs="Times New Roman"/>
          <w:color w:val="auto"/>
          <w:kern w:val="2"/>
          <w:sz w:val="32"/>
          <w:szCs w:val="32"/>
          <w:highlight w:val="none"/>
        </w:rPr>
        <w:t>多次赴外地</w:t>
      </w:r>
      <w:r>
        <w:rPr>
          <w:rFonts w:hAnsi="仿宋" w:cs="Times New Roman"/>
          <w:color w:val="auto"/>
          <w:kern w:val="2"/>
          <w:sz w:val="32"/>
          <w:szCs w:val="32"/>
          <w:highlight w:val="none"/>
        </w:rPr>
        <w:t>办理各类案件</w:t>
      </w:r>
      <w:r>
        <w:rPr>
          <w:rFonts w:hint="eastAsia" w:hAnsi="仿宋" w:cs="Times New Roman"/>
          <w:color w:val="auto"/>
          <w:kern w:val="2"/>
          <w:sz w:val="32"/>
          <w:szCs w:val="32"/>
          <w:highlight w:val="none"/>
        </w:rPr>
        <w:t>，</w:t>
      </w:r>
      <w:r>
        <w:rPr>
          <w:rFonts w:hint="eastAsia" w:hAnsi="仿宋" w:cs="Times New Roman"/>
          <w:color w:val="auto"/>
          <w:kern w:val="2"/>
          <w:sz w:val="32"/>
          <w:szCs w:val="32"/>
          <w:highlight w:val="none"/>
          <w:lang w:eastAsia="zh-CN"/>
        </w:rPr>
        <w:t>办案业务费</w:t>
      </w:r>
      <w:r>
        <w:rPr>
          <w:rFonts w:hint="eastAsia" w:hAnsi="仿宋" w:cs="Times New Roman"/>
          <w:color w:val="auto"/>
          <w:kern w:val="2"/>
          <w:sz w:val="32"/>
          <w:szCs w:val="32"/>
          <w:highlight w:val="none"/>
        </w:rPr>
        <w:t>有效保障</w:t>
      </w:r>
      <w:r>
        <w:rPr>
          <w:rFonts w:hAnsi="仿宋" w:cs="Times New Roman"/>
          <w:color w:val="auto"/>
          <w:kern w:val="2"/>
          <w:sz w:val="32"/>
          <w:szCs w:val="32"/>
          <w:highlight w:val="none"/>
        </w:rPr>
        <w:t>了</w:t>
      </w:r>
      <w:r>
        <w:rPr>
          <w:rFonts w:hint="eastAsia" w:hAnsi="仿宋" w:cs="Times New Roman"/>
          <w:color w:val="auto"/>
          <w:kern w:val="2"/>
          <w:sz w:val="32"/>
          <w:szCs w:val="32"/>
          <w:highlight w:val="none"/>
        </w:rPr>
        <w:t>按照规定标准开支</w:t>
      </w:r>
      <w:r>
        <w:rPr>
          <w:rFonts w:hAnsi="仿宋" w:cs="Times New Roman"/>
          <w:color w:val="auto"/>
          <w:kern w:val="2"/>
          <w:sz w:val="32"/>
          <w:szCs w:val="32"/>
          <w:highlight w:val="none"/>
        </w:rPr>
        <w:t>的城市间交通费、住宿费</w:t>
      </w:r>
      <w:r>
        <w:rPr>
          <w:rFonts w:hint="eastAsia" w:hAnsi="仿宋" w:cs="Times New Roman"/>
          <w:color w:val="auto"/>
          <w:kern w:val="2"/>
          <w:sz w:val="32"/>
          <w:szCs w:val="32"/>
          <w:highlight w:val="none"/>
        </w:rPr>
        <w:t>、</w:t>
      </w:r>
      <w:r>
        <w:rPr>
          <w:rFonts w:hAnsi="仿宋" w:cs="Times New Roman"/>
          <w:color w:val="auto"/>
          <w:kern w:val="2"/>
          <w:sz w:val="32"/>
          <w:szCs w:val="32"/>
          <w:highlight w:val="none"/>
        </w:rPr>
        <w:t>伙食补助费</w:t>
      </w:r>
      <w:r>
        <w:rPr>
          <w:rFonts w:hint="eastAsia" w:hAnsi="仿宋" w:cs="Times New Roman"/>
          <w:color w:val="auto"/>
          <w:kern w:val="2"/>
          <w:sz w:val="32"/>
          <w:szCs w:val="32"/>
          <w:highlight w:val="none"/>
          <w:lang w:eastAsia="zh-CN"/>
        </w:rPr>
        <w:t>等</w:t>
      </w:r>
      <w:r>
        <w:rPr>
          <w:rFonts w:hint="eastAsia" w:hAnsi="仿宋" w:cs="Times New Roman"/>
          <w:color w:val="auto"/>
          <w:kern w:val="2"/>
          <w:sz w:val="32"/>
          <w:szCs w:val="32"/>
          <w:highlight w:val="none"/>
        </w:rPr>
        <w:t>，使得检察业务</w:t>
      </w:r>
      <w:r>
        <w:rPr>
          <w:rFonts w:hAnsi="仿宋" w:cs="Times New Roman"/>
          <w:color w:val="auto"/>
          <w:kern w:val="2"/>
          <w:sz w:val="32"/>
          <w:szCs w:val="32"/>
          <w:highlight w:val="none"/>
        </w:rPr>
        <w:t>得以有效开展</w:t>
      </w:r>
      <w:r>
        <w:rPr>
          <w:rFonts w:hint="eastAsia" w:ascii="仿宋_GB2312" w:eastAsia="仿宋_GB2312"/>
          <w:color w:val="auto"/>
          <w:sz w:val="32"/>
          <w:szCs w:val="32"/>
        </w:rPr>
        <w:t>。</w:t>
      </w:r>
    </w:p>
    <w:p>
      <w:pPr>
        <w:ind w:firstLine="480"/>
        <w:rPr>
          <w:rFonts w:ascii="仿宋_GB2312" w:eastAsia="仿宋_GB2312"/>
          <w:color w:val="auto"/>
          <w:sz w:val="32"/>
          <w:szCs w:val="32"/>
        </w:rPr>
      </w:pPr>
      <w:r>
        <w:rPr>
          <w:rFonts w:hint="eastAsia" w:ascii="仿宋_GB2312" w:eastAsia="仿宋_GB2312"/>
          <w:color w:val="auto"/>
          <w:sz w:val="32"/>
          <w:szCs w:val="32"/>
        </w:rPr>
        <w:t>评价</w:t>
      </w:r>
      <w:r>
        <w:rPr>
          <w:rFonts w:hint="eastAsia" w:eastAsia="仿宋_GB2312"/>
          <w:color w:val="auto"/>
          <w:sz w:val="32"/>
          <w:szCs w:val="32"/>
        </w:rPr>
        <w:t>认为，该项目实施</w:t>
      </w:r>
      <w:r>
        <w:rPr>
          <w:rFonts w:hint="eastAsia" w:ascii="仿宋_GB2312" w:eastAsia="仿宋_GB2312"/>
          <w:color w:val="auto"/>
          <w:sz w:val="32"/>
          <w:szCs w:val="32"/>
        </w:rPr>
        <w:t>有利于法</w:t>
      </w:r>
      <w:r>
        <w:rPr>
          <w:rFonts w:hint="eastAsia" w:ascii="仿宋_GB2312" w:eastAsia="仿宋_GB2312"/>
          <w:color w:val="auto"/>
          <w:sz w:val="32"/>
          <w:szCs w:val="32"/>
          <w:lang w:eastAsia="zh-CN"/>
        </w:rPr>
        <w:t>治</w:t>
      </w:r>
      <w:r>
        <w:rPr>
          <w:rFonts w:hint="eastAsia" w:ascii="仿宋_GB2312" w:eastAsia="仿宋_GB2312"/>
          <w:color w:val="auto"/>
          <w:sz w:val="32"/>
          <w:szCs w:val="32"/>
        </w:rPr>
        <w:t>建设的推进，有利于法律监督力度的提升，有利于打击违法犯罪行为，对检察业务的长期推行具有重要影响，</w:t>
      </w:r>
      <w:r>
        <w:rPr>
          <w:rFonts w:hint="eastAsia" w:eastAsia="仿宋_GB2312"/>
          <w:color w:val="auto"/>
          <w:sz w:val="32"/>
          <w:szCs w:val="32"/>
        </w:rPr>
        <w:t>具有良好的社会效益和可持续性影响</w:t>
      </w:r>
      <w:r>
        <w:rPr>
          <w:rFonts w:hint="eastAsia" w:ascii="仿宋_GB2312" w:eastAsia="仿宋_GB2312"/>
          <w:color w:val="auto"/>
          <w:sz w:val="32"/>
          <w:szCs w:val="32"/>
        </w:rPr>
        <w:t>，对服务于公众的社会性的项目具有明确的公益性。但反应项目实施效益效果的资料不够齐全、满意度指标设置不全面，未包含被服务对象的满意度。</w:t>
      </w:r>
    </w:p>
    <w:p>
      <w:pPr>
        <w:spacing w:line="600" w:lineRule="exact"/>
        <w:ind w:firstLine="640" w:firstLineChars="200"/>
        <w:outlineLvl w:val="0"/>
        <w:rPr>
          <w:rFonts w:ascii="黑体" w:hAnsi="黑体" w:eastAsia="黑体" w:cs="黑体"/>
          <w:color w:val="auto"/>
          <w:sz w:val="32"/>
          <w:szCs w:val="32"/>
        </w:rPr>
      </w:pPr>
      <w:bookmarkStart w:id="45" w:name="_Toc19452"/>
      <w:r>
        <w:rPr>
          <w:rFonts w:hint="eastAsia" w:ascii="黑体" w:hAnsi="黑体" w:eastAsia="黑体" w:cs="黑体"/>
          <w:color w:val="auto"/>
          <w:sz w:val="32"/>
          <w:szCs w:val="32"/>
        </w:rPr>
        <w:t>五、主要经验及做法、存在的问题及原因分析</w:t>
      </w:r>
      <w:bookmarkEnd w:id="45"/>
    </w:p>
    <w:p>
      <w:pPr>
        <w:spacing w:line="600" w:lineRule="exact"/>
        <w:ind w:firstLine="640" w:firstLineChars="200"/>
        <w:outlineLvl w:val="1"/>
        <w:rPr>
          <w:rFonts w:ascii="楷体_GB2312" w:hAnsi="楷体_GB2312" w:eastAsia="楷体_GB2312" w:cs="楷体_GB2312"/>
          <w:color w:val="auto"/>
          <w:sz w:val="32"/>
          <w:szCs w:val="32"/>
        </w:rPr>
      </w:pPr>
      <w:bookmarkStart w:id="46" w:name="_Toc2672"/>
      <w:r>
        <w:rPr>
          <w:rFonts w:hint="eastAsia" w:ascii="楷体_GB2312" w:hAnsi="楷体_GB2312" w:eastAsia="楷体_GB2312" w:cs="楷体_GB2312"/>
          <w:color w:val="auto"/>
          <w:sz w:val="32"/>
          <w:szCs w:val="32"/>
        </w:rPr>
        <w:t>（一）主要经验及做法。</w:t>
      </w:r>
      <w:bookmarkEnd w:id="46"/>
    </w:p>
    <w:p>
      <w:pPr>
        <w:ind w:firstLine="480"/>
        <w:rPr>
          <w:rFonts w:hint="eastAsia" w:ascii="仿宋_GB2312" w:eastAsia="仿宋_GB2312"/>
          <w:color w:val="auto"/>
          <w:sz w:val="32"/>
          <w:szCs w:val="32"/>
        </w:rPr>
      </w:pPr>
      <w:r>
        <w:rPr>
          <w:rFonts w:hint="eastAsia" w:ascii="仿宋_GB2312" w:eastAsia="仿宋_GB2312"/>
          <w:color w:val="auto"/>
          <w:sz w:val="32"/>
          <w:szCs w:val="32"/>
          <w:lang w:val="en-US" w:eastAsia="zh-CN"/>
        </w:rPr>
        <w:t>该项目</w:t>
      </w:r>
      <w:r>
        <w:rPr>
          <w:rFonts w:hint="eastAsia" w:ascii="仿宋_GB2312" w:eastAsia="仿宋_GB2312"/>
          <w:color w:val="auto"/>
          <w:sz w:val="32"/>
          <w:szCs w:val="32"/>
        </w:rPr>
        <w:t>较好的发挥了检务保障的作用，推动了执法办案工作向前发展。主要经验方面：一是及时成立组织机构，充分发挥各部门之间的组织协调作用；二是加强财政资金的管理与监督，发挥资金效益的最大化。</w:t>
      </w:r>
    </w:p>
    <w:p>
      <w:pPr>
        <w:spacing w:line="600" w:lineRule="exact"/>
        <w:ind w:firstLine="640" w:firstLineChars="200"/>
        <w:outlineLvl w:val="1"/>
        <w:rPr>
          <w:rFonts w:ascii="楷体_GB2312" w:hAnsi="楷体_GB2312" w:eastAsia="楷体_GB2312" w:cs="楷体_GB2312"/>
          <w:color w:val="auto"/>
          <w:sz w:val="32"/>
          <w:szCs w:val="32"/>
        </w:rPr>
      </w:pPr>
      <w:bookmarkStart w:id="47" w:name="_Toc8104"/>
      <w:r>
        <w:rPr>
          <w:rFonts w:hint="eastAsia" w:ascii="楷体_GB2312" w:hAnsi="楷体_GB2312" w:eastAsia="楷体_GB2312" w:cs="楷体_GB2312"/>
          <w:color w:val="auto"/>
          <w:sz w:val="32"/>
          <w:szCs w:val="32"/>
        </w:rPr>
        <w:t>（二）存在的问题及原因分析</w:t>
      </w:r>
      <w:bookmarkEnd w:id="47"/>
    </w:p>
    <w:p>
      <w:pPr>
        <w:ind w:firstLine="480"/>
        <w:rPr>
          <w:rFonts w:ascii="仿宋_GB2312" w:eastAsia="仿宋_GB2312"/>
          <w:color w:val="auto"/>
          <w:sz w:val="32"/>
          <w:szCs w:val="32"/>
        </w:rPr>
      </w:pPr>
      <w:r>
        <w:rPr>
          <w:rFonts w:hint="eastAsia" w:ascii="仿宋_GB2312" w:eastAsia="仿宋_GB2312"/>
          <w:color w:val="auto"/>
          <w:sz w:val="32"/>
          <w:szCs w:val="32"/>
        </w:rPr>
        <w:t>1.绩效指标不够明确、合理。</w:t>
      </w:r>
    </w:p>
    <w:p>
      <w:pPr>
        <w:ind w:firstLine="480"/>
        <w:rPr>
          <w:rFonts w:ascii="仿宋_GB2312" w:eastAsia="仿宋_GB2312"/>
          <w:color w:val="auto"/>
          <w:sz w:val="32"/>
          <w:szCs w:val="32"/>
        </w:rPr>
      </w:pPr>
      <w:r>
        <w:rPr>
          <w:rFonts w:hint="eastAsia" w:ascii="仿宋_GB2312" w:eastAsia="仿宋_GB2312"/>
          <w:color w:val="auto"/>
          <w:sz w:val="32"/>
          <w:szCs w:val="32"/>
          <w:lang w:val="en-US" w:eastAsia="zh-CN"/>
        </w:rPr>
        <w:t>个别绩效</w:t>
      </w:r>
      <w:r>
        <w:rPr>
          <w:rFonts w:hint="eastAsia" w:ascii="仿宋_GB2312" w:eastAsia="仿宋_GB2312"/>
          <w:color w:val="auto"/>
          <w:sz w:val="32"/>
          <w:szCs w:val="32"/>
        </w:rPr>
        <w:t>指标设置不够明确、合理。如数量指标未覆盖所有核心任务，质量指标与数量指标不对应；效益指标缺少可比可测指标值；</w:t>
      </w:r>
      <w:r>
        <w:rPr>
          <w:rFonts w:hint="eastAsia" w:ascii="仿宋_GB2312" w:eastAsia="仿宋_GB2312"/>
          <w:color w:val="auto"/>
          <w:sz w:val="32"/>
          <w:szCs w:val="32"/>
          <w:lang w:val="en-US" w:eastAsia="zh-CN"/>
        </w:rPr>
        <w:t>未设置</w:t>
      </w:r>
      <w:r>
        <w:rPr>
          <w:rFonts w:hint="eastAsia" w:ascii="仿宋_GB2312" w:eastAsia="仿宋_GB2312"/>
          <w:color w:val="auto"/>
          <w:sz w:val="32"/>
          <w:szCs w:val="32"/>
        </w:rPr>
        <w:t>时效指标</w:t>
      </w:r>
      <w:r>
        <w:rPr>
          <w:rFonts w:hint="eastAsia" w:ascii="仿宋_GB2312" w:eastAsia="仿宋_GB2312"/>
          <w:color w:val="auto"/>
          <w:sz w:val="32"/>
          <w:szCs w:val="32"/>
          <w:lang w:eastAsia="zh-CN"/>
        </w:rPr>
        <w:t>；</w:t>
      </w:r>
      <w:r>
        <w:rPr>
          <w:rFonts w:hint="eastAsia" w:ascii="仿宋_GB2312" w:eastAsia="仿宋_GB2312"/>
          <w:color w:val="auto"/>
          <w:sz w:val="32"/>
          <w:szCs w:val="32"/>
        </w:rPr>
        <w:t>满意度指标设置不全面，未包含被服务对象的满意度。</w:t>
      </w:r>
      <w:r>
        <w:rPr>
          <w:rFonts w:hint="eastAsia" w:ascii="仿宋_GB2312" w:eastAsia="仿宋_GB2312"/>
          <w:color w:val="auto"/>
          <w:sz w:val="32"/>
          <w:szCs w:val="32"/>
          <w:highlight w:val="none"/>
        </w:rPr>
        <w:t>申报预算的三级绩效指标10个，但预算批复12个，缺少绩效目标调整资料。</w:t>
      </w:r>
    </w:p>
    <w:p>
      <w:pPr>
        <w:ind w:firstLine="480"/>
        <w:rPr>
          <w:rFonts w:ascii="仿宋_GB2312" w:eastAsia="仿宋_GB2312"/>
          <w:color w:val="auto"/>
          <w:sz w:val="32"/>
          <w:szCs w:val="32"/>
        </w:rPr>
      </w:pPr>
      <w:r>
        <w:rPr>
          <w:rFonts w:hint="eastAsia" w:ascii="仿宋_GB2312" w:eastAsia="仿宋_GB2312"/>
          <w:color w:val="auto"/>
          <w:sz w:val="32"/>
          <w:szCs w:val="32"/>
        </w:rPr>
        <w:t>2.未见项目立项需求分析及预算测算明细。</w:t>
      </w:r>
    </w:p>
    <w:p>
      <w:pPr>
        <w:ind w:firstLine="480"/>
        <w:rPr>
          <w:rFonts w:hint="default" w:ascii="仿宋_GB2312" w:eastAsia="仿宋_GB2312"/>
          <w:color w:val="auto"/>
          <w:sz w:val="32"/>
          <w:szCs w:val="32"/>
          <w:lang w:val="en-US" w:eastAsia="zh-CN"/>
        </w:rPr>
      </w:pPr>
      <w:r>
        <w:rPr>
          <w:rFonts w:hint="eastAsia" w:ascii="仿宋_GB2312" w:eastAsia="仿宋_GB2312"/>
          <w:color w:val="auto"/>
          <w:sz w:val="32"/>
          <w:szCs w:val="32"/>
        </w:rPr>
        <w:t>缺少项目立项需求分析，如缺少以</w:t>
      </w:r>
      <w:r>
        <w:rPr>
          <w:rFonts w:hint="eastAsia" w:ascii="仿宋_GB2312" w:eastAsia="仿宋_GB2312"/>
          <w:color w:val="auto"/>
          <w:sz w:val="32"/>
          <w:szCs w:val="32"/>
          <w:lang w:val="en-US" w:eastAsia="zh-CN"/>
        </w:rPr>
        <w:t>前</w:t>
      </w:r>
      <w:r>
        <w:rPr>
          <w:rFonts w:hint="eastAsia" w:ascii="仿宋_GB2312" w:eastAsia="仿宋_GB2312"/>
          <w:color w:val="auto"/>
          <w:sz w:val="32"/>
          <w:szCs w:val="32"/>
        </w:rPr>
        <w:t>年度需求分析与基础设施维护台账等资料；缺少法律宣传年度计划等。未见项目预算测算明细，项目预算分配依据不够充分，缺少工作量等测算依据、标准，预算编制科学性有待进一步提高。</w:t>
      </w:r>
    </w:p>
    <w:p>
      <w:pPr>
        <w:ind w:firstLine="480"/>
        <w:rPr>
          <w:rFonts w:ascii="仿宋_GB2312" w:eastAsia="仿宋_GB2312"/>
          <w:color w:val="auto"/>
          <w:sz w:val="32"/>
          <w:szCs w:val="32"/>
        </w:rPr>
      </w:pPr>
      <w:r>
        <w:rPr>
          <w:rFonts w:hint="eastAsia" w:ascii="仿宋_GB2312" w:eastAsia="仿宋_GB2312"/>
          <w:color w:val="auto"/>
          <w:sz w:val="32"/>
          <w:szCs w:val="32"/>
        </w:rPr>
        <w:t>3.项目过程管理不够完善。</w:t>
      </w:r>
    </w:p>
    <w:p>
      <w:pPr>
        <w:ind w:firstLine="480"/>
        <w:rPr>
          <w:rFonts w:hint="default" w:ascii="仿宋_GB2312" w:eastAsia="仿宋_GB2312"/>
          <w:color w:val="auto"/>
          <w:sz w:val="32"/>
          <w:szCs w:val="32"/>
          <w:lang w:val="en-US" w:eastAsia="zh-CN"/>
        </w:rPr>
      </w:pPr>
      <w:r>
        <w:rPr>
          <w:rFonts w:hint="eastAsia" w:ascii="仿宋_GB2312" w:eastAsia="仿宋_GB2312"/>
          <w:color w:val="auto"/>
          <w:sz w:val="32"/>
          <w:szCs w:val="32"/>
        </w:rPr>
        <w:t>实施方案内容不够完整，缺少项目实施的具体要素，如：人员分工以及职责确定等必要内容，以及项目实施过程可能出现的风险与应对的防控措施。</w:t>
      </w:r>
    </w:p>
    <w:p>
      <w:pPr>
        <w:numPr>
          <w:ilvl w:val="0"/>
          <w:numId w:val="1"/>
        </w:numPr>
        <w:ind w:firstLine="480"/>
        <w:rPr>
          <w:rFonts w:ascii="仿宋_GB2312" w:eastAsia="仿宋_GB2312"/>
          <w:color w:val="auto"/>
          <w:sz w:val="32"/>
          <w:szCs w:val="32"/>
        </w:rPr>
      </w:pPr>
      <w:r>
        <w:rPr>
          <w:rFonts w:hint="eastAsia" w:ascii="仿宋_GB2312" w:eastAsia="仿宋_GB2312"/>
          <w:color w:val="auto"/>
          <w:sz w:val="32"/>
          <w:szCs w:val="32"/>
        </w:rPr>
        <w:t>产出及效益资料不齐全。</w:t>
      </w:r>
    </w:p>
    <w:p>
      <w:pPr>
        <w:ind w:firstLine="480"/>
        <w:rPr>
          <w:rFonts w:ascii="仿宋_GB2312" w:eastAsia="仿宋_GB2312"/>
          <w:color w:val="auto"/>
          <w:sz w:val="32"/>
          <w:szCs w:val="32"/>
          <w:highlight w:val="none"/>
        </w:rPr>
      </w:pPr>
      <w:r>
        <w:rPr>
          <w:rFonts w:hint="eastAsia" w:ascii="仿宋_GB2312" w:eastAsia="仿宋_GB2312"/>
          <w:color w:val="auto"/>
          <w:sz w:val="32"/>
          <w:szCs w:val="32"/>
          <w:highlight w:val="none"/>
        </w:rPr>
        <w:t>效益效果证明资料不够</w:t>
      </w:r>
      <w:r>
        <w:rPr>
          <w:rFonts w:hint="eastAsia" w:ascii="仿宋_GB2312" w:eastAsia="仿宋_GB2312"/>
          <w:color w:val="auto"/>
          <w:sz w:val="32"/>
          <w:szCs w:val="32"/>
          <w:highlight w:val="none"/>
          <w:lang w:val="en-US" w:eastAsia="zh-CN"/>
        </w:rPr>
        <w:t>完善</w:t>
      </w:r>
      <w:r>
        <w:rPr>
          <w:rFonts w:hint="eastAsia" w:ascii="仿宋_GB2312" w:eastAsia="仿宋_GB2312"/>
          <w:color w:val="auto"/>
          <w:sz w:val="32"/>
          <w:szCs w:val="32"/>
          <w:highlight w:val="none"/>
        </w:rPr>
        <w:t>，未能充分展示检察权行使的效益效果。</w:t>
      </w:r>
    </w:p>
    <w:p>
      <w:pPr>
        <w:numPr>
          <w:ilvl w:val="0"/>
          <w:numId w:val="2"/>
        </w:numPr>
        <w:spacing w:line="600" w:lineRule="exact"/>
        <w:ind w:firstLine="640" w:firstLineChars="200"/>
        <w:outlineLvl w:val="0"/>
        <w:rPr>
          <w:rFonts w:ascii="黑体" w:hAnsi="黑体" w:eastAsia="黑体" w:cs="黑体"/>
          <w:color w:val="auto"/>
          <w:sz w:val="32"/>
          <w:szCs w:val="32"/>
        </w:rPr>
      </w:pPr>
      <w:bookmarkStart w:id="48" w:name="_Toc11253"/>
      <w:bookmarkStart w:id="49" w:name="_Toc339894421"/>
      <w:r>
        <w:rPr>
          <w:rFonts w:hint="eastAsia" w:ascii="黑体" w:hAnsi="黑体" w:eastAsia="黑体" w:cs="黑体"/>
          <w:color w:val="auto"/>
          <w:sz w:val="32"/>
          <w:szCs w:val="32"/>
        </w:rPr>
        <w:t>有关建议</w:t>
      </w:r>
      <w:bookmarkEnd w:id="48"/>
    </w:p>
    <w:p>
      <w:pPr>
        <w:ind w:firstLine="480"/>
        <w:rPr>
          <w:rFonts w:ascii="仿宋_GB2312" w:eastAsia="仿宋_GB2312"/>
          <w:color w:val="auto"/>
          <w:sz w:val="32"/>
          <w:szCs w:val="32"/>
        </w:rPr>
      </w:pPr>
      <w:r>
        <w:rPr>
          <w:rFonts w:hint="eastAsia" w:ascii="仿宋_GB2312" w:eastAsia="仿宋_GB2312"/>
          <w:color w:val="auto"/>
          <w:sz w:val="32"/>
          <w:szCs w:val="32"/>
        </w:rPr>
        <w:t>1.进一步提高绩效指标填报的科学性、合理性、明确性。</w:t>
      </w:r>
    </w:p>
    <w:p>
      <w:pPr>
        <w:ind w:firstLine="480"/>
        <w:rPr>
          <w:rFonts w:ascii="仿宋_GB2312" w:eastAsia="仿宋_GB2312"/>
          <w:color w:val="auto"/>
          <w:sz w:val="32"/>
          <w:szCs w:val="32"/>
        </w:rPr>
      </w:pPr>
      <w:r>
        <w:rPr>
          <w:rFonts w:hint="eastAsia" w:ascii="仿宋_GB2312" w:eastAsia="仿宋_GB2312"/>
          <w:color w:val="auto"/>
          <w:sz w:val="32"/>
          <w:szCs w:val="32"/>
        </w:rPr>
        <w:t>2.明确工作任务，细化预算标准和依据，强化预算执行的刚性约束，避免申报预算粗放导致执行不力。</w:t>
      </w:r>
    </w:p>
    <w:p>
      <w:pPr>
        <w:ind w:firstLine="480"/>
        <w:rPr>
          <w:rFonts w:ascii="仿宋_GB2312" w:eastAsia="仿宋_GB2312"/>
          <w:color w:val="auto"/>
          <w:sz w:val="32"/>
          <w:szCs w:val="32"/>
        </w:rPr>
      </w:pPr>
      <w:r>
        <w:rPr>
          <w:rFonts w:hint="eastAsia" w:ascii="仿宋_GB2312" w:eastAsia="仿宋_GB2312"/>
          <w:color w:val="auto"/>
          <w:sz w:val="32"/>
          <w:szCs w:val="32"/>
        </w:rPr>
        <w:t>3.完善项目实施方案，明确实施方案的基本要素，确定人员分工与职责，制定项目实施过程的风险防控措施，确保项目实施方案能够落地可执行。</w:t>
      </w:r>
    </w:p>
    <w:p>
      <w:pPr>
        <w:ind w:firstLine="480"/>
        <w:rPr>
          <w:rFonts w:ascii="仿宋_GB2312" w:eastAsia="仿宋_GB2312"/>
          <w:color w:val="auto"/>
          <w:sz w:val="32"/>
          <w:szCs w:val="32"/>
        </w:rPr>
      </w:pPr>
      <w:r>
        <w:rPr>
          <w:rFonts w:hint="eastAsia" w:ascii="仿宋_GB2312" w:eastAsia="仿宋_GB2312"/>
          <w:color w:val="auto"/>
          <w:sz w:val="32"/>
          <w:szCs w:val="32"/>
        </w:rPr>
        <w:t>4.加强项目过程管理，重视进度、质量、资金管控，进一步加强成本控制</w:t>
      </w:r>
      <w:r>
        <w:rPr>
          <w:rFonts w:hint="eastAsia" w:ascii="仿宋_GB2312" w:eastAsia="仿宋_GB2312"/>
          <w:color w:val="auto"/>
          <w:sz w:val="32"/>
          <w:szCs w:val="32"/>
          <w:lang w:val="en-US" w:eastAsia="zh-CN"/>
        </w:rPr>
        <w:t>及采购过程管理</w:t>
      </w:r>
      <w:r>
        <w:rPr>
          <w:rFonts w:hint="eastAsia" w:ascii="仿宋_GB2312" w:eastAsia="仿宋_GB2312"/>
          <w:color w:val="auto"/>
          <w:sz w:val="32"/>
          <w:szCs w:val="32"/>
        </w:rPr>
        <w:t>。</w:t>
      </w:r>
    </w:p>
    <w:p>
      <w:pPr>
        <w:ind w:firstLine="480"/>
        <w:rPr>
          <w:rFonts w:ascii="仿宋_GB2312" w:eastAsia="仿宋_GB2312"/>
          <w:color w:val="auto"/>
          <w:sz w:val="32"/>
          <w:szCs w:val="32"/>
        </w:rPr>
      </w:pPr>
      <w:r>
        <w:rPr>
          <w:rFonts w:hint="eastAsia" w:ascii="仿宋_GB2312" w:eastAsia="仿宋_GB2312"/>
          <w:color w:val="auto"/>
          <w:sz w:val="32"/>
          <w:szCs w:val="32"/>
          <w:lang w:val="en-US" w:eastAsia="zh-CN"/>
        </w:rPr>
        <w:t>5</w:t>
      </w:r>
      <w:r>
        <w:rPr>
          <w:rFonts w:hint="eastAsia" w:ascii="仿宋_GB2312" w:eastAsia="仿宋_GB2312"/>
          <w:color w:val="auto"/>
          <w:sz w:val="32"/>
          <w:szCs w:val="32"/>
        </w:rPr>
        <w:t>.做好项目各个环节资料收集、归档，加强资料的收集整理，完整展示项目成果，充分展现项目效益效果，做好服务对象满意度问卷设计与分析。</w:t>
      </w:r>
    </w:p>
    <w:p>
      <w:pPr>
        <w:spacing w:line="600" w:lineRule="exact"/>
        <w:ind w:firstLine="640" w:firstLineChars="200"/>
        <w:outlineLvl w:val="0"/>
        <w:rPr>
          <w:rFonts w:ascii="黑体" w:hAnsi="黑体" w:eastAsia="黑体" w:cs="黑体"/>
          <w:color w:val="auto"/>
          <w:sz w:val="32"/>
          <w:szCs w:val="32"/>
        </w:rPr>
      </w:pPr>
      <w:bookmarkStart w:id="50" w:name="_Toc10784"/>
      <w:r>
        <w:rPr>
          <w:rFonts w:hint="eastAsia" w:ascii="黑体" w:hAnsi="黑体" w:eastAsia="黑体" w:cs="黑体"/>
          <w:color w:val="auto"/>
          <w:sz w:val="32"/>
          <w:szCs w:val="32"/>
        </w:rPr>
        <w:t>七、其他需要说明的问题</w:t>
      </w:r>
      <w:bookmarkEnd w:id="50"/>
    </w:p>
    <w:p>
      <w:pPr>
        <w:pStyle w:val="3"/>
        <w:spacing w:line="640" w:lineRule="exact"/>
        <w:ind w:firstLine="796" w:firstLineChars="249"/>
        <w:rPr>
          <w:rFonts w:hAnsi="仿宋"/>
          <w:b w:val="0"/>
          <w:bCs w:val="0"/>
          <w:color w:val="auto"/>
        </w:rPr>
      </w:pPr>
      <w:bookmarkStart w:id="51" w:name="_Toc28798"/>
      <w:bookmarkStart w:id="52" w:name="_Toc29083"/>
      <w:r>
        <w:rPr>
          <w:rFonts w:hint="eastAsia" w:hAnsi="仿宋"/>
          <w:b w:val="0"/>
          <w:bCs w:val="0"/>
          <w:color w:val="auto"/>
        </w:rPr>
        <w:t>无。</w:t>
      </w:r>
      <w:bookmarkEnd w:id="51"/>
      <w:bookmarkEnd w:id="52"/>
    </w:p>
    <w:p>
      <w:pPr>
        <w:spacing w:line="600" w:lineRule="exact"/>
        <w:ind w:firstLine="640" w:firstLineChars="200"/>
        <w:outlineLvl w:val="0"/>
        <w:rPr>
          <w:rFonts w:ascii="黑体" w:hAnsi="黑体" w:eastAsia="黑体" w:cs="黑体"/>
          <w:color w:val="auto"/>
          <w:sz w:val="32"/>
          <w:szCs w:val="32"/>
        </w:rPr>
      </w:pPr>
      <w:bookmarkStart w:id="53" w:name="_Toc5027"/>
      <w:r>
        <w:rPr>
          <w:rFonts w:hint="eastAsia" w:ascii="黑体" w:hAnsi="黑体" w:eastAsia="黑体" w:cs="黑体"/>
          <w:color w:val="auto"/>
          <w:sz w:val="32"/>
          <w:szCs w:val="32"/>
        </w:rPr>
        <w:t>八、附件</w:t>
      </w:r>
      <w:bookmarkEnd w:id="49"/>
      <w:bookmarkEnd w:id="53"/>
    </w:p>
    <w:p>
      <w:pPr>
        <w:pStyle w:val="3"/>
        <w:spacing w:line="640" w:lineRule="exact"/>
        <w:ind w:firstLine="796" w:firstLineChars="249"/>
        <w:rPr>
          <w:rFonts w:hint="eastAsia" w:hAnsi="仿宋"/>
          <w:b w:val="0"/>
          <w:bCs w:val="0"/>
          <w:color w:val="auto"/>
          <w:lang w:val="en-US" w:eastAsia="zh-CN"/>
        </w:rPr>
      </w:pPr>
      <w:bookmarkStart w:id="54" w:name="_Toc18232"/>
      <w:bookmarkStart w:id="55" w:name="_Toc7491"/>
      <w:r>
        <w:rPr>
          <w:rFonts w:hint="eastAsia" w:hAnsi="仿宋"/>
          <w:b w:val="0"/>
          <w:bCs w:val="0"/>
          <w:color w:val="auto"/>
          <w:lang w:val="en-US" w:eastAsia="zh-CN"/>
        </w:rPr>
        <w:t>附件：项目支出指标体系及评分情况表</w:t>
      </w:r>
    </w:p>
    <w:bookmarkEnd w:id="54"/>
    <w:bookmarkEnd w:id="55"/>
    <w:p>
      <w:pPr>
        <w:pStyle w:val="3"/>
        <w:spacing w:line="640" w:lineRule="exact"/>
        <w:ind w:firstLine="796" w:firstLineChars="249"/>
        <w:rPr>
          <w:rFonts w:hAnsi="仿宋"/>
          <w:b w:val="0"/>
          <w:bCs w:val="0"/>
          <w:color w:val="auto"/>
        </w:rPr>
        <w:sectPr>
          <w:footerReference r:id="rId5" w:type="default"/>
          <w:pgSz w:w="11906" w:h="16838"/>
          <w:pgMar w:top="1440" w:right="1646" w:bottom="1440" w:left="1800" w:header="851" w:footer="992" w:gutter="0"/>
          <w:pgNumType w:start="1"/>
          <w:cols w:space="425" w:num="1"/>
          <w:docGrid w:type="lines" w:linePitch="312" w:charSpace="0"/>
        </w:sectPr>
      </w:pPr>
    </w:p>
    <w:p>
      <w:pPr>
        <w:outlineLvl w:val="0"/>
        <w:rPr>
          <w:rFonts w:ascii="宋体" w:hAnsi="宋体"/>
          <w:color w:val="auto"/>
          <w:sz w:val="32"/>
        </w:rPr>
      </w:pPr>
      <w:bookmarkStart w:id="56" w:name="_Toc20036"/>
      <w:bookmarkStart w:id="57" w:name="_Toc12292"/>
      <w:r>
        <w:rPr>
          <w:rFonts w:hint="eastAsia" w:ascii="宋体" w:hAnsi="宋体"/>
          <w:color w:val="auto"/>
          <w:sz w:val="32"/>
        </w:rPr>
        <w:t>附件</w:t>
      </w:r>
      <w:r>
        <w:rPr>
          <w:rFonts w:hint="eastAsia" w:ascii="宋体" w:hAnsi="宋体"/>
          <w:color w:val="auto"/>
          <w:sz w:val="32"/>
          <w:lang w:eastAsia="zh-CN"/>
        </w:rPr>
        <w:t>：</w:t>
      </w:r>
      <w:r>
        <w:rPr>
          <w:rFonts w:hint="eastAsia" w:ascii="宋体" w:hAnsi="宋体"/>
          <w:color w:val="auto"/>
          <w:sz w:val="32"/>
        </w:rPr>
        <w:t>指标体系及打分情况表</w:t>
      </w:r>
      <w:bookmarkEnd w:id="56"/>
      <w:bookmarkEnd w:id="57"/>
    </w:p>
    <w:p>
      <w:pPr>
        <w:jc w:val="center"/>
        <w:rPr>
          <w:rFonts w:ascii="宋体" w:hAnsi="宋体"/>
          <w:b/>
          <w:color w:val="auto"/>
          <w:sz w:val="32"/>
          <w:szCs w:val="32"/>
        </w:rPr>
      </w:pPr>
      <w:r>
        <w:rPr>
          <w:rFonts w:hint="eastAsia" w:ascii="宋体" w:hAnsi="宋体"/>
          <w:b/>
          <w:color w:val="auto"/>
          <w:sz w:val="32"/>
          <w:szCs w:val="32"/>
        </w:rPr>
        <w:t>项目支出指标体系及评分情况表</w:t>
      </w:r>
    </w:p>
    <w:tbl>
      <w:tblPr>
        <w:tblStyle w:val="15"/>
        <w:tblW w:w="8779" w:type="dxa"/>
        <w:tblInd w:w="-1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0"/>
        <w:gridCol w:w="1209"/>
        <w:gridCol w:w="2250"/>
        <w:gridCol w:w="960"/>
        <w:gridCol w:w="96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5" w:hRule="atLeast"/>
        </w:trPr>
        <w:tc>
          <w:tcPr>
            <w:tcW w:w="100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1209"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225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分值</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c>
          <w:tcPr>
            <w:tcW w:w="240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扣分理由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0" w:hRule="atLeast"/>
        </w:trPr>
        <w:tc>
          <w:tcPr>
            <w:tcW w:w="10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决策（10分）　</w:t>
            </w:r>
          </w:p>
        </w:tc>
        <w:tc>
          <w:tcPr>
            <w:tcW w:w="1209"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项目立项（3分）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立项依据充分性</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2.00 </w:t>
            </w:r>
          </w:p>
        </w:tc>
        <w:tc>
          <w:tcPr>
            <w:tcW w:w="2400" w:type="dxa"/>
            <w:tcBorders>
              <w:top w:val="nil"/>
              <w:left w:val="single" w:color="000000" w:sz="8" w:space="0"/>
              <w:bottom w:val="single" w:color="000000" w:sz="8" w:space="0"/>
              <w:right w:val="single" w:color="000000" w:sz="8"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立项程序规范性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1.00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绩效目标（4分）　</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绩效目标合理性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1.66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满意度指标设置不够合理，未设置时效指标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绩效指标明确性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1.74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效益指标设置不够明确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资金投入（3分）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预算编制科学性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1.54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未见项目预算测算资料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资金分配合理性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0.96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未见资金分配测算明细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0" w:hRule="atLeast"/>
        </w:trPr>
        <w:tc>
          <w:tcPr>
            <w:tcW w:w="10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过程（20分）</w:t>
            </w:r>
          </w:p>
        </w:tc>
        <w:tc>
          <w:tcPr>
            <w:tcW w:w="1209"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资金管理（8分）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3.60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资金使用较为规范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组织实施（12分）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5.02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实施方案不够完善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制度执行有效性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5.42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过程资料不够完善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trPr>
        <w:tc>
          <w:tcPr>
            <w:tcW w:w="10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产出（40分）</w:t>
            </w:r>
          </w:p>
        </w:tc>
        <w:tc>
          <w:tcPr>
            <w:tcW w:w="12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产出数量（10分）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9.10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数量指标设置不全面，未涵盖全部预算内容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产出质量（10分）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质量完成情况</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8.54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质量标准资料不充分，未见统计表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产出时效（10分）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完成及时性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9.54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个别合同跨年执行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产出成本（10分）</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成本控制有效性</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9.70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个别支出成本可进一步节约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效益（30分）</w:t>
            </w:r>
          </w:p>
        </w:tc>
        <w:tc>
          <w:tcPr>
            <w:tcW w:w="1209"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项目效益（30分）　</w:t>
            </w: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8.80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效益效果资料不够齐全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可持续性影响</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8.80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效益效果资料不够齐全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5" w:hRule="atLeast"/>
        </w:trPr>
        <w:tc>
          <w:tcPr>
            <w:tcW w:w="10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满意度-社会服务对象及各科室的满意度</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8.60 </w:t>
            </w:r>
          </w:p>
        </w:tc>
        <w:tc>
          <w:tcPr>
            <w:tcW w:w="240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满意度指标设置不全面，未包含被服务对象的满意度，满意度不具代表性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4459" w:type="dxa"/>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0"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90.02</w:t>
            </w:r>
          </w:p>
        </w:tc>
        <w:tc>
          <w:tcPr>
            <w:tcW w:w="2400" w:type="dxa"/>
            <w:tcBorders>
              <w:top w:val="nil"/>
              <w:left w:val="single" w:color="000000" w:sz="8" w:space="0"/>
              <w:bottom w:val="single" w:color="000000" w:sz="8" w:space="0"/>
              <w:right w:val="single" w:color="000000" w:sz="8"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2"/>
        <w:ind w:left="0" w:leftChars="0" w:firstLine="0" w:firstLineChars="0"/>
        <w:rPr>
          <w:color w:val="auto"/>
        </w:rPr>
      </w:pPr>
    </w:p>
    <w:p>
      <w:pPr>
        <w:rPr>
          <w:color w:val="auto"/>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22</w:t>
    </w:r>
    <w:r>
      <w:rPr>
        <w:rStyle w:val="18"/>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74248C"/>
    <w:multiLevelType w:val="singleLevel"/>
    <w:tmpl w:val="AF74248C"/>
    <w:lvl w:ilvl="0" w:tentative="0">
      <w:start w:val="6"/>
      <w:numFmt w:val="chineseCounting"/>
      <w:suff w:val="nothing"/>
      <w:lvlText w:val="%1、"/>
      <w:lvlJc w:val="left"/>
      <w:rPr>
        <w:rFonts w:hint="eastAsia"/>
      </w:rPr>
    </w:lvl>
  </w:abstractNum>
  <w:abstractNum w:abstractNumId="1">
    <w:nsid w:val="70EEFE44"/>
    <w:multiLevelType w:val="singleLevel"/>
    <w:tmpl w:val="70EEFE44"/>
    <w:lvl w:ilvl="0" w:tentative="0">
      <w:start w:val="4"/>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2ZWY5YTVjNDU2NTlmY2E0YTIzYzdhZTRjNGI2ZTAifQ=="/>
  </w:docVars>
  <w:rsids>
    <w:rsidRoot w:val="00172A27"/>
    <w:rsid w:val="00017B84"/>
    <w:rsid w:val="000823DA"/>
    <w:rsid w:val="00092EEB"/>
    <w:rsid w:val="0013717F"/>
    <w:rsid w:val="00172044"/>
    <w:rsid w:val="001766AE"/>
    <w:rsid w:val="001B7BE4"/>
    <w:rsid w:val="00216B63"/>
    <w:rsid w:val="002A5755"/>
    <w:rsid w:val="002A5A38"/>
    <w:rsid w:val="002A5EC9"/>
    <w:rsid w:val="002C4C99"/>
    <w:rsid w:val="002F11FD"/>
    <w:rsid w:val="00323BB5"/>
    <w:rsid w:val="003255DC"/>
    <w:rsid w:val="00395AAA"/>
    <w:rsid w:val="003B65C9"/>
    <w:rsid w:val="003E4314"/>
    <w:rsid w:val="003E4BC9"/>
    <w:rsid w:val="003F19D4"/>
    <w:rsid w:val="00415EDE"/>
    <w:rsid w:val="00434ED3"/>
    <w:rsid w:val="004431FF"/>
    <w:rsid w:val="00491ECA"/>
    <w:rsid w:val="004C0F8C"/>
    <w:rsid w:val="004D2071"/>
    <w:rsid w:val="004D42B5"/>
    <w:rsid w:val="004F02B4"/>
    <w:rsid w:val="005262C5"/>
    <w:rsid w:val="00533856"/>
    <w:rsid w:val="0053680E"/>
    <w:rsid w:val="0054070C"/>
    <w:rsid w:val="00575316"/>
    <w:rsid w:val="005A2FDE"/>
    <w:rsid w:val="005B4A68"/>
    <w:rsid w:val="006015B6"/>
    <w:rsid w:val="006025D9"/>
    <w:rsid w:val="00607056"/>
    <w:rsid w:val="00607455"/>
    <w:rsid w:val="00612CD4"/>
    <w:rsid w:val="006474FF"/>
    <w:rsid w:val="006478EF"/>
    <w:rsid w:val="0065007D"/>
    <w:rsid w:val="00657777"/>
    <w:rsid w:val="00671B38"/>
    <w:rsid w:val="006C1937"/>
    <w:rsid w:val="006C26D0"/>
    <w:rsid w:val="006C38F5"/>
    <w:rsid w:val="006C7C3D"/>
    <w:rsid w:val="006F4895"/>
    <w:rsid w:val="00724A82"/>
    <w:rsid w:val="007343AA"/>
    <w:rsid w:val="007365A8"/>
    <w:rsid w:val="007619F5"/>
    <w:rsid w:val="007672C5"/>
    <w:rsid w:val="0078016B"/>
    <w:rsid w:val="00787AA3"/>
    <w:rsid w:val="007A1944"/>
    <w:rsid w:val="007F551B"/>
    <w:rsid w:val="00802D8F"/>
    <w:rsid w:val="008209DC"/>
    <w:rsid w:val="00841FCA"/>
    <w:rsid w:val="00846856"/>
    <w:rsid w:val="008501D2"/>
    <w:rsid w:val="008A0F2B"/>
    <w:rsid w:val="008A4D54"/>
    <w:rsid w:val="00911E7C"/>
    <w:rsid w:val="0092125D"/>
    <w:rsid w:val="00944B60"/>
    <w:rsid w:val="00973CD9"/>
    <w:rsid w:val="00983CA5"/>
    <w:rsid w:val="009864CB"/>
    <w:rsid w:val="009923D3"/>
    <w:rsid w:val="009A133F"/>
    <w:rsid w:val="009F713F"/>
    <w:rsid w:val="00A21815"/>
    <w:rsid w:val="00A3182D"/>
    <w:rsid w:val="00A367FF"/>
    <w:rsid w:val="00A44CAC"/>
    <w:rsid w:val="00A50D51"/>
    <w:rsid w:val="00A7219C"/>
    <w:rsid w:val="00AA4B62"/>
    <w:rsid w:val="00AA5BC4"/>
    <w:rsid w:val="00AB704E"/>
    <w:rsid w:val="00AC1D73"/>
    <w:rsid w:val="00AE4F9D"/>
    <w:rsid w:val="00AE7713"/>
    <w:rsid w:val="00AF2BF7"/>
    <w:rsid w:val="00AF3CF2"/>
    <w:rsid w:val="00B166BB"/>
    <w:rsid w:val="00B53935"/>
    <w:rsid w:val="00B937E7"/>
    <w:rsid w:val="00B95D4A"/>
    <w:rsid w:val="00BE30C6"/>
    <w:rsid w:val="00BF4C94"/>
    <w:rsid w:val="00C162FD"/>
    <w:rsid w:val="00C2689F"/>
    <w:rsid w:val="00C729A3"/>
    <w:rsid w:val="00C747FE"/>
    <w:rsid w:val="00CA32E3"/>
    <w:rsid w:val="00CA3686"/>
    <w:rsid w:val="00CA495C"/>
    <w:rsid w:val="00CC0004"/>
    <w:rsid w:val="00CD0ACB"/>
    <w:rsid w:val="00CE06DF"/>
    <w:rsid w:val="00CE1CCA"/>
    <w:rsid w:val="00CE3A0A"/>
    <w:rsid w:val="00D27567"/>
    <w:rsid w:val="00D30D3B"/>
    <w:rsid w:val="00D52E7A"/>
    <w:rsid w:val="00D81E3F"/>
    <w:rsid w:val="00D941FE"/>
    <w:rsid w:val="00DC0FE9"/>
    <w:rsid w:val="00E03D89"/>
    <w:rsid w:val="00E17400"/>
    <w:rsid w:val="00E219F9"/>
    <w:rsid w:val="00E31C37"/>
    <w:rsid w:val="00E472CD"/>
    <w:rsid w:val="00EC035E"/>
    <w:rsid w:val="00EC5B4F"/>
    <w:rsid w:val="00EE41EE"/>
    <w:rsid w:val="00EF2B16"/>
    <w:rsid w:val="00F5024F"/>
    <w:rsid w:val="00F56424"/>
    <w:rsid w:val="00F8043C"/>
    <w:rsid w:val="00FB613E"/>
    <w:rsid w:val="00FC6A0B"/>
    <w:rsid w:val="00FE67B8"/>
    <w:rsid w:val="00FF5061"/>
    <w:rsid w:val="0180397E"/>
    <w:rsid w:val="01806781"/>
    <w:rsid w:val="029911DE"/>
    <w:rsid w:val="037D026E"/>
    <w:rsid w:val="038B0E18"/>
    <w:rsid w:val="03B21D16"/>
    <w:rsid w:val="041153AA"/>
    <w:rsid w:val="055469DF"/>
    <w:rsid w:val="05BE7B58"/>
    <w:rsid w:val="063126CB"/>
    <w:rsid w:val="064064C5"/>
    <w:rsid w:val="072528BE"/>
    <w:rsid w:val="072A30EA"/>
    <w:rsid w:val="07630750"/>
    <w:rsid w:val="084F25FD"/>
    <w:rsid w:val="08AB5CE4"/>
    <w:rsid w:val="08C5540B"/>
    <w:rsid w:val="09716DA9"/>
    <w:rsid w:val="0A6D2444"/>
    <w:rsid w:val="0AA9252A"/>
    <w:rsid w:val="0AD87142"/>
    <w:rsid w:val="0B2D15DD"/>
    <w:rsid w:val="0B2E72C7"/>
    <w:rsid w:val="0C7F5687"/>
    <w:rsid w:val="0CA47489"/>
    <w:rsid w:val="0D3535FB"/>
    <w:rsid w:val="0DC34AA9"/>
    <w:rsid w:val="0DD52F00"/>
    <w:rsid w:val="0FDD5D1C"/>
    <w:rsid w:val="116D12B8"/>
    <w:rsid w:val="11F430BF"/>
    <w:rsid w:val="12387CF1"/>
    <w:rsid w:val="12F643C7"/>
    <w:rsid w:val="13DA7E9F"/>
    <w:rsid w:val="14047738"/>
    <w:rsid w:val="140F4407"/>
    <w:rsid w:val="1584289B"/>
    <w:rsid w:val="159B141E"/>
    <w:rsid w:val="15B579D9"/>
    <w:rsid w:val="16962DA7"/>
    <w:rsid w:val="17573BD4"/>
    <w:rsid w:val="17620DE8"/>
    <w:rsid w:val="17ED4881"/>
    <w:rsid w:val="19163325"/>
    <w:rsid w:val="19890F93"/>
    <w:rsid w:val="19CA7769"/>
    <w:rsid w:val="1A3D3279"/>
    <w:rsid w:val="1AC67940"/>
    <w:rsid w:val="1ADB6A8A"/>
    <w:rsid w:val="1B7D7774"/>
    <w:rsid w:val="1BDD1C16"/>
    <w:rsid w:val="1BF6798D"/>
    <w:rsid w:val="1D1D2F05"/>
    <w:rsid w:val="1D5344EC"/>
    <w:rsid w:val="1D613C19"/>
    <w:rsid w:val="1D77383E"/>
    <w:rsid w:val="1E117027"/>
    <w:rsid w:val="1EC65E0E"/>
    <w:rsid w:val="1F0028D1"/>
    <w:rsid w:val="1F0E7FFE"/>
    <w:rsid w:val="1F284D4F"/>
    <w:rsid w:val="1F58377A"/>
    <w:rsid w:val="206037C9"/>
    <w:rsid w:val="20861271"/>
    <w:rsid w:val="23EB1990"/>
    <w:rsid w:val="241604EE"/>
    <w:rsid w:val="255B0F18"/>
    <w:rsid w:val="25E2253D"/>
    <w:rsid w:val="26FB2B18"/>
    <w:rsid w:val="270936B6"/>
    <w:rsid w:val="28524D98"/>
    <w:rsid w:val="28D57751"/>
    <w:rsid w:val="292F0F39"/>
    <w:rsid w:val="29C27101"/>
    <w:rsid w:val="2A1C47F0"/>
    <w:rsid w:val="2A36189D"/>
    <w:rsid w:val="2ACE6A0B"/>
    <w:rsid w:val="2BF7669D"/>
    <w:rsid w:val="2C122A1A"/>
    <w:rsid w:val="2D491989"/>
    <w:rsid w:val="2E353982"/>
    <w:rsid w:val="2E4E6571"/>
    <w:rsid w:val="2EEC38CE"/>
    <w:rsid w:val="300079FE"/>
    <w:rsid w:val="30157584"/>
    <w:rsid w:val="304F2DC6"/>
    <w:rsid w:val="31202BEF"/>
    <w:rsid w:val="31464ABB"/>
    <w:rsid w:val="31C73139"/>
    <w:rsid w:val="339360F3"/>
    <w:rsid w:val="33FB69C2"/>
    <w:rsid w:val="34040963"/>
    <w:rsid w:val="34246092"/>
    <w:rsid w:val="349E1A30"/>
    <w:rsid w:val="34B16094"/>
    <w:rsid w:val="355D2944"/>
    <w:rsid w:val="35D52571"/>
    <w:rsid w:val="36175E50"/>
    <w:rsid w:val="36900989"/>
    <w:rsid w:val="374F1576"/>
    <w:rsid w:val="37C40E26"/>
    <w:rsid w:val="37FA7EC7"/>
    <w:rsid w:val="38043251"/>
    <w:rsid w:val="38310A4B"/>
    <w:rsid w:val="39C45CE4"/>
    <w:rsid w:val="39D7274C"/>
    <w:rsid w:val="3A2C4D43"/>
    <w:rsid w:val="3AB61B42"/>
    <w:rsid w:val="3AC35192"/>
    <w:rsid w:val="3B547DD5"/>
    <w:rsid w:val="3B6F424F"/>
    <w:rsid w:val="3B7E51FC"/>
    <w:rsid w:val="3C2A57E8"/>
    <w:rsid w:val="3CD6731C"/>
    <w:rsid w:val="3D0870C9"/>
    <w:rsid w:val="3D41095C"/>
    <w:rsid w:val="3DAE4720"/>
    <w:rsid w:val="3E600C35"/>
    <w:rsid w:val="3EA003C0"/>
    <w:rsid w:val="3EAD034E"/>
    <w:rsid w:val="3F3D2E6D"/>
    <w:rsid w:val="3F625E91"/>
    <w:rsid w:val="41C93F00"/>
    <w:rsid w:val="41CE17CB"/>
    <w:rsid w:val="41F07262"/>
    <w:rsid w:val="43610D1A"/>
    <w:rsid w:val="438203DF"/>
    <w:rsid w:val="43892B43"/>
    <w:rsid w:val="438C45B0"/>
    <w:rsid w:val="43927D11"/>
    <w:rsid w:val="443B1189"/>
    <w:rsid w:val="451F7F51"/>
    <w:rsid w:val="45BA7272"/>
    <w:rsid w:val="4602601C"/>
    <w:rsid w:val="465231A6"/>
    <w:rsid w:val="46A94EEE"/>
    <w:rsid w:val="47815FE5"/>
    <w:rsid w:val="47A67C0A"/>
    <w:rsid w:val="48642186"/>
    <w:rsid w:val="49696E56"/>
    <w:rsid w:val="4977360C"/>
    <w:rsid w:val="49FA5FEB"/>
    <w:rsid w:val="4A073676"/>
    <w:rsid w:val="4ADA12FC"/>
    <w:rsid w:val="4C54334D"/>
    <w:rsid w:val="4C766B0B"/>
    <w:rsid w:val="4D550108"/>
    <w:rsid w:val="4D5C3D32"/>
    <w:rsid w:val="4E176854"/>
    <w:rsid w:val="4FE71C9A"/>
    <w:rsid w:val="50484787"/>
    <w:rsid w:val="521A1645"/>
    <w:rsid w:val="52DB3CF8"/>
    <w:rsid w:val="54061846"/>
    <w:rsid w:val="540C7D15"/>
    <w:rsid w:val="56715F19"/>
    <w:rsid w:val="5785616A"/>
    <w:rsid w:val="582B198E"/>
    <w:rsid w:val="588C69A8"/>
    <w:rsid w:val="59A26C47"/>
    <w:rsid w:val="59D2488F"/>
    <w:rsid w:val="59D517FC"/>
    <w:rsid w:val="5ACA44C1"/>
    <w:rsid w:val="5B741596"/>
    <w:rsid w:val="5BB15B7C"/>
    <w:rsid w:val="5C8956D0"/>
    <w:rsid w:val="5CB80536"/>
    <w:rsid w:val="5DDC22C5"/>
    <w:rsid w:val="5EFC7147"/>
    <w:rsid w:val="5F204247"/>
    <w:rsid w:val="5FBA7A95"/>
    <w:rsid w:val="5FC2768F"/>
    <w:rsid w:val="608E22F1"/>
    <w:rsid w:val="60B95A02"/>
    <w:rsid w:val="61100B5E"/>
    <w:rsid w:val="61313049"/>
    <w:rsid w:val="61D73836"/>
    <w:rsid w:val="62404A8B"/>
    <w:rsid w:val="636C7B02"/>
    <w:rsid w:val="63AE70A7"/>
    <w:rsid w:val="64B235E9"/>
    <w:rsid w:val="650363B2"/>
    <w:rsid w:val="664503AC"/>
    <w:rsid w:val="6776294C"/>
    <w:rsid w:val="691F2FD1"/>
    <w:rsid w:val="69543364"/>
    <w:rsid w:val="69D52355"/>
    <w:rsid w:val="6A1066B4"/>
    <w:rsid w:val="6A432BDC"/>
    <w:rsid w:val="6AB51D8E"/>
    <w:rsid w:val="6CA976D1"/>
    <w:rsid w:val="6D535020"/>
    <w:rsid w:val="6DF61F17"/>
    <w:rsid w:val="6E127D12"/>
    <w:rsid w:val="6EF97B93"/>
    <w:rsid w:val="6F3D12CF"/>
    <w:rsid w:val="6FC6758B"/>
    <w:rsid w:val="6FD50029"/>
    <w:rsid w:val="6FDE7739"/>
    <w:rsid w:val="709D325F"/>
    <w:rsid w:val="71D162EC"/>
    <w:rsid w:val="728B4B7D"/>
    <w:rsid w:val="72FA2A34"/>
    <w:rsid w:val="738E0B34"/>
    <w:rsid w:val="73944628"/>
    <w:rsid w:val="748271F2"/>
    <w:rsid w:val="74D6231C"/>
    <w:rsid w:val="75005833"/>
    <w:rsid w:val="75483748"/>
    <w:rsid w:val="7669660C"/>
    <w:rsid w:val="76697AD5"/>
    <w:rsid w:val="76CC293A"/>
    <w:rsid w:val="76DF35FA"/>
    <w:rsid w:val="779720A5"/>
    <w:rsid w:val="78AF1C12"/>
    <w:rsid w:val="791F2A7C"/>
    <w:rsid w:val="796E798B"/>
    <w:rsid w:val="79802F40"/>
    <w:rsid w:val="79B5402E"/>
    <w:rsid w:val="7AF21394"/>
    <w:rsid w:val="7C2742C9"/>
    <w:rsid w:val="7D297F78"/>
    <w:rsid w:val="7E695001"/>
    <w:rsid w:val="7FAB187A"/>
    <w:rsid w:val="7FE25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iPriority="99" w:semiHidden="0" w:name="index 9"/>
    <w:lsdException w:qFormat="1" w:unhideWhenUsed="0" w:uiPriority="0" w:name="toc 1"/>
    <w:lsdException w:qFormat="1" w:unhideWhenUsed="0"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ind w:firstLine="157" w:firstLineChars="49"/>
      <w:outlineLvl w:val="0"/>
    </w:pPr>
    <w:rPr>
      <w:rFonts w:ascii="仿宋_GB2312" w:eastAsia="仿宋_GB2312"/>
      <w:b/>
      <w:bCs/>
      <w:snapToGrid w:val="0"/>
      <w:kern w:val="0"/>
      <w:sz w:val="32"/>
      <w:szCs w:val="32"/>
    </w:rPr>
  </w:style>
  <w:style w:type="paragraph" w:styleId="4">
    <w:name w:val="heading 2"/>
    <w:basedOn w:val="1"/>
    <w:next w:val="1"/>
    <w:qFormat/>
    <w:uiPriority w:val="0"/>
    <w:pPr>
      <w:keepNext/>
      <w:keepLines/>
      <w:spacing w:line="360" w:lineRule="auto"/>
      <w:outlineLvl w:val="1"/>
    </w:pPr>
    <w:rPr>
      <w:rFonts w:ascii="仿宋_GB2312" w:hAnsi="仿宋" w:eastAsia="仿宋_GB2312"/>
      <w:b/>
      <w:kern w:val="44"/>
      <w:sz w:val="32"/>
      <w:szCs w:val="32"/>
    </w:rPr>
  </w:style>
  <w:style w:type="character" w:default="1" w:styleId="17">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styleId="5">
    <w:name w:val="Normal Indent"/>
    <w:basedOn w:val="1"/>
    <w:qFormat/>
    <w:uiPriority w:val="99"/>
    <w:pPr>
      <w:ind w:firstLine="420"/>
    </w:pPr>
    <w:rPr>
      <w:szCs w:val="20"/>
    </w:rPr>
  </w:style>
  <w:style w:type="paragraph" w:styleId="6">
    <w:name w:val="annotation text"/>
    <w:basedOn w:val="1"/>
    <w:link w:val="24"/>
    <w:unhideWhenUsed/>
    <w:qFormat/>
    <w:uiPriority w:val="0"/>
    <w:pPr>
      <w:jc w:val="left"/>
    </w:pPr>
  </w:style>
  <w:style w:type="paragraph" w:styleId="7">
    <w:name w:val="Body Text Indent 2"/>
    <w:basedOn w:val="1"/>
    <w:qFormat/>
    <w:uiPriority w:val="0"/>
    <w:pPr>
      <w:spacing w:after="120" w:line="480" w:lineRule="auto"/>
      <w:ind w:left="420" w:leftChars="200"/>
    </w:p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tabs>
        <w:tab w:val="right" w:leader="dot" w:pos="8296"/>
      </w:tabs>
      <w:jc w:val="center"/>
    </w:pPr>
    <w:rPr>
      <w:rFonts w:ascii="仿宋_GB2312" w:eastAsia="仿宋_GB2312"/>
      <w:sz w:val="32"/>
      <w:szCs w:val="32"/>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6"/>
    <w:next w:val="6"/>
    <w:link w:val="25"/>
    <w:unhideWhenUsed/>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page number"/>
    <w:basedOn w:val="17"/>
    <w:qFormat/>
    <w:uiPriority w:val="0"/>
  </w:style>
  <w:style w:type="character" w:styleId="19">
    <w:name w:val="Hyperlink"/>
    <w:basedOn w:val="17"/>
    <w:qFormat/>
    <w:uiPriority w:val="0"/>
    <w:rPr>
      <w:color w:val="0000FF"/>
      <w:u w:val="single"/>
    </w:rPr>
  </w:style>
  <w:style w:type="character" w:styleId="20">
    <w:name w:val="annotation reference"/>
    <w:basedOn w:val="17"/>
    <w:unhideWhenUsed/>
    <w:qFormat/>
    <w:uiPriority w:val="0"/>
    <w:rPr>
      <w:sz w:val="21"/>
      <w:szCs w:val="21"/>
    </w:rPr>
  </w:style>
  <w:style w:type="paragraph" w:customStyle="1" w:styleId="21">
    <w:name w:val="List Paragraph"/>
    <w:basedOn w:val="1"/>
    <w:qFormat/>
    <w:uiPriority w:val="34"/>
    <w:pPr>
      <w:ind w:firstLine="420" w:firstLineChars="200"/>
    </w:pPr>
  </w:style>
  <w:style w:type="character" w:customStyle="1" w:styleId="22">
    <w:name w:val="批注框文本 Char"/>
    <w:basedOn w:val="17"/>
    <w:link w:val="8"/>
    <w:qFormat/>
    <w:uiPriority w:val="0"/>
    <w:rPr>
      <w:kern w:val="2"/>
      <w:sz w:val="18"/>
      <w:szCs w:val="18"/>
    </w:rPr>
  </w:style>
  <w:style w:type="paragraph" w:customStyle="1" w:styleId="2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4">
    <w:name w:val="批注文字 Char"/>
    <w:basedOn w:val="17"/>
    <w:link w:val="6"/>
    <w:semiHidden/>
    <w:qFormat/>
    <w:uiPriority w:val="0"/>
    <w:rPr>
      <w:rFonts w:ascii="Times New Roman" w:hAnsi="Times New Roman"/>
      <w:kern w:val="2"/>
      <w:sz w:val="21"/>
      <w:szCs w:val="24"/>
    </w:rPr>
  </w:style>
  <w:style w:type="character" w:customStyle="1" w:styleId="25">
    <w:name w:val="批注主题 Char"/>
    <w:basedOn w:val="24"/>
    <w:link w:val="14"/>
    <w:semiHidden/>
    <w:qFormat/>
    <w:uiPriority w:val="0"/>
    <w:rPr>
      <w:rFonts w:ascii="Times New Roman" w:hAnsi="Times New Roman"/>
      <w:b/>
      <w:bCs/>
      <w:kern w:val="2"/>
      <w:sz w:val="21"/>
      <w:szCs w:val="24"/>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font21"/>
    <w:basedOn w:val="1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18</Pages>
  <Words>11106</Words>
  <Characters>11877</Characters>
  <Lines>102</Lines>
  <Paragraphs>28</Paragraphs>
  <TotalTime>0</TotalTime>
  <ScaleCrop>false</ScaleCrop>
  <LinksUpToDate>false</LinksUpToDate>
  <CharactersWithSpaces>12368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2022-05-27T05:43:00Z</dcterms:created>
  <dc:creator>apple</dc:creator>
  <cp:lastModifiedBy>user</cp:lastModifiedBy>
  <cp:lastPrinted>2018-06-05T05:51:00Z</cp:lastPrinted>
  <dcterms:modified xsi:type="dcterms:W3CDTF">2024-05-30T04:02:11Z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91D935133832402394A0DBC3EFDC4B29</vt:lpwstr>
  </property>
</Properties>
</file>