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AAF" w:rsidRDefault="001C5AAF" w:rsidP="001C5AAF">
      <w:pPr>
        <w:spacing w:line="560" w:lineRule="exact"/>
        <w:jc w:val="center"/>
        <w:outlineLvl w:val="0"/>
        <w:rPr>
          <w:rFonts w:ascii="华文中宋" w:eastAsia="华文中宋" w:hAnsi="华文中宋" w:cs="华文中宋"/>
          <w:sz w:val="44"/>
          <w:szCs w:val="44"/>
        </w:rPr>
      </w:pPr>
      <w:bookmarkStart w:id="0" w:name="_Toc31230"/>
      <w:bookmarkStart w:id="1" w:name="_Toc20248"/>
      <w:r>
        <w:rPr>
          <w:rFonts w:ascii="华文中宋" w:eastAsia="华文中宋" w:hAnsi="华文中宋" w:cs="华文中宋" w:hint="eastAsia"/>
          <w:sz w:val="44"/>
          <w:szCs w:val="44"/>
        </w:rPr>
        <w:t>北京市石景山区人民检察院</w:t>
      </w:r>
      <w:bookmarkEnd w:id="0"/>
      <w:bookmarkEnd w:id="1"/>
    </w:p>
    <w:p w:rsidR="001C5AAF" w:rsidRDefault="001C5AAF" w:rsidP="001C5AAF">
      <w:pPr>
        <w:spacing w:line="560" w:lineRule="exact"/>
        <w:jc w:val="center"/>
        <w:outlineLvl w:val="0"/>
        <w:rPr>
          <w:rFonts w:ascii="华文中宋" w:eastAsia="华文中宋" w:hAnsi="华文中宋" w:cs="华文中宋"/>
          <w:sz w:val="44"/>
          <w:szCs w:val="44"/>
        </w:rPr>
      </w:pPr>
      <w:bookmarkStart w:id="2" w:name="_Toc30173"/>
      <w:bookmarkStart w:id="3" w:name="_Toc5318"/>
      <w:bookmarkStart w:id="4" w:name="_Toc5316"/>
      <w:bookmarkStart w:id="5" w:name="_Toc23400"/>
      <w:bookmarkStart w:id="6" w:name="_Toc21394"/>
      <w:r>
        <w:rPr>
          <w:rFonts w:ascii="华文中宋" w:eastAsia="华文中宋" w:hAnsi="华文中宋" w:cs="华文中宋" w:hint="eastAsia"/>
          <w:sz w:val="44"/>
          <w:szCs w:val="44"/>
        </w:rPr>
        <w:t>2023年度部门整体绩效评价报告</w:t>
      </w:r>
      <w:bookmarkEnd w:id="2"/>
      <w:bookmarkEnd w:id="3"/>
      <w:bookmarkEnd w:id="4"/>
      <w:bookmarkEnd w:id="5"/>
      <w:bookmarkEnd w:id="6"/>
    </w:p>
    <w:p w:rsidR="001C5AAF" w:rsidRDefault="001C5AAF" w:rsidP="001C5AAF">
      <w:pPr>
        <w:jc w:val="center"/>
        <w:rPr>
          <w:rFonts w:ascii="仿宋_GB2312"/>
          <w:szCs w:val="30"/>
        </w:rPr>
      </w:pPr>
    </w:p>
    <w:p w:rsidR="001C5AAF" w:rsidRDefault="001C5AAF" w:rsidP="001C5AAF">
      <w:pPr>
        <w:spacing w:line="600" w:lineRule="exact"/>
        <w:ind w:firstLineChars="200" w:firstLine="640"/>
        <w:outlineLvl w:val="0"/>
        <w:rPr>
          <w:rFonts w:ascii="黑体" w:eastAsia="黑体" w:hAnsi="黑体" w:cs="宋体"/>
          <w:color w:val="000000"/>
          <w:kern w:val="0"/>
          <w:sz w:val="32"/>
          <w:szCs w:val="32"/>
        </w:rPr>
      </w:pPr>
      <w:bookmarkStart w:id="7" w:name="_Toc20561"/>
      <w:bookmarkStart w:id="8" w:name="_Toc31264"/>
      <w:bookmarkStart w:id="9" w:name="_Toc32148"/>
      <w:bookmarkStart w:id="10" w:name="_Toc8942"/>
      <w:r>
        <w:rPr>
          <w:rFonts w:ascii="黑体" w:eastAsia="黑体" w:hAnsi="黑体" w:cs="宋体" w:hint="eastAsia"/>
          <w:color w:val="000000"/>
          <w:kern w:val="0"/>
          <w:sz w:val="32"/>
          <w:szCs w:val="32"/>
        </w:rPr>
        <w:t>一、部门概况</w:t>
      </w:r>
      <w:bookmarkEnd w:id="7"/>
      <w:bookmarkEnd w:id="8"/>
      <w:bookmarkEnd w:id="9"/>
      <w:bookmarkEnd w:id="10"/>
    </w:p>
    <w:p w:rsidR="001C5AAF" w:rsidRDefault="001C5AAF" w:rsidP="001C5AAF">
      <w:pPr>
        <w:spacing w:line="600" w:lineRule="exact"/>
        <w:ind w:firstLineChars="200" w:firstLine="640"/>
        <w:outlineLvl w:val="1"/>
        <w:rPr>
          <w:rFonts w:ascii="楷体_GB2312" w:eastAsia="楷体_GB2312"/>
          <w:sz w:val="32"/>
          <w:szCs w:val="32"/>
        </w:rPr>
      </w:pPr>
      <w:bookmarkStart w:id="11" w:name="_Toc3082"/>
      <w:bookmarkStart w:id="12" w:name="_Toc5162"/>
      <w:bookmarkStart w:id="13" w:name="_Toc19565"/>
      <w:bookmarkStart w:id="14" w:name="_Toc26578"/>
      <w:r>
        <w:rPr>
          <w:rFonts w:ascii="楷体_GB2312" w:eastAsia="楷体_GB2312" w:hint="eastAsia"/>
          <w:sz w:val="32"/>
          <w:szCs w:val="32"/>
        </w:rPr>
        <w:t>（一）机构设置及职责工作任务情况</w:t>
      </w:r>
      <w:bookmarkEnd w:id="11"/>
      <w:bookmarkEnd w:id="12"/>
      <w:bookmarkEnd w:id="13"/>
      <w:bookmarkEnd w:id="14"/>
    </w:p>
    <w:p w:rsidR="001C5AAF" w:rsidRDefault="001C5AAF" w:rsidP="001C5AAF">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我院是根据《北京市石景山区革命委员会（石革发〔18〕26号）》文件批复，于1978年10月成立。</w:t>
      </w:r>
    </w:p>
    <w:p w:rsidR="001C5AAF" w:rsidRDefault="001C5AAF" w:rsidP="001C5AAF">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单位行政类型为一类行政单位；预算级次为省级；依据《中华人民共和国宪法》、《中华人民共和国人民检察院组织法》以及《北京市检察机关司法体制改革试点工作实施方案》和《中共北京市委政法委员会、中共北京市委机构编制委员会办公室、北京市人民检察院关于印发&lt;北京市检察机关内设机构改革方案&gt;的通知》（京政发[2019]8号），2020年由原14个内设机构，改立为现内设机构10个，分别为第一检察部、第二检察部、第三检察部、第四检察部、第五检察部、第六检察部、第七检察部、办公室(行政事务管理部)、政治部(机关党委、机关纪委)、检务督察部。</w:t>
      </w:r>
    </w:p>
    <w:p w:rsidR="001C5AAF" w:rsidRDefault="001C5AAF" w:rsidP="001C5AAF">
      <w:pPr>
        <w:spacing w:line="560" w:lineRule="exact"/>
        <w:ind w:firstLineChars="200" w:firstLine="640"/>
      </w:pPr>
      <w:r>
        <w:rPr>
          <w:rFonts w:ascii="仿宋_GB2312" w:eastAsia="仿宋_GB2312" w:hAnsi="仿宋_GB2312" w:cs="仿宋_GB2312" w:hint="eastAsia"/>
          <w:bCs/>
          <w:sz w:val="32"/>
          <w:szCs w:val="32"/>
        </w:rPr>
        <w:t>现行政政法编制102人，实有人数97人；事业编制11人，实有人数11人。</w:t>
      </w:r>
    </w:p>
    <w:p w:rsidR="001C5AAF" w:rsidRDefault="001C5AAF" w:rsidP="001C5AAF">
      <w:pPr>
        <w:numPr>
          <w:ilvl w:val="0"/>
          <w:numId w:val="1"/>
        </w:numPr>
        <w:spacing w:line="600" w:lineRule="exact"/>
        <w:ind w:firstLineChars="200" w:firstLine="640"/>
        <w:outlineLvl w:val="1"/>
        <w:rPr>
          <w:rFonts w:ascii="楷体_GB2312" w:eastAsia="楷体_GB2312"/>
          <w:sz w:val="32"/>
          <w:szCs w:val="32"/>
        </w:rPr>
      </w:pPr>
      <w:bookmarkStart w:id="15" w:name="_Toc9257"/>
      <w:bookmarkStart w:id="16" w:name="_Toc7539"/>
      <w:bookmarkStart w:id="17" w:name="_Toc24620"/>
      <w:bookmarkStart w:id="18" w:name="_Toc8650"/>
      <w:r>
        <w:rPr>
          <w:rFonts w:ascii="楷体_GB2312" w:eastAsia="楷体_GB2312" w:hint="eastAsia"/>
          <w:sz w:val="32"/>
          <w:szCs w:val="32"/>
        </w:rPr>
        <w:t>部门整体绩效目标设立情况</w:t>
      </w:r>
      <w:bookmarkEnd w:id="15"/>
      <w:bookmarkEnd w:id="16"/>
      <w:bookmarkEnd w:id="17"/>
      <w:bookmarkEnd w:id="18"/>
    </w:p>
    <w:p w:rsidR="001C5AAF" w:rsidRDefault="001C5AAF" w:rsidP="001C5AAF">
      <w:pPr>
        <w:spacing w:line="560" w:lineRule="exact"/>
        <w:ind w:firstLine="641"/>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我院坚持以习近平新时代中国特色社会主义思想为指导，牢牢把握石景山区“国家级产业转型发展示范区、绿色低碳的首都西部综合服务区、山水融合的生态宜居示范区”的功能定位，按照区委和市检察院的相关部署，充分履行检</w:t>
      </w:r>
      <w:r>
        <w:rPr>
          <w:rFonts w:ascii="仿宋_GB2312" w:eastAsia="仿宋_GB2312" w:hAnsi="宋体" w:cs="宋体" w:hint="eastAsia"/>
          <w:color w:val="000000"/>
          <w:kern w:val="0"/>
          <w:sz w:val="32"/>
          <w:szCs w:val="32"/>
        </w:rPr>
        <w:lastRenderedPageBreak/>
        <w:t>察监督职能，</w:t>
      </w:r>
      <w:proofErr w:type="gramStart"/>
      <w:r>
        <w:rPr>
          <w:rFonts w:ascii="仿宋_GB2312" w:eastAsia="仿宋_GB2312" w:hAnsi="宋体" w:cs="宋体" w:hint="eastAsia"/>
          <w:color w:val="000000"/>
          <w:kern w:val="0"/>
          <w:sz w:val="32"/>
          <w:szCs w:val="32"/>
        </w:rPr>
        <w:t>推进四</w:t>
      </w:r>
      <w:proofErr w:type="gramEnd"/>
      <w:r>
        <w:rPr>
          <w:rFonts w:ascii="仿宋_GB2312" w:eastAsia="仿宋_GB2312" w:hAnsi="宋体" w:cs="宋体" w:hint="eastAsia"/>
          <w:color w:val="000000"/>
          <w:kern w:val="0"/>
          <w:sz w:val="32"/>
          <w:szCs w:val="32"/>
        </w:rPr>
        <w:t>大检察协调发展，服务区域大局稳定、社会公平正义、经济有序发展，为石景山区打造首都城市西大门提供更强司法保障。</w:t>
      </w:r>
    </w:p>
    <w:p w:rsidR="001C5AAF" w:rsidRDefault="001C5AAF" w:rsidP="001C5AAF">
      <w:pPr>
        <w:spacing w:line="560" w:lineRule="exact"/>
        <w:ind w:firstLine="641"/>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2023年，我院设立以下总体绩效目标：一是全面依法</w:t>
      </w:r>
      <w:proofErr w:type="gramStart"/>
      <w:r>
        <w:rPr>
          <w:rFonts w:ascii="仿宋_GB2312" w:eastAsia="仿宋_GB2312" w:hAnsi="宋体" w:cs="宋体" w:hint="eastAsia"/>
          <w:color w:val="000000"/>
          <w:kern w:val="0"/>
          <w:sz w:val="32"/>
          <w:szCs w:val="32"/>
        </w:rPr>
        <w:t>律履行</w:t>
      </w:r>
      <w:proofErr w:type="gramEnd"/>
      <w:r>
        <w:rPr>
          <w:rFonts w:ascii="仿宋_GB2312" w:eastAsia="仿宋_GB2312" w:hAnsi="宋体" w:cs="宋体" w:hint="eastAsia"/>
          <w:color w:val="000000"/>
          <w:kern w:val="0"/>
          <w:sz w:val="32"/>
          <w:szCs w:val="32"/>
        </w:rPr>
        <w:t>检察监督职能。坚持以人民为中心，做好服务人民群众工作，强化司法便民利民举措。为区域经济社会发展提供有力法治保障。二是严格按照预算批复，加强资金监管，提高资金使用效益；支出预算主要用于做好四大检察业务工作，进行普法宣传、妇女儿童权益保护、做好公益诉讼活动、通过法治宣传提升未成年人法治观念等各项检察职能的办案业务费和业务装备费等；三是严格按照资金支出进度要求，提高资金使用效益，确保支出进度不低于时间进度；四是有效提升办案人员业务水平，标强化司法便民举措，坚持以人民为中心，为区域经济社会发展提供有力法治保障。</w:t>
      </w:r>
    </w:p>
    <w:p w:rsidR="001C5AAF" w:rsidRDefault="001C5AAF" w:rsidP="001C5AAF">
      <w:pPr>
        <w:spacing w:line="600" w:lineRule="exact"/>
        <w:ind w:firstLineChars="200" w:firstLine="640"/>
        <w:outlineLvl w:val="0"/>
        <w:rPr>
          <w:rFonts w:ascii="黑体" w:eastAsia="黑体" w:hAnsi="黑体" w:cs="宋体"/>
          <w:color w:val="000000"/>
          <w:kern w:val="0"/>
          <w:sz w:val="32"/>
          <w:szCs w:val="32"/>
        </w:rPr>
      </w:pPr>
      <w:bookmarkStart w:id="19" w:name="_Toc8831"/>
      <w:bookmarkStart w:id="20" w:name="_Toc5939"/>
      <w:bookmarkStart w:id="21" w:name="_Toc28668"/>
      <w:bookmarkStart w:id="22" w:name="_Toc8109"/>
      <w:r>
        <w:rPr>
          <w:rFonts w:ascii="黑体" w:eastAsia="黑体" w:hAnsi="黑体" w:cs="宋体" w:hint="eastAsia"/>
          <w:color w:val="000000"/>
          <w:kern w:val="0"/>
          <w:sz w:val="32"/>
          <w:szCs w:val="32"/>
        </w:rPr>
        <w:t>二</w:t>
      </w:r>
      <w:r>
        <w:rPr>
          <w:rFonts w:ascii="黑体" w:eastAsia="黑体" w:hAnsi="黑体" w:cs="宋体"/>
          <w:color w:val="000000"/>
          <w:kern w:val="0"/>
          <w:sz w:val="32"/>
          <w:szCs w:val="32"/>
        </w:rPr>
        <w:t>、</w:t>
      </w:r>
      <w:r>
        <w:rPr>
          <w:rFonts w:ascii="黑体" w:eastAsia="黑体" w:hAnsi="黑体" w:cs="宋体" w:hint="eastAsia"/>
          <w:color w:val="000000"/>
          <w:kern w:val="0"/>
          <w:sz w:val="32"/>
          <w:szCs w:val="32"/>
        </w:rPr>
        <w:t>当年</w:t>
      </w:r>
      <w:r>
        <w:rPr>
          <w:rFonts w:ascii="黑体" w:eastAsia="黑体" w:hAnsi="黑体" w:cs="宋体"/>
          <w:color w:val="000000"/>
          <w:kern w:val="0"/>
          <w:sz w:val="32"/>
          <w:szCs w:val="32"/>
        </w:rPr>
        <w:t>预算执行情况</w:t>
      </w:r>
      <w:bookmarkEnd w:id="19"/>
      <w:bookmarkEnd w:id="20"/>
      <w:bookmarkEnd w:id="21"/>
      <w:bookmarkEnd w:id="22"/>
    </w:p>
    <w:p w:rsidR="001C5AAF" w:rsidRDefault="001C5AAF" w:rsidP="001C5AAF">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2023年度，我院全年预算数</w:t>
      </w:r>
      <w:r w:rsidR="0067156B">
        <w:rPr>
          <w:rFonts w:ascii="仿宋_GB2312" w:eastAsia="仿宋_GB2312" w:hAnsi="宋体" w:cs="宋体" w:hint="eastAsia"/>
          <w:color w:val="000000"/>
          <w:kern w:val="0"/>
          <w:sz w:val="32"/>
          <w:szCs w:val="32"/>
        </w:rPr>
        <w:t>6</w:t>
      </w:r>
      <w:r>
        <w:rPr>
          <w:rFonts w:ascii="仿宋_GB2312" w:eastAsia="仿宋_GB2312" w:hAnsi="宋体" w:cs="宋体" w:hint="eastAsia"/>
          <w:color w:val="000000"/>
          <w:kern w:val="0"/>
          <w:sz w:val="32"/>
          <w:szCs w:val="32"/>
        </w:rPr>
        <w:t>436.77万元</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其中</w:t>
      </w:r>
      <w:r>
        <w:rPr>
          <w:rFonts w:ascii="仿宋_GB2312" w:eastAsia="仿宋_GB2312" w:hAnsi="宋体" w:cs="宋体"/>
          <w:color w:val="000000"/>
          <w:kern w:val="0"/>
          <w:sz w:val="32"/>
          <w:szCs w:val="32"/>
        </w:rPr>
        <w:t>，基本</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预算数</w:t>
      </w:r>
      <w:r w:rsidR="0067156B">
        <w:rPr>
          <w:rFonts w:ascii="仿宋_GB2312" w:eastAsia="仿宋_GB2312" w:hAnsi="宋体" w:cs="宋体" w:hint="eastAsia"/>
          <w:color w:val="000000"/>
          <w:kern w:val="0"/>
          <w:sz w:val="32"/>
          <w:szCs w:val="32"/>
        </w:rPr>
        <w:t>5</w:t>
      </w:r>
      <w:r>
        <w:rPr>
          <w:rFonts w:ascii="仿宋_GB2312" w:eastAsia="仿宋_GB2312" w:hAnsi="宋体" w:cs="宋体" w:hint="eastAsia"/>
          <w:color w:val="000000"/>
          <w:kern w:val="0"/>
          <w:sz w:val="32"/>
          <w:szCs w:val="32"/>
        </w:rPr>
        <w:t>670.62</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项目支出预算数766.15</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资金总体</w:t>
      </w:r>
      <w:r>
        <w:rPr>
          <w:rFonts w:ascii="仿宋_GB2312" w:eastAsia="仿宋_GB2312" w:hAnsi="宋体" w:cs="宋体" w:hint="eastAsia"/>
          <w:color w:val="000000"/>
          <w:kern w:val="0"/>
          <w:sz w:val="32"/>
          <w:szCs w:val="32"/>
        </w:rPr>
        <w:t>支出</w:t>
      </w:r>
      <w:r w:rsidR="0067156B">
        <w:rPr>
          <w:rFonts w:ascii="仿宋_GB2312" w:eastAsia="仿宋_GB2312" w:hAnsi="宋体" w:cs="宋体" w:hint="eastAsia"/>
          <w:color w:val="000000"/>
          <w:kern w:val="0"/>
          <w:sz w:val="32"/>
          <w:szCs w:val="32"/>
        </w:rPr>
        <w:t>6</w:t>
      </w:r>
      <w:r>
        <w:rPr>
          <w:rFonts w:ascii="仿宋_GB2312" w:eastAsia="仿宋_GB2312" w:hAnsi="宋体" w:cs="宋体" w:hint="eastAsia"/>
          <w:color w:val="000000"/>
          <w:kern w:val="0"/>
          <w:sz w:val="32"/>
          <w:szCs w:val="32"/>
        </w:rPr>
        <w:t>254.04</w:t>
      </w:r>
      <w:r>
        <w:rPr>
          <w:rFonts w:ascii="仿宋_GB2312" w:eastAsia="仿宋_GB2312" w:hAnsi="宋体" w:cs="宋体"/>
          <w:color w:val="000000"/>
          <w:kern w:val="0"/>
          <w:sz w:val="32"/>
          <w:szCs w:val="32"/>
        </w:rPr>
        <w:t>万元，其中，基本支出</w:t>
      </w:r>
      <w:r w:rsidR="0067156B">
        <w:rPr>
          <w:rFonts w:ascii="仿宋_GB2312" w:eastAsia="仿宋_GB2312" w:hAnsi="宋体" w:cs="宋体" w:hint="eastAsia"/>
          <w:color w:val="000000"/>
          <w:kern w:val="0"/>
          <w:sz w:val="32"/>
          <w:szCs w:val="32"/>
        </w:rPr>
        <w:t>5</w:t>
      </w:r>
      <w:r>
        <w:rPr>
          <w:rFonts w:ascii="仿宋_GB2312" w:eastAsia="仿宋_GB2312" w:hAnsi="宋体" w:cs="宋体" w:hint="eastAsia"/>
          <w:color w:val="000000"/>
          <w:kern w:val="0"/>
          <w:sz w:val="32"/>
          <w:szCs w:val="32"/>
        </w:rPr>
        <w:t>498.23</w:t>
      </w:r>
      <w:r>
        <w:rPr>
          <w:rFonts w:ascii="仿宋_GB2312" w:eastAsia="仿宋_GB2312" w:hAnsi="宋体" w:cs="宋体"/>
          <w:color w:val="000000"/>
          <w:kern w:val="0"/>
          <w:sz w:val="32"/>
          <w:szCs w:val="32"/>
        </w:rPr>
        <w:t>万元，项目</w:t>
      </w:r>
      <w:r>
        <w:rPr>
          <w:rFonts w:ascii="仿宋_GB2312" w:eastAsia="仿宋_GB2312" w:hAnsi="宋体" w:cs="宋体" w:hint="eastAsia"/>
          <w:color w:val="000000"/>
          <w:kern w:val="0"/>
          <w:sz w:val="32"/>
          <w:szCs w:val="32"/>
        </w:rPr>
        <w:t>支出755.81</w:t>
      </w:r>
      <w:r>
        <w:rPr>
          <w:rFonts w:ascii="仿宋_GB2312" w:eastAsia="仿宋_GB2312" w:hAnsi="宋体" w:cs="宋体"/>
          <w:color w:val="000000"/>
          <w:kern w:val="0"/>
          <w:sz w:val="32"/>
          <w:szCs w:val="32"/>
        </w:rPr>
        <w:t>万元</w:t>
      </w:r>
      <w:r w:rsidR="00A912B3">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预算</w:t>
      </w:r>
      <w:r>
        <w:rPr>
          <w:rFonts w:ascii="仿宋_GB2312" w:eastAsia="仿宋_GB2312" w:hAnsi="宋体" w:cs="宋体"/>
          <w:color w:val="000000"/>
          <w:kern w:val="0"/>
          <w:sz w:val="32"/>
          <w:szCs w:val="32"/>
        </w:rPr>
        <w:t>执行率为</w:t>
      </w:r>
      <w:r>
        <w:rPr>
          <w:rFonts w:ascii="仿宋_GB2312" w:eastAsia="仿宋_GB2312" w:hAnsi="宋体" w:cs="宋体" w:hint="eastAsia"/>
          <w:color w:val="000000"/>
          <w:kern w:val="0"/>
          <w:sz w:val="32"/>
          <w:szCs w:val="32"/>
        </w:rPr>
        <w:t>97.16%。</w:t>
      </w:r>
    </w:p>
    <w:p w:rsidR="001C5AAF" w:rsidRDefault="001C5AAF" w:rsidP="001C5AAF">
      <w:pPr>
        <w:spacing w:line="600" w:lineRule="exact"/>
        <w:ind w:leftChars="50" w:left="105" w:firstLineChars="150" w:firstLine="480"/>
        <w:outlineLvl w:val="0"/>
        <w:rPr>
          <w:rFonts w:ascii="黑体" w:eastAsia="黑体" w:hAnsi="黑体" w:cs="宋体"/>
          <w:color w:val="000000"/>
          <w:kern w:val="0"/>
          <w:sz w:val="32"/>
          <w:szCs w:val="32"/>
        </w:rPr>
      </w:pPr>
      <w:bookmarkStart w:id="23" w:name="_Toc5791"/>
      <w:bookmarkStart w:id="24" w:name="_Toc6166"/>
      <w:bookmarkStart w:id="25" w:name="_Toc10510"/>
      <w:bookmarkStart w:id="26" w:name="_Toc25800"/>
      <w:r>
        <w:rPr>
          <w:rFonts w:ascii="黑体" w:eastAsia="黑体" w:hAnsi="黑体" w:cs="宋体" w:hint="eastAsia"/>
          <w:color w:val="000000"/>
          <w:kern w:val="0"/>
          <w:sz w:val="32"/>
          <w:szCs w:val="32"/>
        </w:rPr>
        <w:t>三</w:t>
      </w:r>
      <w:r>
        <w:rPr>
          <w:rFonts w:ascii="黑体" w:eastAsia="黑体" w:hAnsi="黑体" w:cs="宋体"/>
          <w:color w:val="000000"/>
          <w:kern w:val="0"/>
          <w:sz w:val="32"/>
          <w:szCs w:val="32"/>
        </w:rPr>
        <w:t>、整体绩效目标实现情况</w:t>
      </w:r>
      <w:bookmarkEnd w:id="23"/>
      <w:bookmarkEnd w:id="24"/>
      <w:bookmarkEnd w:id="25"/>
      <w:bookmarkEnd w:id="26"/>
    </w:p>
    <w:p w:rsidR="001C5AAF" w:rsidRDefault="001C5AAF" w:rsidP="001C5AAF">
      <w:pPr>
        <w:spacing w:line="600" w:lineRule="exact"/>
        <w:ind w:leftChars="50" w:left="105" w:firstLineChars="150" w:firstLine="480"/>
        <w:outlineLvl w:val="1"/>
        <w:rPr>
          <w:rFonts w:ascii="楷体_GB2312" w:eastAsia="楷体_GB2312"/>
          <w:sz w:val="32"/>
          <w:szCs w:val="32"/>
        </w:rPr>
      </w:pPr>
      <w:bookmarkStart w:id="27" w:name="_Toc15062"/>
      <w:bookmarkStart w:id="28" w:name="_Toc1424"/>
      <w:bookmarkStart w:id="29" w:name="_Toc6280"/>
      <w:bookmarkStart w:id="30" w:name="_Toc625"/>
      <w:r>
        <w:rPr>
          <w:rFonts w:ascii="楷体_GB2312" w:eastAsia="楷体_GB2312" w:hint="eastAsia"/>
          <w:sz w:val="32"/>
          <w:szCs w:val="32"/>
        </w:rPr>
        <w:t>（一）产出完成情况分析</w:t>
      </w:r>
      <w:bookmarkEnd w:id="27"/>
      <w:bookmarkEnd w:id="28"/>
      <w:bookmarkEnd w:id="29"/>
      <w:bookmarkEnd w:id="30"/>
    </w:p>
    <w:p w:rsidR="001C5AAF" w:rsidRDefault="001C5AAF" w:rsidP="001C5AAF">
      <w:pPr>
        <w:spacing w:line="600" w:lineRule="exact"/>
        <w:ind w:leftChars="50" w:left="105" w:firstLineChars="150" w:firstLine="48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1.产出数量：</w:t>
      </w:r>
    </w:p>
    <w:p w:rsidR="001C5AAF" w:rsidRDefault="001C5AAF" w:rsidP="001C5AAF">
      <w:pPr>
        <w:pStyle w:val="1"/>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（1）办案业务费</w:t>
      </w:r>
    </w:p>
    <w:p w:rsidR="001C5AAF" w:rsidRDefault="001C5AAF" w:rsidP="001C5AAF">
      <w:pPr>
        <w:spacing w:line="560" w:lineRule="exact"/>
        <w:ind w:firstLineChars="200" w:firstLine="640"/>
        <w:rPr>
          <w:rFonts w:ascii="仿宋_GB2312" w:eastAsia="仿宋_GB2312" w:hAnsi="仿宋_GB2312" w:cs="仿宋_GB2312"/>
          <w:color w:val="121212"/>
          <w:sz w:val="32"/>
          <w:szCs w:val="32"/>
        </w:rPr>
      </w:pPr>
      <w:r>
        <w:rPr>
          <w:rFonts w:ascii="仿宋_GB2312" w:eastAsia="仿宋_GB2312" w:hAnsi="仿宋_GB2312" w:cs="仿宋_GB2312" w:hint="eastAsia"/>
          <w:color w:val="000000"/>
          <w:kern w:val="0"/>
          <w:sz w:val="32"/>
          <w:szCs w:val="32"/>
        </w:rPr>
        <w:t>年度指标值：满足检察</w:t>
      </w:r>
      <w:proofErr w:type="gramStart"/>
      <w:r>
        <w:rPr>
          <w:rFonts w:ascii="仿宋_GB2312" w:eastAsia="仿宋_GB2312" w:hAnsi="仿宋_GB2312" w:cs="仿宋_GB2312" w:hint="eastAsia"/>
          <w:color w:val="000000"/>
          <w:kern w:val="0"/>
          <w:sz w:val="32"/>
          <w:szCs w:val="32"/>
        </w:rPr>
        <w:t>机关政法</w:t>
      </w:r>
      <w:proofErr w:type="gramEnd"/>
      <w:r>
        <w:rPr>
          <w:rFonts w:ascii="仿宋_GB2312" w:eastAsia="仿宋_GB2312" w:hAnsi="仿宋_GB2312" w:cs="仿宋_GB2312" w:hint="eastAsia"/>
          <w:color w:val="000000"/>
          <w:kern w:val="0"/>
          <w:sz w:val="32"/>
          <w:szCs w:val="32"/>
        </w:rPr>
        <w:t>执法办案需求，保障各</w:t>
      </w:r>
      <w:r>
        <w:rPr>
          <w:rFonts w:ascii="仿宋_GB2312" w:eastAsia="仿宋_GB2312" w:hAnsi="仿宋_GB2312" w:cs="仿宋_GB2312" w:hint="eastAsia"/>
          <w:color w:val="000000"/>
          <w:kern w:val="0"/>
          <w:sz w:val="32"/>
          <w:szCs w:val="32"/>
        </w:rPr>
        <w:lastRenderedPageBreak/>
        <w:t>项检察业务顺利开展。</w:t>
      </w:r>
      <w:r>
        <w:rPr>
          <w:rFonts w:ascii="仿宋_GB2312" w:eastAsia="仿宋_GB2312" w:hAnsi="仿宋_GB2312" w:cs="仿宋_GB2312" w:hint="eastAsia"/>
          <w:sz w:val="32"/>
          <w:szCs w:val="32"/>
        </w:rPr>
        <w:t>2023年度，我院履行刑事检察职责。</w:t>
      </w:r>
    </w:p>
    <w:p w:rsidR="001C5AAF" w:rsidRDefault="001C5AAF" w:rsidP="001C5AAF">
      <w:pPr>
        <w:pStyle w:val="1"/>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（2）信息化运维费项目</w:t>
      </w:r>
    </w:p>
    <w:p w:rsidR="001C5AAF" w:rsidRDefault="001C5AAF" w:rsidP="001C5AAF">
      <w:pPr>
        <w:pStyle w:val="1"/>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年度指标值：开展信息化运维工作，</w:t>
      </w:r>
      <w:proofErr w:type="gramStart"/>
      <w:r>
        <w:rPr>
          <w:rFonts w:ascii="仿宋_GB2312" w:eastAsia="仿宋_GB2312" w:hAnsi="宋体" w:cs="宋体" w:hint="eastAsia"/>
          <w:color w:val="000000"/>
          <w:kern w:val="0"/>
          <w:sz w:val="32"/>
          <w:szCs w:val="32"/>
        </w:rPr>
        <w:t>保障保障</w:t>
      </w:r>
      <w:proofErr w:type="gramEnd"/>
      <w:r>
        <w:rPr>
          <w:rFonts w:ascii="仿宋_GB2312" w:eastAsia="仿宋_GB2312" w:hAnsi="宋体" w:cs="宋体" w:hint="eastAsia"/>
          <w:color w:val="000000"/>
          <w:kern w:val="0"/>
          <w:sz w:val="32"/>
          <w:szCs w:val="32"/>
        </w:rPr>
        <w:t>网络正常运行，系统运维合格率100%。</w:t>
      </w:r>
    </w:p>
    <w:p w:rsidR="001C5AAF" w:rsidRDefault="001C5AAF" w:rsidP="001C5AAF">
      <w:pPr>
        <w:pStyle w:val="1"/>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全年实际值：检察信息化系统2023年全年运行态势平稳良好，保证了信息化网络设备稳定运行，满足了检察业务工作需要。</w:t>
      </w:r>
    </w:p>
    <w:p w:rsidR="001C5AAF" w:rsidRDefault="001C5AAF" w:rsidP="001C5AAF">
      <w:pPr>
        <w:pStyle w:val="1"/>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（3）专业咨询类项目</w:t>
      </w:r>
    </w:p>
    <w:p w:rsidR="001C5AAF" w:rsidRDefault="001C5AAF" w:rsidP="001C5AAF">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年度指标值：开展项目绩效评价、2023年度内部审计工作、内控修订完善及财务咨询工作。</w:t>
      </w:r>
    </w:p>
    <w:p w:rsidR="001C5AAF" w:rsidRDefault="001C5AAF" w:rsidP="001C5AAF">
      <w:pPr>
        <w:pStyle w:val="1"/>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全年实际值：2023年的绩效评价工作针对我院的重点项目支出实施了绩效评价，评价项目2个，其中：部门评价项目与单位自评项目各1个，对2022年度单位整体及2023年度1-6月份项目绩效开展了绩效评价及绩效跟踪工作。另聘请会计师事务所对我院2023年度预算执行及财务收支情况开展内部审计工作，同时对我院的内控制度进行修订完善，并在日常工作中，对我院财务工作提供了相应的财务咨询服务。</w:t>
      </w:r>
    </w:p>
    <w:p w:rsidR="001C5AAF" w:rsidRDefault="001C5AAF" w:rsidP="001C5AAF">
      <w:pPr>
        <w:pStyle w:val="1"/>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（4）安检安保工作经费项目</w:t>
      </w:r>
    </w:p>
    <w:p w:rsidR="001C5AAF" w:rsidRDefault="001C5AAF" w:rsidP="001C5AAF">
      <w:pPr>
        <w:pStyle w:val="1"/>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年度指标值：开展安保安检工作，保障我院干警工作安全。</w:t>
      </w:r>
    </w:p>
    <w:p w:rsidR="001C5AAF" w:rsidRDefault="001C5AAF" w:rsidP="001C5AAF">
      <w:pPr>
        <w:pStyle w:val="1"/>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全年实际值：与北京市保安服务总公司签订了安保安检服务合同，项目全年执行，设置8名安保人员对我院进行日常安保安检工作，于202</w:t>
      </w:r>
      <w:bookmarkStart w:id="31" w:name="_GoBack"/>
      <w:bookmarkEnd w:id="31"/>
      <w:r>
        <w:rPr>
          <w:rFonts w:ascii="仿宋_GB2312" w:eastAsia="仿宋_GB2312" w:hAnsi="宋体" w:cs="宋体" w:hint="eastAsia"/>
          <w:color w:val="000000"/>
          <w:kern w:val="0"/>
          <w:sz w:val="32"/>
          <w:szCs w:val="32"/>
        </w:rPr>
        <w:t>3年年底完成服务，保障了正常的</w:t>
      </w:r>
      <w:r>
        <w:rPr>
          <w:rFonts w:ascii="仿宋_GB2312" w:eastAsia="仿宋_GB2312" w:hAnsi="宋体" w:cs="宋体" w:hint="eastAsia"/>
          <w:color w:val="000000"/>
          <w:kern w:val="0"/>
          <w:sz w:val="32"/>
          <w:szCs w:val="32"/>
        </w:rPr>
        <w:lastRenderedPageBreak/>
        <w:t>办公秩序，顺利开展各项检察工作。</w:t>
      </w:r>
    </w:p>
    <w:p w:rsidR="001C5AAF" w:rsidRDefault="001C5AAF" w:rsidP="001C5AAF">
      <w:pPr>
        <w:spacing w:line="560" w:lineRule="exact"/>
        <w:ind w:firstLineChars="200" w:firstLine="640"/>
        <w:rPr>
          <w:rFonts w:ascii="仿宋_GB2312" w:eastAsia="仿宋_GB2312" w:hAnsi="仿宋_GB2312" w:cs="仿宋_GB2312"/>
          <w:bCs/>
          <w:color w:val="000000"/>
          <w:sz w:val="32"/>
          <w:szCs w:val="32"/>
        </w:rPr>
      </w:pPr>
      <w:r>
        <w:rPr>
          <w:rFonts w:ascii="仿宋_GB2312" w:eastAsia="仿宋_GB2312" w:hAnsi="仿宋_GB2312" w:cs="仿宋_GB2312"/>
          <w:bCs/>
          <w:color w:val="000000"/>
          <w:sz w:val="32"/>
          <w:szCs w:val="32"/>
        </w:rPr>
        <w:t>（</w:t>
      </w:r>
      <w:r>
        <w:rPr>
          <w:rFonts w:ascii="仿宋_GB2312" w:eastAsia="仿宋_GB2312" w:hAnsi="仿宋_GB2312" w:cs="仿宋_GB2312" w:hint="eastAsia"/>
          <w:bCs/>
          <w:color w:val="000000"/>
          <w:sz w:val="32"/>
          <w:szCs w:val="32"/>
        </w:rPr>
        <w:t>5</w:t>
      </w:r>
      <w:r>
        <w:rPr>
          <w:rFonts w:ascii="仿宋_GB2312" w:eastAsia="仿宋_GB2312" w:hAnsi="仿宋_GB2312" w:cs="仿宋_GB2312"/>
          <w:bCs/>
          <w:color w:val="000000"/>
          <w:sz w:val="32"/>
          <w:szCs w:val="32"/>
        </w:rPr>
        <w:t>）业务装备费</w:t>
      </w:r>
    </w:p>
    <w:p w:rsidR="001C5AAF" w:rsidRDefault="001C5AAF" w:rsidP="001C5AAF">
      <w:pPr>
        <w:spacing w:line="560" w:lineRule="exact"/>
        <w:ind w:firstLineChars="200" w:firstLine="640"/>
        <w:rPr>
          <w:rFonts w:ascii="仿宋_GB2312" w:eastAsia="仿宋_GB2312" w:hAnsi="仿宋_GB2312" w:cs="仿宋_GB2312"/>
          <w:bCs/>
          <w:color w:val="000000"/>
          <w:sz w:val="32"/>
          <w:szCs w:val="32"/>
        </w:rPr>
      </w:pPr>
      <w:r>
        <w:rPr>
          <w:rFonts w:ascii="仿宋_GB2312" w:eastAsia="仿宋_GB2312" w:hAnsi="仿宋_GB2312" w:cs="仿宋_GB2312"/>
          <w:bCs/>
          <w:color w:val="000000"/>
          <w:sz w:val="32"/>
          <w:szCs w:val="32"/>
        </w:rPr>
        <w:t>年度指标值：按照购置计划执行。</w:t>
      </w:r>
    </w:p>
    <w:p w:rsidR="001C5AAF" w:rsidRDefault="001C5AAF" w:rsidP="001C5AAF">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仿宋_GB2312" w:cs="仿宋_GB2312"/>
          <w:bCs/>
          <w:color w:val="000000"/>
          <w:sz w:val="32"/>
          <w:szCs w:val="32"/>
        </w:rPr>
        <w:t>全年实际值：已购置</w:t>
      </w:r>
      <w:proofErr w:type="gramStart"/>
      <w:r>
        <w:rPr>
          <w:rFonts w:ascii="仿宋_GB2312" w:eastAsia="仿宋_GB2312" w:hAnsi="仿宋_GB2312" w:cs="仿宋_GB2312"/>
          <w:bCs/>
          <w:color w:val="000000"/>
          <w:sz w:val="32"/>
          <w:szCs w:val="32"/>
        </w:rPr>
        <w:t>智检案件</w:t>
      </w:r>
      <w:proofErr w:type="gramEnd"/>
      <w:r>
        <w:rPr>
          <w:rFonts w:ascii="仿宋_GB2312" w:eastAsia="仿宋_GB2312" w:hAnsi="仿宋_GB2312" w:cs="仿宋_GB2312"/>
          <w:bCs/>
          <w:color w:val="000000"/>
          <w:sz w:val="32"/>
          <w:szCs w:val="32"/>
        </w:rPr>
        <w:t>智能自检系统、大要案指挥中心用电视机等设备，并</w:t>
      </w:r>
      <w:r>
        <w:rPr>
          <w:rFonts w:ascii="仿宋_GB2312" w:eastAsia="仿宋_GB2312" w:hAnsi="宋体" w:cs="宋体" w:hint="eastAsia"/>
          <w:color w:val="000000"/>
          <w:kern w:val="0"/>
          <w:sz w:val="32"/>
          <w:szCs w:val="32"/>
        </w:rPr>
        <w:t>完成验收，资金总体执行率达到87.19%。</w:t>
      </w:r>
    </w:p>
    <w:p w:rsidR="001C5AAF" w:rsidRDefault="001C5AAF" w:rsidP="001C5AAF">
      <w:pPr>
        <w:pStyle w:val="1"/>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（6）检察工作经费</w:t>
      </w:r>
    </w:p>
    <w:p w:rsidR="001C5AAF" w:rsidRDefault="001C5AAF" w:rsidP="001C5AAF">
      <w:pPr>
        <w:pStyle w:val="1"/>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年度指标值：制作一批通俗易懂的新媒体作品，包括微信、微博、微视频、H5动画等，宣传我院检察工作、先进典型人物、普及法律知识。通过各类媒体渠道开展各类法制宣传和检察工作宣传，普及检察知识，打造一批题材丰富的原创作品，切实提高我院检察新闻宣传工作的传播力、引导力、影响力、公信力。</w:t>
      </w:r>
    </w:p>
    <w:p w:rsidR="001C5AAF" w:rsidRDefault="001C5AAF" w:rsidP="001C5AAF">
      <w:pPr>
        <w:pStyle w:val="1"/>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全年实际值：该项目提供采购选定第三</w:t>
      </w:r>
      <w:proofErr w:type="gramStart"/>
      <w:r>
        <w:rPr>
          <w:rFonts w:ascii="仿宋_GB2312" w:eastAsia="仿宋_GB2312" w:hAnsi="宋体" w:cs="宋体" w:hint="eastAsia"/>
          <w:color w:val="000000"/>
          <w:kern w:val="0"/>
          <w:sz w:val="32"/>
          <w:szCs w:val="32"/>
        </w:rPr>
        <w:t>方服务</w:t>
      </w:r>
      <w:proofErr w:type="gramEnd"/>
      <w:r>
        <w:rPr>
          <w:rFonts w:ascii="仿宋_GB2312" w:eastAsia="仿宋_GB2312" w:hAnsi="宋体" w:cs="宋体" w:hint="eastAsia"/>
          <w:color w:val="000000"/>
          <w:kern w:val="0"/>
          <w:sz w:val="32"/>
          <w:szCs w:val="32"/>
        </w:rPr>
        <w:t>商为我院各项检察业务宣传工作提供各类新媒体产品的拍摄、制作、发布、推广等全流程服务，其中</w:t>
      </w:r>
      <w:proofErr w:type="gramStart"/>
      <w:r>
        <w:rPr>
          <w:rFonts w:ascii="仿宋_GB2312" w:eastAsia="仿宋_GB2312" w:hAnsi="宋体" w:cs="宋体" w:hint="eastAsia"/>
          <w:color w:val="000000"/>
          <w:kern w:val="0"/>
          <w:sz w:val="32"/>
          <w:szCs w:val="32"/>
        </w:rPr>
        <w:t>图文类微博</w:t>
      </w:r>
      <w:proofErr w:type="gramEnd"/>
      <w:r>
        <w:rPr>
          <w:rFonts w:ascii="仿宋_GB2312" w:eastAsia="仿宋_GB2312" w:hAnsi="宋体" w:cs="宋体" w:hint="eastAsia"/>
          <w:color w:val="000000"/>
          <w:kern w:val="0"/>
          <w:sz w:val="32"/>
          <w:szCs w:val="32"/>
        </w:rPr>
        <w:t>、微信、官网、一点号、今日</w:t>
      </w:r>
      <w:proofErr w:type="gramStart"/>
      <w:r>
        <w:rPr>
          <w:rFonts w:ascii="仿宋_GB2312" w:eastAsia="仿宋_GB2312" w:hAnsi="宋体" w:cs="宋体" w:hint="eastAsia"/>
          <w:color w:val="000000"/>
          <w:kern w:val="0"/>
          <w:sz w:val="32"/>
          <w:szCs w:val="32"/>
        </w:rPr>
        <w:t>头条号</w:t>
      </w:r>
      <w:proofErr w:type="gramEnd"/>
      <w:r>
        <w:rPr>
          <w:rFonts w:ascii="仿宋_GB2312" w:eastAsia="仿宋_GB2312" w:hAnsi="宋体" w:cs="宋体" w:hint="eastAsia"/>
          <w:color w:val="000000"/>
          <w:kern w:val="0"/>
          <w:sz w:val="32"/>
          <w:szCs w:val="32"/>
        </w:rPr>
        <w:t>等5个新媒体账号，每个账号每周不少于3条；设计排版、发布、日常维护全年不少于160条；视频类每月不少于2部，包括日常工作纪录片、全年总结片；策划、拍摄、制作、发布全年工作总结片一部；抖音、快手平台短视频策划、拍摄、制作、发布每个账号每月不少于5条。该项目进一步提高了检察工作宣传效果。</w:t>
      </w:r>
    </w:p>
    <w:p w:rsidR="001C5AAF" w:rsidRDefault="001C5AAF" w:rsidP="001C5AAF">
      <w:pPr>
        <w:pStyle w:val="1"/>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（7）区级资金项目</w:t>
      </w:r>
    </w:p>
    <w:p w:rsidR="001C5AAF" w:rsidRDefault="001C5AAF" w:rsidP="001C5AAF">
      <w:pPr>
        <w:pStyle w:val="1"/>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年度指标值：主要用于党建活动室、党员活动中心等施</w:t>
      </w:r>
      <w:r>
        <w:rPr>
          <w:rFonts w:ascii="仿宋_GB2312" w:eastAsia="仿宋_GB2312" w:hAnsi="宋体" w:cs="宋体" w:hint="eastAsia"/>
          <w:color w:val="000000"/>
          <w:kern w:val="0"/>
          <w:sz w:val="32"/>
          <w:szCs w:val="32"/>
        </w:rPr>
        <w:lastRenderedPageBreak/>
        <w:t>工改造项目，中央空调2号深井泵维修费、院内停车场道路改造等，保障检察业务的顺利开展。</w:t>
      </w:r>
    </w:p>
    <w:p w:rsidR="001C5AAF" w:rsidRDefault="001C5AAF" w:rsidP="001C5AAF">
      <w:pPr>
        <w:pStyle w:val="1"/>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全年实际值：到位资金</w:t>
      </w:r>
      <w:r w:rsidR="00401BC7">
        <w:rPr>
          <w:rFonts w:ascii="仿宋_GB2312" w:eastAsia="仿宋_GB2312" w:hAnsi="宋体" w:cs="宋体" w:hint="eastAsia"/>
          <w:color w:val="000000"/>
          <w:kern w:val="0"/>
          <w:sz w:val="32"/>
          <w:szCs w:val="32"/>
        </w:rPr>
        <w:t>279.99</w:t>
      </w:r>
      <w:r>
        <w:rPr>
          <w:rFonts w:ascii="仿宋_GB2312" w:eastAsia="仿宋_GB2312" w:hAnsi="宋体" w:cs="宋体" w:hint="eastAsia"/>
          <w:color w:val="000000"/>
          <w:kern w:val="0"/>
          <w:sz w:val="32"/>
          <w:szCs w:val="32"/>
        </w:rPr>
        <w:t>万元，资金到位率为100.00%。</w:t>
      </w:r>
    </w:p>
    <w:p w:rsidR="001C5AAF" w:rsidRDefault="001C5AAF" w:rsidP="001C5AAF">
      <w:pPr>
        <w:spacing w:line="560" w:lineRule="exact"/>
        <w:ind w:firstLineChars="200"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2.产出</w:t>
      </w:r>
      <w:r>
        <w:rPr>
          <w:rFonts w:ascii="仿宋_GB2312" w:eastAsia="仿宋_GB2312" w:hAnsi="宋体" w:cs="宋体"/>
          <w:color w:val="000000"/>
          <w:kern w:val="0"/>
          <w:sz w:val="32"/>
          <w:szCs w:val="32"/>
        </w:rPr>
        <w:t>质量</w:t>
      </w:r>
    </w:p>
    <w:p w:rsidR="001C5AAF" w:rsidRDefault="001C5AAF" w:rsidP="001C5AAF">
      <w:pPr>
        <w:spacing w:line="560" w:lineRule="exact"/>
        <w:ind w:leftChars="50" w:left="105" w:firstLineChars="150" w:firstLine="48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1）办案业务费：我院履行刑事检察职责，严厉打击各类刑事犯罪，认真落实宽严相济刑事政策。2023年4月，“石景山区科普基地”在我院未成年人互动体验式法治教育中心正式挂牌，中心获评北京市2023年度“扫黄打非”进基层示范点。第一检察部及干警荣获2017-2022年度北京市未成年人保护工作先进集体、先进个人。履行民事检察职责，弱势民事主体的合法权益得到有效保障。履行行政检察职责，行政生效裁判监督案件监督率和实质性化解行政争议率实现破零。履行公益诉讼检察职责；不断提升检察业务质效，取得较好效果。</w:t>
      </w:r>
    </w:p>
    <w:p w:rsidR="001C5AAF" w:rsidRDefault="001C5AAF" w:rsidP="001C5AAF">
      <w:pPr>
        <w:spacing w:line="560" w:lineRule="exact"/>
        <w:ind w:leftChars="50" w:left="105" w:firstLineChars="150" w:firstLine="480"/>
        <w:rPr>
          <w:rFonts w:ascii="仿宋_GB2312" w:eastAsia="仿宋_GB2312" w:hAnsi="仿宋_GB2312" w:cs="仿宋_GB2312"/>
          <w:bCs/>
          <w:color w:val="000000"/>
          <w:kern w:val="0"/>
          <w:sz w:val="32"/>
          <w:szCs w:val="32"/>
        </w:rPr>
      </w:pPr>
      <w:r>
        <w:rPr>
          <w:rFonts w:ascii="仿宋_GB2312" w:eastAsia="仿宋_GB2312" w:hAnsi="仿宋_GB2312" w:cs="仿宋_GB2312" w:hint="eastAsia"/>
          <w:color w:val="000000"/>
          <w:kern w:val="0"/>
          <w:sz w:val="32"/>
          <w:szCs w:val="32"/>
        </w:rPr>
        <w:t>（2）信息化运维费项目：全年系统运维合格率100%</w:t>
      </w:r>
      <w:r>
        <w:rPr>
          <w:rFonts w:ascii="仿宋_GB2312" w:eastAsia="仿宋_GB2312" w:hAnsi="仿宋_GB2312" w:cs="仿宋_GB2312" w:hint="eastAsia"/>
          <w:bCs/>
          <w:sz w:val="32"/>
          <w:szCs w:val="32"/>
        </w:rPr>
        <w:t>，满足了</w:t>
      </w:r>
      <w:r>
        <w:rPr>
          <w:rFonts w:ascii="仿宋_GB2312" w:eastAsia="仿宋_GB2312" w:hAnsi="宋体" w:cs="宋体" w:hint="eastAsia"/>
          <w:color w:val="000000"/>
          <w:kern w:val="0"/>
          <w:sz w:val="32"/>
          <w:szCs w:val="32"/>
        </w:rPr>
        <w:t>接入互联网的工作需</w:t>
      </w:r>
      <w:r>
        <w:rPr>
          <w:rFonts w:ascii="仿宋_GB2312" w:eastAsia="仿宋_GB2312" w:hAnsi="仿宋_GB2312" w:cs="仿宋_GB2312" w:hint="eastAsia"/>
          <w:bCs/>
          <w:sz w:val="32"/>
          <w:szCs w:val="32"/>
        </w:rPr>
        <w:t>，优化了检察院网络环境，保障了</w:t>
      </w:r>
      <w:r>
        <w:rPr>
          <w:rFonts w:ascii="仿宋_GB2312" w:eastAsia="仿宋_GB2312" w:hAnsi="宋体" w:cs="宋体" w:hint="eastAsia"/>
          <w:color w:val="000000"/>
          <w:kern w:val="0"/>
          <w:sz w:val="32"/>
          <w:szCs w:val="32"/>
        </w:rPr>
        <w:t>检察门户网站运行维护及</w:t>
      </w:r>
      <w:r>
        <w:rPr>
          <w:rFonts w:ascii="仿宋_GB2312" w:eastAsia="仿宋_GB2312" w:hAnsi="仿宋_GB2312" w:cs="仿宋_GB2312" w:hint="eastAsia"/>
          <w:bCs/>
          <w:sz w:val="32"/>
          <w:szCs w:val="32"/>
        </w:rPr>
        <w:t>检察业务高效开展；</w:t>
      </w:r>
    </w:p>
    <w:p w:rsidR="001C5AAF" w:rsidRDefault="001C5AAF" w:rsidP="001C5AAF">
      <w:pPr>
        <w:spacing w:line="560" w:lineRule="exact"/>
        <w:ind w:leftChars="50" w:left="105" w:firstLineChars="150" w:firstLine="48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（3）</w:t>
      </w:r>
      <w:r>
        <w:rPr>
          <w:rFonts w:ascii="仿宋_GB2312" w:eastAsia="仿宋_GB2312" w:hAnsi="宋体" w:cs="宋体" w:hint="eastAsia"/>
          <w:color w:val="000000"/>
          <w:kern w:val="0"/>
          <w:sz w:val="32"/>
          <w:szCs w:val="32"/>
        </w:rPr>
        <w:t>专业咨询类项目</w:t>
      </w:r>
      <w:r>
        <w:rPr>
          <w:rFonts w:ascii="仿宋_GB2312" w:eastAsia="仿宋_GB2312" w:hAnsi="仿宋_GB2312" w:cs="仿宋_GB2312" w:hint="eastAsia"/>
          <w:color w:val="000000"/>
          <w:kern w:val="0"/>
          <w:sz w:val="32"/>
          <w:szCs w:val="32"/>
        </w:rPr>
        <w:t>：提高了我院财政资金使用效益、保障了经费运行安全，进一步促进</w:t>
      </w:r>
      <w:r>
        <w:rPr>
          <w:rFonts w:ascii="仿宋_GB2312" w:eastAsia="仿宋_GB2312" w:hAnsi="宋体" w:cs="宋体" w:hint="eastAsia"/>
          <w:color w:val="000000"/>
          <w:kern w:val="0"/>
          <w:sz w:val="32"/>
          <w:szCs w:val="32"/>
        </w:rPr>
        <w:t>检察工作业务开展，提高检察工作效率；</w:t>
      </w:r>
    </w:p>
    <w:p w:rsidR="001C5AAF" w:rsidRDefault="001C5AAF" w:rsidP="001C5AAF">
      <w:pPr>
        <w:spacing w:line="560" w:lineRule="exact"/>
        <w:ind w:leftChars="50" w:left="105" w:firstLineChars="150" w:firstLine="48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（4）安保安检工作：保证了我院干警工作安全，维护了</w:t>
      </w:r>
      <w:r>
        <w:rPr>
          <w:rFonts w:ascii="仿宋_GB2312" w:eastAsia="仿宋_GB2312" w:hAnsi="宋体" w:cs="宋体" w:hint="eastAsia"/>
          <w:color w:val="000000"/>
          <w:kern w:val="0"/>
          <w:sz w:val="32"/>
          <w:szCs w:val="32"/>
        </w:rPr>
        <w:t>正常的办公秩序，保障各项检察业务工作有序开展</w:t>
      </w:r>
      <w:r>
        <w:rPr>
          <w:rFonts w:ascii="仿宋_GB2312" w:eastAsia="仿宋_GB2312" w:hAnsi="仿宋_GB2312" w:cs="仿宋_GB2312" w:hint="eastAsia"/>
          <w:color w:val="000000"/>
          <w:kern w:val="0"/>
          <w:sz w:val="32"/>
          <w:szCs w:val="32"/>
        </w:rPr>
        <w:t>；</w:t>
      </w:r>
    </w:p>
    <w:p w:rsidR="001C5AAF" w:rsidRDefault="001C5AAF" w:rsidP="001C5AAF">
      <w:pPr>
        <w:spacing w:line="560" w:lineRule="exact"/>
        <w:ind w:leftChars="50" w:left="105" w:firstLineChars="150" w:firstLine="480"/>
        <w:rPr>
          <w:rFonts w:ascii="仿宋_GB2312" w:eastAsia="仿宋_GB2312" w:hAnsi="仿宋_GB2312" w:cs="仿宋_GB2312"/>
          <w:bCs/>
          <w:sz w:val="32"/>
          <w:szCs w:val="32"/>
        </w:rPr>
      </w:pPr>
      <w:r>
        <w:rPr>
          <w:rFonts w:ascii="仿宋_GB2312" w:eastAsia="仿宋_GB2312" w:hAnsi="宋体" w:cs="宋体" w:hint="eastAsia"/>
          <w:color w:val="000000"/>
          <w:kern w:val="0"/>
          <w:sz w:val="32"/>
          <w:szCs w:val="32"/>
        </w:rPr>
        <w:t>（5）业务装备费项目：通过购置</w:t>
      </w:r>
      <w:proofErr w:type="gramStart"/>
      <w:r>
        <w:rPr>
          <w:rFonts w:ascii="仿宋_GB2312" w:eastAsia="仿宋_GB2312" w:hAnsi="宋体" w:cs="宋体" w:hint="eastAsia"/>
          <w:color w:val="000000"/>
          <w:kern w:val="0"/>
          <w:sz w:val="32"/>
          <w:szCs w:val="32"/>
        </w:rPr>
        <w:t>智检案件</w:t>
      </w:r>
      <w:proofErr w:type="gramEnd"/>
      <w:r>
        <w:rPr>
          <w:rFonts w:ascii="仿宋_GB2312" w:eastAsia="仿宋_GB2312" w:hAnsi="宋体" w:cs="宋体" w:hint="eastAsia"/>
          <w:color w:val="000000"/>
          <w:kern w:val="0"/>
          <w:sz w:val="32"/>
          <w:szCs w:val="32"/>
        </w:rPr>
        <w:t>智能自检系统、</w:t>
      </w:r>
      <w:r>
        <w:rPr>
          <w:rFonts w:ascii="仿宋_GB2312" w:eastAsia="仿宋_GB2312" w:hAnsi="宋体" w:cs="宋体" w:hint="eastAsia"/>
          <w:color w:val="000000"/>
          <w:kern w:val="0"/>
          <w:sz w:val="32"/>
          <w:szCs w:val="32"/>
        </w:rPr>
        <w:lastRenderedPageBreak/>
        <w:t>大要案指挥中心用电视机等设备，进一步提高检察信息化水平，满足检察机关取证需要；规范检察执法，提高执法办案水平；强</w:t>
      </w:r>
      <w:r>
        <w:rPr>
          <w:rFonts w:ascii="仿宋_GB2312" w:eastAsia="仿宋_GB2312" w:hAnsi="仿宋_GB2312" w:cs="仿宋_GB2312" w:hint="eastAsia"/>
          <w:bCs/>
          <w:sz w:val="32"/>
          <w:szCs w:val="32"/>
        </w:rPr>
        <w:t>化检察系统间沟通，更好满足检察业务工作；</w:t>
      </w:r>
    </w:p>
    <w:p w:rsidR="001C5AAF" w:rsidRDefault="001C5AAF" w:rsidP="001C5AAF">
      <w:pPr>
        <w:spacing w:line="560" w:lineRule="exact"/>
        <w:ind w:leftChars="50" w:left="105" w:firstLineChars="150" w:firstLine="48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（6）检察工作经费：通过该项目的执行，加强了新媒体建设，打造一批题材丰富的原创作品，切实提高我院检察新闻宣传工作的传播力、引导力、影响力、公信力；</w:t>
      </w:r>
    </w:p>
    <w:p w:rsidR="001C5AAF" w:rsidRDefault="001C5AAF" w:rsidP="001C5AAF">
      <w:pPr>
        <w:pStyle w:val="1"/>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（7）2023年区级资金项目</w:t>
      </w:r>
      <w:r w:rsidR="00A43649">
        <w:rPr>
          <w:rFonts w:ascii="仿宋_GB2312" w:eastAsia="仿宋_GB2312" w:hAnsi="宋体" w:cs="宋体" w:hint="eastAsia"/>
          <w:color w:val="000000"/>
          <w:kern w:val="0"/>
          <w:sz w:val="32"/>
          <w:szCs w:val="32"/>
        </w:rPr>
        <w:t>年初</w:t>
      </w:r>
      <w:r>
        <w:rPr>
          <w:rFonts w:ascii="仿宋_GB2312" w:eastAsia="仿宋_GB2312" w:hAnsi="宋体" w:cs="宋体" w:hint="eastAsia"/>
          <w:color w:val="000000"/>
          <w:kern w:val="0"/>
          <w:sz w:val="32"/>
          <w:szCs w:val="32"/>
        </w:rPr>
        <w:t>预算资金</w:t>
      </w:r>
      <w:r w:rsidR="00A43649" w:rsidRPr="00A43649">
        <w:rPr>
          <w:rFonts w:ascii="仿宋_GB2312" w:eastAsia="仿宋_GB2312" w:hAnsi="宋体" w:cs="宋体"/>
          <w:color w:val="000000"/>
          <w:kern w:val="0"/>
          <w:sz w:val="32"/>
          <w:szCs w:val="32"/>
        </w:rPr>
        <w:t>73.18</w:t>
      </w:r>
      <w:r>
        <w:rPr>
          <w:rFonts w:ascii="仿宋_GB2312" w:eastAsia="仿宋_GB2312" w:hAnsi="宋体" w:cs="宋体" w:hint="eastAsia"/>
          <w:color w:val="000000"/>
          <w:kern w:val="0"/>
          <w:sz w:val="32"/>
          <w:szCs w:val="32"/>
        </w:rPr>
        <w:t>万元，</w:t>
      </w:r>
      <w:r w:rsidR="00A43649">
        <w:rPr>
          <w:rFonts w:ascii="仿宋_GB2312" w:eastAsia="仿宋_GB2312" w:hAnsi="宋体" w:cs="宋体" w:hint="eastAsia"/>
          <w:color w:val="000000"/>
          <w:kern w:val="0"/>
          <w:sz w:val="32"/>
          <w:szCs w:val="32"/>
        </w:rPr>
        <w:t>因年中追加</w:t>
      </w:r>
      <w:r>
        <w:rPr>
          <w:rFonts w:ascii="仿宋_GB2312" w:eastAsia="仿宋_GB2312" w:hAnsi="宋体" w:cs="宋体" w:hint="eastAsia"/>
          <w:color w:val="000000"/>
          <w:kern w:val="0"/>
          <w:sz w:val="32"/>
          <w:szCs w:val="32"/>
        </w:rPr>
        <w:t>实际到位资金27</w:t>
      </w:r>
      <w:r w:rsidR="00A43649">
        <w:rPr>
          <w:rFonts w:ascii="仿宋_GB2312" w:eastAsia="仿宋_GB2312" w:hAnsi="宋体" w:cs="宋体" w:hint="eastAsia"/>
          <w:color w:val="000000"/>
          <w:kern w:val="0"/>
          <w:sz w:val="32"/>
          <w:szCs w:val="32"/>
        </w:rPr>
        <w:t>9.99</w:t>
      </w:r>
      <w:r>
        <w:rPr>
          <w:rFonts w:ascii="仿宋_GB2312" w:eastAsia="仿宋_GB2312" w:hAnsi="宋体" w:cs="宋体" w:hint="eastAsia"/>
          <w:color w:val="000000"/>
          <w:kern w:val="0"/>
          <w:sz w:val="32"/>
          <w:szCs w:val="32"/>
        </w:rPr>
        <w:t>万元，全部用于本院改造、维护维修安全保障经费等支出，在一定程度上保障我院检察业务的顺利开展。</w:t>
      </w:r>
    </w:p>
    <w:p w:rsidR="001C5AAF" w:rsidRDefault="001C5AAF" w:rsidP="001C5AAF">
      <w:pPr>
        <w:spacing w:line="560" w:lineRule="exact"/>
        <w:ind w:firstLineChars="200"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3.产出</w:t>
      </w:r>
      <w:r>
        <w:rPr>
          <w:rFonts w:ascii="仿宋_GB2312" w:eastAsia="仿宋_GB2312" w:hAnsi="宋体" w:cs="宋体"/>
          <w:color w:val="000000"/>
          <w:kern w:val="0"/>
          <w:sz w:val="32"/>
          <w:szCs w:val="32"/>
        </w:rPr>
        <w:t>进度</w:t>
      </w:r>
    </w:p>
    <w:p w:rsidR="001C5AAF" w:rsidRDefault="001C5AAF" w:rsidP="001C5AAF">
      <w:pPr>
        <w:pStyle w:val="1"/>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（1）办案业务费项目：已在2023年按要求完成项目进度，项目中涉及的合同、验收报告、技术鉴定等资料均齐全并及时归档；</w:t>
      </w:r>
    </w:p>
    <w:p w:rsidR="001C5AAF" w:rsidRDefault="001C5AAF" w:rsidP="001C5AAF">
      <w:pPr>
        <w:pStyle w:val="1"/>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（2）信息化运维项目：该项目2023年主要工作能够按照计划时间开展，产出时效性较好，按期完成了各阶段及年度总体工作任务；</w:t>
      </w:r>
    </w:p>
    <w:p w:rsidR="001C5AAF" w:rsidRDefault="001C5AAF" w:rsidP="001C5AAF">
      <w:pPr>
        <w:pStyle w:val="1"/>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仿宋_GB2312" w:cs="仿宋_GB2312" w:hint="eastAsia"/>
          <w:color w:val="000000"/>
          <w:kern w:val="0"/>
          <w:sz w:val="32"/>
          <w:szCs w:val="32"/>
        </w:rPr>
        <w:t>专业咨询服务项目：已在2023年度全部完成；</w:t>
      </w:r>
    </w:p>
    <w:p w:rsidR="001C5AAF" w:rsidRDefault="001C5AAF" w:rsidP="001C5AAF">
      <w:pPr>
        <w:pStyle w:val="1"/>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（4）安保安检工作项目：按照年初绩效目标的要求，已在2023年底前完成并通过验收；</w:t>
      </w:r>
    </w:p>
    <w:p w:rsidR="001C5AAF" w:rsidRDefault="001C5AAF" w:rsidP="001C5AAF">
      <w:pPr>
        <w:pStyle w:val="1"/>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（5）业务装备费项目：2023年整体完成度较好，已按年初购置计划执行并验收合格；</w:t>
      </w:r>
    </w:p>
    <w:p w:rsidR="00A43649" w:rsidRDefault="001C5AAF" w:rsidP="00A43649">
      <w:pPr>
        <w:pStyle w:val="1"/>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（6）检察工作经费项目：已在2023年度完成并通过验收；</w:t>
      </w:r>
    </w:p>
    <w:p w:rsidR="001C5AAF" w:rsidRDefault="001C5AAF" w:rsidP="001C5AAF">
      <w:pPr>
        <w:pStyle w:val="1"/>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（7）2023年区级资金项目：预算资金</w:t>
      </w:r>
      <w:r w:rsidR="00401BC7">
        <w:rPr>
          <w:rFonts w:ascii="仿宋_GB2312" w:eastAsia="仿宋_GB2312" w:hAnsi="宋体" w:cs="宋体" w:hint="eastAsia"/>
          <w:color w:val="000000"/>
          <w:kern w:val="0"/>
          <w:sz w:val="32"/>
          <w:szCs w:val="32"/>
        </w:rPr>
        <w:t>279.99</w:t>
      </w:r>
      <w:r>
        <w:rPr>
          <w:rFonts w:ascii="仿宋_GB2312" w:eastAsia="仿宋_GB2312" w:hAnsi="宋体" w:cs="宋体" w:hint="eastAsia"/>
          <w:color w:val="000000"/>
          <w:kern w:val="0"/>
          <w:sz w:val="32"/>
          <w:szCs w:val="32"/>
        </w:rPr>
        <w:t>万元，整体完成度较好。</w:t>
      </w:r>
    </w:p>
    <w:p w:rsidR="001C5AAF" w:rsidRDefault="001C5AAF" w:rsidP="001C5AAF">
      <w:pPr>
        <w:spacing w:line="560" w:lineRule="exact"/>
        <w:ind w:leftChars="50" w:left="105" w:firstLineChars="150" w:firstLine="480"/>
        <w:outlineLvl w:val="2"/>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4.</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成本</w:t>
      </w:r>
    </w:p>
    <w:p w:rsidR="001C5AAF" w:rsidRDefault="001C5AAF" w:rsidP="001C5AAF">
      <w:pPr>
        <w:spacing w:line="560" w:lineRule="exact"/>
        <w:ind w:leftChars="50" w:left="105" w:firstLineChars="150" w:firstLine="480"/>
        <w:rPr>
          <w:rFonts w:ascii="仿宋_GB2312" w:eastAsia="仿宋_GB2312" w:hAnsi="宋体" w:cs="宋体"/>
          <w:color w:val="000000"/>
          <w:kern w:val="0"/>
          <w:sz w:val="32"/>
          <w:szCs w:val="32"/>
          <w:highlight w:val="yellow"/>
        </w:rPr>
      </w:pPr>
      <w:r>
        <w:rPr>
          <w:rFonts w:ascii="仿宋_GB2312" w:eastAsia="仿宋_GB2312" w:hAnsi="宋体" w:cs="宋体" w:hint="eastAsia"/>
          <w:color w:val="000000"/>
          <w:kern w:val="0"/>
          <w:sz w:val="32"/>
          <w:szCs w:val="32"/>
        </w:rPr>
        <w:t>2023年年</w:t>
      </w:r>
      <w:proofErr w:type="gramStart"/>
      <w:r>
        <w:rPr>
          <w:rFonts w:ascii="仿宋_GB2312" w:eastAsia="仿宋_GB2312" w:hAnsi="宋体" w:cs="宋体" w:hint="eastAsia"/>
          <w:color w:val="000000"/>
          <w:kern w:val="0"/>
          <w:sz w:val="32"/>
          <w:szCs w:val="32"/>
        </w:rPr>
        <w:t>初项目</w:t>
      </w:r>
      <w:proofErr w:type="gramEnd"/>
      <w:r>
        <w:rPr>
          <w:rFonts w:ascii="仿宋_GB2312" w:eastAsia="仿宋_GB2312" w:hAnsi="宋体" w:cs="宋体" w:hint="eastAsia"/>
          <w:color w:val="000000"/>
          <w:kern w:val="0"/>
          <w:sz w:val="32"/>
          <w:szCs w:val="32"/>
        </w:rPr>
        <w:t>支出预算数591.82</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，全年预算数 766.15万元；</w:t>
      </w:r>
      <w:r>
        <w:rPr>
          <w:rFonts w:ascii="仿宋_GB2312" w:eastAsia="仿宋_GB2312" w:hAnsi="宋体" w:cs="宋体"/>
          <w:color w:val="000000"/>
          <w:kern w:val="0"/>
          <w:sz w:val="32"/>
          <w:szCs w:val="32"/>
        </w:rPr>
        <w:t>项目</w:t>
      </w:r>
      <w:r>
        <w:rPr>
          <w:rFonts w:ascii="仿宋_GB2312" w:eastAsia="仿宋_GB2312" w:hAnsi="宋体" w:cs="宋体" w:hint="eastAsia"/>
          <w:color w:val="000000"/>
          <w:kern w:val="0"/>
          <w:sz w:val="32"/>
          <w:szCs w:val="32"/>
        </w:rPr>
        <w:t>支出决算数755.81</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，其中：办案业务费产出成本257.5</w:t>
      </w:r>
      <w:r w:rsidR="005C2FEC">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万元、信息化运维费产出成本48.60万元；专业咨询类项目20.00万元；安保安检工作产出成本41.28万元；业务装备费产出成本70.40万元；检察工作经费38万元；区级资金项目产出成本</w:t>
      </w:r>
      <w:r w:rsidR="00CA5CF1">
        <w:rPr>
          <w:rFonts w:ascii="仿宋_GB2312" w:eastAsia="仿宋_GB2312" w:hAnsi="宋体" w:cs="宋体" w:hint="eastAsia"/>
          <w:color w:val="000000"/>
          <w:kern w:val="0"/>
          <w:sz w:val="32"/>
          <w:szCs w:val="32"/>
        </w:rPr>
        <w:t>279.99</w:t>
      </w:r>
      <w:r>
        <w:rPr>
          <w:rFonts w:ascii="仿宋_GB2312" w:eastAsia="仿宋_GB2312" w:hAnsi="宋体" w:cs="宋体" w:hint="eastAsia"/>
          <w:color w:val="000000"/>
          <w:kern w:val="0"/>
          <w:sz w:val="32"/>
          <w:szCs w:val="32"/>
        </w:rPr>
        <w:t>万元。</w:t>
      </w:r>
    </w:p>
    <w:p w:rsidR="001C5AAF" w:rsidRDefault="001C5AAF" w:rsidP="001C5AAF">
      <w:pPr>
        <w:spacing w:line="600" w:lineRule="exact"/>
        <w:ind w:leftChars="50" w:left="105" w:firstLineChars="150" w:firstLine="480"/>
        <w:outlineLvl w:val="1"/>
        <w:rPr>
          <w:rFonts w:ascii="楷体_GB2312" w:eastAsia="楷体_GB2312"/>
          <w:sz w:val="32"/>
          <w:szCs w:val="32"/>
        </w:rPr>
      </w:pPr>
      <w:bookmarkStart w:id="32" w:name="_Toc1684"/>
      <w:bookmarkStart w:id="33" w:name="_Toc30206"/>
      <w:bookmarkStart w:id="34" w:name="_Toc25763"/>
      <w:bookmarkStart w:id="35" w:name="_Toc8834"/>
      <w:r>
        <w:rPr>
          <w:rFonts w:ascii="楷体_GB2312" w:eastAsia="楷体_GB2312" w:hint="eastAsia"/>
          <w:sz w:val="32"/>
          <w:szCs w:val="32"/>
        </w:rPr>
        <w:t>（二）效果</w:t>
      </w:r>
      <w:r>
        <w:rPr>
          <w:rFonts w:ascii="楷体_GB2312" w:eastAsia="楷体_GB2312"/>
          <w:sz w:val="32"/>
          <w:szCs w:val="32"/>
        </w:rPr>
        <w:t>实现情况分析</w:t>
      </w:r>
      <w:bookmarkEnd w:id="32"/>
      <w:bookmarkEnd w:id="33"/>
      <w:bookmarkEnd w:id="34"/>
      <w:bookmarkEnd w:id="35"/>
    </w:p>
    <w:p w:rsidR="001C5AAF" w:rsidRDefault="001C5AAF" w:rsidP="001C5AAF">
      <w:pPr>
        <w:pStyle w:val="10"/>
        <w:spacing w:line="560" w:lineRule="exact"/>
        <w:ind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1.经济效益：</w:t>
      </w:r>
    </w:p>
    <w:p w:rsidR="001C5AAF" w:rsidRDefault="001C5AAF" w:rsidP="001C5AAF">
      <w:pPr>
        <w:pStyle w:val="10"/>
        <w:spacing w:line="560" w:lineRule="exact"/>
        <w:ind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不涉及。</w:t>
      </w:r>
    </w:p>
    <w:p w:rsidR="001C5AAF" w:rsidRDefault="001C5AAF" w:rsidP="001C5AAF">
      <w:pPr>
        <w:pStyle w:val="10"/>
        <w:spacing w:line="560" w:lineRule="exact"/>
        <w:ind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2.社会效益：</w:t>
      </w:r>
    </w:p>
    <w:p w:rsidR="001C5AAF" w:rsidRDefault="001C5AAF" w:rsidP="001C5AAF">
      <w:pPr>
        <w:pStyle w:val="10"/>
        <w:spacing w:line="560" w:lineRule="exact"/>
        <w:ind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总体自评认为，我院深入学习贯彻落实全市检察长会议、区委全会精神和相关工作要求，不断深化党的政治建设，筑牢检察队伍思想基础；深化总体国家安全观，充分履行司法办案、检察监督职责，努力在全国“两会”召开期间为首都创造安全稳定的社会环境、法治环境；将“保中争优，奋力走在中心城区前列”确定为检察业务</w:t>
      </w:r>
      <w:proofErr w:type="gramStart"/>
      <w:r>
        <w:rPr>
          <w:rFonts w:ascii="仿宋_GB2312" w:eastAsia="仿宋_GB2312" w:hAnsi="宋体" w:cs="宋体" w:hint="eastAsia"/>
          <w:color w:val="000000"/>
          <w:kern w:val="0"/>
          <w:sz w:val="32"/>
          <w:szCs w:val="32"/>
        </w:rPr>
        <w:t>质效总目标</w:t>
      </w:r>
      <w:proofErr w:type="gramEnd"/>
      <w:r>
        <w:rPr>
          <w:rFonts w:ascii="仿宋_GB2312" w:eastAsia="仿宋_GB2312" w:hAnsi="宋体" w:cs="宋体" w:hint="eastAsia"/>
          <w:color w:val="000000"/>
          <w:kern w:val="0"/>
          <w:sz w:val="32"/>
          <w:szCs w:val="32"/>
        </w:rPr>
        <w:t>，充分发挥业绩考评“指挥棒”作用，不断提升检察业务质效，取得较好效果。</w:t>
      </w:r>
    </w:p>
    <w:p w:rsidR="001C5AAF" w:rsidRDefault="001C5AAF" w:rsidP="001C5AAF">
      <w:pPr>
        <w:pStyle w:val="10"/>
        <w:spacing w:line="560" w:lineRule="exact"/>
        <w:ind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3.环境效益</w:t>
      </w:r>
    </w:p>
    <w:p w:rsidR="001C5AAF" w:rsidRDefault="001C5AAF" w:rsidP="001C5AAF">
      <w:pPr>
        <w:pStyle w:val="10"/>
        <w:spacing w:line="560" w:lineRule="exact"/>
        <w:ind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不涉及</w:t>
      </w:r>
    </w:p>
    <w:p w:rsidR="001C5AAF" w:rsidRDefault="001C5AAF" w:rsidP="001C5AAF">
      <w:pPr>
        <w:pStyle w:val="10"/>
        <w:spacing w:line="560" w:lineRule="exact"/>
        <w:ind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4.可持续性影响</w:t>
      </w:r>
    </w:p>
    <w:p w:rsidR="001C5AAF" w:rsidRDefault="001C5AAF" w:rsidP="001C5AAF">
      <w:pPr>
        <w:spacing w:line="560" w:lineRule="exact"/>
        <w:ind w:leftChars="50" w:left="105" w:firstLineChars="150" w:firstLine="48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总体自评认为，我院充分发挥单位职能，保障各项检察业务工作有序开展，围绕中心工作履行检察职能，在维护首都工作大局，维护社会安全稳定，强化法律监督等方面具有可持续性。</w:t>
      </w:r>
    </w:p>
    <w:p w:rsidR="001C5AAF" w:rsidRDefault="001C5AAF" w:rsidP="001C5AAF">
      <w:pPr>
        <w:spacing w:line="560" w:lineRule="exact"/>
        <w:ind w:leftChars="50" w:left="105" w:firstLineChars="150" w:firstLine="48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5.服务对象满意度</w:t>
      </w:r>
    </w:p>
    <w:p w:rsidR="001C5AAF" w:rsidRDefault="001C5AAF" w:rsidP="001C5AAF">
      <w:pPr>
        <w:spacing w:line="56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总体自评认为，我院项目满意度反馈信息不够全面，满意度调查有待完善。</w:t>
      </w:r>
    </w:p>
    <w:p w:rsidR="001C5AAF" w:rsidRDefault="001C5AAF" w:rsidP="001C5AAF">
      <w:pPr>
        <w:spacing w:line="600" w:lineRule="exact"/>
        <w:ind w:leftChars="50" w:left="105" w:firstLineChars="150" w:firstLine="480"/>
        <w:outlineLvl w:val="0"/>
        <w:rPr>
          <w:rFonts w:ascii="黑体" w:eastAsia="黑体" w:hAnsi="黑体" w:cs="宋体"/>
          <w:color w:val="000000"/>
          <w:kern w:val="0"/>
          <w:sz w:val="32"/>
          <w:szCs w:val="32"/>
        </w:rPr>
      </w:pPr>
      <w:bookmarkStart w:id="36" w:name="_Toc18664"/>
      <w:bookmarkStart w:id="37" w:name="_Toc19106"/>
      <w:bookmarkStart w:id="38" w:name="_Toc17963"/>
      <w:bookmarkStart w:id="39" w:name="_Toc22647"/>
      <w:r>
        <w:rPr>
          <w:rFonts w:ascii="黑体" w:eastAsia="黑体" w:hAnsi="黑体" w:cs="宋体" w:hint="eastAsia"/>
          <w:color w:val="000000"/>
          <w:kern w:val="0"/>
          <w:sz w:val="32"/>
          <w:szCs w:val="32"/>
        </w:rPr>
        <w:t>四</w:t>
      </w:r>
      <w:r>
        <w:rPr>
          <w:rFonts w:ascii="黑体" w:eastAsia="黑体" w:hAnsi="黑体" w:cs="宋体"/>
          <w:color w:val="000000"/>
          <w:kern w:val="0"/>
          <w:sz w:val="32"/>
          <w:szCs w:val="32"/>
        </w:rPr>
        <w:t>、预算管理</w:t>
      </w:r>
      <w:r>
        <w:rPr>
          <w:rFonts w:ascii="黑体" w:eastAsia="黑体" w:hAnsi="黑体" w:cs="宋体" w:hint="eastAsia"/>
          <w:color w:val="000000"/>
          <w:kern w:val="0"/>
          <w:sz w:val="32"/>
          <w:szCs w:val="32"/>
        </w:rPr>
        <w:t>情况分</w:t>
      </w:r>
      <w:r>
        <w:rPr>
          <w:rFonts w:ascii="黑体" w:eastAsia="黑体" w:hAnsi="黑体" w:cs="宋体"/>
          <w:color w:val="000000"/>
          <w:kern w:val="0"/>
          <w:sz w:val="32"/>
          <w:szCs w:val="32"/>
        </w:rPr>
        <w:t>析</w:t>
      </w:r>
      <w:bookmarkEnd w:id="36"/>
      <w:bookmarkEnd w:id="37"/>
      <w:bookmarkEnd w:id="38"/>
      <w:bookmarkEnd w:id="39"/>
    </w:p>
    <w:p w:rsidR="001C5AAF" w:rsidRDefault="001C5AAF" w:rsidP="001C5AAF">
      <w:pPr>
        <w:spacing w:line="600" w:lineRule="exact"/>
        <w:ind w:leftChars="50" w:left="105" w:firstLineChars="150" w:firstLine="480"/>
        <w:outlineLvl w:val="1"/>
        <w:rPr>
          <w:rFonts w:ascii="楷体_GB2312" w:eastAsia="楷体_GB2312"/>
          <w:sz w:val="32"/>
          <w:szCs w:val="32"/>
        </w:rPr>
      </w:pPr>
      <w:bookmarkStart w:id="40" w:name="_Toc20391"/>
      <w:bookmarkStart w:id="41" w:name="_Toc29143"/>
      <w:bookmarkStart w:id="42" w:name="_Toc19959"/>
      <w:bookmarkStart w:id="43" w:name="_Toc32474"/>
      <w:r>
        <w:rPr>
          <w:rFonts w:ascii="楷体_GB2312" w:eastAsia="楷体_GB2312" w:hint="eastAsia"/>
          <w:sz w:val="32"/>
          <w:szCs w:val="32"/>
        </w:rPr>
        <w:t>（一）财务管理</w:t>
      </w:r>
      <w:bookmarkEnd w:id="40"/>
      <w:bookmarkEnd w:id="41"/>
      <w:bookmarkEnd w:id="42"/>
      <w:bookmarkEnd w:id="43"/>
    </w:p>
    <w:p w:rsidR="001C5AAF" w:rsidRDefault="001C5AAF" w:rsidP="001C5AAF">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1.我院结合单位财务工作和预算管理工作实际，建立了财务管理办法、预算管理办法、预算绩效管理办法、经费支出管理办法、采购管理办法、合同管理办法、内部审计管理办法等制度，财务</w:t>
      </w:r>
      <w:r>
        <w:rPr>
          <w:rFonts w:ascii="仿宋_GB2312" w:eastAsia="仿宋_GB2312" w:hAnsi="宋体" w:cs="宋体"/>
          <w:color w:val="000000"/>
          <w:kern w:val="0"/>
          <w:sz w:val="32"/>
          <w:szCs w:val="32"/>
        </w:rPr>
        <w:t>管理制度健全</w:t>
      </w:r>
      <w:r>
        <w:rPr>
          <w:rFonts w:ascii="仿宋_GB2312" w:eastAsia="仿宋_GB2312" w:hAnsi="宋体" w:cs="宋体" w:hint="eastAsia"/>
          <w:color w:val="000000"/>
          <w:kern w:val="0"/>
          <w:sz w:val="32"/>
          <w:szCs w:val="32"/>
        </w:rPr>
        <w:t>。实际执行中，严格按照财务制度执行，执行审核审批手续。</w:t>
      </w:r>
    </w:p>
    <w:p w:rsidR="001C5AAF" w:rsidRDefault="001C5AAF" w:rsidP="001C5AAF">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我院各项资金支出均参照国家、北京市相关制度、北京市人民检察院及本单位相关财务制度执行，严格落实资金拨付审批程序，以保障资金及时发放到位。同时，配合市财政局开展项目监管检查、绩效评价相关工作，加强资金使用效果的监督、落实。</w:t>
      </w:r>
    </w:p>
    <w:p w:rsidR="001C5AAF" w:rsidRDefault="001C5AAF" w:rsidP="001C5AAF">
      <w:pPr>
        <w:spacing w:line="600" w:lineRule="exact"/>
        <w:ind w:leftChars="50" w:left="105" w:firstLineChars="150" w:firstLine="480"/>
        <w:outlineLvl w:val="1"/>
        <w:rPr>
          <w:rFonts w:ascii="楷体_GB2312" w:eastAsia="楷体_GB2312"/>
          <w:sz w:val="32"/>
          <w:szCs w:val="32"/>
        </w:rPr>
      </w:pPr>
      <w:bookmarkStart w:id="44" w:name="_Toc18008"/>
      <w:bookmarkStart w:id="45" w:name="_Toc11625"/>
      <w:bookmarkStart w:id="46" w:name="_Toc5544"/>
      <w:bookmarkStart w:id="47" w:name="_Toc8185"/>
      <w:r>
        <w:rPr>
          <w:rFonts w:ascii="楷体_GB2312" w:eastAsia="楷体_GB2312" w:hint="eastAsia"/>
          <w:sz w:val="32"/>
          <w:szCs w:val="32"/>
        </w:rPr>
        <w:t>（二）资产管理</w:t>
      </w:r>
      <w:bookmarkEnd w:id="44"/>
      <w:bookmarkEnd w:id="45"/>
      <w:bookmarkEnd w:id="46"/>
      <w:bookmarkEnd w:id="47"/>
    </w:p>
    <w:p w:rsidR="001C5AAF" w:rsidRDefault="001C5AAF" w:rsidP="001C5AAF">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我院建立了固定资产管理办法，资产管理制度较为健全。在资产管理方面能够按照现有制度执行，科学合理做好资产配置，加强资产的日常管理维护，挖掘资产使用价值，规范</w:t>
      </w:r>
      <w:r>
        <w:rPr>
          <w:rFonts w:ascii="仿宋_GB2312" w:eastAsia="仿宋_GB2312" w:hAnsi="宋体" w:cs="宋体" w:hint="eastAsia"/>
          <w:color w:val="000000"/>
          <w:kern w:val="0"/>
          <w:sz w:val="32"/>
          <w:szCs w:val="32"/>
        </w:rPr>
        <w:lastRenderedPageBreak/>
        <w:t>和完善资产的处置流程，充分发挥资产在单位履行职能方面的物质基础作用，有效保证单位带给公共服务的需要。</w:t>
      </w:r>
    </w:p>
    <w:p w:rsidR="001C5AAF" w:rsidRDefault="001C5AAF" w:rsidP="001C5AAF">
      <w:pPr>
        <w:numPr>
          <w:ilvl w:val="0"/>
          <w:numId w:val="1"/>
        </w:numPr>
        <w:spacing w:line="600" w:lineRule="exact"/>
        <w:ind w:firstLineChars="200" w:firstLine="640"/>
        <w:outlineLvl w:val="1"/>
        <w:rPr>
          <w:rFonts w:ascii="楷体_GB2312" w:eastAsia="楷体_GB2312"/>
          <w:sz w:val="32"/>
          <w:szCs w:val="32"/>
        </w:rPr>
      </w:pPr>
      <w:bookmarkStart w:id="48" w:name="_Toc954"/>
      <w:bookmarkStart w:id="49" w:name="_Toc30546"/>
      <w:bookmarkStart w:id="50" w:name="_Toc5684"/>
      <w:bookmarkStart w:id="51" w:name="_Toc1653"/>
      <w:r>
        <w:rPr>
          <w:rFonts w:ascii="楷体_GB2312" w:eastAsia="楷体_GB2312" w:hint="eastAsia"/>
          <w:sz w:val="32"/>
          <w:szCs w:val="32"/>
        </w:rPr>
        <w:t>绩效</w:t>
      </w:r>
      <w:r>
        <w:rPr>
          <w:rFonts w:ascii="楷体_GB2312" w:eastAsia="楷体_GB2312"/>
          <w:sz w:val="32"/>
          <w:szCs w:val="32"/>
        </w:rPr>
        <w:t>管理</w:t>
      </w:r>
      <w:bookmarkEnd w:id="48"/>
      <w:bookmarkEnd w:id="49"/>
      <w:bookmarkEnd w:id="50"/>
      <w:bookmarkEnd w:id="51"/>
    </w:p>
    <w:p w:rsidR="001C5AAF" w:rsidRDefault="001C5AAF" w:rsidP="001C5AAF">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我院在部门预算绩效管理工作中，对预算项目的决策、执行、产出及效益等方面进行综合评价，评价结果经单位领导审批，确保评价结果的真实、准确、客观。通过绩效评价进一步强化了各部门对项目资金的绩效管理意识，提高了财政资金的使用效益。建立科学、合理的部门支出绩效评价管理体系，提高财政资金使用效益。我院部门支出绩效评价依据设定的绩效目标，运用科学、合理的绩效评价指标、评价标准和评价方法，对部门支出的经济性、效率性、效益性和公平性以及预算资金的投入、使用过程、产出和效果进行客观、公正的测量、分析和评判进一步加强预算绩效管理。</w:t>
      </w:r>
    </w:p>
    <w:p w:rsidR="001C5AAF" w:rsidRDefault="001C5AAF" w:rsidP="001C5AAF">
      <w:pPr>
        <w:spacing w:line="600" w:lineRule="exact"/>
        <w:ind w:leftChars="50" w:left="105" w:firstLineChars="150" w:firstLine="480"/>
        <w:outlineLvl w:val="1"/>
        <w:rPr>
          <w:rFonts w:ascii="楷体_GB2312" w:eastAsia="楷体_GB2312"/>
          <w:sz w:val="32"/>
          <w:szCs w:val="32"/>
        </w:rPr>
      </w:pPr>
      <w:bookmarkStart w:id="52" w:name="_Toc24687"/>
      <w:bookmarkStart w:id="53" w:name="_Toc11233"/>
      <w:bookmarkStart w:id="54" w:name="_Toc10417"/>
      <w:bookmarkStart w:id="55" w:name="_Toc28435"/>
      <w:r>
        <w:rPr>
          <w:rFonts w:ascii="楷体_GB2312" w:eastAsia="楷体_GB2312" w:hint="eastAsia"/>
          <w:sz w:val="32"/>
          <w:szCs w:val="32"/>
        </w:rPr>
        <w:t>（四）结转结余率</w:t>
      </w:r>
      <w:bookmarkEnd w:id="52"/>
      <w:bookmarkEnd w:id="53"/>
      <w:bookmarkEnd w:id="54"/>
      <w:bookmarkEnd w:id="55"/>
    </w:p>
    <w:p w:rsidR="001C5AAF" w:rsidRDefault="001C5AAF" w:rsidP="00BF167C">
      <w:pPr>
        <w:pStyle w:val="1"/>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2023年结转结余资金总额为182.74万元，支出预算资金为</w:t>
      </w:r>
      <w:r w:rsidR="007720EF">
        <w:rPr>
          <w:rFonts w:ascii="仿宋_GB2312" w:eastAsia="仿宋_GB2312" w:hAnsi="宋体" w:cs="宋体" w:hint="eastAsia"/>
          <w:color w:val="000000"/>
          <w:kern w:val="0"/>
          <w:sz w:val="32"/>
          <w:szCs w:val="32"/>
        </w:rPr>
        <w:t>6</w:t>
      </w:r>
      <w:r>
        <w:rPr>
          <w:rFonts w:ascii="仿宋_GB2312" w:eastAsia="仿宋_GB2312" w:hAnsi="宋体" w:cs="宋体" w:hint="eastAsia"/>
          <w:color w:val="000000"/>
          <w:kern w:val="0"/>
          <w:sz w:val="32"/>
          <w:szCs w:val="32"/>
        </w:rPr>
        <w:t>436.77万元，结转结余率为</w:t>
      </w:r>
      <w:r w:rsidR="007720EF">
        <w:rPr>
          <w:rFonts w:ascii="仿宋_GB2312" w:eastAsia="仿宋_GB2312" w:hAnsi="宋体" w:cs="宋体" w:hint="eastAsia"/>
          <w:color w:val="000000"/>
          <w:kern w:val="0"/>
          <w:sz w:val="32"/>
          <w:szCs w:val="32"/>
        </w:rPr>
        <w:t>2.84%。</w:t>
      </w:r>
    </w:p>
    <w:p w:rsidR="001C5AAF" w:rsidRDefault="001C5AAF" w:rsidP="001C5AAF">
      <w:pPr>
        <w:spacing w:line="560" w:lineRule="exact"/>
        <w:ind w:leftChars="50" w:left="105" w:firstLineChars="150" w:firstLine="480"/>
        <w:outlineLvl w:val="1"/>
        <w:rPr>
          <w:rFonts w:ascii="楷体_GB2312" w:eastAsia="楷体_GB2312"/>
          <w:sz w:val="32"/>
          <w:szCs w:val="32"/>
        </w:rPr>
      </w:pPr>
      <w:bookmarkStart w:id="56" w:name="_Toc12915"/>
      <w:bookmarkStart w:id="57" w:name="_Toc7772"/>
      <w:bookmarkStart w:id="58" w:name="_Toc19888"/>
      <w:bookmarkStart w:id="59" w:name="_Toc6259"/>
      <w:r>
        <w:rPr>
          <w:rFonts w:ascii="楷体_GB2312" w:eastAsia="楷体_GB2312" w:hint="eastAsia"/>
          <w:sz w:val="32"/>
          <w:szCs w:val="32"/>
        </w:rPr>
        <w:t>（五）部门</w:t>
      </w:r>
      <w:r>
        <w:rPr>
          <w:rFonts w:ascii="楷体_GB2312" w:eastAsia="楷体_GB2312"/>
          <w:sz w:val="32"/>
          <w:szCs w:val="32"/>
        </w:rPr>
        <w:t>预决算差异率</w:t>
      </w:r>
      <w:bookmarkEnd w:id="56"/>
      <w:bookmarkEnd w:id="57"/>
      <w:bookmarkEnd w:id="58"/>
      <w:bookmarkEnd w:id="59"/>
    </w:p>
    <w:p w:rsidR="001C5AAF" w:rsidRDefault="001C5AAF" w:rsidP="001C5AAF">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2023年年初预算数</w:t>
      </w:r>
      <w:r w:rsidR="007720EF">
        <w:rPr>
          <w:rFonts w:ascii="仿宋_GB2312" w:eastAsia="仿宋_GB2312" w:hAnsi="宋体" w:cs="宋体" w:hint="eastAsia"/>
          <w:color w:val="000000"/>
          <w:kern w:val="0"/>
          <w:sz w:val="32"/>
          <w:szCs w:val="32"/>
        </w:rPr>
        <w:t>6</w:t>
      </w:r>
      <w:r>
        <w:rPr>
          <w:rFonts w:ascii="仿宋_GB2312" w:eastAsia="仿宋_GB2312" w:hAnsi="宋体" w:cs="宋体" w:hint="eastAsia"/>
          <w:color w:val="000000"/>
          <w:kern w:val="0"/>
          <w:sz w:val="32"/>
          <w:szCs w:val="32"/>
        </w:rPr>
        <w:t>090.91万元,资金总体支出</w:t>
      </w:r>
      <w:r w:rsidR="007720EF">
        <w:rPr>
          <w:rFonts w:ascii="仿宋_GB2312" w:eastAsia="仿宋_GB2312" w:hAnsi="宋体" w:cs="宋体" w:hint="eastAsia"/>
          <w:color w:val="000000"/>
          <w:kern w:val="0"/>
          <w:sz w:val="32"/>
          <w:szCs w:val="32"/>
        </w:rPr>
        <w:t>6</w:t>
      </w:r>
      <w:r>
        <w:rPr>
          <w:rFonts w:ascii="仿宋_GB2312" w:eastAsia="仿宋_GB2312" w:hAnsi="宋体" w:cs="宋体" w:hint="eastAsia"/>
          <w:color w:val="000000"/>
          <w:kern w:val="0"/>
          <w:sz w:val="32"/>
          <w:szCs w:val="32"/>
        </w:rPr>
        <w:t>254.04万元，预决算差异率为2.68%。</w:t>
      </w:r>
    </w:p>
    <w:p w:rsidR="001C5AAF" w:rsidRDefault="001C5AAF" w:rsidP="001C5AAF">
      <w:pPr>
        <w:spacing w:line="600" w:lineRule="exact"/>
        <w:ind w:leftChars="50" w:left="105" w:firstLineChars="150" w:firstLine="480"/>
        <w:outlineLvl w:val="0"/>
        <w:rPr>
          <w:rFonts w:ascii="黑体" w:eastAsia="黑体" w:hAnsi="黑体"/>
          <w:sz w:val="32"/>
          <w:szCs w:val="32"/>
        </w:rPr>
      </w:pPr>
      <w:bookmarkStart w:id="60" w:name="_Toc7165"/>
      <w:bookmarkStart w:id="61" w:name="_Toc20465"/>
      <w:bookmarkStart w:id="62" w:name="_Toc27132"/>
      <w:bookmarkStart w:id="63" w:name="_Toc18052"/>
      <w:r>
        <w:rPr>
          <w:rFonts w:ascii="黑体" w:eastAsia="黑体" w:hAnsi="黑体" w:hint="eastAsia"/>
          <w:sz w:val="32"/>
          <w:szCs w:val="32"/>
        </w:rPr>
        <w:t>五、总体</w:t>
      </w:r>
      <w:r>
        <w:rPr>
          <w:rFonts w:ascii="黑体" w:eastAsia="黑体" w:hAnsi="黑体"/>
          <w:sz w:val="32"/>
          <w:szCs w:val="32"/>
        </w:rPr>
        <w:t>评价结论</w:t>
      </w:r>
      <w:bookmarkEnd w:id="60"/>
      <w:bookmarkEnd w:id="61"/>
      <w:bookmarkEnd w:id="62"/>
      <w:bookmarkEnd w:id="63"/>
    </w:p>
    <w:p w:rsidR="001C5AAF" w:rsidRDefault="001C5AAF" w:rsidP="001C5AAF">
      <w:pPr>
        <w:spacing w:line="600" w:lineRule="exact"/>
        <w:ind w:leftChars="50" w:left="105" w:firstLineChars="150" w:firstLine="480"/>
        <w:outlineLvl w:val="1"/>
        <w:rPr>
          <w:rFonts w:ascii="楷体_GB2312" w:eastAsia="楷体_GB2312"/>
          <w:sz w:val="32"/>
          <w:szCs w:val="32"/>
        </w:rPr>
      </w:pPr>
      <w:bookmarkStart w:id="64" w:name="_Toc19878"/>
      <w:bookmarkStart w:id="65" w:name="_Toc10302"/>
      <w:bookmarkStart w:id="66" w:name="_Toc6411"/>
      <w:bookmarkStart w:id="67" w:name="_Toc16634"/>
      <w:r>
        <w:rPr>
          <w:rFonts w:ascii="楷体_GB2312" w:eastAsia="楷体_GB2312" w:hint="eastAsia"/>
          <w:sz w:val="32"/>
          <w:szCs w:val="32"/>
        </w:rPr>
        <w:t>（一）评价</w:t>
      </w:r>
      <w:r>
        <w:rPr>
          <w:rFonts w:ascii="楷体_GB2312" w:eastAsia="楷体_GB2312"/>
          <w:sz w:val="32"/>
          <w:szCs w:val="32"/>
        </w:rPr>
        <w:t>得分</w:t>
      </w:r>
      <w:r>
        <w:rPr>
          <w:rFonts w:ascii="楷体_GB2312" w:eastAsia="楷体_GB2312" w:hint="eastAsia"/>
          <w:sz w:val="32"/>
          <w:szCs w:val="32"/>
        </w:rPr>
        <w:t>情况</w:t>
      </w:r>
      <w:bookmarkEnd w:id="64"/>
      <w:bookmarkEnd w:id="65"/>
      <w:bookmarkEnd w:id="66"/>
      <w:bookmarkEnd w:id="67"/>
    </w:p>
    <w:p w:rsidR="001C5AAF" w:rsidRDefault="001C5AAF" w:rsidP="001C5AAF">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1.项目绩效评价情况</w:t>
      </w:r>
    </w:p>
    <w:p w:rsidR="001C5AAF" w:rsidRDefault="001C5AAF" w:rsidP="001C5AAF">
      <w:pPr>
        <w:spacing w:line="600" w:lineRule="exact"/>
        <w:ind w:firstLineChars="200" w:firstLine="640"/>
      </w:pPr>
      <w:r>
        <w:rPr>
          <w:rFonts w:ascii="仿宋_GB2312" w:eastAsia="仿宋_GB2312" w:hAnsi="宋体" w:cs="宋体" w:hint="eastAsia"/>
          <w:color w:val="000000"/>
          <w:kern w:val="0"/>
          <w:sz w:val="32"/>
          <w:szCs w:val="32"/>
        </w:rPr>
        <w:t>2023年，我院开展本年度绩效评价项目7个，占本年申</w:t>
      </w:r>
      <w:r>
        <w:rPr>
          <w:rFonts w:ascii="仿宋_GB2312" w:eastAsia="仿宋_GB2312" w:hAnsi="宋体" w:cs="宋体" w:hint="eastAsia"/>
          <w:color w:val="000000"/>
          <w:kern w:val="0"/>
          <w:sz w:val="32"/>
          <w:szCs w:val="32"/>
        </w:rPr>
        <w:lastRenderedPageBreak/>
        <w:t>报项目总数100%，涉及项目预算金额76</w:t>
      </w:r>
      <w:r w:rsidR="005C2FEC">
        <w:rPr>
          <w:rFonts w:ascii="仿宋_GB2312" w:eastAsia="仿宋_GB2312" w:hAnsi="宋体" w:cs="宋体" w:hint="eastAsia"/>
          <w:color w:val="000000"/>
          <w:kern w:val="0"/>
          <w:sz w:val="32"/>
          <w:szCs w:val="32"/>
        </w:rPr>
        <w:t>6.15</w:t>
      </w:r>
      <w:r>
        <w:rPr>
          <w:rFonts w:ascii="仿宋_GB2312" w:eastAsia="仿宋_GB2312" w:hAnsi="宋体" w:cs="宋体" w:hint="eastAsia"/>
          <w:color w:val="000000"/>
          <w:kern w:val="0"/>
          <w:sz w:val="32"/>
          <w:szCs w:val="32"/>
        </w:rPr>
        <w:t>万元，其中普通评价项目1个，涉及预算金额257.53万元，单位自评项目6个，涉及预算金额50</w:t>
      </w:r>
      <w:r w:rsidR="005C2FEC">
        <w:rPr>
          <w:rFonts w:ascii="仿宋_GB2312" w:eastAsia="仿宋_GB2312" w:hAnsi="宋体" w:cs="宋体" w:hint="eastAsia"/>
          <w:color w:val="000000"/>
          <w:kern w:val="0"/>
          <w:sz w:val="32"/>
          <w:szCs w:val="32"/>
        </w:rPr>
        <w:t>8.62</w:t>
      </w:r>
      <w:r>
        <w:rPr>
          <w:rFonts w:ascii="仿宋_GB2312" w:eastAsia="仿宋_GB2312" w:hAnsi="宋体" w:cs="宋体" w:hint="eastAsia"/>
          <w:color w:val="000000"/>
          <w:kern w:val="0"/>
          <w:sz w:val="32"/>
          <w:szCs w:val="32"/>
        </w:rPr>
        <w:t>万元。评价得分在90（含）—100分的项目3个，评价得分在80（含）—90分的项目4个。</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Layout w:type="fixed"/>
        <w:tblLook w:val="0000" w:firstRow="0" w:lastRow="0" w:firstColumn="0" w:lastColumn="0" w:noHBand="0" w:noVBand="0"/>
      </w:tblPr>
      <w:tblGrid>
        <w:gridCol w:w="3639"/>
        <w:gridCol w:w="1184"/>
        <w:gridCol w:w="1757"/>
        <w:gridCol w:w="1939"/>
      </w:tblGrid>
      <w:tr w:rsidR="001C5AAF" w:rsidTr="00AA0DDD">
        <w:trPr>
          <w:trHeight w:val="450"/>
        </w:trPr>
        <w:tc>
          <w:tcPr>
            <w:tcW w:w="2135" w:type="pct"/>
            <w:shd w:val="clear" w:color="000000" w:fill="auto"/>
            <w:vAlign w:val="center"/>
          </w:tcPr>
          <w:p w:rsidR="001C5AAF" w:rsidRDefault="001C5AAF" w:rsidP="00AA0DDD">
            <w:pPr>
              <w:widowControl/>
              <w:spacing w:line="560" w:lineRule="exact"/>
              <w:jc w:val="center"/>
              <w:rPr>
                <w:rFonts w:ascii="仿宋_GB2312" w:hAnsi="仿宋_GB2312" w:cs="仿宋_GB2312"/>
                <w:b/>
                <w:bCs/>
                <w:kern w:val="0"/>
                <w:szCs w:val="21"/>
              </w:rPr>
            </w:pPr>
            <w:r>
              <w:rPr>
                <w:rFonts w:ascii="仿宋_GB2312" w:hAnsi="仿宋_GB2312" w:cs="仿宋_GB2312" w:hint="eastAsia"/>
                <w:b/>
                <w:bCs/>
                <w:kern w:val="0"/>
                <w:szCs w:val="21"/>
              </w:rPr>
              <w:t>评价项目名称</w:t>
            </w:r>
          </w:p>
        </w:tc>
        <w:tc>
          <w:tcPr>
            <w:tcW w:w="695" w:type="pct"/>
            <w:shd w:val="clear" w:color="000000" w:fill="auto"/>
            <w:vAlign w:val="center"/>
          </w:tcPr>
          <w:p w:rsidR="001C5AAF" w:rsidRDefault="001C5AAF" w:rsidP="00AA0DDD">
            <w:pPr>
              <w:widowControl/>
              <w:spacing w:line="560" w:lineRule="exact"/>
              <w:jc w:val="center"/>
              <w:rPr>
                <w:rFonts w:ascii="仿宋_GB2312" w:hAnsi="仿宋_GB2312" w:cs="仿宋_GB2312"/>
                <w:b/>
                <w:bCs/>
                <w:kern w:val="0"/>
                <w:szCs w:val="21"/>
              </w:rPr>
            </w:pPr>
            <w:r>
              <w:rPr>
                <w:rFonts w:ascii="仿宋_GB2312" w:hAnsi="仿宋_GB2312" w:cs="仿宋_GB2312" w:hint="eastAsia"/>
                <w:b/>
                <w:bCs/>
                <w:kern w:val="0"/>
                <w:szCs w:val="21"/>
              </w:rPr>
              <w:t>分值</w:t>
            </w:r>
          </w:p>
        </w:tc>
        <w:tc>
          <w:tcPr>
            <w:tcW w:w="1030" w:type="pct"/>
            <w:shd w:val="clear" w:color="000000" w:fill="auto"/>
            <w:vAlign w:val="center"/>
          </w:tcPr>
          <w:p w:rsidR="001C5AAF" w:rsidRDefault="001C5AAF" w:rsidP="00AA0DDD">
            <w:pPr>
              <w:widowControl/>
              <w:spacing w:line="560" w:lineRule="exact"/>
              <w:jc w:val="center"/>
              <w:rPr>
                <w:rFonts w:ascii="仿宋_GB2312" w:hAnsi="仿宋_GB2312" w:cs="仿宋_GB2312"/>
                <w:b/>
                <w:bCs/>
                <w:kern w:val="0"/>
                <w:szCs w:val="21"/>
              </w:rPr>
            </w:pPr>
            <w:r>
              <w:rPr>
                <w:rFonts w:ascii="仿宋_GB2312" w:hAnsi="仿宋_GB2312" w:cs="仿宋_GB2312" w:hint="eastAsia"/>
                <w:b/>
                <w:bCs/>
                <w:kern w:val="0"/>
                <w:szCs w:val="21"/>
              </w:rPr>
              <w:t>绩效评定级别</w:t>
            </w:r>
          </w:p>
        </w:tc>
        <w:tc>
          <w:tcPr>
            <w:tcW w:w="1138" w:type="pct"/>
            <w:shd w:val="clear" w:color="000000" w:fill="auto"/>
            <w:vAlign w:val="center"/>
          </w:tcPr>
          <w:p w:rsidR="001C5AAF" w:rsidRDefault="001C5AAF" w:rsidP="00AA0DDD">
            <w:pPr>
              <w:widowControl/>
              <w:spacing w:line="560" w:lineRule="exact"/>
              <w:jc w:val="center"/>
              <w:rPr>
                <w:rFonts w:ascii="仿宋_GB2312" w:hAnsi="仿宋_GB2312" w:cs="仿宋_GB2312"/>
                <w:b/>
                <w:bCs/>
                <w:kern w:val="0"/>
                <w:szCs w:val="21"/>
              </w:rPr>
            </w:pPr>
            <w:r>
              <w:rPr>
                <w:rFonts w:ascii="仿宋_GB2312" w:hAnsi="仿宋_GB2312" w:cs="仿宋_GB2312" w:hint="eastAsia"/>
                <w:b/>
                <w:bCs/>
                <w:kern w:val="0"/>
                <w:szCs w:val="21"/>
              </w:rPr>
              <w:t>预算资金（万元）</w:t>
            </w:r>
          </w:p>
        </w:tc>
      </w:tr>
      <w:tr w:rsidR="001C5AAF" w:rsidTr="00AA0DDD">
        <w:trPr>
          <w:trHeight w:val="400"/>
        </w:trPr>
        <w:tc>
          <w:tcPr>
            <w:tcW w:w="2135" w:type="pct"/>
            <w:shd w:val="clear" w:color="000000" w:fill="auto"/>
            <w:vAlign w:val="center"/>
          </w:tcPr>
          <w:p w:rsidR="001C5AAF" w:rsidRDefault="001C5AAF" w:rsidP="00AA0DDD">
            <w:pPr>
              <w:widowControl/>
              <w:jc w:val="left"/>
              <w:textAlignment w:val="center"/>
              <w:rPr>
                <w:rFonts w:ascii="仿宋_GB2312" w:eastAsia="仿宋_GB2312" w:hAnsi="宋体" w:cs="宋体"/>
                <w:color w:val="000000"/>
                <w:kern w:val="0"/>
                <w:szCs w:val="21"/>
              </w:rPr>
            </w:pPr>
            <w:r>
              <w:rPr>
                <w:rFonts w:ascii="宋体" w:hAnsi="宋体" w:cs="宋体" w:hint="eastAsia"/>
                <w:color w:val="000000"/>
                <w:kern w:val="0"/>
                <w:sz w:val="22"/>
                <w:szCs w:val="22"/>
                <w:lang w:bidi="ar"/>
              </w:rPr>
              <w:t>办案业务费</w:t>
            </w:r>
          </w:p>
        </w:tc>
        <w:tc>
          <w:tcPr>
            <w:tcW w:w="695" w:type="pct"/>
            <w:shd w:val="clear" w:color="000000" w:fill="auto"/>
            <w:vAlign w:val="center"/>
          </w:tcPr>
          <w:p w:rsidR="001C5AAF" w:rsidRDefault="001C5AAF" w:rsidP="00AA0DDD">
            <w:pPr>
              <w:widowControl/>
              <w:spacing w:line="60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87.50</w:t>
            </w:r>
          </w:p>
        </w:tc>
        <w:tc>
          <w:tcPr>
            <w:tcW w:w="1030" w:type="pct"/>
            <w:shd w:val="clear" w:color="000000" w:fill="auto"/>
            <w:vAlign w:val="center"/>
          </w:tcPr>
          <w:p w:rsidR="001C5AAF" w:rsidRDefault="001C5AAF" w:rsidP="00AA0DDD">
            <w:pPr>
              <w:widowControl/>
              <w:spacing w:line="600" w:lineRule="exact"/>
              <w:ind w:firstLineChars="300" w:firstLine="630"/>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良</w:t>
            </w:r>
          </w:p>
        </w:tc>
        <w:tc>
          <w:tcPr>
            <w:tcW w:w="1939" w:type="dxa"/>
            <w:shd w:val="clear" w:color="000000" w:fill="auto"/>
            <w:vAlign w:val="center"/>
          </w:tcPr>
          <w:p w:rsidR="001C5AAF" w:rsidRDefault="001C5AAF" w:rsidP="00AA0DDD">
            <w:pPr>
              <w:widowControl/>
              <w:jc w:val="right"/>
              <w:textAlignment w:val="center"/>
              <w:rPr>
                <w:rFonts w:ascii="仿宋_GB2312" w:eastAsia="仿宋_GB2312" w:hAnsi="宋体" w:cs="宋体"/>
                <w:color w:val="000000"/>
                <w:kern w:val="0"/>
                <w:szCs w:val="21"/>
              </w:rPr>
            </w:pPr>
            <w:r>
              <w:rPr>
                <w:rFonts w:ascii="宋体" w:hAnsi="宋体" w:cs="宋体" w:hint="eastAsia"/>
                <w:color w:val="000000"/>
                <w:kern w:val="0"/>
                <w:sz w:val="22"/>
                <w:szCs w:val="22"/>
                <w:lang w:bidi="ar"/>
              </w:rPr>
              <w:t xml:space="preserve"> 257.53 </w:t>
            </w:r>
          </w:p>
        </w:tc>
      </w:tr>
      <w:tr w:rsidR="001C5AAF" w:rsidTr="00AA0DDD">
        <w:trPr>
          <w:trHeight w:val="400"/>
        </w:trPr>
        <w:tc>
          <w:tcPr>
            <w:tcW w:w="2135" w:type="pct"/>
            <w:shd w:val="clear" w:color="000000" w:fill="auto"/>
            <w:vAlign w:val="center"/>
          </w:tcPr>
          <w:p w:rsidR="001C5AAF" w:rsidRDefault="001C5AAF" w:rsidP="00AA0DDD">
            <w:pPr>
              <w:widowControl/>
              <w:jc w:val="left"/>
              <w:textAlignment w:val="center"/>
              <w:rPr>
                <w:rFonts w:ascii="仿宋_GB2312" w:eastAsia="仿宋_GB2312" w:hAnsi="宋体" w:cs="宋体"/>
                <w:color w:val="000000"/>
                <w:kern w:val="0"/>
                <w:szCs w:val="21"/>
              </w:rPr>
            </w:pPr>
            <w:r>
              <w:rPr>
                <w:rFonts w:ascii="宋体" w:hAnsi="宋体" w:cs="宋体" w:hint="eastAsia"/>
                <w:color w:val="000000"/>
                <w:kern w:val="0"/>
                <w:sz w:val="22"/>
                <w:szCs w:val="22"/>
                <w:lang w:bidi="ar"/>
              </w:rPr>
              <w:t>信息系统</w:t>
            </w:r>
            <w:proofErr w:type="gramStart"/>
            <w:r>
              <w:rPr>
                <w:rFonts w:ascii="宋体" w:hAnsi="宋体" w:cs="宋体" w:hint="eastAsia"/>
                <w:color w:val="000000"/>
                <w:kern w:val="0"/>
                <w:sz w:val="22"/>
                <w:szCs w:val="22"/>
                <w:lang w:bidi="ar"/>
              </w:rPr>
              <w:t>运维类项目</w:t>
            </w:r>
            <w:proofErr w:type="gramEnd"/>
          </w:p>
        </w:tc>
        <w:tc>
          <w:tcPr>
            <w:tcW w:w="695" w:type="pct"/>
            <w:shd w:val="clear" w:color="000000" w:fill="auto"/>
            <w:vAlign w:val="center"/>
          </w:tcPr>
          <w:p w:rsidR="001C5AAF" w:rsidRDefault="001C5AAF" w:rsidP="00AA0DDD">
            <w:pPr>
              <w:widowControl/>
              <w:spacing w:line="60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92.00</w:t>
            </w:r>
          </w:p>
        </w:tc>
        <w:tc>
          <w:tcPr>
            <w:tcW w:w="1030" w:type="pct"/>
            <w:shd w:val="clear" w:color="000000" w:fill="auto"/>
            <w:vAlign w:val="center"/>
          </w:tcPr>
          <w:p w:rsidR="001C5AAF" w:rsidRDefault="001C5AAF" w:rsidP="00AA0DDD">
            <w:pPr>
              <w:widowControl/>
              <w:spacing w:line="600" w:lineRule="exact"/>
              <w:ind w:firstLineChars="300" w:firstLine="630"/>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优</w:t>
            </w:r>
          </w:p>
        </w:tc>
        <w:tc>
          <w:tcPr>
            <w:tcW w:w="1939" w:type="dxa"/>
            <w:shd w:val="clear" w:color="000000" w:fill="auto"/>
            <w:vAlign w:val="center"/>
          </w:tcPr>
          <w:p w:rsidR="001C5AAF" w:rsidRDefault="001C5AAF" w:rsidP="00AA0DDD">
            <w:pPr>
              <w:widowControl/>
              <w:jc w:val="right"/>
              <w:textAlignment w:val="center"/>
              <w:rPr>
                <w:rFonts w:ascii="仿宋_GB2312" w:eastAsia="仿宋_GB2312" w:hAnsi="宋体" w:cs="宋体"/>
                <w:color w:val="000000"/>
                <w:kern w:val="0"/>
                <w:szCs w:val="21"/>
              </w:rPr>
            </w:pPr>
            <w:r>
              <w:rPr>
                <w:rFonts w:ascii="宋体" w:hAnsi="宋体" w:cs="宋体" w:hint="eastAsia"/>
                <w:color w:val="000000"/>
                <w:kern w:val="0"/>
                <w:sz w:val="22"/>
                <w:szCs w:val="22"/>
                <w:lang w:bidi="ar"/>
              </w:rPr>
              <w:t xml:space="preserve"> 48.60 </w:t>
            </w:r>
          </w:p>
        </w:tc>
      </w:tr>
      <w:tr w:rsidR="001C5AAF" w:rsidTr="00AA0DDD">
        <w:trPr>
          <w:trHeight w:val="400"/>
        </w:trPr>
        <w:tc>
          <w:tcPr>
            <w:tcW w:w="2135" w:type="pct"/>
            <w:shd w:val="clear" w:color="000000" w:fill="auto"/>
            <w:vAlign w:val="center"/>
          </w:tcPr>
          <w:p w:rsidR="001C5AAF" w:rsidRDefault="001C5AAF" w:rsidP="00AA0DDD">
            <w:pPr>
              <w:widowControl/>
              <w:jc w:val="left"/>
              <w:textAlignment w:val="center"/>
              <w:rPr>
                <w:rFonts w:ascii="仿宋_GB2312" w:eastAsia="仿宋_GB2312" w:hAnsi="宋体" w:cs="宋体"/>
                <w:color w:val="000000"/>
                <w:kern w:val="0"/>
                <w:szCs w:val="21"/>
              </w:rPr>
            </w:pPr>
            <w:r>
              <w:rPr>
                <w:rFonts w:ascii="宋体" w:hAnsi="宋体" w:cs="宋体" w:hint="eastAsia"/>
                <w:color w:val="000000"/>
                <w:kern w:val="0"/>
                <w:sz w:val="22"/>
                <w:szCs w:val="22"/>
                <w:lang w:bidi="ar"/>
              </w:rPr>
              <w:t>专业咨询类项目</w:t>
            </w:r>
          </w:p>
        </w:tc>
        <w:tc>
          <w:tcPr>
            <w:tcW w:w="695" w:type="pct"/>
            <w:shd w:val="clear" w:color="000000" w:fill="auto"/>
            <w:vAlign w:val="center"/>
          </w:tcPr>
          <w:p w:rsidR="001C5AAF" w:rsidRDefault="001C5AAF" w:rsidP="00AA0DDD">
            <w:pPr>
              <w:widowControl/>
              <w:spacing w:line="60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91.00</w:t>
            </w:r>
          </w:p>
        </w:tc>
        <w:tc>
          <w:tcPr>
            <w:tcW w:w="1030" w:type="pct"/>
            <w:shd w:val="clear" w:color="000000" w:fill="auto"/>
            <w:vAlign w:val="center"/>
          </w:tcPr>
          <w:p w:rsidR="001C5AAF" w:rsidRDefault="001C5AAF" w:rsidP="00AA0DDD">
            <w:pPr>
              <w:widowControl/>
              <w:spacing w:line="600" w:lineRule="exact"/>
              <w:ind w:firstLineChars="300" w:firstLine="630"/>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优</w:t>
            </w:r>
          </w:p>
        </w:tc>
        <w:tc>
          <w:tcPr>
            <w:tcW w:w="1939" w:type="dxa"/>
            <w:shd w:val="clear" w:color="000000" w:fill="auto"/>
            <w:vAlign w:val="center"/>
          </w:tcPr>
          <w:p w:rsidR="001C5AAF" w:rsidRDefault="001C5AAF" w:rsidP="00AA0DDD">
            <w:pPr>
              <w:widowControl/>
              <w:jc w:val="right"/>
              <w:textAlignment w:val="center"/>
              <w:rPr>
                <w:rFonts w:ascii="仿宋_GB2312" w:eastAsia="仿宋_GB2312" w:hAnsi="宋体" w:cs="宋体"/>
                <w:color w:val="000000"/>
                <w:kern w:val="0"/>
                <w:szCs w:val="21"/>
              </w:rPr>
            </w:pPr>
            <w:r>
              <w:rPr>
                <w:rFonts w:ascii="宋体" w:hAnsi="宋体" w:cs="宋体" w:hint="eastAsia"/>
                <w:color w:val="000000"/>
                <w:kern w:val="0"/>
                <w:sz w:val="22"/>
                <w:szCs w:val="22"/>
                <w:lang w:bidi="ar"/>
              </w:rPr>
              <w:t xml:space="preserve"> 20.00 </w:t>
            </w:r>
          </w:p>
        </w:tc>
      </w:tr>
      <w:tr w:rsidR="001C5AAF" w:rsidTr="00AA0DDD">
        <w:trPr>
          <w:trHeight w:val="400"/>
        </w:trPr>
        <w:tc>
          <w:tcPr>
            <w:tcW w:w="2135" w:type="pct"/>
            <w:shd w:val="clear" w:color="000000" w:fill="auto"/>
            <w:vAlign w:val="center"/>
          </w:tcPr>
          <w:p w:rsidR="001C5AAF" w:rsidRDefault="001C5AAF" w:rsidP="00AA0DDD">
            <w:pPr>
              <w:widowControl/>
              <w:jc w:val="left"/>
              <w:textAlignment w:val="center"/>
              <w:rPr>
                <w:rFonts w:ascii="仿宋_GB2312" w:eastAsia="仿宋_GB2312" w:hAnsi="宋体" w:cs="宋体"/>
                <w:color w:val="000000"/>
                <w:kern w:val="0"/>
                <w:szCs w:val="21"/>
              </w:rPr>
            </w:pPr>
            <w:r>
              <w:rPr>
                <w:rFonts w:ascii="宋体" w:hAnsi="宋体" w:cs="宋体" w:hint="eastAsia"/>
                <w:color w:val="000000"/>
                <w:kern w:val="0"/>
                <w:sz w:val="22"/>
                <w:szCs w:val="22"/>
                <w:lang w:bidi="ar"/>
              </w:rPr>
              <w:t>检察院安检安保</w:t>
            </w:r>
          </w:p>
        </w:tc>
        <w:tc>
          <w:tcPr>
            <w:tcW w:w="695" w:type="pct"/>
            <w:shd w:val="clear" w:color="000000" w:fill="auto"/>
            <w:vAlign w:val="center"/>
          </w:tcPr>
          <w:p w:rsidR="001C5AAF" w:rsidRDefault="001C5AAF" w:rsidP="00AA0DDD">
            <w:pPr>
              <w:widowControl/>
              <w:spacing w:line="60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92.00</w:t>
            </w:r>
          </w:p>
        </w:tc>
        <w:tc>
          <w:tcPr>
            <w:tcW w:w="1030" w:type="pct"/>
            <w:shd w:val="clear" w:color="000000" w:fill="auto"/>
            <w:vAlign w:val="center"/>
          </w:tcPr>
          <w:p w:rsidR="001C5AAF" w:rsidRDefault="001C5AAF" w:rsidP="00AA0DDD">
            <w:pPr>
              <w:widowControl/>
              <w:spacing w:line="600" w:lineRule="exact"/>
              <w:ind w:firstLineChars="300" w:firstLine="630"/>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优</w:t>
            </w:r>
          </w:p>
        </w:tc>
        <w:tc>
          <w:tcPr>
            <w:tcW w:w="1939" w:type="dxa"/>
            <w:shd w:val="clear" w:color="000000" w:fill="auto"/>
            <w:vAlign w:val="center"/>
          </w:tcPr>
          <w:p w:rsidR="001C5AAF" w:rsidRDefault="001C5AAF" w:rsidP="00AA0DDD">
            <w:pPr>
              <w:widowControl/>
              <w:jc w:val="right"/>
              <w:textAlignment w:val="center"/>
              <w:rPr>
                <w:rFonts w:ascii="仿宋_GB2312" w:eastAsia="仿宋_GB2312" w:hAnsi="宋体" w:cs="宋体"/>
                <w:color w:val="000000"/>
                <w:kern w:val="0"/>
                <w:szCs w:val="21"/>
              </w:rPr>
            </w:pPr>
            <w:r>
              <w:rPr>
                <w:rFonts w:ascii="宋体" w:hAnsi="宋体" w:cs="宋体" w:hint="eastAsia"/>
                <w:color w:val="000000"/>
                <w:kern w:val="0"/>
                <w:sz w:val="22"/>
                <w:szCs w:val="22"/>
                <w:lang w:bidi="ar"/>
              </w:rPr>
              <w:t xml:space="preserve"> 41.28 </w:t>
            </w:r>
          </w:p>
        </w:tc>
      </w:tr>
      <w:tr w:rsidR="001C5AAF" w:rsidTr="00AA0DDD">
        <w:trPr>
          <w:trHeight w:val="90"/>
        </w:trPr>
        <w:tc>
          <w:tcPr>
            <w:tcW w:w="2135" w:type="pct"/>
            <w:shd w:val="clear" w:color="000000" w:fill="auto"/>
            <w:vAlign w:val="center"/>
          </w:tcPr>
          <w:p w:rsidR="001C5AAF" w:rsidRDefault="001C5AAF" w:rsidP="00AA0DDD">
            <w:pPr>
              <w:widowControl/>
              <w:jc w:val="left"/>
              <w:textAlignment w:val="center"/>
              <w:rPr>
                <w:rFonts w:ascii="仿宋_GB2312" w:eastAsia="仿宋_GB2312" w:hAnsi="宋体" w:cs="宋体"/>
                <w:color w:val="000000"/>
                <w:kern w:val="0"/>
                <w:szCs w:val="21"/>
              </w:rPr>
            </w:pPr>
            <w:r>
              <w:rPr>
                <w:rFonts w:ascii="宋体" w:hAnsi="宋体" w:cs="宋体" w:hint="eastAsia"/>
                <w:color w:val="000000"/>
                <w:kern w:val="0"/>
                <w:sz w:val="22"/>
                <w:szCs w:val="22"/>
                <w:lang w:bidi="ar"/>
              </w:rPr>
              <w:t>业务装备经费</w:t>
            </w:r>
          </w:p>
        </w:tc>
        <w:tc>
          <w:tcPr>
            <w:tcW w:w="695" w:type="pct"/>
            <w:shd w:val="clear" w:color="000000" w:fill="auto"/>
            <w:vAlign w:val="center"/>
          </w:tcPr>
          <w:p w:rsidR="001C5AAF" w:rsidRDefault="001C5AAF" w:rsidP="00AA0DDD">
            <w:pPr>
              <w:widowControl/>
              <w:spacing w:line="60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88.11</w:t>
            </w:r>
          </w:p>
        </w:tc>
        <w:tc>
          <w:tcPr>
            <w:tcW w:w="1030" w:type="pct"/>
            <w:shd w:val="clear" w:color="000000" w:fill="auto"/>
            <w:vAlign w:val="center"/>
          </w:tcPr>
          <w:p w:rsidR="001C5AAF" w:rsidRDefault="001C5AAF" w:rsidP="00AA0DDD">
            <w:pPr>
              <w:widowControl/>
              <w:spacing w:line="600" w:lineRule="exact"/>
              <w:ind w:firstLineChars="300" w:firstLine="630"/>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良</w:t>
            </w:r>
          </w:p>
        </w:tc>
        <w:tc>
          <w:tcPr>
            <w:tcW w:w="1939" w:type="dxa"/>
            <w:shd w:val="clear" w:color="000000" w:fill="auto"/>
            <w:vAlign w:val="center"/>
          </w:tcPr>
          <w:p w:rsidR="001C5AAF" w:rsidRDefault="001C5AAF" w:rsidP="00AA0DDD">
            <w:pPr>
              <w:widowControl/>
              <w:jc w:val="right"/>
              <w:textAlignment w:val="center"/>
              <w:rPr>
                <w:rFonts w:ascii="仿宋_GB2312" w:eastAsia="仿宋_GB2312" w:hAnsi="宋体" w:cs="宋体"/>
                <w:color w:val="000000"/>
                <w:kern w:val="0"/>
                <w:szCs w:val="21"/>
              </w:rPr>
            </w:pPr>
            <w:r>
              <w:rPr>
                <w:rFonts w:ascii="宋体" w:hAnsi="宋体" w:cs="宋体" w:hint="eastAsia"/>
                <w:color w:val="000000"/>
                <w:kern w:val="0"/>
                <w:sz w:val="22"/>
                <w:szCs w:val="22"/>
                <w:lang w:bidi="ar"/>
              </w:rPr>
              <w:t xml:space="preserve"> 80.75 </w:t>
            </w:r>
          </w:p>
        </w:tc>
      </w:tr>
      <w:tr w:rsidR="001C5AAF" w:rsidTr="00AA0DDD">
        <w:trPr>
          <w:trHeight w:val="23"/>
        </w:trPr>
        <w:tc>
          <w:tcPr>
            <w:tcW w:w="2135" w:type="pct"/>
            <w:shd w:val="clear" w:color="000000" w:fill="auto"/>
            <w:vAlign w:val="center"/>
          </w:tcPr>
          <w:p w:rsidR="001C5AAF" w:rsidRDefault="001C5AAF" w:rsidP="00AA0DDD">
            <w:pPr>
              <w:widowControl/>
              <w:jc w:val="left"/>
              <w:textAlignment w:val="center"/>
              <w:rPr>
                <w:rFonts w:ascii="仿宋_GB2312" w:eastAsia="仿宋_GB2312" w:hAnsi="宋体" w:cs="宋体"/>
                <w:color w:val="000000"/>
                <w:kern w:val="0"/>
                <w:szCs w:val="21"/>
              </w:rPr>
            </w:pPr>
            <w:r>
              <w:rPr>
                <w:rFonts w:ascii="宋体" w:hAnsi="宋体" w:cs="宋体" w:hint="eastAsia"/>
                <w:color w:val="000000"/>
                <w:kern w:val="0"/>
                <w:sz w:val="22"/>
                <w:szCs w:val="22"/>
                <w:lang w:bidi="ar"/>
              </w:rPr>
              <w:t>检察工作经费</w:t>
            </w:r>
          </w:p>
        </w:tc>
        <w:tc>
          <w:tcPr>
            <w:tcW w:w="695" w:type="pct"/>
            <w:shd w:val="clear" w:color="000000" w:fill="auto"/>
            <w:vAlign w:val="center"/>
          </w:tcPr>
          <w:p w:rsidR="001C5AAF" w:rsidRDefault="001C5AAF" w:rsidP="00AA0DDD">
            <w:pPr>
              <w:widowControl/>
              <w:spacing w:line="60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92.00</w:t>
            </w:r>
          </w:p>
        </w:tc>
        <w:tc>
          <w:tcPr>
            <w:tcW w:w="1030" w:type="pct"/>
            <w:shd w:val="clear" w:color="000000" w:fill="auto"/>
            <w:vAlign w:val="center"/>
          </w:tcPr>
          <w:p w:rsidR="001C5AAF" w:rsidRDefault="001C5AAF" w:rsidP="00AA0DDD">
            <w:pPr>
              <w:widowControl/>
              <w:spacing w:line="600" w:lineRule="exact"/>
              <w:ind w:firstLineChars="300" w:firstLine="630"/>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良</w:t>
            </w:r>
          </w:p>
        </w:tc>
        <w:tc>
          <w:tcPr>
            <w:tcW w:w="1939" w:type="dxa"/>
            <w:shd w:val="clear" w:color="000000" w:fill="auto"/>
            <w:vAlign w:val="center"/>
          </w:tcPr>
          <w:p w:rsidR="001C5AAF" w:rsidRDefault="001C5AAF" w:rsidP="00AA0DDD">
            <w:pPr>
              <w:widowControl/>
              <w:jc w:val="right"/>
              <w:textAlignment w:val="center"/>
              <w:rPr>
                <w:rFonts w:ascii="仿宋_GB2312" w:eastAsia="仿宋_GB2312" w:hAnsi="宋体" w:cs="宋体"/>
                <w:color w:val="000000"/>
                <w:kern w:val="0"/>
                <w:szCs w:val="21"/>
              </w:rPr>
            </w:pPr>
            <w:r>
              <w:rPr>
                <w:rFonts w:ascii="宋体" w:hAnsi="宋体" w:cs="宋体" w:hint="eastAsia"/>
                <w:color w:val="000000"/>
                <w:kern w:val="0"/>
                <w:sz w:val="22"/>
                <w:szCs w:val="22"/>
                <w:lang w:bidi="ar"/>
              </w:rPr>
              <w:t xml:space="preserve"> 38.00 </w:t>
            </w:r>
          </w:p>
        </w:tc>
      </w:tr>
      <w:tr w:rsidR="001C5AAF" w:rsidTr="00AA0DDD">
        <w:trPr>
          <w:trHeight w:val="23"/>
        </w:trPr>
        <w:tc>
          <w:tcPr>
            <w:tcW w:w="2135" w:type="pct"/>
            <w:shd w:val="clear" w:color="000000" w:fill="auto"/>
            <w:vAlign w:val="center"/>
          </w:tcPr>
          <w:p w:rsidR="001C5AAF" w:rsidRDefault="001C5AAF" w:rsidP="00AA0DDD">
            <w:pPr>
              <w:widowControl/>
              <w:jc w:val="left"/>
              <w:textAlignment w:val="center"/>
              <w:rPr>
                <w:rFonts w:ascii="仿宋_GB2312" w:eastAsia="仿宋_GB2312" w:hAnsi="宋体" w:cs="宋体"/>
                <w:color w:val="000000"/>
                <w:kern w:val="0"/>
                <w:szCs w:val="21"/>
              </w:rPr>
            </w:pPr>
            <w:r>
              <w:rPr>
                <w:rFonts w:ascii="宋体" w:hAnsi="宋体" w:cs="宋体" w:hint="eastAsia"/>
                <w:color w:val="000000"/>
                <w:kern w:val="0"/>
                <w:sz w:val="22"/>
                <w:szCs w:val="22"/>
                <w:lang w:bidi="ar"/>
              </w:rPr>
              <w:t>区级资金项目</w:t>
            </w:r>
          </w:p>
        </w:tc>
        <w:tc>
          <w:tcPr>
            <w:tcW w:w="695" w:type="pct"/>
            <w:shd w:val="clear" w:color="000000" w:fill="auto"/>
            <w:vAlign w:val="center"/>
          </w:tcPr>
          <w:p w:rsidR="001C5AAF" w:rsidRDefault="001C5AAF" w:rsidP="00AA0DDD">
            <w:pPr>
              <w:widowControl/>
              <w:spacing w:line="60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92.00</w:t>
            </w:r>
          </w:p>
        </w:tc>
        <w:tc>
          <w:tcPr>
            <w:tcW w:w="1030" w:type="pct"/>
            <w:shd w:val="clear" w:color="000000" w:fill="auto"/>
            <w:vAlign w:val="center"/>
          </w:tcPr>
          <w:p w:rsidR="001C5AAF" w:rsidRDefault="001C5AAF" w:rsidP="00AA0DDD">
            <w:pPr>
              <w:widowControl/>
              <w:spacing w:line="600" w:lineRule="exact"/>
              <w:ind w:firstLineChars="300" w:firstLine="630"/>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良</w:t>
            </w:r>
          </w:p>
        </w:tc>
        <w:tc>
          <w:tcPr>
            <w:tcW w:w="1939" w:type="dxa"/>
            <w:shd w:val="clear" w:color="000000" w:fill="auto"/>
            <w:vAlign w:val="center"/>
          </w:tcPr>
          <w:p w:rsidR="001C5AAF" w:rsidRDefault="001C5AAF" w:rsidP="005C2FEC">
            <w:pPr>
              <w:widowControl/>
              <w:jc w:val="right"/>
              <w:textAlignment w:val="center"/>
              <w:rPr>
                <w:rFonts w:ascii="仿宋_GB2312" w:eastAsia="仿宋_GB2312" w:hAnsi="宋体" w:cs="宋体"/>
                <w:color w:val="000000"/>
                <w:kern w:val="0"/>
                <w:szCs w:val="21"/>
              </w:rPr>
            </w:pPr>
            <w:r>
              <w:rPr>
                <w:rFonts w:ascii="宋体" w:hAnsi="宋体" w:cs="宋体" w:hint="eastAsia"/>
                <w:color w:val="000000"/>
                <w:kern w:val="0"/>
                <w:sz w:val="22"/>
                <w:szCs w:val="22"/>
                <w:lang w:bidi="ar"/>
              </w:rPr>
              <w:t xml:space="preserve"> 27</w:t>
            </w:r>
            <w:r w:rsidR="005C2FEC">
              <w:rPr>
                <w:rFonts w:ascii="宋体" w:hAnsi="宋体" w:cs="宋体" w:hint="eastAsia"/>
                <w:color w:val="000000"/>
                <w:kern w:val="0"/>
                <w:sz w:val="22"/>
                <w:szCs w:val="22"/>
                <w:lang w:bidi="ar"/>
              </w:rPr>
              <w:t>9.99</w:t>
            </w:r>
            <w:r>
              <w:rPr>
                <w:rFonts w:ascii="宋体" w:hAnsi="宋体" w:cs="宋体" w:hint="eastAsia"/>
                <w:color w:val="000000"/>
                <w:kern w:val="0"/>
                <w:sz w:val="22"/>
                <w:szCs w:val="22"/>
                <w:lang w:bidi="ar"/>
              </w:rPr>
              <w:t xml:space="preserve"> </w:t>
            </w:r>
          </w:p>
        </w:tc>
      </w:tr>
      <w:tr w:rsidR="001C5AAF" w:rsidTr="00AA0DDD">
        <w:trPr>
          <w:trHeight w:val="23"/>
        </w:trPr>
        <w:tc>
          <w:tcPr>
            <w:tcW w:w="3861" w:type="pct"/>
            <w:gridSpan w:val="3"/>
            <w:shd w:val="clear" w:color="000000" w:fill="auto"/>
            <w:vAlign w:val="center"/>
          </w:tcPr>
          <w:p w:rsidR="001C5AAF" w:rsidRDefault="001C5AAF" w:rsidP="00AA0DDD">
            <w:pPr>
              <w:widowControl/>
              <w:jc w:val="center"/>
              <w:textAlignment w:val="center"/>
              <w:rPr>
                <w:rFonts w:ascii="宋体" w:hAnsi="宋体" w:cs="宋体"/>
                <w:color w:val="000000"/>
                <w:kern w:val="0"/>
                <w:sz w:val="22"/>
                <w:szCs w:val="22"/>
                <w:lang w:bidi="ar"/>
              </w:rPr>
            </w:pPr>
            <w:r>
              <w:rPr>
                <w:rFonts w:ascii="宋体" w:hAnsi="宋体" w:cs="宋体" w:hint="eastAsia"/>
                <w:color w:val="000000"/>
                <w:kern w:val="0"/>
                <w:sz w:val="22"/>
                <w:szCs w:val="22"/>
                <w:lang w:bidi="ar"/>
              </w:rPr>
              <w:t>合计</w:t>
            </w:r>
          </w:p>
        </w:tc>
        <w:tc>
          <w:tcPr>
            <w:tcW w:w="1138" w:type="pct"/>
            <w:shd w:val="clear" w:color="000000" w:fill="auto"/>
            <w:vAlign w:val="center"/>
          </w:tcPr>
          <w:p w:rsidR="001C5AAF" w:rsidRDefault="001C5AAF" w:rsidP="005C2FEC">
            <w:pPr>
              <w:widowControl/>
              <w:jc w:val="right"/>
              <w:textAlignment w:val="center"/>
              <w:rPr>
                <w:rFonts w:ascii="宋体" w:hAnsi="宋体" w:cs="宋体"/>
                <w:color w:val="000000"/>
                <w:kern w:val="0"/>
                <w:sz w:val="22"/>
                <w:szCs w:val="22"/>
                <w:lang w:bidi="ar"/>
              </w:rPr>
            </w:pPr>
            <w:r>
              <w:rPr>
                <w:rFonts w:ascii="宋体" w:hAnsi="宋体" w:cs="宋体" w:hint="eastAsia"/>
                <w:color w:val="000000"/>
                <w:kern w:val="0"/>
                <w:sz w:val="22"/>
                <w:szCs w:val="22"/>
                <w:lang w:bidi="ar"/>
              </w:rPr>
              <w:t xml:space="preserve"> 76</w:t>
            </w:r>
            <w:r w:rsidR="005C2FEC">
              <w:rPr>
                <w:rFonts w:ascii="宋体" w:hAnsi="宋体" w:cs="宋体" w:hint="eastAsia"/>
                <w:color w:val="000000"/>
                <w:kern w:val="0"/>
                <w:sz w:val="22"/>
                <w:szCs w:val="22"/>
                <w:lang w:bidi="ar"/>
              </w:rPr>
              <w:t>6.15</w:t>
            </w:r>
            <w:r>
              <w:rPr>
                <w:rFonts w:ascii="宋体" w:hAnsi="宋体" w:cs="宋体" w:hint="eastAsia"/>
                <w:color w:val="000000"/>
                <w:kern w:val="0"/>
                <w:sz w:val="22"/>
                <w:szCs w:val="22"/>
                <w:lang w:bidi="ar"/>
              </w:rPr>
              <w:t xml:space="preserve"> </w:t>
            </w:r>
          </w:p>
        </w:tc>
      </w:tr>
    </w:tbl>
    <w:p w:rsidR="001C5AAF" w:rsidRDefault="001C5AAF" w:rsidP="001C5AAF">
      <w:pPr>
        <w:spacing w:line="560" w:lineRule="exact"/>
        <w:ind w:firstLineChars="200" w:firstLine="640"/>
        <w:outlineLvl w:val="2"/>
        <w:rPr>
          <w:rFonts w:ascii="仿宋_GB2312" w:eastAsia="仿宋_GB2312" w:hAnsi="仿宋_GB2312" w:cs="仿宋_GB2312"/>
          <w:sz w:val="32"/>
        </w:rPr>
      </w:pPr>
      <w:bookmarkStart w:id="68" w:name="_Toc32289"/>
      <w:bookmarkStart w:id="69" w:name="_Toc31226"/>
      <w:bookmarkStart w:id="70" w:name="_Toc10702"/>
      <w:bookmarkStart w:id="71" w:name="_Toc1134"/>
      <w:r>
        <w:rPr>
          <w:rFonts w:ascii="仿宋_GB2312" w:eastAsia="仿宋_GB2312" w:hAnsi="仿宋_GB2312" w:cs="仿宋_GB2312" w:hint="eastAsia"/>
          <w:sz w:val="32"/>
        </w:rPr>
        <w:t>2.部门整体绩效评价情况</w:t>
      </w:r>
    </w:p>
    <w:p w:rsidR="001C5AAF" w:rsidRDefault="001C5AAF" w:rsidP="001C5AAF">
      <w:pPr>
        <w:spacing w:line="600" w:lineRule="exact"/>
        <w:ind w:firstLineChars="200" w:firstLine="640"/>
        <w:outlineLvl w:val="1"/>
        <w:rPr>
          <w:rFonts w:ascii="楷体_GB2312" w:eastAsia="楷体_GB2312"/>
          <w:sz w:val="32"/>
          <w:szCs w:val="32"/>
        </w:rPr>
      </w:pPr>
      <w:r>
        <w:rPr>
          <w:rFonts w:ascii="仿宋_GB2312" w:eastAsia="仿宋_GB2312" w:hAnsi="仿宋_GB2312" w:cs="仿宋_GB2312" w:hint="eastAsia"/>
          <w:sz w:val="32"/>
        </w:rPr>
        <w:t>经评价，我院2023年度部门整体支出绩效评价总得分94.96分，评价结果为“优秀”。其中当年预算执行情况得分为19.43分；整体绩效目标实现情况得分为55.93分；预算管理情况得分19.60分。</w:t>
      </w:r>
    </w:p>
    <w:p w:rsidR="001C5AAF" w:rsidRDefault="001C5AAF" w:rsidP="001C5AAF">
      <w:pPr>
        <w:numPr>
          <w:ilvl w:val="0"/>
          <w:numId w:val="2"/>
        </w:numPr>
        <w:spacing w:line="600" w:lineRule="exact"/>
        <w:ind w:leftChars="50" w:left="105" w:firstLineChars="150" w:firstLine="480"/>
        <w:outlineLvl w:val="1"/>
        <w:rPr>
          <w:rFonts w:ascii="楷体_GB2312" w:eastAsia="楷体_GB2312"/>
          <w:sz w:val="32"/>
          <w:szCs w:val="32"/>
        </w:rPr>
      </w:pPr>
      <w:r>
        <w:rPr>
          <w:rFonts w:ascii="楷体_GB2312" w:eastAsia="楷体_GB2312" w:hint="eastAsia"/>
          <w:sz w:val="32"/>
          <w:szCs w:val="32"/>
        </w:rPr>
        <w:t>存在的问题及原因分析</w:t>
      </w:r>
      <w:bookmarkEnd w:id="68"/>
      <w:bookmarkEnd w:id="69"/>
      <w:bookmarkEnd w:id="70"/>
      <w:bookmarkEnd w:id="71"/>
    </w:p>
    <w:p w:rsidR="001C5AAF" w:rsidRDefault="001C5AAF" w:rsidP="001C5AAF">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自评认为：本单位2023年度预算项目的实施总体良好，但还存在：</w:t>
      </w:r>
    </w:p>
    <w:p w:rsidR="001C5AAF" w:rsidRDefault="001C5AAF" w:rsidP="001C5AAF">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1.该项目绩效目标和绩效指标设定较为笼统，不够细化。</w:t>
      </w:r>
      <w:r>
        <w:rPr>
          <w:rFonts w:ascii="仿宋_GB2312" w:eastAsia="仿宋_GB2312" w:hAnsi="宋体" w:cs="宋体" w:hint="eastAsia"/>
          <w:color w:val="000000"/>
          <w:kern w:val="0"/>
          <w:sz w:val="32"/>
          <w:szCs w:val="32"/>
        </w:rPr>
        <w:lastRenderedPageBreak/>
        <w:t>如产出指标和效益指标较为简单，未按照绩效目标、年度计划对绩效指标进行分解，可衡量性不足。项目总体绩效目标设定为项目的实施内容，产出指标与项目内容对应性不强，不能全面反映项目年度总体工作部署、工作计划和工作任务；效益指标未有效结合项目内容进行定性和定量设置，关联不强、可衡量性不强，不利于后期监管、考核评价。</w:t>
      </w:r>
    </w:p>
    <w:p w:rsidR="001C5AAF" w:rsidRDefault="001C5AAF" w:rsidP="001C5AAF">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部分项目效益效果资料归集不充分，不能充分体现我院履行部门职能和工作职责、提高检察机关司法公信力、扩大检察机关在社会的影响力、高检察机关规范化管理水平、提高人民满意程度、加强检察队伍的培训，促进政法队伍建设革命化、正规化、专业化、职业化水平，提高人民对检察队伍的认同度的效果程度。</w:t>
      </w:r>
    </w:p>
    <w:p w:rsidR="001C5AAF" w:rsidRDefault="001C5AAF" w:rsidP="001C5AAF">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仿宋_GB2312" w:cs="仿宋_GB2312" w:hint="eastAsia"/>
          <w:color w:val="000000"/>
          <w:kern w:val="0"/>
          <w:sz w:val="32"/>
          <w:szCs w:val="32"/>
        </w:rPr>
        <w:t>部分项目实施产生效益效果的证明资料不够充分；现有成果资料不能充分的体现绩效；服务对象满意度调查不够全面，服务对象满意度体现不足</w:t>
      </w:r>
      <w:r>
        <w:rPr>
          <w:rFonts w:ascii="仿宋_GB2312" w:eastAsia="仿宋_GB2312" w:hAnsi="宋体" w:cs="宋体" w:hint="eastAsia"/>
          <w:color w:val="000000"/>
          <w:kern w:val="0"/>
          <w:sz w:val="32"/>
          <w:szCs w:val="32"/>
        </w:rPr>
        <w:t>。</w:t>
      </w:r>
    </w:p>
    <w:p w:rsidR="001C5AAF" w:rsidRDefault="001C5AAF" w:rsidP="001C5AAF">
      <w:pPr>
        <w:spacing w:line="560" w:lineRule="exact"/>
        <w:ind w:firstLineChars="200" w:firstLine="640"/>
        <w:outlineLvl w:val="0"/>
        <w:rPr>
          <w:rFonts w:ascii="黑体" w:eastAsia="黑体" w:hAnsi="黑体" w:cs="宋体"/>
          <w:color w:val="000000"/>
          <w:kern w:val="0"/>
          <w:sz w:val="32"/>
          <w:szCs w:val="32"/>
        </w:rPr>
      </w:pPr>
      <w:bookmarkStart w:id="72" w:name="_Toc4115"/>
      <w:bookmarkStart w:id="73" w:name="_Toc11226"/>
      <w:bookmarkStart w:id="74" w:name="_Toc28243"/>
      <w:bookmarkStart w:id="75" w:name="_Toc4669"/>
      <w:r>
        <w:rPr>
          <w:rFonts w:ascii="黑体" w:eastAsia="黑体" w:hAnsi="黑体" w:cs="宋体" w:hint="eastAsia"/>
          <w:color w:val="000000"/>
          <w:kern w:val="0"/>
          <w:sz w:val="32"/>
          <w:szCs w:val="32"/>
        </w:rPr>
        <w:t>六、措施建议</w:t>
      </w:r>
      <w:bookmarkEnd w:id="72"/>
      <w:bookmarkEnd w:id="73"/>
      <w:bookmarkEnd w:id="74"/>
      <w:bookmarkEnd w:id="75"/>
    </w:p>
    <w:p w:rsidR="001C5AAF" w:rsidRDefault="001C5AAF" w:rsidP="001C5AAF">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（一）建议合理设置绩效目标和绩效指标，根据工作任务、工作计划设置明确的产出指标；细化各项绩效指标的阶段任务和时间节点；明确质量指标标准、完善效益指标，开展服务对象满意度调查。</w:t>
      </w:r>
    </w:p>
    <w:p w:rsidR="001C5AAF" w:rsidRDefault="001C5AAF" w:rsidP="001C5AAF">
      <w:pPr>
        <w:spacing w:line="560" w:lineRule="exact"/>
        <w:ind w:leftChars="50" w:left="105" w:firstLineChars="150" w:firstLine="48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（二）加强项目前期调研和需求论证，常规性项目，结合以前年度项目执行情况、绩效情况，制定年度需求与目标。强化部门预算约束，平衡好预算执行进度，提高财政资金使用效率和效益。</w:t>
      </w:r>
    </w:p>
    <w:p w:rsidR="001C5AAF" w:rsidRDefault="001C5AAF" w:rsidP="001C5AAF">
      <w:pPr>
        <w:pStyle w:val="2"/>
        <w:spacing w:after="0" w:line="560" w:lineRule="exact"/>
        <w:ind w:firstLine="640"/>
        <w:jc w:val="left"/>
        <w:rPr>
          <w:rFonts w:ascii="仿宋_GB2312" w:hAnsi="仿宋_GB2312" w:cs="仿宋_GB2312"/>
          <w:color w:val="000000"/>
          <w:kern w:val="0"/>
          <w:szCs w:val="32"/>
        </w:rPr>
      </w:pPr>
      <w:r>
        <w:rPr>
          <w:rFonts w:ascii="仿宋_GB2312" w:hAnsi="仿宋_GB2312" w:cs="仿宋_GB2312" w:hint="eastAsia"/>
          <w:color w:val="000000"/>
          <w:kern w:val="0"/>
          <w:szCs w:val="32"/>
        </w:rPr>
        <w:lastRenderedPageBreak/>
        <w:t>（三）</w:t>
      </w:r>
      <w:r>
        <w:rPr>
          <w:rFonts w:ascii="仿宋_GB2312" w:hAnsi="仿宋_GB2312" w:cs="仿宋_GB2312" w:hint="eastAsia"/>
          <w:szCs w:val="32"/>
        </w:rPr>
        <w:t>建议注意绩效资料的收集和整理，</w:t>
      </w:r>
      <w:r>
        <w:rPr>
          <w:rFonts w:ascii="仿宋_GB2312" w:hAnsi="仿宋_GB2312" w:cs="仿宋_GB2312" w:hint="eastAsia"/>
          <w:color w:val="000000"/>
          <w:kern w:val="0"/>
          <w:szCs w:val="32"/>
        </w:rPr>
        <w:t>开展满意度调查工作，并以满意度调查结果为考核根据，及时了解项目实施存在的问题和服务对象需求，确保项目后续效益的持续发挥。</w:t>
      </w:r>
    </w:p>
    <w:p w:rsidR="001C5AAF" w:rsidRDefault="001C5AAF" w:rsidP="001C5AAF">
      <w:pPr>
        <w:pStyle w:val="1"/>
        <w:spacing w:line="560" w:lineRule="exact"/>
        <w:ind w:firstLineChars="200" w:firstLine="640"/>
        <w:jc w:val="left"/>
        <w:rPr>
          <w:rFonts w:ascii="仿宋_GB2312" w:eastAsia="仿宋_GB2312" w:hAnsi="宋体" w:cs="宋体"/>
          <w:color w:val="000000"/>
          <w:kern w:val="0"/>
          <w:sz w:val="32"/>
          <w:szCs w:val="32"/>
        </w:rPr>
      </w:pPr>
      <w:r>
        <w:rPr>
          <w:rFonts w:ascii="黑体" w:eastAsia="黑体" w:hAnsi="黑体" w:cs="宋体" w:hint="eastAsia"/>
          <w:color w:val="000000"/>
          <w:kern w:val="0"/>
          <w:sz w:val="32"/>
          <w:szCs w:val="32"/>
        </w:rPr>
        <w:t>七、附件</w:t>
      </w:r>
      <w:r>
        <w:rPr>
          <w:rFonts w:ascii="仿宋_GB2312" w:eastAsia="仿宋_GB2312" w:hAnsi="宋体" w:cs="宋体" w:hint="eastAsia"/>
          <w:color w:val="000000"/>
          <w:kern w:val="0"/>
          <w:sz w:val="32"/>
          <w:szCs w:val="32"/>
        </w:rPr>
        <w:t xml:space="preserve">             </w:t>
      </w:r>
    </w:p>
    <w:p w:rsidR="001C5AAF" w:rsidRDefault="001C5AAF" w:rsidP="001C5AAF">
      <w:pPr>
        <w:spacing w:line="560" w:lineRule="exact"/>
        <w:ind w:firstLine="641"/>
        <w:rPr>
          <w:rFonts w:ascii="仿宋_GB2312" w:eastAsia="仿宋_GB2312" w:hAnsi="仿宋_GB2312" w:cs="仿宋_GB2312"/>
          <w:sz w:val="32"/>
          <w:szCs w:val="32"/>
        </w:rPr>
        <w:sectPr w:rsidR="001C5AAF">
          <w:footerReference w:type="default" r:id="rId8"/>
          <w:pgSz w:w="11906" w:h="16838"/>
          <w:pgMar w:top="1440" w:right="1800" w:bottom="1440" w:left="1800" w:header="851" w:footer="964" w:gutter="0"/>
          <w:pgNumType w:start="1"/>
          <w:cols w:space="720"/>
          <w:docGrid w:type="lines" w:linePitch="435"/>
        </w:sectPr>
      </w:pPr>
      <w:r>
        <w:rPr>
          <w:rFonts w:ascii="仿宋_GB2312" w:eastAsia="仿宋_GB2312" w:hAnsi="仿宋_GB2312" w:cs="仿宋_GB2312" w:hint="eastAsia"/>
          <w:sz w:val="32"/>
          <w:szCs w:val="32"/>
        </w:rPr>
        <w:t>2023年部门整体绩效评价指标体系评分表</w:t>
      </w:r>
    </w:p>
    <w:p w:rsidR="001C5AAF" w:rsidRDefault="001C5AAF" w:rsidP="001C5AAF">
      <w:pPr>
        <w:spacing w:line="560" w:lineRule="exact"/>
        <w:jc w:val="left"/>
        <w:rPr>
          <w:rFonts w:ascii="方正黑体_GBK" w:eastAsia="方正黑体_GBK" w:hAnsi="方正黑体_GBK" w:cs="方正黑体_GBK"/>
          <w:sz w:val="32"/>
        </w:rPr>
      </w:pPr>
      <w:r>
        <w:rPr>
          <w:rFonts w:ascii="方正黑体_GBK" w:eastAsia="方正黑体_GBK" w:hAnsi="方正黑体_GBK" w:cs="方正黑体_GBK" w:hint="eastAsia"/>
          <w:sz w:val="32"/>
        </w:rPr>
        <w:lastRenderedPageBreak/>
        <w:t>附件</w:t>
      </w:r>
    </w:p>
    <w:tbl>
      <w:tblPr>
        <w:tblW w:w="5000" w:type="pct"/>
        <w:tblLook w:val="0000" w:firstRow="0" w:lastRow="0" w:firstColumn="0" w:lastColumn="0" w:noHBand="0" w:noVBand="0"/>
      </w:tblPr>
      <w:tblGrid>
        <w:gridCol w:w="1113"/>
        <w:gridCol w:w="1116"/>
        <w:gridCol w:w="1017"/>
        <w:gridCol w:w="1017"/>
        <w:gridCol w:w="2006"/>
        <w:gridCol w:w="691"/>
        <w:gridCol w:w="858"/>
        <w:gridCol w:w="2750"/>
        <w:gridCol w:w="3606"/>
      </w:tblGrid>
      <w:tr w:rsidR="001C5AAF" w:rsidTr="00AA0DDD">
        <w:trPr>
          <w:cantSplit/>
          <w:trHeight w:val="90"/>
        </w:trPr>
        <w:tc>
          <w:tcPr>
            <w:tcW w:w="5000" w:type="pct"/>
            <w:gridSpan w:val="9"/>
            <w:tcBorders>
              <w:top w:val="nil"/>
              <w:left w:val="nil"/>
              <w:bottom w:val="single" w:sz="4" w:space="0" w:color="auto"/>
              <w:right w:val="nil"/>
            </w:tcBorders>
            <w:noWrap/>
            <w:vAlign w:val="bottom"/>
          </w:tcPr>
          <w:p w:rsidR="001C5AAF" w:rsidRDefault="001C5AAF" w:rsidP="00AA0DDD">
            <w:pPr>
              <w:widowControl/>
              <w:jc w:val="center"/>
              <w:rPr>
                <w:rFonts w:ascii="方正小标宋简体" w:eastAsia="方正小标宋简体" w:hAnsi="黑体" w:cs="宋体"/>
                <w:color w:val="000000"/>
                <w:kern w:val="0"/>
                <w:sz w:val="44"/>
                <w:szCs w:val="44"/>
              </w:rPr>
            </w:pPr>
            <w:r>
              <w:rPr>
                <w:rFonts w:ascii="仿宋" w:eastAsia="仿宋" w:hAnsi="仿宋" w:cs="仿宋" w:hint="eastAsia"/>
                <w:b/>
                <w:bCs/>
                <w:color w:val="000000"/>
                <w:kern w:val="0"/>
                <w:sz w:val="44"/>
                <w:szCs w:val="44"/>
              </w:rPr>
              <w:t>2023年部门整体绩效评价指标体系评分表</w:t>
            </w:r>
          </w:p>
        </w:tc>
      </w:tr>
      <w:tr w:rsidR="001C5AAF" w:rsidTr="00AA0DDD">
        <w:trPr>
          <w:cantSplit/>
          <w:trHeight w:val="470"/>
        </w:trPr>
        <w:tc>
          <w:tcPr>
            <w:tcW w:w="5000" w:type="pct"/>
            <w:gridSpan w:val="9"/>
            <w:tcBorders>
              <w:top w:val="single" w:sz="4" w:space="0" w:color="auto"/>
              <w:left w:val="single" w:sz="4" w:space="0" w:color="auto"/>
              <w:bottom w:val="single" w:sz="4" w:space="0" w:color="000000"/>
              <w:right w:val="single" w:sz="4" w:space="0" w:color="auto"/>
            </w:tcBorders>
            <w:vAlign w:val="center"/>
          </w:tcPr>
          <w:p w:rsidR="001C5AAF" w:rsidRDefault="001C5AAF" w:rsidP="00AA0DDD">
            <w:pPr>
              <w:widowControl/>
              <w:jc w:val="left"/>
              <w:rPr>
                <w:rFonts w:ascii="宋体" w:hAnsi="宋体" w:cs="宋体"/>
                <w:color w:val="000000"/>
                <w:kern w:val="0"/>
                <w:sz w:val="18"/>
                <w:szCs w:val="18"/>
              </w:rPr>
            </w:pPr>
            <w:r>
              <w:rPr>
                <w:rFonts w:ascii="宋体" w:hAnsi="宋体" w:cs="宋体" w:hint="eastAsia"/>
                <w:color w:val="000000"/>
                <w:kern w:val="0"/>
                <w:sz w:val="18"/>
                <w:szCs w:val="18"/>
              </w:rPr>
              <w:t>一、</w:t>
            </w:r>
            <w:r>
              <w:rPr>
                <w:rFonts w:ascii="宋体" w:hAnsi="宋体" w:cs="宋体" w:hint="eastAsia"/>
                <w:color w:val="000000"/>
                <w:kern w:val="0"/>
                <w:sz w:val="20"/>
                <w:szCs w:val="20"/>
              </w:rPr>
              <w:t>当年预算执行情况（20分）</w:t>
            </w:r>
          </w:p>
        </w:tc>
      </w:tr>
      <w:tr w:rsidR="001C5AAF" w:rsidTr="00AA0DDD">
        <w:trPr>
          <w:cantSplit/>
          <w:trHeight w:val="660"/>
        </w:trPr>
        <w:tc>
          <w:tcPr>
            <w:tcW w:w="393"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394"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358"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预算数（万元）</w:t>
            </w:r>
          </w:p>
        </w:tc>
        <w:tc>
          <w:tcPr>
            <w:tcW w:w="358"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执行数（万元）</w:t>
            </w:r>
          </w:p>
        </w:tc>
        <w:tc>
          <w:tcPr>
            <w:tcW w:w="706"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预算执行率</w:t>
            </w:r>
          </w:p>
        </w:tc>
        <w:tc>
          <w:tcPr>
            <w:tcW w:w="244"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03"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970"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指标解释</w:t>
            </w:r>
          </w:p>
        </w:tc>
        <w:tc>
          <w:tcPr>
            <w:tcW w:w="1270" w:type="pct"/>
            <w:tcBorders>
              <w:top w:val="single" w:sz="4" w:space="0" w:color="auto"/>
              <w:left w:val="nil"/>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评分标准</w:t>
            </w:r>
          </w:p>
        </w:tc>
      </w:tr>
      <w:tr w:rsidR="001C5AAF" w:rsidTr="00AA0DDD">
        <w:trPr>
          <w:cantSplit/>
          <w:trHeight w:val="1118"/>
        </w:trPr>
        <w:tc>
          <w:tcPr>
            <w:tcW w:w="393" w:type="pct"/>
            <w:vMerge w:val="restart"/>
            <w:tcBorders>
              <w:top w:val="nil"/>
              <w:left w:val="single" w:sz="4" w:space="0" w:color="auto"/>
              <w:bottom w:val="single" w:sz="4" w:space="0" w:color="000000"/>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当年预算执行情况（20）</w:t>
            </w:r>
          </w:p>
        </w:tc>
        <w:tc>
          <w:tcPr>
            <w:tcW w:w="394"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资金总体</w:t>
            </w:r>
          </w:p>
        </w:tc>
        <w:tc>
          <w:tcPr>
            <w:tcW w:w="358"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6,436.77</w:t>
            </w:r>
          </w:p>
        </w:tc>
        <w:tc>
          <w:tcPr>
            <w:tcW w:w="358"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6,254.04</w:t>
            </w:r>
          </w:p>
        </w:tc>
        <w:tc>
          <w:tcPr>
            <w:tcW w:w="706"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97.16%</w:t>
            </w:r>
          </w:p>
        </w:tc>
        <w:tc>
          <w:tcPr>
            <w:tcW w:w="244" w:type="pct"/>
            <w:vMerge w:val="restart"/>
            <w:tcBorders>
              <w:top w:val="single" w:sz="4" w:space="0" w:color="auto"/>
              <w:left w:val="single" w:sz="4" w:space="0" w:color="auto"/>
              <w:bottom w:val="single" w:sz="4" w:space="0" w:color="auto"/>
              <w:right w:val="single" w:sz="4" w:space="0" w:color="auto"/>
            </w:tcBorders>
            <w:noWrap/>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03" w:type="pct"/>
            <w:vMerge w:val="restart"/>
            <w:tcBorders>
              <w:top w:val="single" w:sz="4" w:space="0" w:color="auto"/>
              <w:left w:val="single" w:sz="4" w:space="0" w:color="auto"/>
              <w:bottom w:val="single" w:sz="4" w:space="0" w:color="auto"/>
              <w:right w:val="single" w:sz="4" w:space="0" w:color="auto"/>
            </w:tcBorders>
            <w:noWrap/>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19.43　</w:t>
            </w:r>
          </w:p>
        </w:tc>
        <w:tc>
          <w:tcPr>
            <w:tcW w:w="970" w:type="pct"/>
            <w:vMerge w:val="restar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部门全年执行数与全年预算数的比率。资金总体=基本支出+项目支出+其他</w:t>
            </w:r>
          </w:p>
        </w:tc>
        <w:tc>
          <w:tcPr>
            <w:tcW w:w="1270" w:type="pct"/>
            <w:vMerge w:val="restart"/>
            <w:tcBorders>
              <w:top w:val="nil"/>
              <w:left w:val="single" w:sz="4" w:space="0" w:color="auto"/>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18"/>
                <w:szCs w:val="18"/>
              </w:rPr>
            </w:pPr>
            <w:r>
              <w:rPr>
                <w:rFonts w:ascii="宋体" w:hAnsi="宋体" w:cs="宋体" w:hint="eastAsia"/>
                <w:color w:val="000000"/>
                <w:kern w:val="0"/>
                <w:sz w:val="18"/>
                <w:szCs w:val="18"/>
              </w:rPr>
              <w:t>①得分一档最高不能超过该指标分值上限（20分）。</w:t>
            </w:r>
          </w:p>
          <w:p w:rsidR="001C5AAF" w:rsidRDefault="001C5AAF" w:rsidP="00AA0DDD">
            <w:pPr>
              <w:widowControl/>
              <w:jc w:val="left"/>
              <w:rPr>
                <w:rFonts w:ascii="宋体" w:hAnsi="宋体" w:cs="宋体"/>
                <w:color w:val="000000"/>
                <w:kern w:val="0"/>
                <w:sz w:val="18"/>
                <w:szCs w:val="18"/>
              </w:rPr>
            </w:pPr>
            <w:r>
              <w:rPr>
                <w:rFonts w:ascii="宋体" w:hAnsi="宋体" w:cs="宋体" w:hint="eastAsia"/>
                <w:color w:val="000000"/>
                <w:kern w:val="0"/>
                <w:sz w:val="18"/>
                <w:szCs w:val="18"/>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rsidR="001C5AAF" w:rsidTr="00AA0DDD">
        <w:trPr>
          <w:cantSplit/>
          <w:trHeight w:val="1020"/>
        </w:trPr>
        <w:tc>
          <w:tcPr>
            <w:tcW w:w="393" w:type="pct"/>
            <w:vMerge/>
            <w:tcBorders>
              <w:top w:val="nil"/>
              <w:left w:val="single" w:sz="4" w:space="0" w:color="auto"/>
              <w:bottom w:val="single" w:sz="4" w:space="0" w:color="000000"/>
              <w:right w:val="single" w:sz="4" w:space="0" w:color="auto"/>
            </w:tcBorders>
            <w:vAlign w:val="center"/>
          </w:tcPr>
          <w:p w:rsidR="001C5AAF" w:rsidRDefault="001C5AAF" w:rsidP="00AA0DDD">
            <w:pPr>
              <w:widowControl/>
              <w:jc w:val="left"/>
              <w:rPr>
                <w:rFonts w:ascii="宋体" w:hAnsi="宋体" w:cs="宋体"/>
                <w:color w:val="000000"/>
                <w:kern w:val="0"/>
                <w:sz w:val="20"/>
                <w:szCs w:val="20"/>
                <w:highlight w:val="yellow"/>
              </w:rPr>
            </w:pPr>
          </w:p>
        </w:tc>
        <w:tc>
          <w:tcPr>
            <w:tcW w:w="394" w:type="pct"/>
            <w:tcBorders>
              <w:top w:val="single" w:sz="4" w:space="0" w:color="auto"/>
              <w:left w:val="single" w:sz="4" w:space="0" w:color="auto"/>
              <w:bottom w:val="single" w:sz="4" w:space="0" w:color="auto"/>
              <w:right w:val="nil"/>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基本支出</w:t>
            </w:r>
          </w:p>
        </w:tc>
        <w:tc>
          <w:tcPr>
            <w:tcW w:w="1015" w:type="dxa"/>
            <w:tcBorders>
              <w:top w:val="single" w:sz="4" w:space="0" w:color="auto"/>
              <w:left w:val="single" w:sz="4" w:space="0" w:color="auto"/>
              <w:bottom w:val="single" w:sz="4" w:space="0" w:color="auto"/>
              <w:right w:val="single" w:sz="4" w:space="0" w:color="auto"/>
            </w:tcBorders>
            <w:vAlign w:val="bottom"/>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lang w:bidi="ar"/>
              </w:rPr>
              <w:t>5,670.62</w:t>
            </w:r>
          </w:p>
        </w:tc>
        <w:tc>
          <w:tcPr>
            <w:tcW w:w="1015" w:type="dxa"/>
            <w:tcBorders>
              <w:top w:val="single" w:sz="4" w:space="0" w:color="auto"/>
              <w:left w:val="nil"/>
              <w:bottom w:val="single" w:sz="4" w:space="0" w:color="auto"/>
              <w:right w:val="single" w:sz="4" w:space="0" w:color="auto"/>
            </w:tcBorders>
            <w:vAlign w:val="bottom"/>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lang w:bidi="ar"/>
              </w:rPr>
              <w:t>5,498.23</w:t>
            </w:r>
          </w:p>
        </w:tc>
        <w:tc>
          <w:tcPr>
            <w:tcW w:w="706" w:type="pct"/>
            <w:vMerge w:val="restar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44" w:type="pct"/>
            <w:vMerge/>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p>
        </w:tc>
        <w:tc>
          <w:tcPr>
            <w:tcW w:w="303" w:type="pct"/>
            <w:vMerge/>
            <w:tcBorders>
              <w:top w:val="single" w:sz="4" w:space="0" w:color="auto"/>
              <w:left w:val="nil"/>
              <w:bottom w:val="single" w:sz="4" w:space="0" w:color="auto"/>
              <w:right w:val="nil"/>
            </w:tcBorders>
            <w:vAlign w:val="center"/>
          </w:tcPr>
          <w:p w:rsidR="001C5AAF" w:rsidRDefault="001C5AAF" w:rsidP="00AA0DDD">
            <w:pPr>
              <w:widowControl/>
              <w:jc w:val="center"/>
              <w:rPr>
                <w:rFonts w:ascii="宋体" w:hAnsi="宋体" w:cs="宋体"/>
                <w:color w:val="000000"/>
                <w:kern w:val="0"/>
                <w:sz w:val="20"/>
                <w:szCs w:val="20"/>
              </w:rPr>
            </w:pPr>
          </w:p>
        </w:tc>
        <w:tc>
          <w:tcPr>
            <w:tcW w:w="970" w:type="pct"/>
            <w:vMerge/>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p>
        </w:tc>
        <w:tc>
          <w:tcPr>
            <w:tcW w:w="1270" w:type="pct"/>
            <w:vMerge/>
            <w:tcBorders>
              <w:top w:val="nil"/>
              <w:left w:val="single" w:sz="4" w:space="0" w:color="auto"/>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18"/>
                <w:szCs w:val="18"/>
                <w:highlight w:val="yellow"/>
              </w:rPr>
            </w:pPr>
          </w:p>
        </w:tc>
      </w:tr>
      <w:tr w:rsidR="001C5AAF" w:rsidTr="00AA0DDD">
        <w:trPr>
          <w:cantSplit/>
          <w:trHeight w:val="1144"/>
        </w:trPr>
        <w:tc>
          <w:tcPr>
            <w:tcW w:w="393" w:type="pct"/>
            <w:vMerge/>
            <w:tcBorders>
              <w:top w:val="nil"/>
              <w:left w:val="single" w:sz="4" w:space="0" w:color="auto"/>
              <w:bottom w:val="single" w:sz="4" w:space="0" w:color="000000"/>
              <w:right w:val="single" w:sz="4" w:space="0" w:color="auto"/>
            </w:tcBorders>
            <w:vAlign w:val="center"/>
          </w:tcPr>
          <w:p w:rsidR="001C5AAF" w:rsidRDefault="001C5AAF" w:rsidP="00AA0DDD">
            <w:pPr>
              <w:widowControl/>
              <w:jc w:val="left"/>
              <w:rPr>
                <w:rFonts w:ascii="宋体" w:hAnsi="宋体" w:cs="宋体"/>
                <w:color w:val="000000"/>
                <w:kern w:val="0"/>
                <w:sz w:val="20"/>
                <w:szCs w:val="20"/>
                <w:highlight w:val="yellow"/>
              </w:rPr>
            </w:pPr>
          </w:p>
        </w:tc>
        <w:tc>
          <w:tcPr>
            <w:tcW w:w="394" w:type="pct"/>
            <w:tcBorders>
              <w:top w:val="single" w:sz="4" w:space="0" w:color="auto"/>
              <w:left w:val="single" w:sz="4" w:space="0" w:color="auto"/>
              <w:bottom w:val="single" w:sz="4" w:space="0" w:color="auto"/>
              <w:right w:val="nil"/>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项目支出</w:t>
            </w:r>
          </w:p>
        </w:tc>
        <w:tc>
          <w:tcPr>
            <w:tcW w:w="1015" w:type="dxa"/>
            <w:tcBorders>
              <w:top w:val="single" w:sz="4" w:space="0" w:color="auto"/>
              <w:left w:val="single" w:sz="4" w:space="0" w:color="auto"/>
              <w:bottom w:val="single" w:sz="4" w:space="0" w:color="auto"/>
              <w:right w:val="single" w:sz="4" w:space="0" w:color="auto"/>
            </w:tcBorders>
            <w:vAlign w:val="bottom"/>
          </w:tcPr>
          <w:p w:rsidR="001C5AAF" w:rsidRDefault="001C5AAF" w:rsidP="007720EF">
            <w:pPr>
              <w:widowControl/>
              <w:jc w:val="center"/>
              <w:rPr>
                <w:rFonts w:ascii="宋体" w:hAnsi="宋体" w:cs="宋体"/>
                <w:color w:val="000000"/>
                <w:kern w:val="0"/>
                <w:sz w:val="20"/>
                <w:szCs w:val="20"/>
                <w:lang w:bidi="ar"/>
              </w:rPr>
            </w:pPr>
            <w:r w:rsidRPr="007720EF">
              <w:rPr>
                <w:rFonts w:ascii="宋体" w:hAnsi="宋体" w:cs="宋体"/>
                <w:color w:val="000000"/>
                <w:kern w:val="0"/>
                <w:sz w:val="20"/>
                <w:szCs w:val="20"/>
                <w:lang w:bidi="ar"/>
              </w:rPr>
              <w:t>766.15</w:t>
            </w:r>
          </w:p>
        </w:tc>
        <w:tc>
          <w:tcPr>
            <w:tcW w:w="1015" w:type="dxa"/>
            <w:tcBorders>
              <w:top w:val="single" w:sz="4" w:space="0" w:color="auto"/>
              <w:left w:val="nil"/>
              <w:bottom w:val="single" w:sz="4" w:space="0" w:color="auto"/>
              <w:right w:val="single" w:sz="4" w:space="0" w:color="auto"/>
            </w:tcBorders>
            <w:vAlign w:val="bottom"/>
          </w:tcPr>
          <w:p w:rsidR="001C5AAF" w:rsidRDefault="001C5AAF" w:rsidP="007720EF">
            <w:pPr>
              <w:widowControl/>
              <w:jc w:val="center"/>
              <w:rPr>
                <w:rFonts w:ascii="宋体" w:hAnsi="宋体" w:cs="宋体"/>
                <w:color w:val="000000"/>
                <w:kern w:val="0"/>
                <w:sz w:val="20"/>
                <w:szCs w:val="20"/>
                <w:lang w:bidi="ar"/>
              </w:rPr>
            </w:pPr>
            <w:r w:rsidRPr="007720EF">
              <w:rPr>
                <w:rFonts w:ascii="宋体" w:hAnsi="宋体" w:cs="宋体"/>
                <w:color w:val="000000"/>
                <w:kern w:val="0"/>
                <w:sz w:val="20"/>
                <w:szCs w:val="20"/>
                <w:lang w:bidi="ar"/>
              </w:rPr>
              <w:t>755.81</w:t>
            </w:r>
          </w:p>
        </w:tc>
        <w:tc>
          <w:tcPr>
            <w:tcW w:w="706" w:type="pct"/>
            <w:vMerge/>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20"/>
                <w:szCs w:val="20"/>
              </w:rPr>
            </w:pPr>
          </w:p>
        </w:tc>
        <w:tc>
          <w:tcPr>
            <w:tcW w:w="244" w:type="pct"/>
            <w:vMerge/>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20"/>
                <w:szCs w:val="20"/>
                <w:highlight w:val="yellow"/>
              </w:rPr>
            </w:pPr>
          </w:p>
        </w:tc>
        <w:tc>
          <w:tcPr>
            <w:tcW w:w="303" w:type="pct"/>
            <w:vMerge/>
            <w:tcBorders>
              <w:top w:val="single" w:sz="4" w:space="0" w:color="auto"/>
              <w:left w:val="nil"/>
              <w:bottom w:val="single" w:sz="4" w:space="0" w:color="auto"/>
              <w:right w:val="nil"/>
            </w:tcBorders>
            <w:vAlign w:val="center"/>
          </w:tcPr>
          <w:p w:rsidR="001C5AAF" w:rsidRDefault="001C5AAF" w:rsidP="00AA0DDD">
            <w:pPr>
              <w:widowControl/>
              <w:jc w:val="left"/>
              <w:rPr>
                <w:rFonts w:ascii="宋体" w:hAnsi="宋体" w:cs="宋体"/>
                <w:color w:val="000000"/>
                <w:kern w:val="0"/>
                <w:sz w:val="20"/>
                <w:szCs w:val="20"/>
                <w:highlight w:val="yellow"/>
              </w:rPr>
            </w:pPr>
          </w:p>
        </w:tc>
        <w:tc>
          <w:tcPr>
            <w:tcW w:w="970" w:type="pct"/>
            <w:vMerge/>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18"/>
                <w:szCs w:val="18"/>
                <w:highlight w:val="yellow"/>
              </w:rPr>
            </w:pPr>
          </w:p>
        </w:tc>
        <w:tc>
          <w:tcPr>
            <w:tcW w:w="1270" w:type="pct"/>
            <w:vMerge/>
            <w:tcBorders>
              <w:top w:val="nil"/>
              <w:left w:val="single" w:sz="4" w:space="0" w:color="auto"/>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18"/>
                <w:szCs w:val="18"/>
                <w:highlight w:val="yellow"/>
              </w:rPr>
            </w:pPr>
          </w:p>
        </w:tc>
      </w:tr>
      <w:tr w:rsidR="001C5AAF" w:rsidTr="00AA0DDD">
        <w:trPr>
          <w:cantSplit/>
          <w:trHeight w:val="1056"/>
        </w:trPr>
        <w:tc>
          <w:tcPr>
            <w:tcW w:w="393" w:type="pct"/>
            <w:vMerge/>
            <w:tcBorders>
              <w:top w:val="nil"/>
              <w:left w:val="single" w:sz="4" w:space="0" w:color="auto"/>
              <w:bottom w:val="single" w:sz="4" w:space="0" w:color="000000"/>
              <w:right w:val="single" w:sz="4" w:space="0" w:color="auto"/>
            </w:tcBorders>
            <w:vAlign w:val="center"/>
          </w:tcPr>
          <w:p w:rsidR="001C5AAF" w:rsidRDefault="001C5AAF" w:rsidP="00AA0DDD">
            <w:pPr>
              <w:widowControl/>
              <w:jc w:val="left"/>
              <w:rPr>
                <w:rFonts w:ascii="宋体" w:hAnsi="宋体" w:cs="宋体"/>
                <w:color w:val="000000"/>
                <w:kern w:val="0"/>
                <w:sz w:val="20"/>
                <w:szCs w:val="20"/>
                <w:highlight w:val="yellow"/>
              </w:rPr>
            </w:pPr>
          </w:p>
        </w:tc>
        <w:tc>
          <w:tcPr>
            <w:tcW w:w="394"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w:t>
            </w:r>
          </w:p>
        </w:tc>
        <w:tc>
          <w:tcPr>
            <w:tcW w:w="358" w:type="pct"/>
            <w:tcBorders>
              <w:top w:val="single" w:sz="4" w:space="0" w:color="auto"/>
              <w:left w:val="nil"/>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p>
        </w:tc>
        <w:tc>
          <w:tcPr>
            <w:tcW w:w="358" w:type="pct"/>
            <w:tcBorders>
              <w:top w:val="single" w:sz="4" w:space="0" w:color="auto"/>
              <w:left w:val="nil"/>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p>
        </w:tc>
        <w:tc>
          <w:tcPr>
            <w:tcW w:w="706" w:type="pct"/>
            <w:vMerge/>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20"/>
                <w:szCs w:val="20"/>
                <w:highlight w:val="yellow"/>
              </w:rPr>
            </w:pPr>
          </w:p>
        </w:tc>
        <w:tc>
          <w:tcPr>
            <w:tcW w:w="244" w:type="pct"/>
            <w:vMerge/>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20"/>
                <w:szCs w:val="20"/>
                <w:highlight w:val="yellow"/>
              </w:rPr>
            </w:pPr>
          </w:p>
        </w:tc>
        <w:tc>
          <w:tcPr>
            <w:tcW w:w="303" w:type="pct"/>
            <w:vMerge/>
            <w:tcBorders>
              <w:top w:val="single" w:sz="4" w:space="0" w:color="auto"/>
              <w:left w:val="nil"/>
              <w:bottom w:val="single" w:sz="4" w:space="0" w:color="auto"/>
              <w:right w:val="nil"/>
            </w:tcBorders>
            <w:vAlign w:val="center"/>
          </w:tcPr>
          <w:p w:rsidR="001C5AAF" w:rsidRDefault="001C5AAF" w:rsidP="00AA0DDD">
            <w:pPr>
              <w:widowControl/>
              <w:jc w:val="left"/>
              <w:rPr>
                <w:rFonts w:ascii="宋体" w:hAnsi="宋体" w:cs="宋体"/>
                <w:color w:val="000000"/>
                <w:kern w:val="0"/>
                <w:sz w:val="20"/>
                <w:szCs w:val="20"/>
                <w:highlight w:val="yellow"/>
              </w:rPr>
            </w:pPr>
          </w:p>
        </w:tc>
        <w:tc>
          <w:tcPr>
            <w:tcW w:w="970" w:type="pct"/>
            <w:vMerge/>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18"/>
                <w:szCs w:val="18"/>
                <w:highlight w:val="yellow"/>
              </w:rPr>
            </w:pPr>
          </w:p>
        </w:tc>
        <w:tc>
          <w:tcPr>
            <w:tcW w:w="1270" w:type="pct"/>
            <w:vMerge/>
            <w:tcBorders>
              <w:top w:val="nil"/>
              <w:left w:val="single" w:sz="4" w:space="0" w:color="auto"/>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18"/>
                <w:szCs w:val="18"/>
                <w:highlight w:val="yellow"/>
              </w:rPr>
            </w:pPr>
          </w:p>
        </w:tc>
      </w:tr>
      <w:tr w:rsidR="001C5AAF" w:rsidTr="00AA0DDD">
        <w:trPr>
          <w:cantSplit/>
          <w:trHeight w:val="479"/>
        </w:trPr>
        <w:tc>
          <w:tcPr>
            <w:tcW w:w="5000" w:type="pct"/>
            <w:gridSpan w:val="9"/>
            <w:tcBorders>
              <w:top w:val="nil"/>
              <w:left w:val="single" w:sz="4" w:space="0" w:color="auto"/>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18"/>
                <w:szCs w:val="18"/>
                <w:highlight w:val="yellow"/>
              </w:rPr>
            </w:pPr>
            <w:r>
              <w:rPr>
                <w:rFonts w:ascii="宋体" w:hAnsi="宋体" w:cs="宋体" w:hint="eastAsia"/>
                <w:color w:val="000000"/>
                <w:kern w:val="0"/>
                <w:sz w:val="18"/>
                <w:szCs w:val="18"/>
              </w:rPr>
              <w:t>二</w:t>
            </w:r>
            <w:r>
              <w:rPr>
                <w:rFonts w:ascii="宋体" w:hAnsi="宋体" w:cs="宋体"/>
                <w:color w:val="000000"/>
                <w:kern w:val="0"/>
                <w:sz w:val="18"/>
                <w:szCs w:val="18"/>
              </w:rPr>
              <w:t>、</w:t>
            </w:r>
            <w:r>
              <w:rPr>
                <w:rFonts w:ascii="宋体" w:hAnsi="宋体" w:cs="宋体" w:hint="eastAsia"/>
                <w:color w:val="000000"/>
                <w:kern w:val="0"/>
                <w:sz w:val="20"/>
                <w:szCs w:val="20"/>
              </w:rPr>
              <w:t>整体绩效目标实现情况（60分）</w:t>
            </w:r>
          </w:p>
        </w:tc>
      </w:tr>
      <w:tr w:rsidR="001C5AAF" w:rsidTr="00AA0DDD">
        <w:trPr>
          <w:cantSplit/>
          <w:trHeight w:val="499"/>
        </w:trPr>
        <w:tc>
          <w:tcPr>
            <w:tcW w:w="393"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p>
        </w:tc>
        <w:tc>
          <w:tcPr>
            <w:tcW w:w="394" w:type="pct"/>
            <w:tcBorders>
              <w:top w:val="single" w:sz="4" w:space="0" w:color="auto"/>
              <w:left w:val="nil"/>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358" w:type="pct"/>
            <w:tcBorders>
              <w:top w:val="single" w:sz="4" w:space="0" w:color="auto"/>
              <w:left w:val="nil"/>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358" w:type="pct"/>
            <w:tcBorders>
              <w:top w:val="single" w:sz="4" w:space="0" w:color="auto"/>
              <w:left w:val="nil"/>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指标值</w:t>
            </w:r>
          </w:p>
        </w:tc>
        <w:tc>
          <w:tcPr>
            <w:tcW w:w="706" w:type="pct"/>
            <w:tcBorders>
              <w:top w:val="single" w:sz="4" w:space="0" w:color="auto"/>
              <w:left w:val="nil"/>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完成值</w:t>
            </w:r>
          </w:p>
        </w:tc>
        <w:tc>
          <w:tcPr>
            <w:tcW w:w="244" w:type="pct"/>
            <w:tcBorders>
              <w:top w:val="single" w:sz="4" w:space="0" w:color="auto"/>
              <w:left w:val="nil"/>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03" w:type="pct"/>
            <w:tcBorders>
              <w:top w:val="single" w:sz="4" w:space="0" w:color="auto"/>
              <w:left w:val="nil"/>
              <w:bottom w:val="single" w:sz="4" w:space="0" w:color="auto"/>
              <w:right w:val="nil"/>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970"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270"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1C5AAF" w:rsidTr="00AA0DDD">
        <w:trPr>
          <w:cantSplit/>
          <w:trHeight w:val="1434"/>
        </w:trPr>
        <w:tc>
          <w:tcPr>
            <w:tcW w:w="393" w:type="pct"/>
            <w:vMerge w:val="restar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整体绩效目标实现情况（60）</w:t>
            </w:r>
          </w:p>
        </w:tc>
        <w:tc>
          <w:tcPr>
            <w:tcW w:w="394" w:type="pct"/>
            <w:vMerge w:val="restar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p>
          <w:p w:rsidR="001C5AAF" w:rsidRDefault="001C5AAF" w:rsidP="00AA0DDD">
            <w:pPr>
              <w:jc w:val="center"/>
              <w:rPr>
                <w:rFonts w:ascii="宋体" w:hAnsi="宋体" w:cs="宋体"/>
                <w:color w:val="000000"/>
                <w:kern w:val="0"/>
                <w:sz w:val="20"/>
                <w:szCs w:val="20"/>
              </w:rPr>
            </w:pPr>
            <w:r>
              <w:rPr>
                <w:rFonts w:ascii="宋体" w:hAnsi="宋体" w:cs="宋体" w:hint="eastAsia"/>
                <w:color w:val="000000"/>
                <w:kern w:val="0"/>
                <w:sz w:val="20"/>
                <w:szCs w:val="20"/>
              </w:rPr>
              <w:t>产出（30）</w:t>
            </w:r>
          </w:p>
        </w:tc>
        <w:tc>
          <w:tcPr>
            <w:tcW w:w="358"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p>
          <w:p w:rsidR="001C5AAF" w:rsidRDefault="001C5AAF" w:rsidP="00AA0DDD">
            <w:pPr>
              <w:jc w:val="center"/>
              <w:rPr>
                <w:rFonts w:ascii="宋体" w:hAnsi="宋体" w:cs="宋体"/>
                <w:color w:val="000000"/>
                <w:kern w:val="0"/>
                <w:sz w:val="20"/>
                <w:szCs w:val="20"/>
              </w:rPr>
            </w:pPr>
            <w:r>
              <w:rPr>
                <w:rFonts w:ascii="宋体" w:hAnsi="宋体" w:cs="宋体" w:hint="eastAsia"/>
                <w:color w:val="000000"/>
                <w:kern w:val="0"/>
                <w:sz w:val="20"/>
                <w:szCs w:val="20"/>
              </w:rPr>
              <w:t>指标1</w:t>
            </w:r>
          </w:p>
        </w:tc>
        <w:tc>
          <w:tcPr>
            <w:tcW w:w="358"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产出指标数量指标执行率</w:t>
            </w:r>
          </w:p>
        </w:tc>
        <w:tc>
          <w:tcPr>
            <w:tcW w:w="706"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p>
          <w:p w:rsidR="001C5AAF" w:rsidRDefault="001C5AAF" w:rsidP="00AA0DDD">
            <w:pPr>
              <w:jc w:val="center"/>
              <w:rPr>
                <w:rFonts w:ascii="宋体" w:hAnsi="宋体" w:cs="宋体"/>
                <w:color w:val="000000"/>
                <w:kern w:val="0"/>
                <w:sz w:val="20"/>
                <w:szCs w:val="20"/>
              </w:rPr>
            </w:pPr>
            <w:r>
              <w:rPr>
                <w:rFonts w:ascii="宋体" w:hAnsi="宋体" w:cs="宋体" w:hint="eastAsia"/>
                <w:color w:val="000000"/>
                <w:kern w:val="0"/>
                <w:sz w:val="18"/>
                <w:szCs w:val="18"/>
              </w:rPr>
              <w:t>100%</w:t>
            </w:r>
          </w:p>
        </w:tc>
        <w:tc>
          <w:tcPr>
            <w:tcW w:w="244"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p>
          <w:p w:rsidR="001C5AAF" w:rsidRDefault="001C5AAF" w:rsidP="00AA0DDD">
            <w:pPr>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303"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p>
          <w:p w:rsidR="001C5AAF" w:rsidRDefault="001C5AAF" w:rsidP="00AA0DDD">
            <w:pPr>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970" w:type="pct"/>
            <w:vMerge w:val="restar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产出数量</w:t>
            </w:r>
            <w:r>
              <w:rPr>
                <w:rFonts w:ascii="宋体" w:hAnsi="宋体" w:cs="宋体" w:hint="eastAsia"/>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ascii="宋体" w:hAnsi="宋体" w:cs="宋体" w:hint="eastAsia"/>
                <w:b/>
                <w:bCs/>
                <w:color w:val="000000"/>
                <w:kern w:val="0"/>
                <w:sz w:val="18"/>
                <w:szCs w:val="18"/>
              </w:rPr>
              <w:t>产出质量</w:t>
            </w:r>
            <w:r>
              <w:rPr>
                <w:rFonts w:ascii="宋体" w:hAnsi="宋体" w:cs="宋体" w:hint="eastAsia"/>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ascii="宋体" w:hAnsi="宋体" w:cs="宋体" w:hint="eastAsia"/>
                <w:b/>
                <w:bCs/>
                <w:color w:val="000000"/>
                <w:kern w:val="0"/>
                <w:sz w:val="18"/>
                <w:szCs w:val="18"/>
              </w:rPr>
              <w:t>产出进度：</w:t>
            </w:r>
            <w:r>
              <w:rPr>
                <w:rFonts w:ascii="宋体" w:hAnsi="宋体" w:cs="宋体" w:hint="eastAsia"/>
                <w:color w:val="000000"/>
                <w:kern w:val="0"/>
                <w:sz w:val="18"/>
                <w:szCs w:val="18"/>
              </w:rPr>
              <w:t>按时完成率=（按时完成工作数/实际完成工作数）×100%。按时完成工作数：部门（单位）按照整体绩效目标确定的时限实际完成的工作任务数量。</w:t>
            </w:r>
            <w:r>
              <w:rPr>
                <w:rFonts w:ascii="宋体" w:hAnsi="宋体" w:cs="宋体" w:hint="eastAsia"/>
                <w:b/>
                <w:bCs/>
                <w:color w:val="000000"/>
                <w:kern w:val="0"/>
                <w:sz w:val="18"/>
                <w:szCs w:val="18"/>
              </w:rPr>
              <w:t>产出成本</w:t>
            </w:r>
            <w:r>
              <w:rPr>
                <w:rFonts w:ascii="宋体" w:hAnsi="宋体" w:cs="宋体" w:hint="eastAsia"/>
                <w:color w:val="000000"/>
                <w:kern w:val="0"/>
                <w:sz w:val="18"/>
                <w:szCs w:val="18"/>
              </w:rPr>
              <w:t>：单位产出相对于上一年度的节约额；②单位产出相对于市场同类产出的节约额；③部门公用经费的控制情况。</w:t>
            </w:r>
          </w:p>
        </w:tc>
        <w:tc>
          <w:tcPr>
            <w:tcW w:w="1270" w:type="pct"/>
            <w:vMerge w:val="restar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rsidR="001C5AAF" w:rsidTr="00AA0DDD">
        <w:trPr>
          <w:cantSplit/>
          <w:trHeight w:val="993"/>
        </w:trPr>
        <w:tc>
          <w:tcPr>
            <w:tcW w:w="393" w:type="pct"/>
            <w:vMerge/>
            <w:tcBorders>
              <w:top w:val="nil"/>
              <w:left w:val="single" w:sz="4" w:space="0" w:color="auto"/>
              <w:bottom w:val="single" w:sz="4" w:space="0" w:color="000000"/>
              <w:right w:val="single" w:sz="4" w:space="0" w:color="auto"/>
            </w:tcBorders>
            <w:vAlign w:val="center"/>
          </w:tcPr>
          <w:p w:rsidR="001C5AAF" w:rsidRDefault="001C5AAF" w:rsidP="00AA0DDD">
            <w:pPr>
              <w:widowControl/>
              <w:jc w:val="left"/>
              <w:rPr>
                <w:rFonts w:ascii="宋体" w:hAnsi="宋体" w:cs="宋体"/>
                <w:color w:val="000000"/>
                <w:kern w:val="0"/>
                <w:sz w:val="20"/>
                <w:szCs w:val="20"/>
                <w:highlight w:val="yellow"/>
              </w:rPr>
            </w:pPr>
          </w:p>
        </w:tc>
        <w:tc>
          <w:tcPr>
            <w:tcW w:w="394" w:type="pct"/>
            <w:vMerge/>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20"/>
                <w:szCs w:val="20"/>
                <w:highlight w:val="yellow"/>
              </w:rPr>
            </w:pPr>
          </w:p>
        </w:tc>
        <w:tc>
          <w:tcPr>
            <w:tcW w:w="358"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指标2</w:t>
            </w:r>
          </w:p>
        </w:tc>
        <w:tc>
          <w:tcPr>
            <w:tcW w:w="358"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产出指标质量指标项目质量　</w:t>
            </w:r>
          </w:p>
        </w:tc>
        <w:tc>
          <w:tcPr>
            <w:tcW w:w="706"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20"/>
                <w:szCs w:val="20"/>
              </w:rPr>
            </w:pPr>
            <w:r>
              <w:rPr>
                <w:rFonts w:ascii="宋体" w:hAnsi="宋体" w:cs="宋体" w:hint="eastAsia"/>
                <w:color w:val="000000"/>
                <w:kern w:val="0"/>
                <w:sz w:val="20"/>
                <w:szCs w:val="20"/>
              </w:rPr>
              <w:t>依照相关法律法规，全面保障检察工作正常开展。</w:t>
            </w:r>
          </w:p>
        </w:tc>
        <w:tc>
          <w:tcPr>
            <w:tcW w:w="244"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03" w:type="pct"/>
            <w:tcBorders>
              <w:top w:val="single" w:sz="4" w:space="0" w:color="auto"/>
              <w:left w:val="single" w:sz="4" w:space="0" w:color="auto"/>
              <w:bottom w:val="single" w:sz="4" w:space="0" w:color="auto"/>
              <w:right w:val="single" w:sz="4" w:space="0" w:color="auto"/>
            </w:tcBorders>
            <w:noWrap/>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70" w:type="pct"/>
            <w:vMerge/>
            <w:tcBorders>
              <w:top w:val="nil"/>
              <w:left w:val="single" w:sz="4" w:space="0" w:color="auto"/>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18"/>
                <w:szCs w:val="18"/>
                <w:highlight w:val="yellow"/>
              </w:rPr>
            </w:pPr>
          </w:p>
        </w:tc>
        <w:tc>
          <w:tcPr>
            <w:tcW w:w="1270" w:type="pct"/>
            <w:vMerge/>
            <w:tcBorders>
              <w:top w:val="nil"/>
              <w:left w:val="single" w:sz="4" w:space="0" w:color="auto"/>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18"/>
                <w:szCs w:val="18"/>
                <w:highlight w:val="yellow"/>
              </w:rPr>
            </w:pPr>
          </w:p>
        </w:tc>
      </w:tr>
      <w:tr w:rsidR="001C5AAF" w:rsidTr="00AA0DDD">
        <w:trPr>
          <w:cantSplit/>
          <w:trHeight w:val="1151"/>
        </w:trPr>
        <w:tc>
          <w:tcPr>
            <w:tcW w:w="393" w:type="pct"/>
            <w:vMerge/>
            <w:tcBorders>
              <w:top w:val="nil"/>
              <w:left w:val="single" w:sz="4" w:space="0" w:color="auto"/>
              <w:bottom w:val="single" w:sz="4" w:space="0" w:color="000000"/>
              <w:right w:val="single" w:sz="4" w:space="0" w:color="auto"/>
            </w:tcBorders>
            <w:vAlign w:val="center"/>
          </w:tcPr>
          <w:p w:rsidR="001C5AAF" w:rsidRDefault="001C5AAF" w:rsidP="00AA0DDD">
            <w:pPr>
              <w:widowControl/>
              <w:jc w:val="left"/>
              <w:rPr>
                <w:rFonts w:ascii="宋体" w:hAnsi="宋体" w:cs="宋体"/>
                <w:color w:val="000000"/>
                <w:kern w:val="0"/>
                <w:sz w:val="20"/>
                <w:szCs w:val="20"/>
                <w:highlight w:val="yellow"/>
              </w:rPr>
            </w:pPr>
          </w:p>
        </w:tc>
        <w:tc>
          <w:tcPr>
            <w:tcW w:w="394" w:type="pct"/>
            <w:vMerge/>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20"/>
                <w:szCs w:val="20"/>
                <w:highlight w:val="yellow"/>
              </w:rPr>
            </w:pPr>
          </w:p>
        </w:tc>
        <w:tc>
          <w:tcPr>
            <w:tcW w:w="358"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指标3</w:t>
            </w:r>
          </w:p>
        </w:tc>
        <w:tc>
          <w:tcPr>
            <w:tcW w:w="358"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产出指标时效指标完成效率　</w:t>
            </w:r>
          </w:p>
        </w:tc>
        <w:tc>
          <w:tcPr>
            <w:tcW w:w="706"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在2023年12月31日前完成全部工作。</w:t>
            </w:r>
            <w:r>
              <w:rPr>
                <w:rFonts w:ascii="宋体" w:hAnsi="宋体" w:cs="宋体" w:hint="eastAsia"/>
                <w:color w:val="000000"/>
                <w:kern w:val="0"/>
                <w:sz w:val="18"/>
                <w:szCs w:val="18"/>
              </w:rPr>
              <w:t xml:space="preserve">　</w:t>
            </w:r>
          </w:p>
        </w:tc>
        <w:tc>
          <w:tcPr>
            <w:tcW w:w="244"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03" w:type="pct"/>
            <w:tcBorders>
              <w:top w:val="single" w:sz="4" w:space="0" w:color="auto"/>
              <w:left w:val="single" w:sz="4" w:space="0" w:color="auto"/>
              <w:bottom w:val="single" w:sz="4" w:space="0" w:color="auto"/>
              <w:right w:val="single" w:sz="4" w:space="0" w:color="auto"/>
            </w:tcBorders>
            <w:noWrap/>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70" w:type="pct"/>
            <w:vMerge/>
            <w:tcBorders>
              <w:top w:val="nil"/>
              <w:left w:val="single" w:sz="4" w:space="0" w:color="auto"/>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18"/>
                <w:szCs w:val="18"/>
                <w:highlight w:val="yellow"/>
              </w:rPr>
            </w:pPr>
          </w:p>
        </w:tc>
        <w:tc>
          <w:tcPr>
            <w:tcW w:w="1270" w:type="pct"/>
            <w:vMerge/>
            <w:tcBorders>
              <w:top w:val="nil"/>
              <w:left w:val="single" w:sz="4" w:space="0" w:color="auto"/>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18"/>
                <w:szCs w:val="18"/>
                <w:highlight w:val="yellow"/>
              </w:rPr>
            </w:pPr>
          </w:p>
        </w:tc>
      </w:tr>
      <w:tr w:rsidR="001C5AAF" w:rsidTr="00AA0DDD">
        <w:trPr>
          <w:cantSplit/>
          <w:trHeight w:val="848"/>
        </w:trPr>
        <w:tc>
          <w:tcPr>
            <w:tcW w:w="393" w:type="pct"/>
            <w:vMerge/>
            <w:tcBorders>
              <w:left w:val="single" w:sz="4" w:space="0" w:color="auto"/>
              <w:bottom w:val="single" w:sz="4" w:space="0" w:color="000000"/>
              <w:right w:val="single" w:sz="4" w:space="0" w:color="auto"/>
            </w:tcBorders>
            <w:vAlign w:val="center"/>
          </w:tcPr>
          <w:p w:rsidR="001C5AAF" w:rsidRDefault="001C5AAF" w:rsidP="00AA0DDD">
            <w:pPr>
              <w:widowControl/>
              <w:jc w:val="center"/>
              <w:rPr>
                <w:highlight w:val="yellow"/>
              </w:rPr>
            </w:pPr>
          </w:p>
        </w:tc>
        <w:tc>
          <w:tcPr>
            <w:tcW w:w="394" w:type="pct"/>
            <w:vMerge/>
            <w:tcBorders>
              <w:left w:val="single" w:sz="4" w:space="0" w:color="auto"/>
              <w:bottom w:val="single" w:sz="4" w:space="0" w:color="auto"/>
              <w:right w:val="single" w:sz="4" w:space="0" w:color="auto"/>
            </w:tcBorders>
            <w:vAlign w:val="center"/>
          </w:tcPr>
          <w:p w:rsidR="001C5AAF" w:rsidRDefault="001C5AAF" w:rsidP="00AA0DDD">
            <w:pPr>
              <w:widowControl/>
              <w:jc w:val="center"/>
              <w:rPr>
                <w:highlight w:val="yellow"/>
              </w:rPr>
            </w:pPr>
          </w:p>
        </w:tc>
        <w:tc>
          <w:tcPr>
            <w:tcW w:w="358"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指标4</w:t>
            </w:r>
          </w:p>
        </w:tc>
        <w:tc>
          <w:tcPr>
            <w:tcW w:w="358"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产出指标成本指标</w:t>
            </w:r>
          </w:p>
        </w:tc>
        <w:tc>
          <w:tcPr>
            <w:tcW w:w="706"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rPr>
                <w:rFonts w:ascii="宋体" w:hAnsi="宋体" w:cs="宋体"/>
                <w:color w:val="000000"/>
                <w:kern w:val="0"/>
                <w:sz w:val="20"/>
                <w:szCs w:val="20"/>
              </w:rPr>
            </w:pPr>
            <w:r>
              <w:rPr>
                <w:rFonts w:ascii="宋体" w:hAnsi="宋体" w:cs="宋体" w:hint="eastAsia"/>
                <w:color w:val="000000"/>
                <w:kern w:val="0"/>
                <w:sz w:val="18"/>
                <w:szCs w:val="18"/>
              </w:rPr>
              <w:t>项目支出预算数766.15万元，项目支出决算数755.81万元。执行率98.65%</w:t>
            </w:r>
          </w:p>
        </w:tc>
        <w:tc>
          <w:tcPr>
            <w:tcW w:w="244"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303" w:type="pct"/>
            <w:tcBorders>
              <w:top w:val="single" w:sz="4" w:space="0" w:color="auto"/>
              <w:left w:val="single" w:sz="4" w:space="0" w:color="auto"/>
              <w:bottom w:val="single" w:sz="4" w:space="0" w:color="auto"/>
              <w:right w:val="single" w:sz="4" w:space="0" w:color="auto"/>
            </w:tcBorders>
            <w:noWrap/>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4.93</w:t>
            </w:r>
          </w:p>
        </w:tc>
        <w:tc>
          <w:tcPr>
            <w:tcW w:w="970" w:type="pct"/>
            <w:vMerge/>
            <w:tcBorders>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highlight w:val="yellow"/>
              </w:rPr>
            </w:pPr>
          </w:p>
        </w:tc>
        <w:tc>
          <w:tcPr>
            <w:tcW w:w="1270" w:type="pct"/>
            <w:vMerge/>
            <w:tcBorders>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highlight w:val="yellow"/>
              </w:rPr>
            </w:pPr>
          </w:p>
        </w:tc>
      </w:tr>
      <w:tr w:rsidR="001C5AAF" w:rsidTr="00AA0DDD">
        <w:trPr>
          <w:cantSplit/>
          <w:trHeight w:val="675"/>
        </w:trPr>
        <w:tc>
          <w:tcPr>
            <w:tcW w:w="393" w:type="pct"/>
            <w:vMerge/>
            <w:tcBorders>
              <w:top w:val="nil"/>
              <w:left w:val="single" w:sz="4" w:space="0" w:color="auto"/>
              <w:bottom w:val="single" w:sz="4" w:space="0" w:color="000000"/>
              <w:right w:val="single" w:sz="4" w:space="0" w:color="auto"/>
            </w:tcBorders>
            <w:vAlign w:val="center"/>
          </w:tcPr>
          <w:p w:rsidR="001C5AAF" w:rsidRDefault="001C5AAF" w:rsidP="00AA0DDD">
            <w:pPr>
              <w:widowControl/>
              <w:jc w:val="left"/>
              <w:rPr>
                <w:rFonts w:ascii="宋体" w:hAnsi="宋体" w:cs="宋体"/>
                <w:color w:val="000000"/>
                <w:kern w:val="0"/>
                <w:sz w:val="20"/>
                <w:szCs w:val="20"/>
                <w:highlight w:val="yellow"/>
              </w:rPr>
            </w:pPr>
          </w:p>
        </w:tc>
        <w:tc>
          <w:tcPr>
            <w:tcW w:w="394" w:type="pct"/>
            <w:vMerge w:val="restar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效果（30）</w:t>
            </w:r>
          </w:p>
        </w:tc>
        <w:tc>
          <w:tcPr>
            <w:tcW w:w="358" w:type="pct"/>
            <w:tcBorders>
              <w:top w:val="single" w:sz="4" w:space="0" w:color="auto"/>
              <w:left w:val="nil"/>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指标1</w:t>
            </w:r>
          </w:p>
        </w:tc>
        <w:tc>
          <w:tcPr>
            <w:tcW w:w="358" w:type="pct"/>
            <w:tcBorders>
              <w:top w:val="single" w:sz="4" w:space="0" w:color="auto"/>
              <w:left w:val="nil"/>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社会效益　</w:t>
            </w:r>
          </w:p>
        </w:tc>
        <w:tc>
          <w:tcPr>
            <w:tcW w:w="706" w:type="pct"/>
            <w:tcBorders>
              <w:top w:val="single" w:sz="4" w:space="0" w:color="auto"/>
              <w:left w:val="nil"/>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20"/>
                <w:szCs w:val="20"/>
              </w:rPr>
            </w:pPr>
            <w:r>
              <w:rPr>
                <w:rFonts w:ascii="宋体" w:hAnsi="宋体" w:cs="宋体" w:hint="eastAsia"/>
                <w:color w:val="000000"/>
                <w:kern w:val="0"/>
                <w:sz w:val="18"/>
                <w:szCs w:val="18"/>
              </w:rPr>
              <w:t>保障检察工作需要，提高办公效率，满足四大检察业务办案需要，提高检察机关司法公信力。</w:t>
            </w:r>
            <w:r>
              <w:rPr>
                <w:rFonts w:ascii="宋体" w:hAnsi="宋体" w:cs="宋体" w:hint="eastAsia"/>
                <w:color w:val="000000"/>
                <w:kern w:val="0"/>
                <w:sz w:val="20"/>
                <w:szCs w:val="20"/>
              </w:rPr>
              <w:t xml:space="preserve">　</w:t>
            </w:r>
          </w:p>
        </w:tc>
        <w:tc>
          <w:tcPr>
            <w:tcW w:w="244" w:type="pct"/>
            <w:tcBorders>
              <w:top w:val="single" w:sz="4" w:space="0" w:color="auto"/>
              <w:left w:val="single" w:sz="4" w:space="0" w:color="auto"/>
              <w:bottom w:val="single" w:sz="4" w:space="0" w:color="auto"/>
              <w:right w:val="single" w:sz="4" w:space="0" w:color="auto"/>
            </w:tcBorders>
            <w:noWrap/>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303" w:type="pct"/>
            <w:tcBorders>
              <w:top w:val="single" w:sz="4" w:space="0" w:color="auto"/>
              <w:left w:val="nil"/>
              <w:bottom w:val="single" w:sz="4" w:space="0" w:color="auto"/>
              <w:right w:val="nil"/>
            </w:tcBorders>
            <w:noWrap/>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970" w:type="pct"/>
            <w:vMerge w:val="restart"/>
            <w:tcBorders>
              <w:top w:val="nil"/>
              <w:left w:val="single" w:sz="4" w:space="0" w:color="auto"/>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经济效益</w:t>
            </w:r>
            <w:r>
              <w:rPr>
                <w:rFonts w:ascii="宋体" w:hAnsi="宋体" w:cs="宋体" w:hint="eastAsia"/>
                <w:color w:val="000000"/>
                <w:kern w:val="0"/>
                <w:sz w:val="18"/>
                <w:szCs w:val="18"/>
              </w:rPr>
              <w:t>：部门（单位）履行职责对经济发展所带来的直接或间接影响。</w:t>
            </w:r>
            <w:r>
              <w:rPr>
                <w:rFonts w:ascii="宋体" w:hAnsi="宋体" w:cs="宋体" w:hint="eastAsia"/>
                <w:b/>
                <w:bCs/>
                <w:color w:val="000000"/>
                <w:kern w:val="0"/>
                <w:sz w:val="18"/>
                <w:szCs w:val="18"/>
              </w:rPr>
              <w:t>社会效益</w:t>
            </w:r>
            <w:r>
              <w:rPr>
                <w:rFonts w:ascii="宋体" w:hAnsi="宋体" w:cs="宋体" w:hint="eastAsia"/>
                <w:color w:val="000000"/>
                <w:kern w:val="0"/>
                <w:sz w:val="18"/>
                <w:szCs w:val="18"/>
              </w:rPr>
              <w:t>：部门（单位）履行职责对社会发展所带来的直接或间接影响。</w:t>
            </w:r>
            <w:r>
              <w:rPr>
                <w:rFonts w:ascii="宋体" w:hAnsi="宋体" w:cs="宋体" w:hint="eastAsia"/>
                <w:b/>
                <w:bCs/>
                <w:color w:val="000000"/>
                <w:kern w:val="0"/>
                <w:sz w:val="18"/>
                <w:szCs w:val="18"/>
              </w:rPr>
              <w:t>环境效益</w:t>
            </w:r>
            <w:r>
              <w:rPr>
                <w:rFonts w:ascii="宋体" w:hAnsi="宋体" w:cs="宋体" w:hint="eastAsia"/>
                <w:color w:val="000000"/>
                <w:kern w:val="0"/>
                <w:sz w:val="18"/>
                <w:szCs w:val="18"/>
              </w:rPr>
              <w:t>：部门（单位）履行职责对环境所带来的直接或间接影响。</w:t>
            </w:r>
            <w:r>
              <w:rPr>
                <w:rFonts w:ascii="宋体" w:hAnsi="宋体" w:cs="宋体" w:hint="eastAsia"/>
                <w:b/>
                <w:bCs/>
                <w:color w:val="000000"/>
                <w:kern w:val="0"/>
                <w:sz w:val="18"/>
                <w:szCs w:val="18"/>
              </w:rPr>
              <w:t>可持续性影响：</w:t>
            </w:r>
            <w:r>
              <w:rPr>
                <w:rFonts w:ascii="宋体" w:hAnsi="宋体" w:cs="宋体" w:hint="eastAsia"/>
                <w:color w:val="000000"/>
                <w:kern w:val="0"/>
                <w:sz w:val="18"/>
                <w:szCs w:val="18"/>
              </w:rPr>
              <w:t>部门绩效目标实现的长效机制建设情况，部门工作效率提升措施的创新。</w:t>
            </w:r>
            <w:r>
              <w:rPr>
                <w:rFonts w:ascii="宋体" w:hAnsi="宋体" w:cs="宋体" w:hint="eastAsia"/>
                <w:b/>
                <w:bCs/>
                <w:color w:val="000000"/>
                <w:kern w:val="0"/>
                <w:sz w:val="18"/>
                <w:szCs w:val="18"/>
              </w:rPr>
              <w:t>服务对象满意度</w:t>
            </w:r>
            <w:r>
              <w:rPr>
                <w:rFonts w:ascii="宋体" w:hAnsi="宋体" w:cs="宋体" w:hint="eastAsia"/>
                <w:color w:val="000000"/>
                <w:kern w:val="0"/>
                <w:sz w:val="18"/>
                <w:szCs w:val="18"/>
              </w:rPr>
              <w:t>：部门（单位）的服务对象对部门履职效果的满意程度。</w:t>
            </w:r>
          </w:p>
        </w:tc>
        <w:tc>
          <w:tcPr>
            <w:tcW w:w="1270" w:type="pct"/>
            <w:vMerge w:val="restart"/>
            <w:tcBorders>
              <w:top w:val="nil"/>
              <w:left w:val="single" w:sz="4" w:space="0" w:color="auto"/>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部门根据实际情况选择指标进行填写，并将其细化为相应的个性化指标。对于效益类指标可从受益对象瞄准度、受益广度和受益深度上进行设计分析。</w:t>
            </w:r>
          </w:p>
        </w:tc>
      </w:tr>
      <w:tr w:rsidR="001C5AAF" w:rsidTr="00AA0DDD">
        <w:trPr>
          <w:cantSplit/>
          <w:trHeight w:val="1244"/>
        </w:trPr>
        <w:tc>
          <w:tcPr>
            <w:tcW w:w="393" w:type="pct"/>
            <w:vMerge/>
            <w:tcBorders>
              <w:top w:val="nil"/>
              <w:left w:val="single" w:sz="4" w:space="0" w:color="auto"/>
              <w:bottom w:val="single" w:sz="4" w:space="0" w:color="000000"/>
              <w:right w:val="single" w:sz="4" w:space="0" w:color="auto"/>
            </w:tcBorders>
            <w:vAlign w:val="center"/>
          </w:tcPr>
          <w:p w:rsidR="001C5AAF" w:rsidRDefault="001C5AAF" w:rsidP="00AA0DDD">
            <w:pPr>
              <w:widowControl/>
              <w:jc w:val="left"/>
              <w:rPr>
                <w:rFonts w:ascii="宋体" w:hAnsi="宋体" w:cs="宋体"/>
                <w:color w:val="000000"/>
                <w:kern w:val="0"/>
                <w:sz w:val="20"/>
                <w:szCs w:val="20"/>
                <w:highlight w:val="yellow"/>
              </w:rPr>
            </w:pPr>
          </w:p>
        </w:tc>
        <w:tc>
          <w:tcPr>
            <w:tcW w:w="394" w:type="pct"/>
            <w:vMerge/>
            <w:tcBorders>
              <w:top w:val="nil"/>
              <w:left w:val="single" w:sz="4" w:space="0" w:color="auto"/>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20"/>
                <w:szCs w:val="20"/>
              </w:rPr>
            </w:pPr>
          </w:p>
        </w:tc>
        <w:tc>
          <w:tcPr>
            <w:tcW w:w="358" w:type="pct"/>
            <w:tcBorders>
              <w:top w:val="nil"/>
              <w:left w:val="nil"/>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指标2</w:t>
            </w:r>
          </w:p>
        </w:tc>
        <w:tc>
          <w:tcPr>
            <w:tcW w:w="358" w:type="pct"/>
            <w:tcBorders>
              <w:top w:val="nil"/>
              <w:left w:val="nil"/>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p w:rsidR="001C5AAF" w:rsidRDefault="001C5AAF" w:rsidP="00AA0DDD">
            <w:pPr>
              <w:widowControl/>
              <w:jc w:val="center"/>
              <w:rPr>
                <w:rFonts w:ascii="宋体" w:hAnsi="宋体" w:cs="宋体"/>
                <w:color w:val="000000"/>
                <w:kern w:val="0"/>
                <w:sz w:val="20"/>
                <w:szCs w:val="20"/>
              </w:rPr>
            </w:pPr>
          </w:p>
        </w:tc>
        <w:tc>
          <w:tcPr>
            <w:tcW w:w="706" w:type="pct"/>
            <w:tcBorders>
              <w:top w:val="nil"/>
              <w:left w:val="nil"/>
              <w:right w:val="single" w:sz="4" w:space="0" w:color="auto"/>
            </w:tcBorders>
            <w:vAlign w:val="center"/>
          </w:tcPr>
          <w:p w:rsidR="001C5AAF" w:rsidRDefault="001C5AAF" w:rsidP="00AA0DDD">
            <w:pPr>
              <w:widowControl/>
              <w:rPr>
                <w:rFonts w:ascii="宋体" w:hAnsi="宋体" w:cs="宋体"/>
                <w:color w:val="000000"/>
                <w:kern w:val="0"/>
                <w:sz w:val="20"/>
                <w:szCs w:val="20"/>
              </w:rPr>
            </w:pPr>
            <w:r>
              <w:rPr>
                <w:rFonts w:ascii="宋体" w:hAnsi="宋体" w:cs="宋体" w:hint="eastAsia"/>
                <w:color w:val="000000"/>
                <w:kern w:val="0"/>
                <w:sz w:val="18"/>
                <w:szCs w:val="18"/>
              </w:rPr>
              <w:t>提升群众对检察工作满意度。</w:t>
            </w:r>
          </w:p>
        </w:tc>
        <w:tc>
          <w:tcPr>
            <w:tcW w:w="244" w:type="pct"/>
            <w:tcBorders>
              <w:top w:val="nil"/>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303" w:type="pct"/>
            <w:tcBorders>
              <w:top w:val="nil"/>
              <w:left w:val="nil"/>
              <w:bottom w:val="single" w:sz="4" w:space="0" w:color="auto"/>
              <w:right w:val="nil"/>
            </w:tcBorders>
            <w:noWrap/>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970" w:type="pct"/>
            <w:vMerge/>
            <w:tcBorders>
              <w:top w:val="nil"/>
              <w:left w:val="single" w:sz="4" w:space="0" w:color="auto"/>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18"/>
                <w:szCs w:val="18"/>
              </w:rPr>
            </w:pPr>
          </w:p>
        </w:tc>
        <w:tc>
          <w:tcPr>
            <w:tcW w:w="1270" w:type="pct"/>
            <w:vMerge/>
            <w:tcBorders>
              <w:top w:val="nil"/>
              <w:left w:val="single" w:sz="4" w:space="0" w:color="auto"/>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18"/>
                <w:szCs w:val="18"/>
              </w:rPr>
            </w:pPr>
          </w:p>
        </w:tc>
      </w:tr>
      <w:tr w:rsidR="001C5AAF" w:rsidTr="00AA0DDD">
        <w:trPr>
          <w:cantSplit/>
          <w:trHeight w:val="487"/>
        </w:trPr>
        <w:tc>
          <w:tcPr>
            <w:tcW w:w="5000" w:type="pct"/>
            <w:gridSpan w:val="9"/>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18"/>
                <w:szCs w:val="18"/>
              </w:rPr>
            </w:pPr>
            <w:r>
              <w:rPr>
                <w:rFonts w:ascii="宋体" w:hAnsi="宋体" w:cs="宋体" w:hint="eastAsia"/>
                <w:color w:val="000000"/>
                <w:kern w:val="0"/>
                <w:sz w:val="18"/>
                <w:szCs w:val="18"/>
              </w:rPr>
              <w:t>三</w:t>
            </w:r>
            <w:r>
              <w:rPr>
                <w:rFonts w:ascii="宋体" w:hAnsi="宋体" w:cs="宋体"/>
                <w:color w:val="000000"/>
                <w:kern w:val="0"/>
                <w:sz w:val="18"/>
                <w:szCs w:val="18"/>
              </w:rPr>
              <w:t>、</w:t>
            </w:r>
            <w:r>
              <w:rPr>
                <w:rFonts w:ascii="宋体" w:hAnsi="宋体" w:cs="宋体" w:hint="eastAsia"/>
                <w:color w:val="000000"/>
                <w:kern w:val="0"/>
                <w:sz w:val="20"/>
                <w:szCs w:val="20"/>
              </w:rPr>
              <w:t>预算管理情况（20分）</w:t>
            </w:r>
          </w:p>
        </w:tc>
      </w:tr>
      <w:tr w:rsidR="001C5AAF" w:rsidTr="00AA0DDD">
        <w:trPr>
          <w:cantSplit/>
          <w:trHeight w:val="702"/>
        </w:trPr>
        <w:tc>
          <w:tcPr>
            <w:tcW w:w="393"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p>
        </w:tc>
        <w:tc>
          <w:tcPr>
            <w:tcW w:w="394"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p>
        </w:tc>
        <w:tc>
          <w:tcPr>
            <w:tcW w:w="358" w:type="pct"/>
            <w:tcBorders>
              <w:top w:val="single" w:sz="4" w:space="0" w:color="auto"/>
              <w:left w:val="nil"/>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p>
        </w:tc>
        <w:tc>
          <w:tcPr>
            <w:tcW w:w="358" w:type="pct"/>
            <w:tcBorders>
              <w:top w:val="single" w:sz="4" w:space="0" w:color="auto"/>
              <w:left w:val="nil"/>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color w:val="000000"/>
                <w:kern w:val="0"/>
                <w:sz w:val="20"/>
                <w:szCs w:val="20"/>
              </w:rPr>
              <w:t>值</w:t>
            </w:r>
          </w:p>
        </w:tc>
        <w:tc>
          <w:tcPr>
            <w:tcW w:w="706" w:type="pct"/>
            <w:tcBorders>
              <w:top w:val="single" w:sz="4" w:space="0" w:color="auto"/>
              <w:left w:val="nil"/>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r>
              <w:rPr>
                <w:rFonts w:ascii="宋体" w:hAnsi="宋体" w:cs="宋体"/>
                <w:color w:val="000000"/>
                <w:kern w:val="0"/>
                <w:sz w:val="20"/>
                <w:szCs w:val="20"/>
              </w:rPr>
              <w:t>值</w:t>
            </w:r>
          </w:p>
        </w:tc>
        <w:tc>
          <w:tcPr>
            <w:tcW w:w="244" w:type="pct"/>
            <w:tcBorders>
              <w:top w:val="single" w:sz="4" w:space="0" w:color="auto"/>
              <w:left w:val="nil"/>
              <w:bottom w:val="single" w:sz="4" w:space="0" w:color="auto"/>
              <w:right w:val="single" w:sz="4" w:space="0" w:color="auto"/>
            </w:tcBorders>
            <w:noWrap/>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分</w:t>
            </w:r>
            <w:r>
              <w:rPr>
                <w:rFonts w:ascii="宋体" w:hAnsi="宋体" w:cs="宋体"/>
                <w:color w:val="000000"/>
                <w:kern w:val="0"/>
                <w:sz w:val="20"/>
                <w:szCs w:val="20"/>
              </w:rPr>
              <w:t>值</w:t>
            </w:r>
          </w:p>
        </w:tc>
        <w:tc>
          <w:tcPr>
            <w:tcW w:w="303" w:type="pct"/>
            <w:tcBorders>
              <w:top w:val="single" w:sz="4" w:space="0" w:color="auto"/>
              <w:left w:val="nil"/>
              <w:bottom w:val="single" w:sz="4" w:space="0" w:color="auto"/>
              <w:right w:val="nil"/>
            </w:tcBorders>
            <w:noWrap/>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得</w:t>
            </w:r>
            <w:r>
              <w:rPr>
                <w:rFonts w:ascii="宋体" w:hAnsi="宋体" w:cs="宋体"/>
                <w:color w:val="000000"/>
                <w:kern w:val="0"/>
                <w:sz w:val="20"/>
                <w:szCs w:val="20"/>
              </w:rPr>
              <w:t>分</w:t>
            </w:r>
          </w:p>
        </w:tc>
        <w:tc>
          <w:tcPr>
            <w:tcW w:w="970"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b/>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270" w:type="pct"/>
            <w:tcBorders>
              <w:top w:val="single" w:sz="4" w:space="0" w:color="auto"/>
              <w:left w:val="nil"/>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1C5AAF" w:rsidTr="00AA0DDD">
        <w:trPr>
          <w:cantSplit/>
          <w:trHeight w:val="1230"/>
        </w:trPr>
        <w:tc>
          <w:tcPr>
            <w:tcW w:w="393" w:type="pct"/>
            <w:vMerge w:val="restar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预算管理情况（20）</w:t>
            </w:r>
          </w:p>
        </w:tc>
        <w:tc>
          <w:tcPr>
            <w:tcW w:w="394" w:type="pct"/>
            <w:vMerge w:val="restar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财务管理（4）</w:t>
            </w:r>
          </w:p>
        </w:tc>
        <w:tc>
          <w:tcPr>
            <w:tcW w:w="358" w:type="pct"/>
            <w:tcBorders>
              <w:top w:val="single" w:sz="4" w:space="0" w:color="auto"/>
              <w:left w:val="nil"/>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财务管理制度健全性</w:t>
            </w:r>
          </w:p>
        </w:tc>
        <w:tc>
          <w:tcPr>
            <w:tcW w:w="358" w:type="pct"/>
            <w:tcBorders>
              <w:top w:val="single" w:sz="4" w:space="0" w:color="auto"/>
              <w:left w:val="nil"/>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18"/>
                <w:szCs w:val="18"/>
              </w:rPr>
              <w:t>各项制度健全、完整、合</w:t>
            </w:r>
            <w:proofErr w:type="gramStart"/>
            <w:r>
              <w:rPr>
                <w:rFonts w:ascii="宋体" w:hAnsi="宋体" w:cs="宋体" w:hint="eastAsia"/>
                <w:color w:val="000000"/>
                <w:kern w:val="0"/>
                <w:sz w:val="18"/>
                <w:szCs w:val="18"/>
              </w:rPr>
              <w:t>规</w:t>
            </w:r>
            <w:proofErr w:type="gramEnd"/>
            <w:r>
              <w:rPr>
                <w:rFonts w:ascii="宋体" w:hAnsi="宋体" w:cs="宋体" w:hint="eastAsia"/>
                <w:color w:val="000000"/>
                <w:kern w:val="0"/>
                <w:sz w:val="18"/>
                <w:szCs w:val="18"/>
              </w:rPr>
              <w:t>；会计核算制度完整、合</w:t>
            </w:r>
            <w:proofErr w:type="gramStart"/>
            <w:r>
              <w:rPr>
                <w:rFonts w:ascii="宋体" w:hAnsi="宋体" w:cs="宋体" w:hint="eastAsia"/>
                <w:color w:val="000000"/>
                <w:kern w:val="0"/>
                <w:sz w:val="18"/>
                <w:szCs w:val="18"/>
              </w:rPr>
              <w:t>规</w:t>
            </w:r>
            <w:proofErr w:type="gramEnd"/>
          </w:p>
        </w:tc>
        <w:tc>
          <w:tcPr>
            <w:tcW w:w="706" w:type="pct"/>
            <w:tcBorders>
              <w:top w:val="single" w:sz="4" w:space="0" w:color="auto"/>
              <w:left w:val="nil"/>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18"/>
                <w:szCs w:val="18"/>
              </w:rPr>
              <w:t>我院预算资金管理办法、资产管理办法等各项制度健全；部门内部财务管理制度、会计核算制度完整、合</w:t>
            </w:r>
            <w:proofErr w:type="gramStart"/>
            <w:r>
              <w:rPr>
                <w:rFonts w:ascii="宋体" w:hAnsi="宋体" w:cs="宋体" w:hint="eastAsia"/>
                <w:color w:val="000000"/>
                <w:kern w:val="0"/>
                <w:sz w:val="18"/>
                <w:szCs w:val="18"/>
              </w:rPr>
              <w:t>规</w:t>
            </w:r>
            <w:proofErr w:type="gramEnd"/>
            <w:r>
              <w:rPr>
                <w:rFonts w:ascii="宋体" w:hAnsi="宋体" w:cs="宋体" w:hint="eastAsia"/>
                <w:color w:val="000000"/>
                <w:kern w:val="0"/>
                <w:sz w:val="18"/>
                <w:szCs w:val="18"/>
              </w:rPr>
              <w:t>。</w:t>
            </w:r>
          </w:p>
        </w:tc>
        <w:tc>
          <w:tcPr>
            <w:tcW w:w="244" w:type="pct"/>
            <w:tcBorders>
              <w:top w:val="single" w:sz="4" w:space="0" w:color="auto"/>
              <w:left w:val="nil"/>
              <w:bottom w:val="single" w:sz="4" w:space="0" w:color="auto"/>
              <w:right w:val="single" w:sz="4" w:space="0" w:color="auto"/>
            </w:tcBorders>
            <w:noWrap/>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303" w:type="pct"/>
            <w:tcBorders>
              <w:top w:val="single" w:sz="4" w:space="0" w:color="auto"/>
              <w:left w:val="nil"/>
              <w:bottom w:val="single" w:sz="4" w:space="0" w:color="auto"/>
              <w:right w:val="nil"/>
            </w:tcBorders>
            <w:noWrap/>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1　</w:t>
            </w:r>
          </w:p>
        </w:tc>
        <w:tc>
          <w:tcPr>
            <w:tcW w:w="970"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财务管理制度健全性:</w:t>
            </w:r>
            <w:r>
              <w:rPr>
                <w:rFonts w:ascii="宋体" w:hAnsi="宋体" w:cs="宋体" w:hint="eastAsia"/>
                <w:color w:val="000000"/>
                <w:kern w:val="0"/>
                <w:sz w:val="18"/>
                <w:szCs w:val="18"/>
              </w:rPr>
              <w:t>部门（单位）为加强财务管理、规范财务行为而制定的管理制度。</w:t>
            </w:r>
          </w:p>
        </w:tc>
        <w:tc>
          <w:tcPr>
            <w:tcW w:w="1270" w:type="pct"/>
            <w:tcBorders>
              <w:top w:val="single" w:sz="4" w:space="0" w:color="auto"/>
              <w:left w:val="nil"/>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18"/>
                <w:szCs w:val="18"/>
              </w:rPr>
            </w:pPr>
            <w:r>
              <w:rPr>
                <w:rFonts w:ascii="宋体" w:hAnsi="宋体" w:cs="宋体" w:hint="eastAsia"/>
                <w:color w:val="000000"/>
                <w:kern w:val="0"/>
                <w:sz w:val="18"/>
                <w:szCs w:val="18"/>
              </w:rPr>
              <w:t>①预算资金管理办法、绩效跟踪管理办法、资产管理办法等各项制度是否健全；②部门内部财务管理制度是否完整、合</w:t>
            </w:r>
            <w:proofErr w:type="gramStart"/>
            <w:r>
              <w:rPr>
                <w:rFonts w:ascii="宋体" w:hAnsi="宋体" w:cs="宋体" w:hint="eastAsia"/>
                <w:color w:val="000000"/>
                <w:kern w:val="0"/>
                <w:sz w:val="18"/>
                <w:szCs w:val="18"/>
              </w:rPr>
              <w:t>规</w:t>
            </w:r>
            <w:proofErr w:type="gramEnd"/>
            <w:r>
              <w:rPr>
                <w:rFonts w:ascii="宋体" w:hAnsi="宋体" w:cs="宋体" w:hint="eastAsia"/>
                <w:color w:val="000000"/>
                <w:kern w:val="0"/>
                <w:sz w:val="18"/>
                <w:szCs w:val="18"/>
              </w:rPr>
              <w:t>；③会计核算制度是否完整、合</w:t>
            </w:r>
            <w:proofErr w:type="gramStart"/>
            <w:r>
              <w:rPr>
                <w:rFonts w:ascii="宋体" w:hAnsi="宋体" w:cs="宋体" w:hint="eastAsia"/>
                <w:color w:val="000000"/>
                <w:kern w:val="0"/>
                <w:sz w:val="18"/>
                <w:szCs w:val="18"/>
              </w:rPr>
              <w:t>规</w:t>
            </w:r>
            <w:proofErr w:type="gramEnd"/>
            <w:r>
              <w:rPr>
                <w:rFonts w:ascii="宋体" w:hAnsi="宋体" w:cs="宋体" w:hint="eastAsia"/>
                <w:color w:val="000000"/>
                <w:kern w:val="0"/>
                <w:sz w:val="18"/>
                <w:szCs w:val="18"/>
              </w:rPr>
              <w:t>。每有一项不合格扣0.5分，扣完为止。</w:t>
            </w:r>
          </w:p>
        </w:tc>
      </w:tr>
      <w:tr w:rsidR="001C5AAF" w:rsidTr="00AA0DDD">
        <w:trPr>
          <w:cantSplit/>
          <w:trHeight w:val="2220"/>
        </w:trPr>
        <w:tc>
          <w:tcPr>
            <w:tcW w:w="393" w:type="pct"/>
            <w:vMerge/>
            <w:tcBorders>
              <w:top w:val="single" w:sz="4" w:space="0" w:color="auto"/>
              <w:left w:val="single" w:sz="4" w:space="0" w:color="auto"/>
              <w:bottom w:val="single" w:sz="4" w:space="0" w:color="000000"/>
              <w:right w:val="single" w:sz="4" w:space="0" w:color="auto"/>
            </w:tcBorders>
            <w:vAlign w:val="center"/>
          </w:tcPr>
          <w:p w:rsidR="001C5AAF" w:rsidRDefault="001C5AAF" w:rsidP="00AA0DDD">
            <w:pPr>
              <w:widowControl/>
              <w:jc w:val="left"/>
              <w:rPr>
                <w:rFonts w:ascii="宋体" w:hAnsi="宋体" w:cs="宋体"/>
                <w:color w:val="000000"/>
                <w:kern w:val="0"/>
                <w:sz w:val="20"/>
                <w:szCs w:val="20"/>
                <w:highlight w:val="yellow"/>
              </w:rPr>
            </w:pPr>
          </w:p>
        </w:tc>
        <w:tc>
          <w:tcPr>
            <w:tcW w:w="394" w:type="pct"/>
            <w:vMerge/>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20"/>
                <w:szCs w:val="20"/>
              </w:rPr>
            </w:pPr>
          </w:p>
        </w:tc>
        <w:tc>
          <w:tcPr>
            <w:tcW w:w="358" w:type="pct"/>
            <w:tcBorders>
              <w:top w:val="single" w:sz="4" w:space="0" w:color="auto"/>
              <w:left w:val="nil"/>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性和安全性</w:t>
            </w:r>
          </w:p>
        </w:tc>
        <w:tc>
          <w:tcPr>
            <w:tcW w:w="358" w:type="pct"/>
            <w:tcBorders>
              <w:top w:val="single" w:sz="4" w:space="0" w:color="auto"/>
              <w:left w:val="nil"/>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18"/>
                <w:szCs w:val="18"/>
              </w:rPr>
              <w:t>财政资金支出合</w:t>
            </w:r>
            <w:proofErr w:type="gramStart"/>
            <w:r>
              <w:rPr>
                <w:rFonts w:ascii="宋体" w:hAnsi="宋体" w:cs="宋体" w:hint="eastAsia"/>
                <w:color w:val="000000"/>
                <w:kern w:val="0"/>
                <w:sz w:val="18"/>
                <w:szCs w:val="18"/>
              </w:rPr>
              <w:t>规</w:t>
            </w:r>
            <w:proofErr w:type="gramEnd"/>
            <w:r>
              <w:rPr>
                <w:rFonts w:ascii="宋体" w:hAnsi="宋体" w:cs="宋体" w:hint="eastAsia"/>
                <w:color w:val="000000"/>
                <w:kern w:val="0"/>
                <w:sz w:val="18"/>
                <w:szCs w:val="18"/>
              </w:rPr>
              <w:t>、安全</w:t>
            </w:r>
          </w:p>
        </w:tc>
        <w:tc>
          <w:tcPr>
            <w:tcW w:w="706" w:type="pct"/>
            <w:tcBorders>
              <w:top w:val="single" w:sz="4" w:space="0" w:color="auto"/>
              <w:left w:val="nil"/>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20"/>
                <w:szCs w:val="20"/>
              </w:rPr>
            </w:pPr>
            <w:r>
              <w:rPr>
                <w:rFonts w:ascii="宋体" w:hAnsi="宋体" w:cs="宋体" w:hint="eastAsia"/>
                <w:color w:val="000000"/>
                <w:kern w:val="0"/>
                <w:sz w:val="18"/>
                <w:szCs w:val="18"/>
              </w:rPr>
              <w:t>我院2023年度资金支出符合国家财经法规和财务管理制度规定以及有关专项资金管理办法的规定；资金的拨付审批程序和手续齐全；各项支出均符合部门预算批复的用途；不存在截留、挤占、挪用情况。</w:t>
            </w:r>
          </w:p>
        </w:tc>
        <w:tc>
          <w:tcPr>
            <w:tcW w:w="244" w:type="pct"/>
            <w:tcBorders>
              <w:top w:val="single" w:sz="4" w:space="0" w:color="auto"/>
              <w:left w:val="nil"/>
              <w:bottom w:val="single" w:sz="4" w:space="0" w:color="auto"/>
              <w:right w:val="single" w:sz="4" w:space="0" w:color="auto"/>
            </w:tcBorders>
            <w:noWrap/>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303" w:type="pct"/>
            <w:tcBorders>
              <w:top w:val="single" w:sz="4" w:space="0" w:color="auto"/>
              <w:left w:val="nil"/>
              <w:bottom w:val="single" w:sz="4" w:space="0" w:color="auto"/>
              <w:right w:val="nil"/>
            </w:tcBorders>
            <w:noWrap/>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970"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资金使用合</w:t>
            </w:r>
            <w:proofErr w:type="gramStart"/>
            <w:r>
              <w:rPr>
                <w:rFonts w:ascii="宋体" w:hAnsi="宋体" w:cs="宋体" w:hint="eastAsia"/>
                <w:b/>
                <w:bCs/>
                <w:color w:val="000000"/>
                <w:kern w:val="0"/>
                <w:sz w:val="18"/>
                <w:szCs w:val="18"/>
              </w:rPr>
              <w:t>规</w:t>
            </w:r>
            <w:proofErr w:type="gramEnd"/>
            <w:r>
              <w:rPr>
                <w:rFonts w:ascii="宋体" w:hAnsi="宋体" w:cs="宋体" w:hint="eastAsia"/>
                <w:b/>
                <w:bCs/>
                <w:color w:val="000000"/>
                <w:kern w:val="0"/>
                <w:sz w:val="18"/>
                <w:szCs w:val="18"/>
              </w:rPr>
              <w:t>性和安全性:</w:t>
            </w:r>
            <w:r>
              <w:rPr>
                <w:rFonts w:ascii="宋体" w:hAnsi="宋体" w:cs="宋体" w:hint="eastAsia"/>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270" w:type="pct"/>
            <w:tcBorders>
              <w:top w:val="single" w:sz="4" w:space="0" w:color="auto"/>
              <w:left w:val="nil"/>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18"/>
                <w:szCs w:val="18"/>
              </w:rPr>
            </w:pPr>
            <w:r>
              <w:rPr>
                <w:rFonts w:ascii="宋体" w:hAnsi="宋体" w:cs="宋体" w:hint="eastAsia"/>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rsidR="001C5AAF" w:rsidTr="00AA0DDD">
        <w:trPr>
          <w:cantSplit/>
          <w:trHeight w:val="410"/>
        </w:trPr>
        <w:tc>
          <w:tcPr>
            <w:tcW w:w="393" w:type="pct"/>
            <w:vMerge/>
            <w:tcBorders>
              <w:top w:val="nil"/>
              <w:left w:val="single" w:sz="4" w:space="0" w:color="auto"/>
              <w:bottom w:val="single" w:sz="4" w:space="0" w:color="000000"/>
              <w:right w:val="single" w:sz="4" w:space="0" w:color="auto"/>
            </w:tcBorders>
            <w:vAlign w:val="center"/>
          </w:tcPr>
          <w:p w:rsidR="001C5AAF" w:rsidRDefault="001C5AAF" w:rsidP="00AA0DDD">
            <w:pPr>
              <w:widowControl/>
              <w:jc w:val="left"/>
              <w:rPr>
                <w:rFonts w:ascii="宋体" w:hAnsi="宋体" w:cs="宋体"/>
                <w:color w:val="000000"/>
                <w:kern w:val="0"/>
                <w:sz w:val="20"/>
                <w:szCs w:val="20"/>
                <w:highlight w:val="yellow"/>
              </w:rPr>
            </w:pPr>
          </w:p>
        </w:tc>
        <w:tc>
          <w:tcPr>
            <w:tcW w:w="394" w:type="pct"/>
            <w:vMerge/>
            <w:tcBorders>
              <w:top w:val="nil"/>
              <w:left w:val="single" w:sz="4" w:space="0" w:color="auto"/>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会计基础信息完善性</w:t>
            </w:r>
          </w:p>
        </w:tc>
        <w:tc>
          <w:tcPr>
            <w:tcW w:w="358" w:type="pct"/>
            <w:tcBorders>
              <w:top w:val="nil"/>
              <w:left w:val="nil"/>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18"/>
                <w:szCs w:val="18"/>
              </w:rPr>
              <w:t xml:space="preserve">会计基础信息完善程度　</w:t>
            </w:r>
          </w:p>
        </w:tc>
        <w:tc>
          <w:tcPr>
            <w:tcW w:w="706" w:type="pct"/>
            <w:tcBorders>
              <w:top w:val="nil"/>
              <w:left w:val="nil"/>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20"/>
                <w:szCs w:val="20"/>
              </w:rPr>
            </w:pPr>
            <w:r>
              <w:rPr>
                <w:rFonts w:ascii="宋体" w:hAnsi="宋体" w:cs="宋体" w:hint="eastAsia"/>
                <w:color w:val="000000"/>
                <w:kern w:val="0"/>
                <w:sz w:val="18"/>
                <w:szCs w:val="18"/>
              </w:rPr>
              <w:t>基础数据信息和会计信息资料真实、完整、准确</w:t>
            </w:r>
            <w:r>
              <w:rPr>
                <w:rFonts w:ascii="宋体" w:hAnsi="宋体" w:cs="宋体" w:hint="eastAsia"/>
                <w:color w:val="000000"/>
                <w:kern w:val="0"/>
                <w:sz w:val="20"/>
                <w:szCs w:val="20"/>
              </w:rPr>
              <w:t xml:space="preserve">　</w:t>
            </w:r>
          </w:p>
        </w:tc>
        <w:tc>
          <w:tcPr>
            <w:tcW w:w="244" w:type="pct"/>
            <w:tcBorders>
              <w:top w:val="nil"/>
              <w:left w:val="nil"/>
              <w:bottom w:val="single" w:sz="4" w:space="0" w:color="auto"/>
              <w:right w:val="single" w:sz="4" w:space="0" w:color="auto"/>
            </w:tcBorders>
            <w:noWrap/>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303" w:type="pct"/>
            <w:tcBorders>
              <w:top w:val="nil"/>
              <w:left w:val="nil"/>
              <w:bottom w:val="single" w:sz="4" w:space="0" w:color="auto"/>
              <w:right w:val="nil"/>
            </w:tcBorders>
            <w:noWrap/>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1　</w:t>
            </w:r>
          </w:p>
        </w:tc>
        <w:tc>
          <w:tcPr>
            <w:tcW w:w="970" w:type="pct"/>
            <w:tcBorders>
              <w:top w:val="nil"/>
              <w:left w:val="single" w:sz="4" w:space="0" w:color="auto"/>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会计基础信息完善性:</w:t>
            </w:r>
            <w:r>
              <w:rPr>
                <w:rFonts w:ascii="宋体" w:hAnsi="宋体" w:cs="宋体" w:hint="eastAsia"/>
                <w:color w:val="000000"/>
                <w:kern w:val="0"/>
                <w:sz w:val="18"/>
                <w:szCs w:val="18"/>
              </w:rPr>
              <w:t>部门（单位）会计基础信息情况。</w:t>
            </w:r>
          </w:p>
        </w:tc>
        <w:tc>
          <w:tcPr>
            <w:tcW w:w="1270" w:type="pct"/>
            <w:tcBorders>
              <w:top w:val="nil"/>
              <w:left w:val="nil"/>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18"/>
                <w:szCs w:val="18"/>
              </w:rPr>
            </w:pPr>
            <w:r>
              <w:rPr>
                <w:rFonts w:ascii="宋体" w:hAnsi="宋体" w:cs="宋体" w:hint="eastAsia"/>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rsidR="001C5AAF" w:rsidTr="00AA0DDD">
        <w:trPr>
          <w:cantSplit/>
          <w:trHeight w:val="2220"/>
        </w:trPr>
        <w:tc>
          <w:tcPr>
            <w:tcW w:w="393" w:type="pct"/>
            <w:vMerge/>
            <w:tcBorders>
              <w:top w:val="nil"/>
              <w:left w:val="single" w:sz="4" w:space="0" w:color="auto"/>
              <w:bottom w:val="single" w:sz="4" w:space="0" w:color="000000"/>
              <w:right w:val="single" w:sz="4" w:space="0" w:color="auto"/>
            </w:tcBorders>
            <w:vAlign w:val="center"/>
          </w:tcPr>
          <w:p w:rsidR="001C5AAF" w:rsidRDefault="001C5AAF" w:rsidP="00AA0DDD">
            <w:pPr>
              <w:widowControl/>
              <w:jc w:val="left"/>
              <w:rPr>
                <w:rFonts w:ascii="宋体" w:hAnsi="宋体" w:cs="宋体"/>
                <w:color w:val="000000"/>
                <w:kern w:val="0"/>
                <w:sz w:val="20"/>
                <w:szCs w:val="20"/>
                <w:highlight w:val="yellow"/>
              </w:rPr>
            </w:pPr>
          </w:p>
        </w:tc>
        <w:tc>
          <w:tcPr>
            <w:tcW w:w="394"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资产管理（4）</w:t>
            </w:r>
          </w:p>
        </w:tc>
        <w:tc>
          <w:tcPr>
            <w:tcW w:w="358"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资产管理规范性</w:t>
            </w:r>
          </w:p>
        </w:tc>
        <w:tc>
          <w:tcPr>
            <w:tcW w:w="358"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20"/>
                <w:szCs w:val="20"/>
              </w:rPr>
            </w:pPr>
            <w:r>
              <w:rPr>
                <w:rFonts w:ascii="宋体" w:hAnsi="宋体" w:cs="宋体" w:hint="eastAsia"/>
                <w:color w:val="000000"/>
                <w:kern w:val="0"/>
                <w:sz w:val="18"/>
                <w:szCs w:val="18"/>
              </w:rPr>
              <w:t>国有资产使用、保管、处置程序合</w:t>
            </w:r>
            <w:proofErr w:type="gramStart"/>
            <w:r>
              <w:rPr>
                <w:rFonts w:ascii="宋体" w:hAnsi="宋体" w:cs="宋体" w:hint="eastAsia"/>
                <w:color w:val="000000"/>
                <w:kern w:val="0"/>
                <w:sz w:val="18"/>
                <w:szCs w:val="18"/>
              </w:rPr>
              <w:t>规</w:t>
            </w:r>
            <w:proofErr w:type="gramEnd"/>
            <w:r>
              <w:rPr>
                <w:rFonts w:ascii="宋体" w:hAnsi="宋体" w:cs="宋体" w:hint="eastAsia"/>
                <w:color w:val="000000"/>
                <w:kern w:val="0"/>
                <w:sz w:val="18"/>
                <w:szCs w:val="18"/>
              </w:rPr>
              <w:t>性</w:t>
            </w:r>
          </w:p>
        </w:tc>
        <w:tc>
          <w:tcPr>
            <w:tcW w:w="706"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20"/>
                <w:szCs w:val="20"/>
              </w:rPr>
            </w:pPr>
            <w:r>
              <w:rPr>
                <w:rFonts w:ascii="宋体" w:hAnsi="宋体" w:cs="宋体" w:hint="eastAsia"/>
                <w:color w:val="000000"/>
                <w:kern w:val="0"/>
                <w:sz w:val="18"/>
                <w:szCs w:val="18"/>
              </w:rPr>
              <w:t>资产管理制度健全；各项资产使用规范，不存在未经批准擅自出租、出借资产行为；国有资产处置均按照北京市财政相关要求办理，不存在不按要求进行报批或资产不公开处置行为。</w:t>
            </w:r>
          </w:p>
        </w:tc>
        <w:tc>
          <w:tcPr>
            <w:tcW w:w="244"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303"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970"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资产管理规范性:</w:t>
            </w:r>
            <w:r>
              <w:rPr>
                <w:rFonts w:ascii="宋体" w:hAnsi="宋体" w:cs="宋体" w:hint="eastAsia"/>
                <w:color w:val="000000"/>
                <w:kern w:val="0"/>
                <w:sz w:val="18"/>
                <w:szCs w:val="18"/>
              </w:rPr>
              <w:t>部门（单位）的资产是否保持安全完整，资产配置是否合理，资产使用和资产处理是否规范，用以反映和考核部门（单位）资产管理的整体水平。</w:t>
            </w:r>
          </w:p>
        </w:tc>
        <w:tc>
          <w:tcPr>
            <w:tcW w:w="1270"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18"/>
                <w:szCs w:val="18"/>
              </w:rPr>
            </w:pPr>
            <w:r>
              <w:rPr>
                <w:rFonts w:ascii="宋体" w:hAnsi="宋体" w:cs="宋体" w:hint="eastAsia"/>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rsidR="001C5AAF" w:rsidTr="00AA0DDD">
        <w:trPr>
          <w:cantSplit/>
          <w:trHeight w:val="1210"/>
        </w:trPr>
        <w:tc>
          <w:tcPr>
            <w:tcW w:w="393" w:type="pct"/>
            <w:vMerge/>
            <w:tcBorders>
              <w:top w:val="nil"/>
              <w:left w:val="single" w:sz="4" w:space="0" w:color="auto"/>
              <w:bottom w:val="single" w:sz="4" w:space="0" w:color="000000"/>
              <w:right w:val="single" w:sz="4" w:space="0" w:color="auto"/>
            </w:tcBorders>
            <w:vAlign w:val="center"/>
          </w:tcPr>
          <w:p w:rsidR="001C5AAF" w:rsidRDefault="001C5AAF" w:rsidP="00AA0DDD">
            <w:pPr>
              <w:widowControl/>
              <w:jc w:val="left"/>
              <w:rPr>
                <w:rFonts w:ascii="宋体" w:hAnsi="宋体" w:cs="宋体"/>
                <w:color w:val="000000"/>
                <w:kern w:val="0"/>
                <w:sz w:val="20"/>
                <w:szCs w:val="20"/>
                <w:highlight w:val="yellow"/>
              </w:rPr>
            </w:pPr>
          </w:p>
        </w:tc>
        <w:tc>
          <w:tcPr>
            <w:tcW w:w="394" w:type="pct"/>
            <w:tcBorders>
              <w:top w:val="single" w:sz="4" w:space="0" w:color="auto"/>
              <w:left w:val="nil"/>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绩效管理（4）</w:t>
            </w:r>
          </w:p>
        </w:tc>
        <w:tc>
          <w:tcPr>
            <w:tcW w:w="358" w:type="pct"/>
            <w:tcBorders>
              <w:top w:val="single" w:sz="4" w:space="0" w:color="auto"/>
              <w:left w:val="nil"/>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绩效管理情况</w:t>
            </w:r>
          </w:p>
        </w:tc>
        <w:tc>
          <w:tcPr>
            <w:tcW w:w="358" w:type="pct"/>
            <w:tcBorders>
              <w:top w:val="single" w:sz="4" w:space="0" w:color="auto"/>
              <w:left w:val="nil"/>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18"/>
                <w:szCs w:val="18"/>
              </w:rPr>
            </w:pPr>
            <w:r>
              <w:rPr>
                <w:rFonts w:ascii="宋体" w:hAnsi="宋体" w:cs="宋体" w:hint="eastAsia"/>
                <w:color w:val="000000"/>
                <w:kern w:val="0"/>
                <w:sz w:val="18"/>
                <w:szCs w:val="18"/>
              </w:rPr>
              <w:t>绩效管理信息的汇总和应用情况。</w:t>
            </w:r>
          </w:p>
        </w:tc>
        <w:tc>
          <w:tcPr>
            <w:tcW w:w="706" w:type="pct"/>
            <w:tcBorders>
              <w:top w:val="single" w:sz="4" w:space="0" w:color="auto"/>
              <w:left w:val="nil"/>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18"/>
                <w:szCs w:val="18"/>
              </w:rPr>
            </w:pPr>
            <w:r>
              <w:rPr>
                <w:rFonts w:ascii="宋体" w:hAnsi="宋体" w:cs="宋体" w:hint="eastAsia"/>
                <w:color w:val="000000"/>
                <w:kern w:val="0"/>
                <w:sz w:val="18"/>
                <w:szCs w:val="18"/>
              </w:rPr>
              <w:t>我院对绩效信息及时进行了汇总分析整理。</w:t>
            </w:r>
          </w:p>
        </w:tc>
        <w:tc>
          <w:tcPr>
            <w:tcW w:w="244" w:type="pct"/>
            <w:tcBorders>
              <w:top w:val="single" w:sz="4" w:space="0" w:color="auto"/>
              <w:left w:val="nil"/>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303" w:type="pct"/>
            <w:tcBorders>
              <w:top w:val="single" w:sz="4" w:space="0" w:color="auto"/>
              <w:left w:val="nil"/>
              <w:bottom w:val="single" w:sz="4" w:space="0" w:color="auto"/>
              <w:right w:val="nil"/>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970"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绩效管理情况:</w:t>
            </w:r>
            <w:r>
              <w:rPr>
                <w:rFonts w:ascii="宋体" w:hAnsi="宋体" w:cs="宋体" w:hint="eastAsia"/>
                <w:color w:val="000000"/>
                <w:kern w:val="0"/>
                <w:sz w:val="18"/>
                <w:szCs w:val="18"/>
              </w:rPr>
              <w:t>考核部门（单位）在绩效管理信息的汇总和应用情况。</w:t>
            </w:r>
          </w:p>
        </w:tc>
        <w:tc>
          <w:tcPr>
            <w:tcW w:w="1270" w:type="pct"/>
            <w:tcBorders>
              <w:top w:val="single" w:sz="4" w:space="0" w:color="auto"/>
              <w:left w:val="nil"/>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18"/>
                <w:szCs w:val="18"/>
              </w:rPr>
            </w:pPr>
            <w:r>
              <w:rPr>
                <w:rFonts w:ascii="宋体" w:hAnsi="宋体" w:cs="宋体" w:hint="eastAsia"/>
                <w:color w:val="000000"/>
                <w:kern w:val="0"/>
                <w:sz w:val="18"/>
                <w:szCs w:val="18"/>
              </w:rPr>
              <w:t>①部门（单位）是否及时对绩效信息进行汇总分析整理；②部门（单位）是否对绩效目标偏离情况及时进行矫正。每有一项不合格扣2分。</w:t>
            </w:r>
          </w:p>
        </w:tc>
      </w:tr>
      <w:tr w:rsidR="001C5AAF" w:rsidTr="00AA0DDD">
        <w:trPr>
          <w:cantSplit/>
          <w:trHeight w:val="394"/>
        </w:trPr>
        <w:tc>
          <w:tcPr>
            <w:tcW w:w="393" w:type="pct"/>
            <w:vMerge/>
            <w:tcBorders>
              <w:top w:val="nil"/>
              <w:left w:val="single" w:sz="4" w:space="0" w:color="auto"/>
              <w:bottom w:val="single" w:sz="4" w:space="0" w:color="000000"/>
              <w:right w:val="single" w:sz="4" w:space="0" w:color="auto"/>
            </w:tcBorders>
            <w:vAlign w:val="center"/>
          </w:tcPr>
          <w:p w:rsidR="001C5AAF" w:rsidRDefault="001C5AAF" w:rsidP="00AA0DDD">
            <w:pPr>
              <w:widowControl/>
              <w:jc w:val="left"/>
              <w:rPr>
                <w:rFonts w:ascii="宋体" w:hAnsi="宋体" w:cs="宋体"/>
                <w:color w:val="000000"/>
                <w:kern w:val="0"/>
                <w:sz w:val="20"/>
                <w:szCs w:val="20"/>
                <w:highlight w:val="yellow"/>
              </w:rPr>
            </w:pPr>
          </w:p>
        </w:tc>
        <w:tc>
          <w:tcPr>
            <w:tcW w:w="394" w:type="pct"/>
            <w:tcBorders>
              <w:top w:val="single" w:sz="4" w:space="0" w:color="auto"/>
              <w:left w:val="nil"/>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指标　</w:t>
            </w:r>
          </w:p>
        </w:tc>
        <w:tc>
          <w:tcPr>
            <w:tcW w:w="716" w:type="pct"/>
            <w:gridSpan w:val="2"/>
            <w:tcBorders>
              <w:top w:val="single" w:sz="4" w:space="0" w:color="auto"/>
              <w:left w:val="nil"/>
              <w:bottom w:val="single" w:sz="4" w:space="0" w:color="auto"/>
              <w:right w:val="single" w:sz="4" w:space="0" w:color="000000"/>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2022年</w:t>
            </w:r>
          </w:p>
        </w:tc>
        <w:tc>
          <w:tcPr>
            <w:tcW w:w="706" w:type="pct"/>
            <w:tcBorders>
              <w:top w:val="single" w:sz="4" w:space="0" w:color="auto"/>
              <w:left w:val="nil"/>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w:t>
            </w:r>
          </w:p>
        </w:tc>
        <w:tc>
          <w:tcPr>
            <w:tcW w:w="244" w:type="pct"/>
            <w:tcBorders>
              <w:top w:val="single" w:sz="4" w:space="0" w:color="auto"/>
              <w:left w:val="nil"/>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03" w:type="pct"/>
            <w:tcBorders>
              <w:top w:val="single" w:sz="4" w:space="0" w:color="auto"/>
              <w:left w:val="nil"/>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970"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270" w:type="pct"/>
            <w:tcBorders>
              <w:top w:val="single" w:sz="4" w:space="0" w:color="auto"/>
              <w:left w:val="nil"/>
              <w:bottom w:val="single" w:sz="4" w:space="0" w:color="auto"/>
              <w:right w:val="single" w:sz="4" w:space="0" w:color="auto"/>
            </w:tcBorders>
            <w:vAlign w:val="center"/>
          </w:tcPr>
          <w:p w:rsidR="001C5AAF" w:rsidRDefault="001C5AAF" w:rsidP="00AA0DDD">
            <w:pPr>
              <w:widowControl/>
              <w:jc w:val="center"/>
              <w:rPr>
                <w:rFonts w:eastAsia="Times New Roman"/>
                <w:kern w:val="0"/>
                <w:sz w:val="20"/>
                <w:szCs w:val="20"/>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1C5AAF" w:rsidTr="00AA0DDD">
        <w:trPr>
          <w:cantSplit/>
          <w:trHeight w:val="1944"/>
        </w:trPr>
        <w:tc>
          <w:tcPr>
            <w:tcW w:w="393" w:type="pct"/>
            <w:vMerge/>
            <w:tcBorders>
              <w:top w:val="nil"/>
              <w:left w:val="single" w:sz="4" w:space="0" w:color="auto"/>
              <w:bottom w:val="single" w:sz="4" w:space="0" w:color="000000"/>
              <w:right w:val="single" w:sz="4" w:space="0" w:color="auto"/>
            </w:tcBorders>
            <w:vAlign w:val="center"/>
          </w:tcPr>
          <w:p w:rsidR="001C5AAF" w:rsidRDefault="001C5AAF" w:rsidP="00AA0DDD">
            <w:pPr>
              <w:widowControl/>
              <w:jc w:val="left"/>
              <w:rPr>
                <w:rFonts w:ascii="宋体" w:hAnsi="宋体" w:cs="宋体"/>
                <w:color w:val="000000"/>
                <w:kern w:val="0"/>
                <w:sz w:val="20"/>
                <w:szCs w:val="20"/>
                <w:highlight w:val="yellow"/>
              </w:rPr>
            </w:pPr>
          </w:p>
        </w:tc>
        <w:tc>
          <w:tcPr>
            <w:tcW w:w="394" w:type="pct"/>
            <w:tcBorders>
              <w:top w:val="nil"/>
              <w:left w:val="nil"/>
              <w:bottom w:val="single" w:sz="4" w:space="0" w:color="auto"/>
              <w:right w:val="single" w:sz="4" w:space="0" w:color="auto"/>
            </w:tcBorders>
            <w:vAlign w:val="center"/>
          </w:tcPr>
          <w:p w:rsidR="001C5AAF" w:rsidRDefault="001C5AAF" w:rsidP="00AA0DDD">
            <w:pPr>
              <w:widowControl/>
              <w:rPr>
                <w:rFonts w:ascii="宋体" w:hAnsi="宋体" w:cs="宋体"/>
                <w:color w:val="000000"/>
                <w:kern w:val="0"/>
                <w:sz w:val="20"/>
                <w:szCs w:val="20"/>
              </w:rPr>
            </w:pPr>
            <w:r>
              <w:rPr>
                <w:rFonts w:ascii="宋体" w:hAnsi="宋体" w:cs="宋体" w:hint="eastAsia"/>
                <w:color w:val="000000"/>
                <w:kern w:val="0"/>
                <w:sz w:val="20"/>
                <w:szCs w:val="20"/>
              </w:rPr>
              <w:t>结转结余率（4）</w:t>
            </w:r>
          </w:p>
        </w:tc>
        <w:tc>
          <w:tcPr>
            <w:tcW w:w="716" w:type="pct"/>
            <w:gridSpan w:val="2"/>
            <w:tcBorders>
              <w:top w:val="single" w:sz="4" w:space="0" w:color="auto"/>
              <w:left w:val="nil"/>
              <w:bottom w:val="single" w:sz="4" w:space="0" w:color="auto"/>
              <w:right w:val="single" w:sz="4" w:space="0" w:color="000000"/>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2.41%</w:t>
            </w:r>
          </w:p>
        </w:tc>
        <w:tc>
          <w:tcPr>
            <w:tcW w:w="706" w:type="pct"/>
            <w:tcBorders>
              <w:top w:val="nil"/>
              <w:left w:val="nil"/>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2.84%</w:t>
            </w:r>
          </w:p>
        </w:tc>
        <w:tc>
          <w:tcPr>
            <w:tcW w:w="244" w:type="pct"/>
            <w:tcBorders>
              <w:top w:val="nil"/>
              <w:left w:val="nil"/>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303" w:type="pct"/>
            <w:tcBorders>
              <w:top w:val="nil"/>
              <w:left w:val="nil"/>
              <w:bottom w:val="single" w:sz="4" w:space="0" w:color="auto"/>
              <w:right w:val="nil"/>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3.60　</w:t>
            </w:r>
          </w:p>
        </w:tc>
        <w:tc>
          <w:tcPr>
            <w:tcW w:w="970" w:type="pct"/>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18"/>
                <w:szCs w:val="18"/>
              </w:rPr>
            </w:pPr>
            <w:r>
              <w:rPr>
                <w:rFonts w:ascii="宋体" w:hAnsi="宋体" w:cs="宋体" w:hint="eastAsia"/>
                <w:color w:val="000000"/>
                <w:kern w:val="0"/>
                <w:sz w:val="18"/>
                <w:szCs w:val="18"/>
              </w:rPr>
              <w:t>结转结余率=结转结余总额/支出预算数×100%。</w:t>
            </w:r>
          </w:p>
          <w:p w:rsidR="001C5AAF" w:rsidRDefault="001C5AAF" w:rsidP="00AA0DDD">
            <w:pPr>
              <w:widowControl/>
              <w:jc w:val="left"/>
              <w:rPr>
                <w:rFonts w:ascii="宋体" w:hAnsi="宋体" w:cs="宋体"/>
                <w:color w:val="000000"/>
                <w:kern w:val="0"/>
                <w:sz w:val="18"/>
                <w:szCs w:val="18"/>
              </w:rPr>
            </w:pPr>
            <w:r>
              <w:rPr>
                <w:rFonts w:ascii="宋体" w:hAnsi="宋体" w:cs="宋体" w:hint="eastAsia"/>
                <w:color w:val="000000"/>
                <w:kern w:val="0"/>
                <w:sz w:val="18"/>
                <w:szCs w:val="18"/>
              </w:rPr>
              <w:t>结转结余总额：部门（单位）本年度的结转资金与结余资金之</w:t>
            </w:r>
            <w:proofErr w:type="gramStart"/>
            <w:r>
              <w:rPr>
                <w:rFonts w:ascii="宋体" w:hAnsi="宋体" w:cs="宋体" w:hint="eastAsia"/>
                <w:color w:val="000000"/>
                <w:kern w:val="0"/>
                <w:sz w:val="18"/>
                <w:szCs w:val="18"/>
              </w:rPr>
              <w:t>和</w:t>
            </w:r>
            <w:proofErr w:type="gramEnd"/>
            <w:r>
              <w:rPr>
                <w:rFonts w:ascii="宋体" w:hAnsi="宋体" w:cs="宋体" w:hint="eastAsia"/>
                <w:color w:val="000000"/>
                <w:kern w:val="0"/>
                <w:sz w:val="18"/>
                <w:szCs w:val="18"/>
              </w:rPr>
              <w:t>。</w:t>
            </w:r>
          </w:p>
        </w:tc>
        <w:tc>
          <w:tcPr>
            <w:tcW w:w="1270" w:type="pct"/>
            <w:tcBorders>
              <w:top w:val="single" w:sz="4" w:space="0" w:color="auto"/>
              <w:left w:val="nil"/>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18"/>
                <w:szCs w:val="18"/>
              </w:rPr>
            </w:pPr>
            <w:r>
              <w:rPr>
                <w:rFonts w:ascii="宋体" w:hAnsi="宋体" w:cs="宋体" w:hint="eastAsia"/>
                <w:color w:val="000000"/>
                <w:kern w:val="0"/>
                <w:sz w:val="18"/>
                <w:szCs w:val="18"/>
              </w:rPr>
              <w:t>部门结转结余率低于上年的不扣分；高于上年结余率，每高出1个百分点扣0.4分，扣完为止。（说明：预算调整和结转结余指标，如</w:t>
            </w:r>
            <w:proofErr w:type="gramStart"/>
            <w:r>
              <w:rPr>
                <w:rFonts w:ascii="宋体" w:hAnsi="宋体" w:cs="宋体" w:hint="eastAsia"/>
                <w:color w:val="000000"/>
                <w:kern w:val="0"/>
                <w:sz w:val="18"/>
                <w:szCs w:val="18"/>
              </w:rPr>
              <w:t>非预算</w:t>
            </w:r>
            <w:proofErr w:type="gramEnd"/>
            <w:r>
              <w:rPr>
                <w:rFonts w:ascii="宋体" w:hAnsi="宋体" w:cs="宋体" w:hint="eastAsia"/>
                <w:color w:val="000000"/>
                <w:kern w:val="0"/>
                <w:sz w:val="18"/>
                <w:szCs w:val="18"/>
              </w:rPr>
              <w:t>部门主观因素导致扣分的，在评分结果征求意见环节，经与相关部门预算主管处室共同研究，可作为例外情况酌情考虑。）</w:t>
            </w:r>
          </w:p>
        </w:tc>
      </w:tr>
      <w:tr w:rsidR="001C5AAF" w:rsidTr="00AA0DDD">
        <w:trPr>
          <w:cantSplit/>
          <w:trHeight w:val="1083"/>
        </w:trPr>
        <w:tc>
          <w:tcPr>
            <w:tcW w:w="393" w:type="pct"/>
            <w:vMerge/>
            <w:tcBorders>
              <w:top w:val="nil"/>
              <w:left w:val="single" w:sz="4" w:space="0" w:color="auto"/>
              <w:bottom w:val="single" w:sz="4" w:space="0" w:color="000000"/>
              <w:right w:val="single" w:sz="4" w:space="0" w:color="auto"/>
            </w:tcBorders>
            <w:vAlign w:val="center"/>
          </w:tcPr>
          <w:p w:rsidR="001C5AAF" w:rsidRDefault="001C5AAF" w:rsidP="00AA0DDD">
            <w:pPr>
              <w:widowControl/>
              <w:jc w:val="left"/>
              <w:rPr>
                <w:rFonts w:ascii="宋体" w:hAnsi="宋体" w:cs="宋体"/>
                <w:color w:val="000000"/>
                <w:kern w:val="0"/>
                <w:sz w:val="20"/>
                <w:szCs w:val="20"/>
                <w:highlight w:val="yellow"/>
              </w:rPr>
            </w:pPr>
          </w:p>
        </w:tc>
        <w:tc>
          <w:tcPr>
            <w:tcW w:w="394" w:type="pct"/>
            <w:tcBorders>
              <w:top w:val="nil"/>
              <w:left w:val="nil"/>
              <w:bottom w:val="single" w:sz="4" w:space="0" w:color="auto"/>
              <w:right w:val="single" w:sz="4" w:space="0" w:color="auto"/>
            </w:tcBorders>
            <w:vAlign w:val="center"/>
          </w:tcPr>
          <w:p w:rsidR="001C5AAF" w:rsidRDefault="001C5AAF" w:rsidP="00AA0DDD">
            <w:pPr>
              <w:widowControl/>
              <w:rPr>
                <w:rFonts w:ascii="宋体" w:hAnsi="宋体" w:cs="宋体"/>
                <w:color w:val="000000"/>
                <w:kern w:val="0"/>
                <w:sz w:val="20"/>
                <w:szCs w:val="20"/>
              </w:rPr>
            </w:pPr>
            <w:r>
              <w:rPr>
                <w:rFonts w:ascii="宋体" w:hAnsi="宋体" w:cs="宋体" w:hint="eastAsia"/>
                <w:color w:val="000000"/>
                <w:kern w:val="0"/>
                <w:sz w:val="20"/>
                <w:szCs w:val="20"/>
              </w:rPr>
              <w:t>部门预决算差异率（4）</w:t>
            </w:r>
          </w:p>
        </w:tc>
        <w:tc>
          <w:tcPr>
            <w:tcW w:w="716" w:type="pct"/>
            <w:gridSpan w:val="2"/>
            <w:tcBorders>
              <w:top w:val="single" w:sz="4" w:space="0" w:color="auto"/>
              <w:left w:val="nil"/>
              <w:bottom w:val="single" w:sz="4" w:space="0" w:color="auto"/>
              <w:right w:val="nil"/>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06" w:type="pct"/>
            <w:tcBorders>
              <w:top w:val="nil"/>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2.68%</w:t>
            </w:r>
          </w:p>
        </w:tc>
        <w:tc>
          <w:tcPr>
            <w:tcW w:w="244" w:type="pct"/>
            <w:tcBorders>
              <w:top w:val="nil"/>
              <w:left w:val="nil"/>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303" w:type="pct"/>
            <w:tcBorders>
              <w:top w:val="nil"/>
              <w:left w:val="nil"/>
              <w:bottom w:val="single" w:sz="4" w:space="0" w:color="auto"/>
              <w:right w:val="nil"/>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4　</w:t>
            </w:r>
          </w:p>
        </w:tc>
        <w:tc>
          <w:tcPr>
            <w:tcW w:w="970" w:type="pct"/>
            <w:tcBorders>
              <w:top w:val="nil"/>
              <w:left w:val="single" w:sz="4" w:space="0" w:color="auto"/>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18"/>
                <w:szCs w:val="18"/>
              </w:rPr>
            </w:pPr>
            <w:r>
              <w:rPr>
                <w:rFonts w:ascii="宋体" w:hAnsi="宋体" w:cs="宋体" w:hint="eastAsia"/>
                <w:color w:val="000000"/>
                <w:kern w:val="0"/>
                <w:sz w:val="18"/>
                <w:szCs w:val="18"/>
              </w:rPr>
              <w:t>通过年度部门决算与年初部门预算对比，对部门的年度支出情况进行考核，衡量部门预算的约束力。</w:t>
            </w:r>
          </w:p>
        </w:tc>
        <w:tc>
          <w:tcPr>
            <w:tcW w:w="1270" w:type="pct"/>
            <w:tcBorders>
              <w:top w:val="nil"/>
              <w:left w:val="nil"/>
              <w:bottom w:val="single" w:sz="4" w:space="0" w:color="auto"/>
              <w:right w:val="single" w:sz="4" w:space="0" w:color="auto"/>
            </w:tcBorders>
            <w:vAlign w:val="center"/>
          </w:tcPr>
          <w:p w:rsidR="001C5AAF" w:rsidRDefault="001C5AAF" w:rsidP="00AA0DDD">
            <w:pPr>
              <w:widowControl/>
              <w:jc w:val="left"/>
              <w:rPr>
                <w:rFonts w:ascii="宋体" w:hAnsi="宋体" w:cs="宋体"/>
                <w:color w:val="000000"/>
                <w:kern w:val="0"/>
                <w:sz w:val="18"/>
                <w:szCs w:val="18"/>
              </w:rPr>
            </w:pPr>
            <w:r>
              <w:rPr>
                <w:rFonts w:ascii="宋体" w:hAnsi="宋体" w:cs="宋体" w:hint="eastAsia"/>
                <w:color w:val="000000"/>
                <w:kern w:val="0"/>
                <w:sz w:val="18"/>
                <w:szCs w:val="18"/>
              </w:rPr>
              <w:t>部门预决算差异率高于市级平均差异率（28.3%）的，每高出10%（含），扣0.4分，扣完为止。</w:t>
            </w:r>
          </w:p>
        </w:tc>
      </w:tr>
      <w:tr w:rsidR="001C5AAF" w:rsidTr="00AA0DDD">
        <w:trPr>
          <w:cantSplit/>
          <w:trHeight w:val="484"/>
        </w:trPr>
        <w:tc>
          <w:tcPr>
            <w:tcW w:w="2211" w:type="pct"/>
            <w:gridSpan w:val="5"/>
            <w:tcBorders>
              <w:top w:val="single" w:sz="4" w:space="0" w:color="auto"/>
              <w:left w:val="single" w:sz="4" w:space="0" w:color="auto"/>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合计</w:t>
            </w:r>
          </w:p>
        </w:tc>
        <w:tc>
          <w:tcPr>
            <w:tcW w:w="244" w:type="pct"/>
            <w:tcBorders>
              <w:top w:val="nil"/>
              <w:left w:val="nil"/>
              <w:bottom w:val="single" w:sz="4" w:space="0" w:color="auto"/>
              <w:right w:val="single" w:sz="4" w:space="0" w:color="auto"/>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03" w:type="pct"/>
            <w:tcBorders>
              <w:top w:val="nil"/>
              <w:left w:val="nil"/>
              <w:bottom w:val="single" w:sz="4" w:space="0" w:color="auto"/>
              <w:right w:val="nil"/>
            </w:tcBorders>
            <w:vAlign w:val="center"/>
          </w:tcPr>
          <w:p w:rsidR="001C5AAF" w:rsidRDefault="001C5AAF" w:rsidP="00AA0DD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94.96　</w:t>
            </w:r>
          </w:p>
        </w:tc>
        <w:tc>
          <w:tcPr>
            <w:tcW w:w="2241" w:type="pct"/>
            <w:gridSpan w:val="2"/>
            <w:tcBorders>
              <w:top w:val="single" w:sz="4" w:space="0" w:color="auto"/>
              <w:left w:val="single" w:sz="4" w:space="0" w:color="auto"/>
              <w:bottom w:val="single" w:sz="4" w:space="0" w:color="auto"/>
              <w:right w:val="single" w:sz="4" w:space="0" w:color="000000"/>
            </w:tcBorders>
            <w:vAlign w:val="center"/>
          </w:tcPr>
          <w:p w:rsidR="001C5AAF" w:rsidRDefault="001C5AAF" w:rsidP="00AA0DDD">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bl>
    <w:p w:rsidR="001C5AAF" w:rsidRDefault="001C5AAF" w:rsidP="001C5AAF">
      <w:pPr>
        <w:pStyle w:val="1"/>
        <w:rPr>
          <w:rFonts w:ascii="仿宋_GB2312" w:eastAsia="仿宋_GB2312" w:hAnsi="宋体" w:cs="宋体"/>
          <w:color w:val="000000"/>
          <w:kern w:val="0"/>
          <w:sz w:val="32"/>
          <w:szCs w:val="32"/>
        </w:rPr>
      </w:pPr>
    </w:p>
    <w:p w:rsidR="001C5AAF" w:rsidRDefault="001C5AAF" w:rsidP="001C5AAF"/>
    <w:p w:rsidR="001C5AAF" w:rsidRDefault="001C5AAF" w:rsidP="001C5AAF"/>
    <w:p w:rsidR="00995CF7" w:rsidRDefault="00995CF7"/>
    <w:sectPr w:rsidR="00995CF7">
      <w:footerReference w:type="default" r:id="rId9"/>
      <w:pgSz w:w="16838" w:h="11906" w:orient="landscape"/>
      <w:pgMar w:top="1800" w:right="1440" w:bottom="1800" w:left="1440" w:header="851" w:footer="992" w:gutter="0"/>
      <w:pgNumType w:start="13"/>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E04" w:rsidRDefault="001F7E04" w:rsidP="001C5AAF">
      <w:r>
        <w:separator/>
      </w:r>
    </w:p>
  </w:endnote>
  <w:endnote w:type="continuationSeparator" w:id="0">
    <w:p w:rsidR="001F7E04" w:rsidRDefault="001F7E04" w:rsidP="001C5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方正黑体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AAF" w:rsidRDefault="001C5AAF">
    <w:pPr>
      <w:pStyle w:val="a4"/>
      <w:ind w:firstLine="360"/>
      <w:jc w:val="center"/>
      <w:rPr>
        <w:sz w:val="21"/>
        <w:szCs w:val="21"/>
      </w:rPr>
    </w:pPr>
    <w:r>
      <w:rPr>
        <w:noProof/>
      </w:rP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57785" cy="131445"/>
              <wp:effectExtent l="0" t="0" r="12065" b="14605"/>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85" cy="131445"/>
                      </a:xfrm>
                      <a:prstGeom prst="rect">
                        <a:avLst/>
                      </a:prstGeom>
                      <a:noFill/>
                      <a:ln w="6350">
                        <a:noFill/>
                      </a:ln>
                    </wps:spPr>
                    <wps:txbx>
                      <w:txbxContent>
                        <w:p w:rsidR="001C5AAF" w:rsidRDefault="001C5AAF">
                          <w:pPr>
                            <w:pStyle w:val="a4"/>
                          </w:pPr>
                          <w:r>
                            <w:fldChar w:fldCharType="begin"/>
                          </w:r>
                          <w:r>
                            <w:instrText xml:space="preserve"> PAGE  \* MERGEFORMAT </w:instrText>
                          </w:r>
                          <w:r>
                            <w:fldChar w:fldCharType="separate"/>
                          </w:r>
                          <w:r w:rsidR="0067156B">
                            <w:rPr>
                              <w:noProof/>
                            </w:rP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3" o:spid="_x0000_s1026" type="#_x0000_t202" style="position:absolute;left:0;text-align:left;margin-left:0;margin-top:0;width:4.55pt;height:10.35pt;z-index:251657216;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" filled="f" stroked="f" strokeweight=".5pt">
              <v:path arrowok="t"/>
              <v:textbox style="mso-fit-shape-to-text:t" inset="0,0,0,0">
                <w:txbxContent>
                  <w:p w:rsidR="001C5AAF" w:rsidRDefault="001C5AAF">
                    <w:pPr>
                      <w:pStyle w:val="a4"/>
                    </w:pPr>
                    <w:r>
                      <w:fldChar w:fldCharType="begin"/>
                    </w:r>
                    <w:r>
                      <w:instrText xml:space="preserve"> PAGE  \* MERGEFORMAT </w:instrText>
                    </w:r>
                    <w:r>
                      <w:fldChar w:fldCharType="separate"/>
                    </w:r>
                    <w:r w:rsidR="0067156B">
                      <w:rPr>
                        <w:noProof/>
                      </w:rPr>
                      <w:t>12</w:t>
                    </w:r>
                    <w: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695" w:rsidRDefault="001C5AAF">
    <w:pPr>
      <w:pStyle w:val="a4"/>
    </w:pPr>
    <w:r>
      <w:rPr>
        <w:noProof/>
        <w:sz w:val="2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14935" cy="131445"/>
              <wp:effectExtent l="0" t="0" r="12065" b="14605"/>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4935" cy="131445"/>
                      </a:xfrm>
                      <a:prstGeom prst="rect">
                        <a:avLst/>
                      </a:prstGeom>
                      <a:noFill/>
                      <a:ln w="6350">
                        <a:noFill/>
                      </a:ln>
                    </wps:spPr>
                    <wps:txbx>
                      <w:txbxContent>
                        <w:p w:rsidR="00BE3695" w:rsidRDefault="002B0135">
                          <w:pPr>
                            <w:pStyle w:val="a4"/>
                            <w:jc w:val="right"/>
                          </w:pPr>
                          <w:r>
                            <w:fldChar w:fldCharType="begin"/>
                          </w:r>
                          <w:r>
                            <w:instrText xml:space="preserve"> PAGE  \* MERGEFORMAT </w:instrText>
                          </w:r>
                          <w:r>
                            <w:fldChar w:fldCharType="separate"/>
                          </w:r>
                          <w:r w:rsidR="0067156B">
                            <w:rPr>
                              <w:noProof/>
                            </w:rP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7" type="#_x0000_t202" style="position:absolute;margin-left:0;margin-top:0;width:9.05pt;height:10.35pt;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" filled="f" stroked="f" strokeweight=".5pt">
              <v:path arrowok="t"/>
              <v:textbox style="mso-fit-shape-to-text:t" inset="0,0,0,0">
                <w:txbxContent>
                  <w:p w:rsidR="00BE3695" w:rsidRDefault="002B0135">
                    <w:pPr>
                      <w:pStyle w:val="a4"/>
                      <w:jc w:val="right"/>
                    </w:pPr>
                    <w:r>
                      <w:fldChar w:fldCharType="begin"/>
                    </w:r>
                    <w:r>
                      <w:instrText xml:space="preserve"> PAGE  \* MERGEFORMAT </w:instrText>
                    </w:r>
                    <w:r>
                      <w:fldChar w:fldCharType="separate"/>
                    </w:r>
                    <w:r w:rsidR="0067156B">
                      <w:rPr>
                        <w:noProof/>
                      </w:rPr>
                      <w:t>13</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E04" w:rsidRDefault="001F7E04" w:rsidP="001C5AAF">
      <w:r>
        <w:separator/>
      </w:r>
    </w:p>
  </w:footnote>
  <w:footnote w:type="continuationSeparator" w:id="0">
    <w:p w:rsidR="001F7E04" w:rsidRDefault="001F7E04" w:rsidP="001C5A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95759B"/>
    <w:multiLevelType w:val="singleLevel"/>
    <w:tmpl w:val="9795759B"/>
    <w:lvl w:ilvl="0">
      <w:start w:val="2"/>
      <w:numFmt w:val="chineseCounting"/>
      <w:suff w:val="nothing"/>
      <w:lvlText w:val="（%1）"/>
      <w:lvlJc w:val="left"/>
      <w:rPr>
        <w:rFonts w:hint="eastAsia"/>
      </w:rPr>
    </w:lvl>
  </w:abstractNum>
  <w:abstractNum w:abstractNumId="1">
    <w:nsid w:val="A65835EA"/>
    <w:multiLevelType w:val="singleLevel"/>
    <w:tmpl w:val="A65835EA"/>
    <w:lvl w:ilvl="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59A"/>
    <w:rsid w:val="00107B73"/>
    <w:rsid w:val="001C5AAF"/>
    <w:rsid w:val="001F7E04"/>
    <w:rsid w:val="002B0135"/>
    <w:rsid w:val="002C6EDF"/>
    <w:rsid w:val="00401BC7"/>
    <w:rsid w:val="004F75E4"/>
    <w:rsid w:val="00561653"/>
    <w:rsid w:val="005C2FEC"/>
    <w:rsid w:val="005D622D"/>
    <w:rsid w:val="0067156B"/>
    <w:rsid w:val="0067759A"/>
    <w:rsid w:val="007720EF"/>
    <w:rsid w:val="0097793D"/>
    <w:rsid w:val="00995CF7"/>
    <w:rsid w:val="00A43649"/>
    <w:rsid w:val="00A45491"/>
    <w:rsid w:val="00A912B3"/>
    <w:rsid w:val="00B942C0"/>
    <w:rsid w:val="00BE3695"/>
    <w:rsid w:val="00BF167C"/>
    <w:rsid w:val="00CA5C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1C5AA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C5A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C5AAF"/>
    <w:rPr>
      <w:sz w:val="18"/>
      <w:szCs w:val="18"/>
    </w:rPr>
  </w:style>
  <w:style w:type="paragraph" w:styleId="a4">
    <w:name w:val="footer"/>
    <w:basedOn w:val="a"/>
    <w:link w:val="Char0"/>
    <w:uiPriority w:val="99"/>
    <w:unhideWhenUsed/>
    <w:qFormat/>
    <w:rsid w:val="001C5AAF"/>
    <w:pPr>
      <w:tabs>
        <w:tab w:val="center" w:pos="4153"/>
        <w:tab w:val="right" w:pos="8306"/>
      </w:tabs>
      <w:snapToGrid w:val="0"/>
      <w:jc w:val="left"/>
    </w:pPr>
    <w:rPr>
      <w:sz w:val="18"/>
      <w:szCs w:val="18"/>
    </w:rPr>
  </w:style>
  <w:style w:type="character" w:customStyle="1" w:styleId="Char0">
    <w:name w:val="页脚 Char"/>
    <w:basedOn w:val="a0"/>
    <w:link w:val="a4"/>
    <w:uiPriority w:val="99"/>
    <w:rsid w:val="001C5AAF"/>
    <w:rPr>
      <w:sz w:val="18"/>
      <w:szCs w:val="18"/>
    </w:rPr>
  </w:style>
  <w:style w:type="paragraph" w:styleId="a5">
    <w:name w:val="Body Text Indent"/>
    <w:basedOn w:val="a"/>
    <w:link w:val="Char1"/>
    <w:uiPriority w:val="99"/>
    <w:semiHidden/>
    <w:unhideWhenUsed/>
    <w:rsid w:val="001C5AAF"/>
    <w:pPr>
      <w:spacing w:after="120"/>
      <w:ind w:leftChars="200" w:left="420"/>
    </w:pPr>
  </w:style>
  <w:style w:type="character" w:customStyle="1" w:styleId="Char1">
    <w:name w:val="正文文本缩进 Char"/>
    <w:basedOn w:val="a0"/>
    <w:link w:val="a5"/>
    <w:uiPriority w:val="99"/>
    <w:semiHidden/>
    <w:rsid w:val="001C5AAF"/>
    <w:rPr>
      <w:rFonts w:ascii="Times New Roman" w:eastAsia="宋体" w:hAnsi="Times New Roman" w:cs="Times New Roman"/>
      <w:szCs w:val="24"/>
    </w:rPr>
  </w:style>
  <w:style w:type="paragraph" w:styleId="2">
    <w:name w:val="Body Text First Indent 2"/>
    <w:basedOn w:val="a5"/>
    <w:next w:val="a"/>
    <w:link w:val="2Char"/>
    <w:uiPriority w:val="99"/>
    <w:qFormat/>
    <w:rsid w:val="001C5AAF"/>
    <w:pPr>
      <w:spacing w:after="360"/>
      <w:ind w:leftChars="0" w:left="0" w:firstLineChars="200" w:firstLine="420"/>
    </w:pPr>
    <w:rPr>
      <w:rFonts w:eastAsia="仿宋_GB2312"/>
      <w:kern w:val="1"/>
      <w:sz w:val="32"/>
      <w:szCs w:val="20"/>
    </w:rPr>
  </w:style>
  <w:style w:type="character" w:customStyle="1" w:styleId="2Char">
    <w:name w:val="正文首行缩进 2 Char"/>
    <w:basedOn w:val="Char1"/>
    <w:link w:val="2"/>
    <w:uiPriority w:val="99"/>
    <w:rsid w:val="001C5AAF"/>
    <w:rPr>
      <w:rFonts w:ascii="Times New Roman" w:eastAsia="仿宋_GB2312" w:hAnsi="Times New Roman" w:cs="Times New Roman"/>
      <w:kern w:val="1"/>
      <w:sz w:val="32"/>
      <w:szCs w:val="20"/>
    </w:rPr>
  </w:style>
  <w:style w:type="paragraph" w:customStyle="1" w:styleId="1">
    <w:name w:val="无间隔1"/>
    <w:uiPriority w:val="1"/>
    <w:qFormat/>
    <w:rsid w:val="001C5AAF"/>
    <w:pPr>
      <w:widowControl w:val="0"/>
      <w:jc w:val="both"/>
    </w:pPr>
    <w:rPr>
      <w:rFonts w:ascii="Times New Roman" w:eastAsia="宋体" w:hAnsi="Times New Roman" w:cs="Times New Roman"/>
      <w:szCs w:val="20"/>
    </w:rPr>
  </w:style>
  <w:style w:type="paragraph" w:customStyle="1" w:styleId="10">
    <w:name w:val="列出段落1"/>
    <w:basedOn w:val="a"/>
    <w:uiPriority w:val="34"/>
    <w:qFormat/>
    <w:rsid w:val="001C5AAF"/>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1C5AA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C5A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C5AAF"/>
    <w:rPr>
      <w:sz w:val="18"/>
      <w:szCs w:val="18"/>
    </w:rPr>
  </w:style>
  <w:style w:type="paragraph" w:styleId="a4">
    <w:name w:val="footer"/>
    <w:basedOn w:val="a"/>
    <w:link w:val="Char0"/>
    <w:uiPriority w:val="99"/>
    <w:unhideWhenUsed/>
    <w:qFormat/>
    <w:rsid w:val="001C5AAF"/>
    <w:pPr>
      <w:tabs>
        <w:tab w:val="center" w:pos="4153"/>
        <w:tab w:val="right" w:pos="8306"/>
      </w:tabs>
      <w:snapToGrid w:val="0"/>
      <w:jc w:val="left"/>
    </w:pPr>
    <w:rPr>
      <w:sz w:val="18"/>
      <w:szCs w:val="18"/>
    </w:rPr>
  </w:style>
  <w:style w:type="character" w:customStyle="1" w:styleId="Char0">
    <w:name w:val="页脚 Char"/>
    <w:basedOn w:val="a0"/>
    <w:link w:val="a4"/>
    <w:uiPriority w:val="99"/>
    <w:rsid w:val="001C5AAF"/>
    <w:rPr>
      <w:sz w:val="18"/>
      <w:szCs w:val="18"/>
    </w:rPr>
  </w:style>
  <w:style w:type="paragraph" w:styleId="a5">
    <w:name w:val="Body Text Indent"/>
    <w:basedOn w:val="a"/>
    <w:link w:val="Char1"/>
    <w:uiPriority w:val="99"/>
    <w:semiHidden/>
    <w:unhideWhenUsed/>
    <w:rsid w:val="001C5AAF"/>
    <w:pPr>
      <w:spacing w:after="120"/>
      <w:ind w:leftChars="200" w:left="420"/>
    </w:pPr>
  </w:style>
  <w:style w:type="character" w:customStyle="1" w:styleId="Char1">
    <w:name w:val="正文文本缩进 Char"/>
    <w:basedOn w:val="a0"/>
    <w:link w:val="a5"/>
    <w:uiPriority w:val="99"/>
    <w:semiHidden/>
    <w:rsid w:val="001C5AAF"/>
    <w:rPr>
      <w:rFonts w:ascii="Times New Roman" w:eastAsia="宋体" w:hAnsi="Times New Roman" w:cs="Times New Roman"/>
      <w:szCs w:val="24"/>
    </w:rPr>
  </w:style>
  <w:style w:type="paragraph" w:styleId="2">
    <w:name w:val="Body Text First Indent 2"/>
    <w:basedOn w:val="a5"/>
    <w:next w:val="a"/>
    <w:link w:val="2Char"/>
    <w:uiPriority w:val="99"/>
    <w:qFormat/>
    <w:rsid w:val="001C5AAF"/>
    <w:pPr>
      <w:spacing w:after="360"/>
      <w:ind w:leftChars="0" w:left="0" w:firstLineChars="200" w:firstLine="420"/>
    </w:pPr>
    <w:rPr>
      <w:rFonts w:eastAsia="仿宋_GB2312"/>
      <w:kern w:val="1"/>
      <w:sz w:val="32"/>
      <w:szCs w:val="20"/>
    </w:rPr>
  </w:style>
  <w:style w:type="character" w:customStyle="1" w:styleId="2Char">
    <w:name w:val="正文首行缩进 2 Char"/>
    <w:basedOn w:val="Char1"/>
    <w:link w:val="2"/>
    <w:uiPriority w:val="99"/>
    <w:rsid w:val="001C5AAF"/>
    <w:rPr>
      <w:rFonts w:ascii="Times New Roman" w:eastAsia="仿宋_GB2312" w:hAnsi="Times New Roman" w:cs="Times New Roman"/>
      <w:kern w:val="1"/>
      <w:sz w:val="32"/>
      <w:szCs w:val="20"/>
    </w:rPr>
  </w:style>
  <w:style w:type="paragraph" w:customStyle="1" w:styleId="1">
    <w:name w:val="无间隔1"/>
    <w:uiPriority w:val="1"/>
    <w:qFormat/>
    <w:rsid w:val="001C5AAF"/>
    <w:pPr>
      <w:widowControl w:val="0"/>
      <w:jc w:val="both"/>
    </w:pPr>
    <w:rPr>
      <w:rFonts w:ascii="Times New Roman" w:eastAsia="宋体" w:hAnsi="Times New Roman" w:cs="Times New Roman"/>
      <w:szCs w:val="20"/>
    </w:rPr>
  </w:style>
  <w:style w:type="paragraph" w:customStyle="1" w:styleId="10">
    <w:name w:val="列出段落1"/>
    <w:basedOn w:val="a"/>
    <w:uiPriority w:val="34"/>
    <w:qFormat/>
    <w:rsid w:val="001C5AA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17</Pages>
  <Words>1340</Words>
  <Characters>7639</Characters>
  <Application>Microsoft Office Word</Application>
  <DocSecurity>0</DocSecurity>
  <Lines>63</Lines>
  <Paragraphs>17</Paragraphs>
  <ScaleCrop>false</ScaleCrop>
  <Company>Lenovo</Company>
  <LinksUpToDate>false</LinksUpToDate>
  <CharactersWithSpaces>8962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lenovo</cp:lastModifiedBy>
  <cp:revision>8</cp:revision>
  <dcterms:created xsi:type="dcterms:W3CDTF">2024-05-20T09:48:00Z</dcterms:created>
  <dcterms:modified xsi:type="dcterms:W3CDTF">2024-06-06T08:05:00Z</dcterms:modified>
</cp:coreProperties>
</file>