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1229" w:rsidRDefault="00021229" w:rsidP="00021229">
      <w:pPr>
        <w:spacing w:line="580" w:lineRule="exact"/>
        <w:jc w:val="center"/>
        <w:rPr>
          <w:rFonts w:ascii="黑体" w:eastAsia="黑体"/>
          <w:sz w:val="28"/>
          <w:szCs w:val="28"/>
        </w:rPr>
      </w:pPr>
      <w:r w:rsidRPr="000E07E0">
        <w:rPr>
          <w:rFonts w:ascii="黑体" w:eastAsia="黑体" w:hint="eastAsia"/>
          <w:sz w:val="36"/>
          <w:szCs w:val="28"/>
        </w:rPr>
        <w:t>北京市房山区人民法院部门整体绩效评价报告</w:t>
      </w:r>
    </w:p>
    <w:p w:rsidR="00021229" w:rsidRDefault="00093E8E" w:rsidP="00021229">
      <w:pPr>
        <w:spacing w:line="580" w:lineRule="exact"/>
        <w:ind w:firstLineChars="200" w:firstLine="560"/>
        <w:rPr>
          <w:rFonts w:ascii="仿宋_GB2312" w:eastAsia="仿宋_GB2312" w:hAnsi="仿宋_GB2312" w:cs="仿宋_GB2312"/>
          <w:color w:val="000000"/>
          <w:kern w:val="0"/>
          <w:sz w:val="28"/>
          <w:szCs w:val="28"/>
        </w:rPr>
      </w:pPr>
      <w:r>
        <w:rPr>
          <w:rFonts w:ascii="黑体" w:eastAsia="黑体" w:hAnsi="黑体" w:cs="宋体" w:hint="eastAsia"/>
          <w:color w:val="000000"/>
          <w:kern w:val="0"/>
          <w:sz w:val="28"/>
          <w:szCs w:val="28"/>
        </w:rPr>
        <w:t>一、</w:t>
      </w:r>
      <w:r w:rsidR="00021229">
        <w:rPr>
          <w:rFonts w:ascii="仿宋_GB2312" w:eastAsia="仿宋_GB2312" w:hAnsi="仿宋_GB2312" w:cs="仿宋_GB2312" w:hint="eastAsia"/>
          <w:color w:val="000000"/>
          <w:kern w:val="0"/>
          <w:sz w:val="28"/>
          <w:szCs w:val="28"/>
        </w:rPr>
        <w:t>部门概况</w:t>
      </w:r>
    </w:p>
    <w:p w:rsidR="00021229" w:rsidRDefault="00093E8E" w:rsidP="00021229">
      <w:pPr>
        <w:spacing w:line="58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（一）</w:t>
      </w:r>
      <w:r w:rsidR="00021229">
        <w:rPr>
          <w:rFonts w:ascii="仿宋_GB2312" w:eastAsia="仿宋_GB2312" w:hAnsi="仿宋_GB2312" w:cs="仿宋_GB2312" w:hint="eastAsia"/>
          <w:sz w:val="28"/>
          <w:szCs w:val="28"/>
        </w:rPr>
        <w:t>机构设置及职责工作任务情况</w:t>
      </w:r>
    </w:p>
    <w:p w:rsidR="00021229" w:rsidRDefault="00021229" w:rsidP="00021229">
      <w:pPr>
        <w:tabs>
          <w:tab w:val="center" w:pos="6979"/>
        </w:tabs>
        <w:spacing w:line="580" w:lineRule="exact"/>
        <w:ind w:firstLine="570"/>
        <w:rPr>
          <w:rFonts w:ascii="仿宋_GB2312" w:eastAsia="仿宋_GB2312" w:hint="eastAsia"/>
          <w:sz w:val="28"/>
          <w:szCs w:val="28"/>
        </w:rPr>
      </w:pPr>
      <w:r w:rsidRPr="00901CD2">
        <w:rPr>
          <w:rFonts w:ascii="仿宋_GB2312" w:eastAsia="仿宋_GB2312" w:hint="eastAsia"/>
          <w:sz w:val="28"/>
          <w:szCs w:val="28"/>
        </w:rPr>
        <w:t>机构设置：</w:t>
      </w:r>
    </w:p>
    <w:p w:rsidR="00077B14" w:rsidRPr="00077B14" w:rsidRDefault="00077B14" w:rsidP="00077B14">
      <w:pPr>
        <w:tabs>
          <w:tab w:val="center" w:pos="6979"/>
        </w:tabs>
        <w:spacing w:line="580" w:lineRule="exact"/>
        <w:ind w:firstLineChars="252" w:firstLine="706"/>
        <w:rPr>
          <w:rFonts w:ascii="仿宋_GB2312" w:eastAsia="仿宋_GB2312"/>
          <w:sz w:val="28"/>
          <w:szCs w:val="28"/>
        </w:rPr>
      </w:pPr>
      <w:r w:rsidRPr="00901CD2">
        <w:rPr>
          <w:rFonts w:ascii="仿宋_GB2312" w:eastAsia="仿宋_GB2312" w:hint="eastAsia"/>
          <w:sz w:val="28"/>
          <w:szCs w:val="28"/>
        </w:rPr>
        <w:t>根据《中央北京市房山区委办公室关于印发《北京市房山区人民法院机构改革方案》的通知》（京房办发【2002】63号）《关于调整区法院机构设置的批复》（房编办字【2010】13号）《关于区法院增设对外联络服务办公室的批复》（房编办字【2010】126号）《关于区法院增设裁判文书校核工作办公室的批复》（房编办【2010】131号）《关于区法院司法宣传科变更名称的批复》（房编办字【2011】38号）《关于成立北京市房山区人民法院长阳人民法庭的批复》（房编办字【2012】22号）《关于成立北京市房山区人民法院知识产权审判庭的批复》（房编办字【2012】47号）《关于成立北京市房山区人民法院诉讼服务办公室的批复》（房编办字【2012】48号）《关于成立北京市房山区人民法院档案科的批复》（房编办字【2012】49号）《关于成立北京市房山区人民法院家事审判庭的批复》（房编办【2012】58号）《关于成立北京市房山区人民法院审判管理办公室的批复》（房编办字【2012】59号）《关于同意区法院知识产权审判庭更名的函》（房编办字【2015】33号）。</w:t>
      </w:r>
    </w:p>
    <w:p w:rsidR="00021229" w:rsidRPr="00901CD2" w:rsidRDefault="000B5730" w:rsidP="00021229">
      <w:pPr>
        <w:tabs>
          <w:tab w:val="center" w:pos="6979"/>
        </w:tabs>
        <w:spacing w:line="580" w:lineRule="exact"/>
        <w:ind w:firstLine="570"/>
        <w:rPr>
          <w:rFonts w:ascii="仿宋_GB2312" w:eastAsia="仿宋_GB2312"/>
          <w:sz w:val="28"/>
          <w:szCs w:val="28"/>
        </w:rPr>
      </w:pPr>
      <w:r w:rsidRPr="000B5730">
        <w:rPr>
          <w:rFonts w:ascii="仿宋_GB2312" w:eastAsia="仿宋_GB2312" w:hint="eastAsia"/>
          <w:sz w:val="28"/>
          <w:szCs w:val="28"/>
        </w:rPr>
        <w:t>北京市房山区人民法院本级单位共设19个部门，无下属二级预算单位。其中审执业务部门15个，综合部门4</w:t>
      </w:r>
      <w:r w:rsidRPr="000B5730">
        <w:rPr>
          <w:rFonts w:ascii="仿宋_GB2312" w:eastAsia="仿宋_GB2312" w:hint="eastAsia"/>
          <w:sz w:val="28"/>
          <w:szCs w:val="28"/>
        </w:rPr>
        <w:lastRenderedPageBreak/>
        <w:t>个。主要业务庭室有立案庭、刑事审判庭、民事审判一庭、民事审判二庭、民事审判三庭、行政庭、执行局等。为方便辖区群众诉讼，及时化解纠纷，我院共设置6个派出法庭：长阳人民法庭、城关人民法庭、长沟人民法庭、窦店人民法庭、河北人民法庭和燕山人民法庭。</w:t>
      </w:r>
    </w:p>
    <w:p w:rsidR="00021229" w:rsidRPr="00901CD2" w:rsidRDefault="00021229" w:rsidP="00021229">
      <w:pPr>
        <w:tabs>
          <w:tab w:val="center" w:pos="6979"/>
        </w:tabs>
        <w:spacing w:line="580" w:lineRule="exact"/>
        <w:ind w:firstLine="570"/>
        <w:rPr>
          <w:rFonts w:ascii="仿宋_GB2312" w:eastAsia="仿宋_GB2312"/>
          <w:sz w:val="28"/>
          <w:szCs w:val="28"/>
        </w:rPr>
      </w:pPr>
      <w:r>
        <w:rPr>
          <w:rFonts w:ascii="仿宋_GB2312" w:eastAsia="仿宋_GB2312" w:hAnsi="仿宋_GB2312" w:cs="仿宋_GB2312" w:hint="eastAsia"/>
          <w:sz w:val="28"/>
          <w:szCs w:val="28"/>
        </w:rPr>
        <w:t>职责工作任务情况</w:t>
      </w:r>
      <w:r w:rsidRPr="00901CD2">
        <w:rPr>
          <w:rFonts w:ascii="仿宋_GB2312" w:eastAsia="仿宋_GB2312" w:hint="eastAsia"/>
          <w:sz w:val="28"/>
          <w:szCs w:val="28"/>
        </w:rPr>
        <w:t>：</w:t>
      </w:r>
    </w:p>
    <w:p w:rsidR="00021229" w:rsidRPr="00901CD2" w:rsidRDefault="00021229" w:rsidP="00021229">
      <w:pPr>
        <w:tabs>
          <w:tab w:val="center" w:pos="6979"/>
        </w:tabs>
        <w:spacing w:line="580" w:lineRule="exact"/>
        <w:ind w:firstLine="570"/>
        <w:rPr>
          <w:rFonts w:ascii="仿宋_GB2312" w:eastAsia="仿宋_GB2312"/>
          <w:sz w:val="28"/>
          <w:szCs w:val="28"/>
        </w:rPr>
      </w:pPr>
      <w:r w:rsidRPr="00901CD2">
        <w:rPr>
          <w:rFonts w:ascii="仿宋_GB2312" w:eastAsia="仿宋_GB2312" w:hint="eastAsia"/>
          <w:sz w:val="28"/>
          <w:szCs w:val="28"/>
        </w:rPr>
        <w:t>北京市房山区人民法院本级单位作为国家审判机关，在本区内依法独立行使审判权。审判工作受北京市高级人民法院、北京市第二中级人民法院的监督、指导，并对房山区人民代表大会及其常务委员会负责和报告工作。其主要职责是：</w:t>
      </w:r>
    </w:p>
    <w:p w:rsidR="00021229" w:rsidRPr="00901CD2" w:rsidRDefault="00746A6F" w:rsidP="0002122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w:t>
      </w:r>
      <w:r w:rsidR="00021229" w:rsidRPr="00901CD2">
        <w:rPr>
          <w:rFonts w:ascii="仿宋_GB2312" w:eastAsia="仿宋_GB2312" w:hint="eastAsia"/>
          <w:sz w:val="28"/>
          <w:szCs w:val="28"/>
        </w:rPr>
        <w:t>依照法律规定，审判本辖区由房山区人民法院管辖的一审刑事、民事行政案件。</w:t>
      </w:r>
    </w:p>
    <w:p w:rsidR="00021229" w:rsidRPr="00901CD2" w:rsidRDefault="00746A6F" w:rsidP="0002122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w:t>
      </w:r>
      <w:r>
        <w:rPr>
          <w:rFonts w:ascii="仿宋_GB2312" w:eastAsia="仿宋_GB2312"/>
          <w:sz w:val="28"/>
          <w:szCs w:val="28"/>
        </w:rPr>
        <w:t>.</w:t>
      </w:r>
      <w:r w:rsidR="00021229" w:rsidRPr="00901CD2">
        <w:rPr>
          <w:rFonts w:ascii="仿宋_GB2312" w:eastAsia="仿宋_GB2312" w:hint="eastAsia"/>
          <w:sz w:val="28"/>
          <w:szCs w:val="28"/>
        </w:rPr>
        <w:t>受理和审查各类告诉、申诉案件，处理来信来访；对其中确有错误的已发生法律效力的判决、裁定根据审判监督程序进行再审。</w:t>
      </w:r>
    </w:p>
    <w:p w:rsidR="00021229" w:rsidRPr="00901CD2" w:rsidRDefault="00746A6F" w:rsidP="0002122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3</w:t>
      </w:r>
      <w:r>
        <w:rPr>
          <w:rFonts w:ascii="仿宋_GB2312" w:eastAsia="仿宋_GB2312"/>
          <w:sz w:val="28"/>
          <w:szCs w:val="28"/>
        </w:rPr>
        <w:t>.</w:t>
      </w:r>
      <w:r w:rsidR="00021229" w:rsidRPr="00901CD2">
        <w:rPr>
          <w:rFonts w:ascii="仿宋_GB2312" w:eastAsia="仿宋_GB2312" w:hint="eastAsia"/>
          <w:sz w:val="28"/>
          <w:szCs w:val="28"/>
        </w:rPr>
        <w:t>依法行使司法执行权和司法决定权。</w:t>
      </w:r>
    </w:p>
    <w:p w:rsidR="00021229" w:rsidRPr="00901CD2" w:rsidRDefault="00746A6F" w:rsidP="0002122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4</w:t>
      </w:r>
      <w:r>
        <w:rPr>
          <w:rFonts w:ascii="仿宋_GB2312" w:eastAsia="仿宋_GB2312"/>
          <w:sz w:val="28"/>
          <w:szCs w:val="28"/>
        </w:rPr>
        <w:t>.</w:t>
      </w:r>
      <w:r w:rsidR="00021229" w:rsidRPr="00901CD2">
        <w:rPr>
          <w:rFonts w:ascii="仿宋_GB2312" w:eastAsia="仿宋_GB2312" w:hint="eastAsia"/>
          <w:sz w:val="28"/>
          <w:szCs w:val="28"/>
        </w:rPr>
        <w:t>针对案件审理中发现的问题提出司法建议。</w:t>
      </w:r>
    </w:p>
    <w:p w:rsidR="00021229" w:rsidRPr="00901CD2" w:rsidRDefault="00746A6F" w:rsidP="0002122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sidR="00021229" w:rsidRPr="00901CD2">
        <w:rPr>
          <w:rFonts w:ascii="仿宋_GB2312" w:eastAsia="仿宋_GB2312" w:hint="eastAsia"/>
          <w:sz w:val="28"/>
          <w:szCs w:val="28"/>
        </w:rPr>
        <w:t>按照干部管理权限管理本院的法官、执行员、书记员、司法警察和司法行政人员。</w:t>
      </w:r>
    </w:p>
    <w:p w:rsidR="00021229" w:rsidRPr="00901CD2" w:rsidRDefault="00746A6F" w:rsidP="0002122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w:t>
      </w:r>
      <w:r w:rsidR="00021229" w:rsidRPr="00901CD2">
        <w:rPr>
          <w:rFonts w:ascii="仿宋_GB2312" w:eastAsia="仿宋_GB2312" w:hint="eastAsia"/>
          <w:sz w:val="28"/>
          <w:szCs w:val="28"/>
        </w:rPr>
        <w:t>负责本院党的思想、组织、作风建设工作；领导本院群团工作。</w:t>
      </w:r>
    </w:p>
    <w:p w:rsidR="00021229" w:rsidRPr="00901CD2" w:rsidRDefault="00746A6F" w:rsidP="0002122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lastRenderedPageBreak/>
        <w:t>7</w:t>
      </w:r>
      <w:r>
        <w:rPr>
          <w:rFonts w:ascii="仿宋_GB2312" w:eastAsia="仿宋_GB2312"/>
          <w:sz w:val="28"/>
          <w:szCs w:val="28"/>
        </w:rPr>
        <w:t>.</w:t>
      </w:r>
      <w:r w:rsidR="00021229" w:rsidRPr="00901CD2">
        <w:rPr>
          <w:rFonts w:ascii="仿宋_GB2312" w:eastAsia="仿宋_GB2312" w:hint="eastAsia"/>
          <w:sz w:val="28"/>
          <w:szCs w:val="28"/>
        </w:rPr>
        <w:t>负责本院的监察工作。按照管理权限监督、检查本院工作人员执行国家法律、法规、政策及行政纪律情况。</w:t>
      </w:r>
    </w:p>
    <w:p w:rsidR="00021229" w:rsidRPr="00EE392D" w:rsidRDefault="00746A6F" w:rsidP="00021229">
      <w:pPr>
        <w:pStyle w:val="a0"/>
        <w:ind w:firstLine="560"/>
      </w:pPr>
      <w:r>
        <w:rPr>
          <w:rFonts w:ascii="仿宋_GB2312" w:eastAsia="仿宋_GB2312" w:hint="eastAsia"/>
          <w:sz w:val="28"/>
          <w:szCs w:val="28"/>
        </w:rPr>
        <w:t>8</w:t>
      </w:r>
      <w:r>
        <w:rPr>
          <w:rFonts w:ascii="仿宋_GB2312" w:eastAsia="仿宋_GB2312"/>
          <w:sz w:val="28"/>
          <w:szCs w:val="28"/>
        </w:rPr>
        <w:t>.</w:t>
      </w:r>
      <w:r w:rsidR="00021229" w:rsidRPr="00901CD2">
        <w:rPr>
          <w:rFonts w:ascii="仿宋_GB2312" w:eastAsia="仿宋_GB2312" w:hint="eastAsia"/>
          <w:sz w:val="28"/>
          <w:szCs w:val="28"/>
        </w:rPr>
        <w:t>承办其他应由本院负责的工作。</w:t>
      </w:r>
    </w:p>
    <w:p w:rsidR="00021229" w:rsidRDefault="00093E8E" w:rsidP="00021229">
      <w:pPr>
        <w:spacing w:line="58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（二）</w:t>
      </w:r>
      <w:r w:rsidR="00021229">
        <w:rPr>
          <w:rFonts w:ascii="仿宋_GB2312" w:eastAsia="仿宋_GB2312" w:hAnsi="仿宋_GB2312" w:cs="仿宋_GB2312" w:hint="eastAsia"/>
          <w:sz w:val="28"/>
          <w:szCs w:val="28"/>
        </w:rPr>
        <w:t>部门整体绩效目标设立情况</w:t>
      </w:r>
    </w:p>
    <w:p w:rsidR="00746A6F" w:rsidRPr="00746A6F" w:rsidRDefault="00746A6F" w:rsidP="00746A6F">
      <w:pPr>
        <w:tabs>
          <w:tab w:val="center" w:pos="6979"/>
        </w:tabs>
        <w:spacing w:line="580" w:lineRule="exact"/>
        <w:ind w:firstLineChars="252" w:firstLine="706"/>
        <w:rPr>
          <w:rFonts w:ascii="仿宋_GB2312" w:eastAsia="仿宋_GB2312"/>
          <w:sz w:val="28"/>
          <w:szCs w:val="28"/>
        </w:rPr>
      </w:pPr>
      <w:r w:rsidRPr="00746A6F">
        <w:rPr>
          <w:rFonts w:ascii="仿宋_GB2312" w:eastAsia="仿宋_GB2312" w:hint="eastAsia"/>
          <w:sz w:val="28"/>
          <w:szCs w:val="28"/>
        </w:rPr>
        <w:t>产出数量指标：</w:t>
      </w:r>
    </w:p>
    <w:p w:rsidR="00746A6F" w:rsidRPr="00746A6F" w:rsidRDefault="00746A6F" w:rsidP="00746A6F">
      <w:pPr>
        <w:tabs>
          <w:tab w:val="center" w:pos="6979"/>
        </w:tabs>
        <w:spacing w:line="580" w:lineRule="exact"/>
        <w:ind w:firstLineChars="252" w:firstLine="706"/>
        <w:rPr>
          <w:rFonts w:ascii="仿宋_GB2312" w:eastAsia="仿宋_GB2312"/>
          <w:sz w:val="28"/>
          <w:szCs w:val="28"/>
        </w:rPr>
      </w:pPr>
      <w:r>
        <w:rPr>
          <w:rFonts w:ascii="仿宋_GB2312" w:eastAsia="仿宋_GB2312"/>
          <w:sz w:val="28"/>
          <w:szCs w:val="28"/>
        </w:rPr>
        <w:t>1.</w:t>
      </w:r>
      <w:r w:rsidRPr="00746A6F">
        <w:rPr>
          <w:rFonts w:ascii="仿宋_GB2312" w:eastAsia="仿宋_GB2312" w:hint="eastAsia"/>
          <w:sz w:val="28"/>
          <w:szCs w:val="28"/>
        </w:rPr>
        <w:t>依法履行审判职能</w:t>
      </w:r>
    </w:p>
    <w:p w:rsidR="00746A6F" w:rsidRPr="00746A6F" w:rsidRDefault="00746A6F" w:rsidP="00746A6F">
      <w:pPr>
        <w:tabs>
          <w:tab w:val="center" w:pos="6979"/>
        </w:tabs>
        <w:spacing w:line="580" w:lineRule="exact"/>
        <w:ind w:firstLineChars="252" w:firstLine="706"/>
        <w:rPr>
          <w:rFonts w:ascii="仿宋_GB2312" w:eastAsia="仿宋_GB2312"/>
          <w:sz w:val="28"/>
          <w:szCs w:val="28"/>
        </w:rPr>
      </w:pPr>
      <w:r w:rsidRPr="00746A6F">
        <w:rPr>
          <w:rFonts w:ascii="仿宋_GB2312" w:eastAsia="仿宋_GB2312" w:hint="eastAsia"/>
          <w:sz w:val="28"/>
          <w:szCs w:val="28"/>
        </w:rPr>
        <w:t>（</w:t>
      </w:r>
      <w:r w:rsidRPr="00746A6F">
        <w:rPr>
          <w:rFonts w:ascii="仿宋_GB2312" w:eastAsia="仿宋_GB2312"/>
          <w:sz w:val="28"/>
          <w:szCs w:val="28"/>
        </w:rPr>
        <w:t>1</w:t>
      </w:r>
      <w:r w:rsidRPr="00746A6F">
        <w:rPr>
          <w:rFonts w:ascii="仿宋_GB2312" w:eastAsia="仿宋_GB2312" w:hint="eastAsia"/>
          <w:sz w:val="28"/>
          <w:szCs w:val="28"/>
        </w:rPr>
        <w:t>）全年结案数、法官人均结案数、全员人均结案数均不低于</w:t>
      </w:r>
      <w:r>
        <w:rPr>
          <w:rFonts w:ascii="仿宋_GB2312" w:eastAsia="仿宋_GB2312" w:hint="eastAsia"/>
          <w:sz w:val="28"/>
          <w:szCs w:val="28"/>
        </w:rPr>
        <w:t>目标值</w:t>
      </w:r>
      <w:r w:rsidRPr="00746A6F">
        <w:rPr>
          <w:rFonts w:ascii="仿宋_GB2312" w:eastAsia="仿宋_GB2312" w:hint="eastAsia"/>
          <w:sz w:val="28"/>
          <w:szCs w:val="28"/>
        </w:rPr>
        <w:t>，未结案数不超过</w:t>
      </w:r>
      <w:r w:rsidRPr="00746A6F">
        <w:rPr>
          <w:rFonts w:ascii="仿宋_GB2312" w:eastAsia="仿宋_GB2312"/>
          <w:sz w:val="28"/>
          <w:szCs w:val="28"/>
        </w:rPr>
        <w:t>13%</w:t>
      </w:r>
      <w:r w:rsidRPr="00746A6F">
        <w:rPr>
          <w:rFonts w:ascii="仿宋_GB2312" w:eastAsia="仿宋_GB2312" w:hint="eastAsia"/>
          <w:sz w:val="28"/>
          <w:szCs w:val="28"/>
        </w:rPr>
        <w:t>；</w:t>
      </w:r>
    </w:p>
    <w:p w:rsidR="00746A6F" w:rsidRPr="00746A6F" w:rsidRDefault="00746A6F" w:rsidP="00746A6F">
      <w:pPr>
        <w:tabs>
          <w:tab w:val="center" w:pos="6979"/>
        </w:tabs>
        <w:spacing w:line="580" w:lineRule="exact"/>
        <w:ind w:firstLineChars="252" w:firstLine="706"/>
        <w:rPr>
          <w:rFonts w:ascii="仿宋_GB2312" w:eastAsia="仿宋_GB2312"/>
          <w:sz w:val="28"/>
          <w:szCs w:val="28"/>
        </w:rPr>
      </w:pPr>
      <w:r w:rsidRPr="00746A6F">
        <w:rPr>
          <w:rFonts w:ascii="仿宋_GB2312" w:eastAsia="仿宋_GB2312" w:hint="eastAsia"/>
          <w:sz w:val="28"/>
          <w:szCs w:val="28"/>
        </w:rPr>
        <w:t>（</w:t>
      </w:r>
      <w:r w:rsidRPr="00746A6F">
        <w:rPr>
          <w:rFonts w:ascii="仿宋_GB2312" w:eastAsia="仿宋_GB2312"/>
          <w:sz w:val="28"/>
          <w:szCs w:val="28"/>
        </w:rPr>
        <w:t>2</w:t>
      </w:r>
      <w:r w:rsidRPr="00746A6F">
        <w:rPr>
          <w:rFonts w:ascii="仿宋_GB2312" w:eastAsia="仿宋_GB2312" w:hint="eastAsia"/>
          <w:sz w:val="28"/>
          <w:szCs w:val="28"/>
        </w:rPr>
        <w:t>）落实《北京市法院审判质效考核办法》，加强审判管理，完成均衡结案任务指标，不低于全市平均值；</w:t>
      </w:r>
    </w:p>
    <w:p w:rsidR="00746A6F" w:rsidRPr="00746A6F" w:rsidRDefault="00746A6F" w:rsidP="00746A6F">
      <w:pPr>
        <w:tabs>
          <w:tab w:val="center" w:pos="6979"/>
        </w:tabs>
        <w:spacing w:line="580" w:lineRule="exact"/>
        <w:ind w:firstLineChars="252" w:firstLine="706"/>
        <w:rPr>
          <w:rFonts w:ascii="仿宋_GB2312" w:eastAsia="仿宋_GB2312"/>
          <w:sz w:val="28"/>
          <w:szCs w:val="28"/>
        </w:rPr>
      </w:pPr>
      <w:r w:rsidRPr="00746A6F">
        <w:rPr>
          <w:rFonts w:ascii="仿宋_GB2312" w:eastAsia="仿宋_GB2312" w:hint="eastAsia"/>
          <w:sz w:val="28"/>
          <w:szCs w:val="28"/>
        </w:rPr>
        <w:t>（</w:t>
      </w:r>
      <w:r w:rsidRPr="00746A6F">
        <w:rPr>
          <w:rFonts w:ascii="仿宋_GB2312" w:eastAsia="仿宋_GB2312"/>
          <w:sz w:val="28"/>
          <w:szCs w:val="28"/>
        </w:rPr>
        <w:t>3</w:t>
      </w:r>
      <w:r w:rsidRPr="00746A6F">
        <w:rPr>
          <w:rFonts w:ascii="仿宋_GB2312" w:eastAsia="仿宋_GB2312" w:hint="eastAsia"/>
          <w:sz w:val="28"/>
          <w:szCs w:val="28"/>
        </w:rPr>
        <w:t>）建立“两级管理、三个监督指导平台”审判管理体系，制定案件评查工作规范；发挥审判委员会、案件评查委员会、审判管理联席会三个指导平台的作用，每月召开审判管理联席会，通报任务指标完成情况；</w:t>
      </w:r>
    </w:p>
    <w:p w:rsidR="00746A6F" w:rsidRPr="00746A6F" w:rsidRDefault="00746A6F" w:rsidP="00746A6F">
      <w:pPr>
        <w:tabs>
          <w:tab w:val="center" w:pos="6979"/>
        </w:tabs>
        <w:spacing w:line="580" w:lineRule="exact"/>
        <w:ind w:firstLineChars="252" w:firstLine="706"/>
        <w:rPr>
          <w:rFonts w:ascii="仿宋_GB2312" w:eastAsia="仿宋_GB2312"/>
          <w:sz w:val="28"/>
          <w:szCs w:val="28"/>
        </w:rPr>
      </w:pPr>
      <w:r>
        <w:rPr>
          <w:rFonts w:ascii="仿宋_GB2312" w:eastAsia="仿宋_GB2312"/>
          <w:sz w:val="28"/>
          <w:szCs w:val="28"/>
        </w:rPr>
        <w:t>2.</w:t>
      </w:r>
      <w:r w:rsidRPr="00746A6F">
        <w:rPr>
          <w:rFonts w:ascii="仿宋_GB2312" w:eastAsia="仿宋_GB2312" w:hint="eastAsia"/>
          <w:sz w:val="28"/>
          <w:szCs w:val="28"/>
        </w:rPr>
        <w:t>建立专业化审判格局，提升专业化审判水平</w:t>
      </w:r>
    </w:p>
    <w:p w:rsidR="00746A6F" w:rsidRPr="00746A6F" w:rsidRDefault="00746A6F" w:rsidP="00746A6F">
      <w:pPr>
        <w:tabs>
          <w:tab w:val="center" w:pos="6979"/>
        </w:tabs>
        <w:spacing w:line="580" w:lineRule="exact"/>
        <w:ind w:firstLineChars="252" w:firstLine="706"/>
        <w:rPr>
          <w:rFonts w:ascii="仿宋_GB2312" w:eastAsia="仿宋_GB2312"/>
          <w:sz w:val="28"/>
          <w:szCs w:val="28"/>
        </w:rPr>
      </w:pPr>
      <w:r w:rsidRPr="00746A6F">
        <w:rPr>
          <w:rFonts w:ascii="仿宋_GB2312" w:eastAsia="仿宋_GB2312" w:hint="eastAsia"/>
          <w:sz w:val="28"/>
          <w:szCs w:val="28"/>
        </w:rPr>
        <w:t>（</w:t>
      </w:r>
      <w:r w:rsidRPr="00746A6F">
        <w:rPr>
          <w:rFonts w:ascii="仿宋_GB2312" w:eastAsia="仿宋_GB2312"/>
          <w:sz w:val="28"/>
          <w:szCs w:val="28"/>
        </w:rPr>
        <w:t>1</w:t>
      </w:r>
      <w:r w:rsidRPr="00746A6F">
        <w:rPr>
          <w:rFonts w:ascii="仿宋_GB2312" w:eastAsia="仿宋_GB2312" w:hint="eastAsia"/>
          <w:sz w:val="28"/>
          <w:szCs w:val="28"/>
        </w:rPr>
        <w:t>）未成年人审判专业化：提升专业化审判水平，推出1-2项精品案例；倡议建立罪错未成年人帮教制度，与团区委及相关部门沟通协调，调研罪错未成年人矫治工作，形成报告；加强普法教育，整合青少年维权和普法资源；</w:t>
      </w:r>
    </w:p>
    <w:p w:rsidR="00746A6F" w:rsidRPr="00746A6F" w:rsidRDefault="00746A6F" w:rsidP="00746A6F">
      <w:pPr>
        <w:tabs>
          <w:tab w:val="center" w:pos="6979"/>
        </w:tabs>
        <w:spacing w:line="580" w:lineRule="exact"/>
        <w:ind w:firstLineChars="252" w:firstLine="706"/>
        <w:rPr>
          <w:rFonts w:ascii="仿宋_GB2312" w:eastAsia="仿宋_GB2312"/>
          <w:sz w:val="28"/>
          <w:szCs w:val="28"/>
        </w:rPr>
      </w:pPr>
      <w:r w:rsidRPr="00746A6F">
        <w:rPr>
          <w:rFonts w:ascii="仿宋_GB2312" w:eastAsia="仿宋_GB2312" w:hint="eastAsia"/>
          <w:sz w:val="28"/>
          <w:szCs w:val="28"/>
        </w:rPr>
        <w:t>（</w:t>
      </w:r>
      <w:r w:rsidRPr="00746A6F">
        <w:rPr>
          <w:rFonts w:ascii="仿宋_GB2312" w:eastAsia="仿宋_GB2312"/>
          <w:sz w:val="28"/>
          <w:szCs w:val="28"/>
        </w:rPr>
        <w:t>2</w:t>
      </w:r>
      <w:r w:rsidRPr="00746A6F">
        <w:rPr>
          <w:rFonts w:ascii="仿宋_GB2312" w:eastAsia="仿宋_GB2312" w:hint="eastAsia"/>
          <w:sz w:val="28"/>
          <w:szCs w:val="28"/>
        </w:rPr>
        <w:t>）知识产权审判专业化：制定知识产权各类型案件审理规范；组建专家陪审团，建立知识产权审判信息通</w:t>
      </w:r>
      <w:r w:rsidRPr="00746A6F">
        <w:rPr>
          <w:rFonts w:ascii="仿宋_GB2312" w:eastAsia="仿宋_GB2312" w:hint="eastAsia"/>
          <w:sz w:val="28"/>
          <w:szCs w:val="28"/>
        </w:rPr>
        <w:lastRenderedPageBreak/>
        <w:t>报制度，开展普法宣传，提升辖区知识产权保护水平；</w:t>
      </w:r>
    </w:p>
    <w:p w:rsidR="00746A6F" w:rsidRPr="00746A6F" w:rsidRDefault="00746A6F" w:rsidP="00746A6F">
      <w:pPr>
        <w:tabs>
          <w:tab w:val="center" w:pos="6979"/>
        </w:tabs>
        <w:spacing w:line="580" w:lineRule="exact"/>
        <w:ind w:firstLineChars="252" w:firstLine="706"/>
        <w:rPr>
          <w:rFonts w:ascii="仿宋_GB2312" w:eastAsia="仿宋_GB2312"/>
          <w:sz w:val="28"/>
          <w:szCs w:val="28"/>
        </w:rPr>
      </w:pPr>
      <w:r w:rsidRPr="00746A6F">
        <w:rPr>
          <w:rFonts w:ascii="仿宋_GB2312" w:eastAsia="仿宋_GB2312" w:hint="eastAsia"/>
          <w:sz w:val="28"/>
          <w:szCs w:val="28"/>
        </w:rPr>
        <w:t>（</w:t>
      </w:r>
      <w:r w:rsidRPr="00746A6F">
        <w:rPr>
          <w:rFonts w:ascii="仿宋_GB2312" w:eastAsia="仿宋_GB2312"/>
          <w:sz w:val="28"/>
          <w:szCs w:val="28"/>
        </w:rPr>
        <w:t>3</w:t>
      </w:r>
      <w:r w:rsidRPr="00746A6F">
        <w:rPr>
          <w:rFonts w:ascii="仿宋_GB2312" w:eastAsia="仿宋_GB2312" w:hint="eastAsia"/>
          <w:sz w:val="28"/>
          <w:szCs w:val="28"/>
        </w:rPr>
        <w:t>）家事审判专业化：创新家事审判理念和机制，总结家事审判庭成立一年工作经验，积极参加家事审判研讨活动；与区妇联合作加强妇女儿童权益保护；加强对家事案件中弱势成员的保护力度；</w:t>
      </w:r>
    </w:p>
    <w:p w:rsidR="00746A6F" w:rsidRPr="00746A6F" w:rsidRDefault="00746A6F" w:rsidP="00746A6F">
      <w:pPr>
        <w:tabs>
          <w:tab w:val="center" w:pos="6979"/>
        </w:tabs>
        <w:spacing w:line="580" w:lineRule="exact"/>
        <w:ind w:firstLineChars="252" w:firstLine="706"/>
        <w:rPr>
          <w:rFonts w:ascii="仿宋_GB2312" w:eastAsia="仿宋_GB2312"/>
          <w:sz w:val="28"/>
          <w:szCs w:val="28"/>
        </w:rPr>
      </w:pPr>
      <w:r>
        <w:rPr>
          <w:rFonts w:ascii="仿宋_GB2312" w:eastAsia="仿宋_GB2312"/>
          <w:sz w:val="28"/>
          <w:szCs w:val="28"/>
        </w:rPr>
        <w:t>3.</w:t>
      </w:r>
      <w:r w:rsidRPr="00746A6F">
        <w:rPr>
          <w:rFonts w:ascii="仿宋_GB2312" w:eastAsia="仿宋_GB2312" w:hint="eastAsia"/>
          <w:sz w:val="28"/>
          <w:szCs w:val="28"/>
        </w:rPr>
        <w:t>加强司法便民综合系统建设</w:t>
      </w:r>
    </w:p>
    <w:p w:rsidR="00746A6F" w:rsidRPr="00746A6F" w:rsidRDefault="00746A6F" w:rsidP="00746A6F">
      <w:pPr>
        <w:tabs>
          <w:tab w:val="center" w:pos="6979"/>
        </w:tabs>
        <w:spacing w:line="580" w:lineRule="exact"/>
        <w:ind w:firstLineChars="252" w:firstLine="706"/>
        <w:rPr>
          <w:rFonts w:ascii="仿宋_GB2312" w:eastAsia="仿宋_GB2312"/>
          <w:sz w:val="28"/>
          <w:szCs w:val="28"/>
        </w:rPr>
      </w:pPr>
      <w:r w:rsidRPr="00746A6F">
        <w:rPr>
          <w:rFonts w:ascii="仿宋_GB2312" w:eastAsia="仿宋_GB2312" w:hint="eastAsia"/>
          <w:sz w:val="28"/>
          <w:szCs w:val="28"/>
        </w:rPr>
        <w:t>（</w:t>
      </w:r>
      <w:r w:rsidRPr="00746A6F">
        <w:rPr>
          <w:rFonts w:ascii="仿宋_GB2312" w:eastAsia="仿宋_GB2312"/>
          <w:sz w:val="28"/>
          <w:szCs w:val="28"/>
        </w:rPr>
        <w:t>1</w:t>
      </w:r>
      <w:r w:rsidRPr="00746A6F">
        <w:rPr>
          <w:rFonts w:ascii="仿宋_GB2312" w:eastAsia="仿宋_GB2312" w:hint="eastAsia"/>
          <w:sz w:val="28"/>
          <w:szCs w:val="28"/>
        </w:rPr>
        <w:t>）完善纠纷多元化解决机制：因地制宜设立巡回法官、驻村法官、社区法官等多种形式，扩大巡回审判范围；深化“人民调解进法庭”工作，加大诉前调解、化解工作力度；</w:t>
      </w:r>
    </w:p>
    <w:p w:rsidR="00746A6F" w:rsidRPr="00746A6F" w:rsidRDefault="00746A6F" w:rsidP="00746A6F">
      <w:pPr>
        <w:tabs>
          <w:tab w:val="center" w:pos="6979"/>
        </w:tabs>
        <w:spacing w:line="580" w:lineRule="exact"/>
        <w:ind w:firstLineChars="252" w:firstLine="706"/>
        <w:rPr>
          <w:rFonts w:ascii="仿宋_GB2312" w:eastAsia="仿宋_GB2312"/>
          <w:sz w:val="28"/>
          <w:szCs w:val="28"/>
        </w:rPr>
      </w:pPr>
      <w:r w:rsidRPr="00746A6F">
        <w:rPr>
          <w:rFonts w:ascii="仿宋_GB2312" w:eastAsia="仿宋_GB2312" w:hint="eastAsia"/>
          <w:sz w:val="28"/>
          <w:szCs w:val="28"/>
        </w:rPr>
        <w:t>（</w:t>
      </w:r>
      <w:r w:rsidRPr="00746A6F">
        <w:rPr>
          <w:rFonts w:ascii="仿宋_GB2312" w:eastAsia="仿宋_GB2312"/>
          <w:sz w:val="28"/>
          <w:szCs w:val="28"/>
        </w:rPr>
        <w:t>2</w:t>
      </w:r>
      <w:r w:rsidRPr="00746A6F">
        <w:rPr>
          <w:rFonts w:ascii="仿宋_GB2312" w:eastAsia="仿宋_GB2312" w:hint="eastAsia"/>
          <w:sz w:val="28"/>
          <w:szCs w:val="28"/>
        </w:rPr>
        <w:t>）深化司法公开工作：规范裁判文书上网、审判流程及执行信息发布工作，加强裁判文书公开、审判流程公开、执行信息公开“三大平台”管理应用，确保当事人知情权；</w:t>
      </w:r>
    </w:p>
    <w:p w:rsidR="00746A6F" w:rsidRPr="00746A6F" w:rsidRDefault="00746A6F" w:rsidP="00746A6F">
      <w:pPr>
        <w:tabs>
          <w:tab w:val="center" w:pos="6979"/>
        </w:tabs>
        <w:spacing w:line="580" w:lineRule="exact"/>
        <w:ind w:firstLineChars="252" w:firstLine="706"/>
        <w:rPr>
          <w:rFonts w:ascii="仿宋_GB2312" w:eastAsia="仿宋_GB2312"/>
          <w:sz w:val="28"/>
          <w:szCs w:val="28"/>
        </w:rPr>
      </w:pPr>
      <w:r>
        <w:rPr>
          <w:rFonts w:ascii="仿宋_GB2312" w:eastAsia="仿宋_GB2312"/>
          <w:sz w:val="28"/>
          <w:szCs w:val="28"/>
        </w:rPr>
        <w:t>4.</w:t>
      </w:r>
      <w:r w:rsidRPr="00746A6F">
        <w:rPr>
          <w:rFonts w:ascii="仿宋_GB2312" w:eastAsia="仿宋_GB2312" w:hint="eastAsia"/>
          <w:sz w:val="28"/>
          <w:szCs w:val="28"/>
        </w:rPr>
        <w:t>加强信息化建设</w:t>
      </w:r>
    </w:p>
    <w:p w:rsidR="00746A6F" w:rsidRPr="00746A6F" w:rsidRDefault="00746A6F" w:rsidP="00746A6F">
      <w:pPr>
        <w:tabs>
          <w:tab w:val="center" w:pos="6979"/>
        </w:tabs>
        <w:spacing w:line="580" w:lineRule="exact"/>
        <w:ind w:firstLineChars="252" w:firstLine="706"/>
        <w:rPr>
          <w:rFonts w:ascii="仿宋_GB2312" w:eastAsia="仿宋_GB2312"/>
          <w:sz w:val="28"/>
          <w:szCs w:val="28"/>
        </w:rPr>
      </w:pPr>
      <w:r w:rsidRPr="00746A6F">
        <w:rPr>
          <w:rFonts w:ascii="仿宋_GB2312" w:eastAsia="仿宋_GB2312" w:hint="eastAsia"/>
          <w:sz w:val="28"/>
          <w:szCs w:val="28"/>
        </w:rPr>
        <w:t>（</w:t>
      </w:r>
      <w:r w:rsidRPr="00746A6F">
        <w:rPr>
          <w:rFonts w:ascii="仿宋_GB2312" w:eastAsia="仿宋_GB2312"/>
          <w:sz w:val="28"/>
          <w:szCs w:val="28"/>
        </w:rPr>
        <w:t>1</w:t>
      </w:r>
      <w:r w:rsidRPr="00746A6F">
        <w:rPr>
          <w:rFonts w:ascii="仿宋_GB2312" w:eastAsia="仿宋_GB2312" w:hint="eastAsia"/>
          <w:sz w:val="28"/>
          <w:szCs w:val="28"/>
        </w:rPr>
        <w:t>）一个标准：完成审判庭、谈话室、立案信访窗口数字法庭标准改造；</w:t>
      </w:r>
    </w:p>
    <w:p w:rsidR="00746A6F" w:rsidRPr="00746A6F" w:rsidRDefault="00746A6F" w:rsidP="00746A6F">
      <w:pPr>
        <w:tabs>
          <w:tab w:val="center" w:pos="6979"/>
        </w:tabs>
        <w:spacing w:line="580" w:lineRule="exact"/>
        <w:ind w:firstLineChars="252" w:firstLine="706"/>
        <w:rPr>
          <w:rFonts w:ascii="仿宋_GB2312" w:eastAsia="仿宋_GB2312"/>
          <w:sz w:val="28"/>
          <w:szCs w:val="28"/>
        </w:rPr>
      </w:pPr>
      <w:r w:rsidRPr="00746A6F">
        <w:rPr>
          <w:rFonts w:ascii="仿宋_GB2312" w:eastAsia="仿宋_GB2312" w:hint="eastAsia"/>
          <w:sz w:val="28"/>
          <w:szCs w:val="28"/>
        </w:rPr>
        <w:t>（</w:t>
      </w:r>
      <w:r w:rsidR="00396AAF">
        <w:rPr>
          <w:rFonts w:ascii="仿宋_GB2312" w:eastAsia="仿宋_GB2312" w:hint="eastAsia"/>
          <w:sz w:val="28"/>
          <w:szCs w:val="28"/>
        </w:rPr>
        <w:t>2</w:t>
      </w:r>
      <w:r w:rsidRPr="00746A6F">
        <w:rPr>
          <w:rFonts w:ascii="仿宋_GB2312" w:eastAsia="仿宋_GB2312" w:hint="eastAsia"/>
          <w:sz w:val="28"/>
          <w:szCs w:val="28"/>
        </w:rPr>
        <w:t>）一个更新：完成院机关及派出法庭安检设备更新；</w:t>
      </w:r>
    </w:p>
    <w:p w:rsidR="00746A6F" w:rsidRPr="00746A6F" w:rsidRDefault="00746A6F" w:rsidP="00746A6F">
      <w:pPr>
        <w:tabs>
          <w:tab w:val="center" w:pos="6979"/>
        </w:tabs>
        <w:spacing w:line="580" w:lineRule="exact"/>
        <w:ind w:firstLineChars="252" w:firstLine="706"/>
        <w:rPr>
          <w:rFonts w:ascii="仿宋_GB2312" w:eastAsia="仿宋_GB2312"/>
          <w:sz w:val="28"/>
          <w:szCs w:val="28"/>
        </w:rPr>
      </w:pPr>
      <w:r w:rsidRPr="00746A6F">
        <w:rPr>
          <w:rFonts w:ascii="仿宋_GB2312" w:eastAsia="仿宋_GB2312" w:hint="eastAsia"/>
          <w:sz w:val="28"/>
          <w:szCs w:val="28"/>
        </w:rPr>
        <w:t>（</w:t>
      </w:r>
      <w:r w:rsidR="00396AAF">
        <w:rPr>
          <w:rFonts w:ascii="仿宋_GB2312" w:eastAsia="仿宋_GB2312" w:hint="eastAsia"/>
          <w:sz w:val="28"/>
          <w:szCs w:val="28"/>
        </w:rPr>
        <w:t>3</w:t>
      </w:r>
      <w:r w:rsidRPr="00746A6F">
        <w:rPr>
          <w:rFonts w:ascii="仿宋_GB2312" w:eastAsia="仿宋_GB2312" w:hint="eastAsia"/>
          <w:sz w:val="28"/>
          <w:szCs w:val="28"/>
        </w:rPr>
        <w:t>）一个升级：实现院机关及派出法庭的网络升级；</w:t>
      </w:r>
    </w:p>
    <w:p w:rsidR="00746A6F" w:rsidRDefault="00746A6F" w:rsidP="00746A6F">
      <w:pPr>
        <w:tabs>
          <w:tab w:val="center" w:pos="6979"/>
        </w:tabs>
        <w:spacing w:line="580" w:lineRule="exact"/>
        <w:ind w:firstLineChars="252" w:firstLine="706"/>
        <w:rPr>
          <w:rFonts w:ascii="仿宋_GB2312" w:eastAsia="仿宋_GB2312"/>
          <w:sz w:val="28"/>
          <w:szCs w:val="28"/>
        </w:rPr>
      </w:pPr>
      <w:r>
        <w:rPr>
          <w:rFonts w:ascii="仿宋_GB2312" w:eastAsia="仿宋_GB2312"/>
          <w:sz w:val="28"/>
          <w:szCs w:val="28"/>
        </w:rPr>
        <w:t>5.</w:t>
      </w:r>
      <w:r w:rsidRPr="00746A6F">
        <w:rPr>
          <w:rFonts w:ascii="仿宋_GB2312" w:eastAsia="仿宋_GB2312" w:hint="eastAsia"/>
          <w:sz w:val="28"/>
          <w:szCs w:val="28"/>
        </w:rPr>
        <w:t>延伸司法职能，服务发展大局</w:t>
      </w:r>
    </w:p>
    <w:p w:rsidR="00746A6F" w:rsidRPr="00746A6F" w:rsidRDefault="00746A6F" w:rsidP="00746A6F">
      <w:pPr>
        <w:tabs>
          <w:tab w:val="center" w:pos="6979"/>
        </w:tabs>
        <w:spacing w:line="580" w:lineRule="exact"/>
        <w:ind w:firstLineChars="252" w:firstLine="706"/>
        <w:rPr>
          <w:rFonts w:ascii="仿宋_GB2312" w:eastAsia="仿宋_GB2312"/>
          <w:sz w:val="28"/>
          <w:szCs w:val="28"/>
        </w:rPr>
      </w:pPr>
      <w:r w:rsidRPr="00746A6F">
        <w:rPr>
          <w:rFonts w:ascii="仿宋_GB2312" w:eastAsia="仿宋_GB2312" w:hint="eastAsia"/>
          <w:sz w:val="28"/>
          <w:szCs w:val="28"/>
        </w:rPr>
        <w:t>（1）完善服务大局工作机制，加强与区专项活动及重点工程项目的分层对接，服务区域建设发展大局；</w:t>
      </w:r>
    </w:p>
    <w:p w:rsidR="00746A6F" w:rsidRPr="00746A6F" w:rsidRDefault="00746A6F" w:rsidP="00746A6F">
      <w:pPr>
        <w:tabs>
          <w:tab w:val="center" w:pos="6979"/>
        </w:tabs>
        <w:spacing w:line="580" w:lineRule="exact"/>
        <w:ind w:firstLineChars="252" w:firstLine="706"/>
        <w:rPr>
          <w:rFonts w:ascii="仿宋_GB2312" w:eastAsia="仿宋_GB2312"/>
          <w:sz w:val="28"/>
          <w:szCs w:val="28"/>
        </w:rPr>
      </w:pPr>
      <w:r w:rsidRPr="00746A6F">
        <w:rPr>
          <w:rFonts w:ascii="仿宋_GB2312" w:eastAsia="仿宋_GB2312" w:hint="eastAsia"/>
          <w:sz w:val="28"/>
          <w:szCs w:val="28"/>
        </w:rPr>
        <w:lastRenderedPageBreak/>
        <w:t>（</w:t>
      </w:r>
      <w:r>
        <w:rPr>
          <w:rFonts w:ascii="仿宋_GB2312" w:eastAsia="仿宋_GB2312"/>
          <w:sz w:val="28"/>
          <w:szCs w:val="28"/>
        </w:rPr>
        <w:t>2</w:t>
      </w:r>
      <w:r w:rsidRPr="00746A6F">
        <w:rPr>
          <w:rFonts w:ascii="仿宋_GB2312" w:eastAsia="仿宋_GB2312" w:hint="eastAsia"/>
          <w:sz w:val="28"/>
          <w:szCs w:val="28"/>
        </w:rPr>
        <w:t>）探索“全媒体”新闻宣传模式，加强与区域媒体的合作，拓展自媒体宣传平台，定期召开新闻发布会，提升区域法治宣传效果</w:t>
      </w:r>
    </w:p>
    <w:p w:rsidR="00746A6F" w:rsidRPr="00746A6F" w:rsidRDefault="00746A6F" w:rsidP="00746A6F">
      <w:pPr>
        <w:tabs>
          <w:tab w:val="center" w:pos="6979"/>
        </w:tabs>
        <w:spacing w:line="580" w:lineRule="exact"/>
        <w:ind w:firstLineChars="252" w:firstLine="706"/>
        <w:rPr>
          <w:rFonts w:ascii="仿宋_GB2312" w:eastAsia="仿宋_GB2312"/>
          <w:sz w:val="28"/>
          <w:szCs w:val="28"/>
        </w:rPr>
      </w:pPr>
      <w:r w:rsidRPr="00746A6F">
        <w:rPr>
          <w:rFonts w:ascii="仿宋_GB2312" w:eastAsia="仿宋_GB2312" w:hint="eastAsia"/>
          <w:sz w:val="28"/>
          <w:szCs w:val="28"/>
        </w:rPr>
        <w:t>产出质量指标：</w:t>
      </w:r>
    </w:p>
    <w:p w:rsidR="00746A6F" w:rsidRPr="00746A6F" w:rsidRDefault="00746A6F" w:rsidP="00746A6F">
      <w:pPr>
        <w:tabs>
          <w:tab w:val="center" w:pos="6979"/>
        </w:tabs>
        <w:spacing w:line="580" w:lineRule="exact"/>
        <w:ind w:firstLineChars="252" w:firstLine="706"/>
        <w:rPr>
          <w:rFonts w:ascii="仿宋_GB2312" w:eastAsia="仿宋_GB2312"/>
          <w:sz w:val="28"/>
          <w:szCs w:val="28"/>
        </w:rPr>
      </w:pPr>
      <w:r w:rsidRPr="00746A6F">
        <w:rPr>
          <w:rFonts w:ascii="仿宋_GB2312" w:eastAsia="仿宋_GB2312" w:hint="eastAsia"/>
          <w:sz w:val="28"/>
          <w:szCs w:val="28"/>
        </w:rPr>
        <w:t>强化审判质量，审判质量综合指标全市排名较上年度提升两个名次；综合指数、四项重点工作指数、</w:t>
      </w:r>
      <w:r w:rsidRPr="00746A6F">
        <w:rPr>
          <w:rFonts w:ascii="仿宋_GB2312" w:eastAsia="仿宋_GB2312"/>
          <w:sz w:val="28"/>
          <w:szCs w:val="28"/>
        </w:rPr>
        <w:t>31</w:t>
      </w:r>
      <w:r w:rsidRPr="00746A6F">
        <w:rPr>
          <w:rFonts w:ascii="仿宋_GB2312" w:eastAsia="仿宋_GB2312" w:hint="eastAsia"/>
          <w:sz w:val="28"/>
          <w:szCs w:val="28"/>
        </w:rPr>
        <w:t>项指数考核均不低于全市平均值；</w:t>
      </w:r>
    </w:p>
    <w:p w:rsidR="00746A6F" w:rsidRPr="00746A6F" w:rsidRDefault="00746A6F" w:rsidP="00746A6F">
      <w:pPr>
        <w:tabs>
          <w:tab w:val="center" w:pos="6979"/>
        </w:tabs>
        <w:spacing w:line="580" w:lineRule="exact"/>
        <w:ind w:firstLineChars="252" w:firstLine="706"/>
        <w:rPr>
          <w:rFonts w:ascii="仿宋_GB2312" w:eastAsia="仿宋_GB2312"/>
          <w:sz w:val="28"/>
          <w:szCs w:val="28"/>
        </w:rPr>
      </w:pPr>
      <w:r w:rsidRPr="00746A6F">
        <w:rPr>
          <w:rFonts w:ascii="仿宋_GB2312" w:eastAsia="仿宋_GB2312" w:hint="eastAsia"/>
          <w:sz w:val="28"/>
          <w:szCs w:val="28"/>
        </w:rPr>
        <w:t>产出进度指标：力争年内完成；</w:t>
      </w:r>
    </w:p>
    <w:p w:rsidR="00746A6F" w:rsidRPr="00746A6F" w:rsidRDefault="00746A6F" w:rsidP="00746A6F">
      <w:pPr>
        <w:tabs>
          <w:tab w:val="center" w:pos="6979"/>
        </w:tabs>
        <w:spacing w:line="580" w:lineRule="exact"/>
        <w:ind w:firstLineChars="252" w:firstLine="706"/>
        <w:rPr>
          <w:rFonts w:ascii="仿宋_GB2312" w:eastAsia="仿宋_GB2312"/>
          <w:sz w:val="28"/>
          <w:szCs w:val="28"/>
        </w:rPr>
      </w:pPr>
      <w:r w:rsidRPr="00746A6F">
        <w:rPr>
          <w:rFonts w:ascii="仿宋_GB2312" w:eastAsia="仿宋_GB2312" w:hint="eastAsia"/>
          <w:sz w:val="28"/>
          <w:szCs w:val="28"/>
        </w:rPr>
        <w:t>产出成本指标：成本控制在</w:t>
      </w:r>
      <w:r w:rsidR="002936A1">
        <w:rPr>
          <w:rFonts w:ascii="仿宋_GB2312" w:eastAsia="仿宋_GB2312" w:hint="eastAsia"/>
          <w:sz w:val="28"/>
          <w:szCs w:val="28"/>
        </w:rPr>
        <w:t>25144.74</w:t>
      </w:r>
      <w:r w:rsidRPr="00746A6F">
        <w:rPr>
          <w:rFonts w:ascii="仿宋_GB2312" w:eastAsia="仿宋_GB2312" w:hint="eastAsia"/>
          <w:sz w:val="28"/>
          <w:szCs w:val="28"/>
        </w:rPr>
        <w:t>万元内；</w:t>
      </w:r>
    </w:p>
    <w:p w:rsidR="00746A6F" w:rsidRPr="00746A6F" w:rsidRDefault="00746A6F" w:rsidP="00746A6F">
      <w:pPr>
        <w:tabs>
          <w:tab w:val="center" w:pos="6979"/>
        </w:tabs>
        <w:spacing w:line="580" w:lineRule="exact"/>
        <w:ind w:firstLineChars="252" w:firstLine="706"/>
        <w:rPr>
          <w:rFonts w:ascii="仿宋_GB2312" w:eastAsia="仿宋_GB2312"/>
          <w:sz w:val="28"/>
          <w:szCs w:val="28"/>
        </w:rPr>
      </w:pPr>
      <w:r w:rsidRPr="00746A6F">
        <w:rPr>
          <w:rFonts w:ascii="仿宋_GB2312" w:eastAsia="仿宋_GB2312" w:hint="eastAsia"/>
          <w:sz w:val="28"/>
          <w:szCs w:val="28"/>
        </w:rPr>
        <w:t>经济效益指标：不涉及；</w:t>
      </w:r>
    </w:p>
    <w:p w:rsidR="00746A6F" w:rsidRPr="00746A6F" w:rsidRDefault="00746A6F" w:rsidP="00746A6F">
      <w:pPr>
        <w:tabs>
          <w:tab w:val="center" w:pos="6979"/>
        </w:tabs>
        <w:spacing w:line="580" w:lineRule="exact"/>
        <w:ind w:firstLineChars="252" w:firstLine="706"/>
        <w:rPr>
          <w:rFonts w:ascii="仿宋_GB2312" w:eastAsia="仿宋_GB2312"/>
          <w:sz w:val="28"/>
          <w:szCs w:val="28"/>
        </w:rPr>
      </w:pPr>
      <w:r w:rsidRPr="00746A6F">
        <w:rPr>
          <w:rFonts w:ascii="仿宋_GB2312" w:eastAsia="仿宋_GB2312" w:hint="eastAsia"/>
          <w:sz w:val="28"/>
          <w:szCs w:val="28"/>
        </w:rPr>
        <w:t>社会效益指标：</w:t>
      </w:r>
    </w:p>
    <w:p w:rsidR="00746A6F" w:rsidRPr="00746A6F" w:rsidRDefault="00746A6F" w:rsidP="00746A6F">
      <w:pPr>
        <w:tabs>
          <w:tab w:val="center" w:pos="6979"/>
        </w:tabs>
        <w:spacing w:line="580" w:lineRule="exact"/>
        <w:ind w:firstLineChars="252" w:firstLine="706"/>
        <w:rPr>
          <w:rFonts w:ascii="仿宋_GB2312" w:eastAsia="仿宋_GB2312"/>
          <w:sz w:val="28"/>
          <w:szCs w:val="28"/>
        </w:rPr>
      </w:pPr>
      <w:r w:rsidRPr="00746A6F">
        <w:rPr>
          <w:rFonts w:ascii="仿宋_GB2312" w:eastAsia="仿宋_GB2312" w:hint="eastAsia"/>
          <w:sz w:val="28"/>
          <w:szCs w:val="28"/>
        </w:rPr>
        <w:t>（1）积极发挥司法审判工作在社会综合治理方面的积极作用，维护辖区社会安全稳定；</w:t>
      </w:r>
    </w:p>
    <w:p w:rsidR="00746A6F" w:rsidRPr="00746A6F" w:rsidRDefault="00746A6F" w:rsidP="00746A6F">
      <w:pPr>
        <w:tabs>
          <w:tab w:val="center" w:pos="6979"/>
        </w:tabs>
        <w:spacing w:line="580" w:lineRule="exact"/>
        <w:ind w:firstLineChars="252" w:firstLine="706"/>
        <w:rPr>
          <w:rFonts w:ascii="仿宋_GB2312" w:eastAsia="仿宋_GB2312"/>
          <w:sz w:val="28"/>
          <w:szCs w:val="28"/>
        </w:rPr>
      </w:pPr>
      <w:r w:rsidRPr="00746A6F">
        <w:rPr>
          <w:rFonts w:ascii="仿宋_GB2312" w:eastAsia="仿宋_GB2312" w:hint="eastAsia"/>
          <w:sz w:val="28"/>
          <w:szCs w:val="28"/>
        </w:rPr>
        <w:t>（2）积极</w:t>
      </w:r>
      <w:r w:rsidRPr="00746A6F">
        <w:rPr>
          <w:rFonts w:ascii="仿宋_GB2312" w:eastAsia="仿宋_GB2312"/>
          <w:sz w:val="28"/>
          <w:szCs w:val="28"/>
        </w:rPr>
        <w:t>培育和践行社会主义核心价值观，充分发挥司法的教育、评价、指引和示范功能</w:t>
      </w:r>
      <w:r w:rsidRPr="00746A6F">
        <w:rPr>
          <w:rFonts w:ascii="仿宋_GB2312" w:eastAsia="仿宋_GB2312" w:hint="eastAsia"/>
          <w:sz w:val="28"/>
          <w:szCs w:val="28"/>
        </w:rPr>
        <w:t>；</w:t>
      </w:r>
    </w:p>
    <w:p w:rsidR="00746A6F" w:rsidRPr="00746A6F" w:rsidRDefault="00746A6F" w:rsidP="00746A6F">
      <w:pPr>
        <w:tabs>
          <w:tab w:val="center" w:pos="6979"/>
        </w:tabs>
        <w:spacing w:line="580" w:lineRule="exact"/>
        <w:ind w:firstLineChars="252" w:firstLine="706"/>
        <w:rPr>
          <w:rFonts w:ascii="仿宋_GB2312" w:eastAsia="仿宋_GB2312"/>
          <w:sz w:val="28"/>
          <w:szCs w:val="28"/>
        </w:rPr>
      </w:pPr>
      <w:r w:rsidRPr="00746A6F">
        <w:rPr>
          <w:rFonts w:ascii="仿宋_GB2312" w:eastAsia="仿宋_GB2312" w:hint="eastAsia"/>
          <w:sz w:val="28"/>
          <w:szCs w:val="28"/>
        </w:rPr>
        <w:t>（3）坚持司法为民，</w:t>
      </w:r>
      <w:r w:rsidRPr="00746A6F">
        <w:rPr>
          <w:rFonts w:ascii="仿宋_GB2312" w:eastAsia="仿宋_GB2312"/>
          <w:sz w:val="28"/>
          <w:szCs w:val="28"/>
        </w:rPr>
        <w:t>保护民生权益</w:t>
      </w:r>
      <w:r w:rsidRPr="00746A6F">
        <w:rPr>
          <w:rFonts w:ascii="仿宋_GB2312" w:eastAsia="仿宋_GB2312" w:hint="eastAsia"/>
          <w:sz w:val="28"/>
          <w:szCs w:val="28"/>
        </w:rPr>
        <w:t>，努力满足人民群众多元司法需求；</w:t>
      </w:r>
    </w:p>
    <w:p w:rsidR="00746A6F" w:rsidRPr="00746A6F" w:rsidRDefault="00746A6F" w:rsidP="00746A6F">
      <w:pPr>
        <w:tabs>
          <w:tab w:val="center" w:pos="6979"/>
        </w:tabs>
        <w:spacing w:line="580" w:lineRule="exact"/>
        <w:ind w:firstLineChars="252" w:firstLine="706"/>
        <w:rPr>
          <w:rFonts w:ascii="仿宋_GB2312" w:eastAsia="仿宋_GB2312"/>
          <w:sz w:val="28"/>
          <w:szCs w:val="28"/>
        </w:rPr>
      </w:pPr>
      <w:r w:rsidRPr="00746A6F">
        <w:rPr>
          <w:rFonts w:ascii="仿宋_GB2312" w:eastAsia="仿宋_GB2312" w:hint="eastAsia"/>
          <w:sz w:val="28"/>
          <w:szCs w:val="28"/>
        </w:rPr>
        <w:t>（4）在司法改革中</w:t>
      </w:r>
      <w:r w:rsidRPr="00746A6F">
        <w:rPr>
          <w:rFonts w:ascii="仿宋_GB2312" w:eastAsia="仿宋_GB2312"/>
          <w:sz w:val="28"/>
          <w:szCs w:val="28"/>
        </w:rPr>
        <w:t>坚持问题导向，着力破解难题，让人民群众有更多获得感</w:t>
      </w:r>
      <w:r w:rsidRPr="00746A6F">
        <w:rPr>
          <w:rFonts w:ascii="仿宋_GB2312" w:eastAsia="仿宋_GB2312" w:hint="eastAsia"/>
          <w:sz w:val="28"/>
          <w:szCs w:val="28"/>
        </w:rPr>
        <w:t>；</w:t>
      </w:r>
    </w:p>
    <w:p w:rsidR="00746A6F" w:rsidRPr="00746A6F" w:rsidRDefault="00746A6F" w:rsidP="00746A6F">
      <w:pPr>
        <w:tabs>
          <w:tab w:val="center" w:pos="6979"/>
        </w:tabs>
        <w:spacing w:line="580" w:lineRule="exact"/>
        <w:ind w:firstLineChars="252" w:firstLine="706"/>
        <w:rPr>
          <w:rFonts w:ascii="仿宋_GB2312" w:eastAsia="仿宋_GB2312"/>
          <w:sz w:val="28"/>
          <w:szCs w:val="28"/>
        </w:rPr>
      </w:pPr>
      <w:r w:rsidRPr="00746A6F">
        <w:rPr>
          <w:rFonts w:ascii="仿宋_GB2312" w:eastAsia="仿宋_GB2312" w:hint="eastAsia"/>
          <w:sz w:val="28"/>
          <w:szCs w:val="28"/>
        </w:rPr>
        <w:t>环境效益指标：推进环境资源审判专门机构建设，促进绿色发展，助力打好蓝天碧水净土保卫战。</w:t>
      </w:r>
    </w:p>
    <w:p w:rsidR="003F7D50" w:rsidRDefault="00746A6F" w:rsidP="003F7D50">
      <w:pPr>
        <w:tabs>
          <w:tab w:val="center" w:pos="6979"/>
        </w:tabs>
        <w:spacing w:line="580" w:lineRule="exact"/>
        <w:ind w:firstLineChars="252" w:firstLine="706"/>
        <w:rPr>
          <w:rFonts w:ascii="仿宋_GB2312" w:eastAsia="仿宋_GB2312"/>
          <w:sz w:val="28"/>
          <w:szCs w:val="28"/>
        </w:rPr>
      </w:pPr>
      <w:r w:rsidRPr="00746A6F">
        <w:rPr>
          <w:rFonts w:ascii="仿宋_GB2312" w:eastAsia="仿宋_GB2312" w:hint="eastAsia"/>
          <w:sz w:val="28"/>
          <w:szCs w:val="28"/>
        </w:rPr>
        <w:lastRenderedPageBreak/>
        <w:t>可持续影响指标：</w:t>
      </w:r>
      <w:r w:rsidR="003F7D50" w:rsidRPr="003F7D50">
        <w:rPr>
          <w:rFonts w:ascii="仿宋_GB2312" w:eastAsia="仿宋_GB2312" w:hint="eastAsia"/>
          <w:sz w:val="28"/>
          <w:szCs w:val="28"/>
        </w:rPr>
        <w:t>秉承大局导向，围绕开展新一轮疏解整治促提升专项行动、精准有效的司法服务保障。积极为辖区重大项目开展提供司法保障。把解民忧贯穿审执工作始终，争创“为群众办实事示范法院”。加强未成年人司法保护，保障“双减”政策落实。打造智能化辅助设施，实现“智慧法院”建设成果真正为民所用。</w:t>
      </w:r>
    </w:p>
    <w:p w:rsidR="00746A6F" w:rsidRPr="00746A6F" w:rsidRDefault="00746A6F" w:rsidP="003F7D50">
      <w:pPr>
        <w:tabs>
          <w:tab w:val="center" w:pos="6979"/>
        </w:tabs>
        <w:spacing w:line="580" w:lineRule="exact"/>
        <w:ind w:firstLineChars="252" w:firstLine="706"/>
        <w:rPr>
          <w:rFonts w:ascii="仿宋_GB2312" w:eastAsia="仿宋_GB2312"/>
          <w:sz w:val="28"/>
          <w:szCs w:val="28"/>
        </w:rPr>
      </w:pPr>
      <w:r w:rsidRPr="00746A6F">
        <w:rPr>
          <w:rFonts w:ascii="仿宋_GB2312" w:eastAsia="仿宋_GB2312" w:hint="eastAsia"/>
          <w:sz w:val="28"/>
          <w:szCs w:val="28"/>
        </w:rPr>
        <w:t>服务对象满意度指标：</w:t>
      </w:r>
      <w:r w:rsidR="003F7D50" w:rsidRPr="003F7D50">
        <w:rPr>
          <w:rFonts w:ascii="仿宋_GB2312" w:eastAsia="仿宋_GB2312" w:hint="eastAsia"/>
          <w:sz w:val="28"/>
          <w:szCs w:val="28"/>
        </w:rPr>
        <w:t>以群众法治需求为导向，全面落实“谁执法谁普法”普法责任制，不断加大司法公开力度。把握群众需求精准普法，自觉接受群众监督。</w:t>
      </w:r>
    </w:p>
    <w:p w:rsidR="00021229" w:rsidRDefault="00093E8E" w:rsidP="00021229">
      <w:pPr>
        <w:spacing w:line="580" w:lineRule="exact"/>
        <w:ind w:firstLineChars="200" w:firstLine="56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二、</w:t>
      </w:r>
      <w:r w:rsidR="00021229">
        <w:rPr>
          <w:rFonts w:ascii="仿宋_GB2312" w:eastAsia="仿宋_GB2312" w:hAnsi="仿宋_GB2312" w:cs="仿宋_GB2312" w:hint="eastAsia"/>
          <w:color w:val="000000"/>
          <w:kern w:val="0"/>
          <w:sz w:val="28"/>
          <w:szCs w:val="28"/>
        </w:rPr>
        <w:t>当年预算执行情况</w:t>
      </w:r>
    </w:p>
    <w:p w:rsidR="00021229" w:rsidRDefault="00E611F0" w:rsidP="00021229">
      <w:pPr>
        <w:spacing w:line="580" w:lineRule="exact"/>
        <w:ind w:firstLineChars="200" w:firstLine="560"/>
        <w:rPr>
          <w:rFonts w:ascii="仿宋_GB2312" w:eastAsia="仿宋_GB2312" w:hAnsi="仿宋_GB2312" w:cs="仿宋_GB2312"/>
          <w:color w:val="000000"/>
          <w:kern w:val="0"/>
          <w:sz w:val="28"/>
          <w:szCs w:val="28"/>
        </w:rPr>
      </w:pPr>
      <w:r w:rsidRPr="005A7AFF">
        <w:rPr>
          <w:rFonts w:ascii="仿宋_GB2312" w:eastAsia="仿宋_GB2312" w:hAnsi="仿宋_GB2312" w:cs="仿宋_GB2312" w:hint="eastAsia"/>
          <w:color w:val="000000"/>
          <w:kern w:val="0"/>
          <w:sz w:val="28"/>
          <w:szCs w:val="28"/>
        </w:rPr>
        <w:t>202</w:t>
      </w:r>
      <w:r w:rsidR="002936A1">
        <w:rPr>
          <w:rFonts w:ascii="仿宋_GB2312" w:eastAsia="仿宋_GB2312" w:hAnsi="仿宋_GB2312" w:cs="仿宋_GB2312" w:hint="eastAsia"/>
          <w:color w:val="000000"/>
          <w:kern w:val="0"/>
          <w:sz w:val="28"/>
          <w:szCs w:val="28"/>
        </w:rPr>
        <w:t>3</w:t>
      </w:r>
      <w:r w:rsidR="00021229" w:rsidRPr="005A7AFF">
        <w:rPr>
          <w:rFonts w:ascii="仿宋_GB2312" w:eastAsia="仿宋_GB2312" w:hAnsi="仿宋_GB2312" w:cs="仿宋_GB2312" w:hint="eastAsia"/>
          <w:color w:val="000000"/>
          <w:kern w:val="0"/>
          <w:sz w:val="28"/>
          <w:szCs w:val="28"/>
        </w:rPr>
        <w:t>年全年预算数</w:t>
      </w:r>
      <w:r w:rsidR="002936A1">
        <w:rPr>
          <w:rFonts w:ascii="仿宋_GB2312" w:eastAsia="仿宋_GB2312" w:hAnsi="仿宋_GB2312" w:cs="仿宋_GB2312" w:hint="eastAsia"/>
          <w:kern w:val="0"/>
          <w:sz w:val="28"/>
          <w:szCs w:val="28"/>
        </w:rPr>
        <w:t>25144.74</w:t>
      </w:r>
      <w:r w:rsidR="00021229" w:rsidRPr="005A7AFF">
        <w:rPr>
          <w:rFonts w:ascii="仿宋_GB2312" w:eastAsia="仿宋_GB2312" w:hAnsi="仿宋_GB2312" w:cs="仿宋_GB2312" w:hint="eastAsia"/>
          <w:color w:val="000000"/>
          <w:kern w:val="0"/>
          <w:sz w:val="28"/>
          <w:szCs w:val="28"/>
        </w:rPr>
        <w:t>万元，</w:t>
      </w:r>
      <w:r w:rsidR="00EC7899" w:rsidRPr="005A7AFF">
        <w:rPr>
          <w:rFonts w:ascii="仿宋_GB2312" w:eastAsia="仿宋_GB2312" w:hAnsi="仿宋_GB2312" w:cs="仿宋_GB2312" w:hint="eastAsia"/>
          <w:color w:val="000000"/>
          <w:kern w:val="0"/>
          <w:sz w:val="28"/>
          <w:szCs w:val="28"/>
        </w:rPr>
        <w:t>其中，基本支出预算数</w:t>
      </w:r>
      <w:r w:rsidR="000773F8">
        <w:rPr>
          <w:rFonts w:ascii="仿宋_GB2312" w:eastAsia="仿宋_GB2312" w:hAnsi="仿宋_GB2312" w:cs="仿宋_GB2312" w:hint="eastAsia"/>
          <w:color w:val="000000"/>
          <w:kern w:val="0"/>
          <w:sz w:val="28"/>
          <w:szCs w:val="28"/>
        </w:rPr>
        <w:t>20482.92</w:t>
      </w:r>
      <w:r w:rsidR="00EC7899" w:rsidRPr="005A7AFF">
        <w:rPr>
          <w:rFonts w:ascii="仿宋_GB2312" w:eastAsia="仿宋_GB2312" w:hAnsi="仿宋_GB2312" w:cs="仿宋_GB2312" w:hint="eastAsia"/>
          <w:color w:val="000000"/>
          <w:kern w:val="0"/>
          <w:sz w:val="28"/>
          <w:szCs w:val="28"/>
        </w:rPr>
        <w:t>万元，项目支出预算数</w:t>
      </w:r>
      <w:r w:rsidR="000773F8">
        <w:rPr>
          <w:rFonts w:ascii="仿宋_GB2312" w:eastAsia="仿宋_GB2312" w:hAnsi="仿宋_GB2312" w:cs="仿宋_GB2312" w:hint="eastAsia"/>
          <w:color w:val="000000"/>
          <w:kern w:val="0"/>
          <w:sz w:val="28"/>
          <w:szCs w:val="28"/>
        </w:rPr>
        <w:t>4661.82</w:t>
      </w:r>
      <w:r w:rsidR="00EC7899" w:rsidRPr="005A7AFF">
        <w:rPr>
          <w:rFonts w:ascii="仿宋_GB2312" w:eastAsia="仿宋_GB2312" w:hAnsi="仿宋_GB2312" w:cs="仿宋_GB2312" w:hint="eastAsia"/>
          <w:color w:val="000000"/>
          <w:kern w:val="0"/>
          <w:sz w:val="28"/>
          <w:szCs w:val="28"/>
        </w:rPr>
        <w:t>万元，其他支出预算数0万元。</w:t>
      </w:r>
      <w:r w:rsidR="00021229" w:rsidRPr="005A7AFF">
        <w:rPr>
          <w:rFonts w:ascii="仿宋_GB2312" w:eastAsia="仿宋_GB2312" w:hAnsi="仿宋_GB2312" w:cs="仿宋_GB2312" w:hint="eastAsia"/>
          <w:color w:val="000000"/>
          <w:kern w:val="0"/>
          <w:sz w:val="28"/>
          <w:szCs w:val="28"/>
        </w:rPr>
        <w:t>资金总体支出</w:t>
      </w:r>
      <w:r w:rsidR="00CD544A">
        <w:rPr>
          <w:rFonts w:ascii="仿宋_GB2312" w:eastAsia="仿宋_GB2312" w:hAnsi="仿宋_GB2312" w:cs="仿宋_GB2312" w:hint="eastAsia"/>
          <w:kern w:val="0"/>
          <w:sz w:val="28"/>
          <w:szCs w:val="28"/>
        </w:rPr>
        <w:t>24869.99</w:t>
      </w:r>
      <w:r w:rsidR="00021229" w:rsidRPr="005A7AFF">
        <w:rPr>
          <w:rFonts w:ascii="仿宋_GB2312" w:eastAsia="仿宋_GB2312" w:hAnsi="仿宋_GB2312" w:cs="仿宋_GB2312" w:hint="eastAsia"/>
          <w:color w:val="000000"/>
          <w:kern w:val="0"/>
          <w:sz w:val="28"/>
          <w:szCs w:val="28"/>
        </w:rPr>
        <w:t>万元</w:t>
      </w:r>
      <w:r w:rsidR="001E1B0B" w:rsidRPr="005A7AFF">
        <w:rPr>
          <w:rFonts w:ascii="仿宋_GB2312" w:eastAsia="仿宋_GB2312" w:hAnsi="仿宋_GB2312" w:cs="仿宋_GB2312" w:hint="eastAsia"/>
          <w:color w:val="000000"/>
          <w:kern w:val="0"/>
          <w:sz w:val="28"/>
          <w:szCs w:val="28"/>
        </w:rPr>
        <w:t>,</w:t>
      </w:r>
      <w:r w:rsidR="00EC7899" w:rsidRPr="005A7AFF">
        <w:rPr>
          <w:rFonts w:ascii="仿宋_GB2312" w:eastAsia="仿宋_GB2312" w:hAnsi="仿宋_GB2312" w:cs="仿宋_GB2312" w:hint="eastAsia"/>
          <w:color w:val="000000"/>
          <w:kern w:val="0"/>
          <w:sz w:val="28"/>
          <w:szCs w:val="28"/>
        </w:rPr>
        <w:t xml:space="preserve"> 基本支出</w:t>
      </w:r>
      <w:r w:rsidR="002176E8">
        <w:rPr>
          <w:rFonts w:ascii="仿宋_GB2312" w:eastAsia="仿宋_GB2312" w:hAnsi="仿宋_GB2312" w:cs="仿宋_GB2312" w:hint="eastAsia"/>
          <w:color w:val="000000"/>
          <w:kern w:val="0"/>
          <w:sz w:val="28"/>
          <w:szCs w:val="28"/>
        </w:rPr>
        <w:t>20280.14</w:t>
      </w:r>
      <w:r w:rsidR="00EC7899" w:rsidRPr="005A7AFF">
        <w:rPr>
          <w:rFonts w:ascii="仿宋_GB2312" w:eastAsia="仿宋_GB2312" w:hAnsi="仿宋_GB2312" w:cs="仿宋_GB2312" w:hint="eastAsia"/>
          <w:color w:val="000000"/>
          <w:kern w:val="0"/>
          <w:sz w:val="28"/>
          <w:szCs w:val="28"/>
        </w:rPr>
        <w:t>万元，项目支出</w:t>
      </w:r>
      <w:r w:rsidR="002176E8">
        <w:rPr>
          <w:rFonts w:ascii="仿宋_GB2312" w:eastAsia="仿宋_GB2312" w:hAnsi="仿宋_GB2312" w:cs="仿宋_GB2312" w:hint="eastAsia"/>
          <w:color w:val="000000"/>
          <w:kern w:val="0"/>
          <w:sz w:val="28"/>
          <w:szCs w:val="28"/>
        </w:rPr>
        <w:t>4589.8</w:t>
      </w:r>
      <w:r w:rsidR="000E63A9">
        <w:rPr>
          <w:rFonts w:ascii="仿宋_GB2312" w:eastAsia="仿宋_GB2312" w:hAnsi="仿宋_GB2312" w:cs="仿宋_GB2312" w:hint="eastAsia"/>
          <w:color w:val="000000"/>
          <w:kern w:val="0"/>
          <w:sz w:val="28"/>
          <w:szCs w:val="28"/>
        </w:rPr>
        <w:t>5</w:t>
      </w:r>
      <w:r w:rsidR="00EC7899" w:rsidRPr="005A7AFF">
        <w:rPr>
          <w:rFonts w:ascii="仿宋_GB2312" w:eastAsia="仿宋_GB2312" w:hAnsi="仿宋_GB2312" w:cs="仿宋_GB2312" w:hint="eastAsia"/>
          <w:color w:val="000000"/>
          <w:kern w:val="0"/>
          <w:sz w:val="28"/>
          <w:szCs w:val="28"/>
        </w:rPr>
        <w:t>万元，其他支出预算数0万元。</w:t>
      </w:r>
      <w:r w:rsidR="00021229" w:rsidRPr="005A7AFF">
        <w:rPr>
          <w:rFonts w:ascii="仿宋_GB2312" w:eastAsia="仿宋_GB2312" w:hAnsi="仿宋_GB2312" w:cs="仿宋_GB2312" w:hint="eastAsia"/>
          <w:color w:val="000000"/>
          <w:kern w:val="0"/>
          <w:sz w:val="28"/>
          <w:szCs w:val="28"/>
        </w:rPr>
        <w:t>预算执行率为</w:t>
      </w:r>
      <w:r w:rsidR="002014E1">
        <w:rPr>
          <w:rFonts w:ascii="仿宋_GB2312" w:eastAsia="仿宋_GB2312" w:hAnsi="仿宋_GB2312" w:cs="仿宋_GB2312" w:hint="eastAsia"/>
          <w:kern w:val="0"/>
          <w:sz w:val="28"/>
          <w:szCs w:val="28"/>
        </w:rPr>
        <w:t>98.91</w:t>
      </w:r>
      <w:r w:rsidR="00021229" w:rsidRPr="005A7AFF">
        <w:rPr>
          <w:rFonts w:ascii="仿宋_GB2312" w:eastAsia="仿宋_GB2312" w:hAnsi="仿宋_GB2312" w:cs="仿宋_GB2312" w:hint="eastAsia"/>
          <w:kern w:val="0"/>
          <w:sz w:val="28"/>
          <w:szCs w:val="28"/>
        </w:rPr>
        <w:t>%</w:t>
      </w:r>
      <w:r w:rsidR="00021229" w:rsidRPr="005A7AFF">
        <w:rPr>
          <w:rFonts w:ascii="仿宋_GB2312" w:eastAsia="仿宋_GB2312" w:hAnsi="仿宋_GB2312" w:cs="仿宋_GB2312" w:hint="eastAsia"/>
          <w:color w:val="000000"/>
          <w:kern w:val="0"/>
          <w:sz w:val="28"/>
          <w:szCs w:val="28"/>
        </w:rPr>
        <w:t>。</w:t>
      </w:r>
    </w:p>
    <w:p w:rsidR="00021229" w:rsidRDefault="00093E8E" w:rsidP="00021229">
      <w:pPr>
        <w:spacing w:line="580" w:lineRule="exact"/>
        <w:ind w:leftChars="50" w:left="105" w:firstLineChars="150" w:firstLine="42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三、</w:t>
      </w:r>
      <w:r w:rsidR="00021229">
        <w:rPr>
          <w:rFonts w:ascii="仿宋_GB2312" w:eastAsia="仿宋_GB2312" w:hAnsi="仿宋_GB2312" w:cs="仿宋_GB2312" w:hint="eastAsia"/>
          <w:color w:val="000000"/>
          <w:kern w:val="0"/>
          <w:sz w:val="28"/>
          <w:szCs w:val="28"/>
        </w:rPr>
        <w:t>整体绩效目标实现情况</w:t>
      </w:r>
    </w:p>
    <w:p w:rsidR="00021229" w:rsidRDefault="00093E8E" w:rsidP="00021229">
      <w:pPr>
        <w:spacing w:line="580" w:lineRule="exact"/>
        <w:ind w:leftChars="50" w:left="105" w:firstLineChars="150" w:firstLine="420"/>
        <w:rPr>
          <w:rFonts w:ascii="仿宋_GB2312" w:eastAsia="仿宋_GB2312" w:hAnsi="仿宋_GB2312" w:cs="仿宋_GB2312"/>
          <w:sz w:val="28"/>
          <w:szCs w:val="28"/>
        </w:rPr>
      </w:pPr>
      <w:r>
        <w:rPr>
          <w:rFonts w:ascii="仿宋_GB2312" w:eastAsia="仿宋_GB2312" w:hAnsi="仿宋_GB2312" w:cs="仿宋_GB2312" w:hint="eastAsia"/>
          <w:sz w:val="28"/>
          <w:szCs w:val="28"/>
        </w:rPr>
        <w:t>（一）</w:t>
      </w:r>
      <w:r w:rsidR="00021229">
        <w:rPr>
          <w:rFonts w:ascii="仿宋_GB2312" w:eastAsia="仿宋_GB2312" w:hAnsi="仿宋_GB2312" w:cs="仿宋_GB2312" w:hint="eastAsia"/>
          <w:sz w:val="28"/>
          <w:szCs w:val="28"/>
        </w:rPr>
        <w:t>产出完成情况分析</w:t>
      </w:r>
    </w:p>
    <w:p w:rsidR="00021229" w:rsidRDefault="00093E8E" w:rsidP="00021229">
      <w:pPr>
        <w:spacing w:line="580" w:lineRule="exact"/>
        <w:ind w:leftChars="50" w:left="105" w:firstLineChars="150" w:firstLine="42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1</w:t>
      </w:r>
      <w:r>
        <w:rPr>
          <w:rFonts w:ascii="仿宋_GB2312" w:eastAsia="仿宋_GB2312" w:hAnsi="仿宋_GB2312" w:cs="仿宋_GB2312"/>
          <w:color w:val="000000"/>
          <w:kern w:val="0"/>
          <w:sz w:val="28"/>
          <w:szCs w:val="28"/>
        </w:rPr>
        <w:t>.</w:t>
      </w:r>
      <w:r w:rsidR="00021229">
        <w:rPr>
          <w:rFonts w:ascii="仿宋_GB2312" w:eastAsia="仿宋_GB2312" w:hAnsi="仿宋_GB2312" w:cs="仿宋_GB2312" w:hint="eastAsia"/>
          <w:color w:val="000000"/>
          <w:kern w:val="0"/>
          <w:sz w:val="28"/>
          <w:szCs w:val="28"/>
        </w:rPr>
        <w:t>产出数量</w:t>
      </w:r>
    </w:p>
    <w:p w:rsidR="00021229" w:rsidRDefault="00093E8E" w:rsidP="00021229">
      <w:pPr>
        <w:pStyle w:val="a0"/>
        <w:ind w:firstLine="56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（1）</w:t>
      </w:r>
      <w:r w:rsidR="00021229" w:rsidRPr="000109A7">
        <w:rPr>
          <w:rFonts w:ascii="仿宋_GB2312" w:eastAsia="仿宋_GB2312" w:hAnsi="仿宋_GB2312" w:cs="仿宋_GB2312" w:hint="eastAsia"/>
          <w:color w:val="000000"/>
          <w:kern w:val="0"/>
          <w:sz w:val="28"/>
          <w:szCs w:val="28"/>
        </w:rPr>
        <w:t>依法履行审判职能</w:t>
      </w:r>
      <w:r w:rsidR="00021229">
        <w:rPr>
          <w:rFonts w:ascii="仿宋_GB2312" w:eastAsia="仿宋_GB2312" w:hAnsi="仿宋_GB2312" w:cs="仿宋_GB2312" w:hint="eastAsia"/>
          <w:color w:val="000000"/>
          <w:kern w:val="0"/>
          <w:sz w:val="28"/>
          <w:szCs w:val="28"/>
        </w:rPr>
        <w:t>：</w:t>
      </w:r>
      <w:r w:rsidR="00021229" w:rsidRPr="008870EC">
        <w:rPr>
          <w:rFonts w:ascii="仿宋_GB2312" w:eastAsia="仿宋_GB2312" w:hAnsi="仿宋_GB2312" w:cs="仿宋_GB2312" w:hint="eastAsia"/>
          <w:color w:val="000000"/>
          <w:kern w:val="0"/>
          <w:sz w:val="28"/>
          <w:szCs w:val="28"/>
        </w:rPr>
        <w:t>落实</w:t>
      </w:r>
      <w:r w:rsidR="00021229" w:rsidRPr="008870EC">
        <w:rPr>
          <w:rFonts w:ascii="仿宋_GB2312" w:eastAsia="仿宋_GB2312" w:hAnsi="仿宋_GB2312" w:cs="仿宋_GB2312"/>
          <w:color w:val="000000"/>
          <w:kern w:val="0"/>
          <w:sz w:val="28"/>
          <w:szCs w:val="28"/>
        </w:rPr>
        <w:t>“</w:t>
      </w:r>
      <w:r w:rsidR="00021229" w:rsidRPr="008870EC">
        <w:rPr>
          <w:rFonts w:ascii="仿宋_GB2312" w:eastAsia="仿宋_GB2312" w:hAnsi="仿宋_GB2312" w:cs="仿宋_GB2312" w:hint="eastAsia"/>
          <w:color w:val="000000"/>
          <w:kern w:val="0"/>
          <w:sz w:val="28"/>
          <w:szCs w:val="28"/>
        </w:rPr>
        <w:t>开放、动态、透明、便民</w:t>
      </w:r>
      <w:r w:rsidR="00021229" w:rsidRPr="008870EC">
        <w:rPr>
          <w:rFonts w:ascii="仿宋_GB2312" w:eastAsia="仿宋_GB2312" w:hAnsi="仿宋_GB2312" w:cs="仿宋_GB2312"/>
          <w:color w:val="000000"/>
          <w:kern w:val="0"/>
          <w:sz w:val="28"/>
          <w:szCs w:val="28"/>
        </w:rPr>
        <w:t>”</w:t>
      </w:r>
      <w:r w:rsidR="00021229" w:rsidRPr="008870EC">
        <w:rPr>
          <w:rFonts w:ascii="仿宋_GB2312" w:eastAsia="仿宋_GB2312" w:hAnsi="仿宋_GB2312" w:cs="仿宋_GB2312" w:hint="eastAsia"/>
          <w:color w:val="000000"/>
          <w:kern w:val="0"/>
          <w:sz w:val="28"/>
          <w:szCs w:val="28"/>
        </w:rPr>
        <w:t>的阳光司法机制，深化审判流程公开、执行信息公开、裁判文书上网、庭审网络直播</w:t>
      </w:r>
      <w:r w:rsidR="00021229" w:rsidRPr="008870EC">
        <w:rPr>
          <w:rFonts w:ascii="仿宋_GB2312" w:eastAsia="仿宋_GB2312" w:hAnsi="仿宋_GB2312" w:cs="仿宋_GB2312"/>
          <w:color w:val="000000"/>
          <w:kern w:val="0"/>
          <w:sz w:val="28"/>
          <w:szCs w:val="28"/>
        </w:rPr>
        <w:t>“</w:t>
      </w:r>
      <w:r w:rsidR="00021229" w:rsidRPr="008870EC">
        <w:rPr>
          <w:rFonts w:ascii="仿宋_GB2312" w:eastAsia="仿宋_GB2312" w:hAnsi="仿宋_GB2312" w:cs="仿宋_GB2312" w:hint="eastAsia"/>
          <w:color w:val="000000"/>
          <w:kern w:val="0"/>
          <w:sz w:val="28"/>
          <w:szCs w:val="28"/>
        </w:rPr>
        <w:t>四大平台</w:t>
      </w:r>
      <w:r w:rsidR="00021229" w:rsidRPr="008870EC">
        <w:rPr>
          <w:rFonts w:ascii="仿宋_GB2312" w:eastAsia="仿宋_GB2312" w:hAnsi="仿宋_GB2312" w:cs="仿宋_GB2312"/>
          <w:color w:val="000000"/>
          <w:kern w:val="0"/>
          <w:sz w:val="28"/>
          <w:szCs w:val="28"/>
        </w:rPr>
        <w:t>”</w:t>
      </w:r>
      <w:r w:rsidR="00021229" w:rsidRPr="008870EC">
        <w:rPr>
          <w:rFonts w:ascii="仿宋_GB2312" w:eastAsia="仿宋_GB2312" w:hAnsi="仿宋_GB2312" w:cs="仿宋_GB2312" w:hint="eastAsia"/>
          <w:color w:val="000000"/>
          <w:kern w:val="0"/>
          <w:sz w:val="28"/>
          <w:szCs w:val="28"/>
        </w:rPr>
        <w:t>应用，</w:t>
      </w:r>
      <w:r w:rsidR="00CB7802" w:rsidRPr="00CB7802">
        <w:rPr>
          <w:rFonts w:ascii="仿宋_GB2312" w:eastAsia="仿宋_GB2312" w:hAnsi="仿宋_GB2312" w:cs="仿宋_GB2312" w:hint="eastAsia"/>
          <w:color w:val="000000"/>
          <w:kern w:val="0"/>
          <w:sz w:val="28"/>
          <w:szCs w:val="28"/>
        </w:rPr>
        <w:t>截止202</w:t>
      </w:r>
      <w:r w:rsidR="00194AA3">
        <w:rPr>
          <w:rFonts w:ascii="仿宋_GB2312" w:eastAsia="仿宋_GB2312" w:hAnsi="仿宋_GB2312" w:cs="仿宋_GB2312" w:hint="eastAsia"/>
          <w:color w:val="000000"/>
          <w:kern w:val="0"/>
          <w:sz w:val="28"/>
          <w:szCs w:val="28"/>
        </w:rPr>
        <w:t>3</w:t>
      </w:r>
      <w:r w:rsidR="00CB7802" w:rsidRPr="00CB7802">
        <w:rPr>
          <w:rFonts w:ascii="仿宋_GB2312" w:eastAsia="仿宋_GB2312" w:hAnsi="仿宋_GB2312" w:cs="仿宋_GB2312" w:hint="eastAsia"/>
          <w:color w:val="000000"/>
          <w:kern w:val="0"/>
          <w:sz w:val="28"/>
          <w:szCs w:val="28"/>
        </w:rPr>
        <w:t>年12月31日，我院新收案件</w:t>
      </w:r>
      <w:r w:rsidR="00D26BA4">
        <w:rPr>
          <w:rFonts w:ascii="仿宋_GB2312" w:eastAsia="仿宋_GB2312" w:hAnsi="仿宋_GB2312" w:cs="仿宋_GB2312" w:hint="eastAsia"/>
          <w:color w:val="000000"/>
          <w:kern w:val="0"/>
          <w:sz w:val="28"/>
          <w:szCs w:val="28"/>
        </w:rPr>
        <w:t>44879</w:t>
      </w:r>
      <w:r w:rsidR="00CB7802" w:rsidRPr="00CB7802">
        <w:rPr>
          <w:rFonts w:ascii="仿宋_GB2312" w:eastAsia="仿宋_GB2312" w:hAnsi="仿宋_GB2312" w:cs="仿宋_GB2312" w:hint="eastAsia"/>
          <w:color w:val="000000"/>
          <w:kern w:val="0"/>
          <w:sz w:val="28"/>
          <w:szCs w:val="28"/>
        </w:rPr>
        <w:t>件，审结</w:t>
      </w:r>
      <w:r w:rsidR="00D26BA4">
        <w:rPr>
          <w:rFonts w:ascii="仿宋_GB2312" w:eastAsia="仿宋_GB2312" w:hAnsi="仿宋_GB2312" w:cs="仿宋_GB2312" w:hint="eastAsia"/>
          <w:color w:val="000000"/>
          <w:kern w:val="0"/>
          <w:sz w:val="28"/>
          <w:szCs w:val="28"/>
        </w:rPr>
        <w:lastRenderedPageBreak/>
        <w:t>44208</w:t>
      </w:r>
      <w:r w:rsidR="00CB7802">
        <w:rPr>
          <w:rFonts w:ascii="仿宋_GB2312" w:eastAsia="仿宋_GB2312" w:hAnsi="仿宋_GB2312" w:cs="仿宋_GB2312" w:hint="eastAsia"/>
          <w:color w:val="000000"/>
          <w:kern w:val="0"/>
          <w:sz w:val="28"/>
          <w:szCs w:val="28"/>
        </w:rPr>
        <w:t>件</w:t>
      </w:r>
      <w:r w:rsidR="008407ED">
        <w:rPr>
          <w:rFonts w:ascii="仿宋_GB2312" w:eastAsia="仿宋_GB2312" w:hAnsi="仿宋_GB2312" w:cs="仿宋_GB2312" w:hint="eastAsia"/>
          <w:color w:val="000000"/>
          <w:kern w:val="0"/>
          <w:sz w:val="28"/>
          <w:szCs w:val="28"/>
        </w:rPr>
        <w:t>。</w:t>
      </w:r>
    </w:p>
    <w:p w:rsidR="00021229" w:rsidRDefault="00093E8E" w:rsidP="00021229">
      <w:pPr>
        <w:pStyle w:val="a0"/>
        <w:ind w:firstLine="56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（2）</w:t>
      </w:r>
      <w:r w:rsidR="00021229" w:rsidRPr="00784081">
        <w:rPr>
          <w:rFonts w:ascii="仿宋_GB2312" w:eastAsia="仿宋_GB2312" w:hAnsi="仿宋_GB2312" w:cs="仿宋_GB2312"/>
          <w:color w:val="000000"/>
          <w:kern w:val="0"/>
          <w:sz w:val="28"/>
          <w:szCs w:val="28"/>
        </w:rPr>
        <w:t>以司法为民为宗旨，</w:t>
      </w:r>
      <w:r w:rsidR="00021229" w:rsidRPr="00784081">
        <w:rPr>
          <w:rFonts w:ascii="仿宋_GB2312" w:eastAsia="仿宋_GB2312" w:hAnsi="仿宋_GB2312" w:cs="仿宋_GB2312" w:hint="eastAsia"/>
          <w:color w:val="000000"/>
          <w:kern w:val="0"/>
          <w:sz w:val="28"/>
          <w:szCs w:val="28"/>
        </w:rPr>
        <w:t>深度参与</w:t>
      </w:r>
      <w:r w:rsidR="00021229" w:rsidRPr="00784081">
        <w:rPr>
          <w:rFonts w:ascii="仿宋_GB2312" w:eastAsia="仿宋_GB2312" w:hAnsi="仿宋_GB2312" w:cs="仿宋_GB2312"/>
          <w:color w:val="000000"/>
          <w:kern w:val="0"/>
          <w:sz w:val="28"/>
          <w:szCs w:val="28"/>
        </w:rPr>
        <w:t>市域</w:t>
      </w:r>
      <w:r w:rsidR="00021229" w:rsidRPr="00784081">
        <w:rPr>
          <w:rFonts w:ascii="仿宋_GB2312" w:eastAsia="仿宋_GB2312" w:hAnsi="仿宋_GB2312" w:cs="仿宋_GB2312" w:hint="eastAsia"/>
          <w:color w:val="000000"/>
          <w:kern w:val="0"/>
          <w:sz w:val="28"/>
          <w:szCs w:val="28"/>
        </w:rPr>
        <w:t>社会</w:t>
      </w:r>
      <w:r w:rsidR="00021229" w:rsidRPr="00784081">
        <w:rPr>
          <w:rFonts w:ascii="仿宋_GB2312" w:eastAsia="仿宋_GB2312" w:hAnsi="仿宋_GB2312" w:cs="仿宋_GB2312"/>
          <w:color w:val="000000"/>
          <w:kern w:val="0"/>
          <w:sz w:val="28"/>
          <w:szCs w:val="28"/>
        </w:rPr>
        <w:t>治理现代化</w:t>
      </w:r>
      <w:r w:rsidR="00021229">
        <w:rPr>
          <w:rFonts w:ascii="仿宋_GB2312" w:eastAsia="仿宋_GB2312" w:hAnsi="仿宋_GB2312" w:cs="仿宋_GB2312" w:hint="eastAsia"/>
          <w:color w:val="000000"/>
          <w:kern w:val="0"/>
          <w:sz w:val="28"/>
          <w:szCs w:val="28"/>
        </w:rPr>
        <w:t>：</w:t>
      </w:r>
    </w:p>
    <w:p w:rsidR="00021229" w:rsidRPr="00301C84" w:rsidRDefault="00CB7802" w:rsidP="00CB7802">
      <w:pPr>
        <w:pStyle w:val="a0"/>
        <w:ind w:firstLine="560"/>
        <w:rPr>
          <w:rFonts w:ascii="仿宋_GB2312" w:eastAsia="仿宋_GB2312" w:hAnsi="仿宋_GB2312" w:cs="仿宋_GB2312"/>
          <w:color w:val="000000"/>
          <w:kern w:val="0"/>
          <w:sz w:val="28"/>
          <w:szCs w:val="28"/>
        </w:rPr>
      </w:pPr>
      <w:r w:rsidRPr="00CB7802">
        <w:rPr>
          <w:rFonts w:ascii="仿宋_GB2312" w:eastAsia="仿宋_GB2312" w:hAnsi="仿宋_GB2312" w:cs="仿宋_GB2312" w:hint="eastAsia"/>
          <w:color w:val="000000"/>
          <w:kern w:val="0"/>
          <w:sz w:val="28"/>
          <w:szCs w:val="28"/>
        </w:rPr>
        <w:t>网上预约立案数量（占全部收案数量的比重）为42.28%</w:t>
      </w:r>
      <w:r w:rsidR="008407ED">
        <w:rPr>
          <w:rFonts w:ascii="仿宋_GB2312" w:eastAsia="仿宋_GB2312" w:hAnsi="仿宋_GB2312" w:cs="仿宋_GB2312" w:hint="eastAsia"/>
          <w:color w:val="000000"/>
          <w:kern w:val="0"/>
          <w:sz w:val="28"/>
          <w:szCs w:val="28"/>
        </w:rPr>
        <w:t>；</w:t>
      </w:r>
      <w:r w:rsidRPr="00CB7802">
        <w:rPr>
          <w:rFonts w:ascii="仿宋_GB2312" w:eastAsia="仿宋_GB2312" w:hAnsi="仿宋_GB2312" w:cs="仿宋_GB2312" w:hint="eastAsia"/>
          <w:color w:val="000000"/>
          <w:kern w:val="0"/>
          <w:sz w:val="28"/>
          <w:szCs w:val="28"/>
        </w:rPr>
        <w:t>开展涉疫情期间企业用工、租赁纠纷等系列普法直播</w:t>
      </w:r>
      <w:r w:rsidR="008407ED">
        <w:rPr>
          <w:rFonts w:ascii="仿宋_GB2312" w:eastAsia="仿宋_GB2312" w:hAnsi="仿宋_GB2312" w:cs="仿宋_GB2312" w:hint="eastAsia"/>
          <w:color w:val="000000"/>
          <w:kern w:val="0"/>
          <w:sz w:val="28"/>
          <w:szCs w:val="28"/>
        </w:rPr>
        <w:t>。</w:t>
      </w:r>
      <w:r w:rsidR="00301C84" w:rsidRPr="00301C84">
        <w:rPr>
          <w:rFonts w:ascii="仿宋_GB2312" w:eastAsia="仿宋_GB2312" w:hAnsi="仿宋_GB2312" w:cs="仿宋_GB2312" w:hint="eastAsia"/>
          <w:color w:val="000000"/>
          <w:kern w:val="0"/>
          <w:sz w:val="28"/>
          <w:szCs w:val="28"/>
        </w:rPr>
        <w:t>打造24小时诉讼材料交转柜、胶囊法庭等七大智能化诉讼辅助设施，被中国法院网络电视台专题报道，“智慧法院”建设成果真正为民所用。</w:t>
      </w:r>
    </w:p>
    <w:p w:rsidR="00021229" w:rsidRDefault="00093E8E" w:rsidP="00021229">
      <w:pPr>
        <w:spacing w:line="580" w:lineRule="exact"/>
        <w:ind w:leftChars="50" w:left="105" w:firstLineChars="150" w:firstLine="42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2</w:t>
      </w:r>
      <w:r>
        <w:rPr>
          <w:rFonts w:ascii="仿宋_GB2312" w:eastAsia="仿宋_GB2312" w:hAnsi="仿宋_GB2312" w:cs="仿宋_GB2312"/>
          <w:color w:val="000000"/>
          <w:kern w:val="0"/>
          <w:sz w:val="28"/>
          <w:szCs w:val="28"/>
        </w:rPr>
        <w:t>.</w:t>
      </w:r>
      <w:r w:rsidR="00021229">
        <w:rPr>
          <w:rFonts w:ascii="仿宋_GB2312" w:eastAsia="仿宋_GB2312" w:hAnsi="仿宋_GB2312" w:cs="仿宋_GB2312" w:hint="eastAsia"/>
          <w:color w:val="000000"/>
          <w:kern w:val="0"/>
          <w:sz w:val="28"/>
          <w:szCs w:val="28"/>
        </w:rPr>
        <w:t>产出质量</w:t>
      </w:r>
    </w:p>
    <w:p w:rsidR="00021229" w:rsidRDefault="00093E8E" w:rsidP="00021229">
      <w:pPr>
        <w:pStyle w:val="a0"/>
        <w:ind w:firstLine="56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（1）</w:t>
      </w:r>
      <w:r w:rsidR="00021229" w:rsidRPr="000109A7">
        <w:rPr>
          <w:rFonts w:ascii="仿宋_GB2312" w:eastAsia="仿宋_GB2312" w:hAnsi="仿宋_GB2312" w:cs="仿宋_GB2312" w:hint="eastAsia"/>
          <w:color w:val="000000"/>
          <w:kern w:val="0"/>
          <w:sz w:val="28"/>
          <w:szCs w:val="28"/>
        </w:rPr>
        <w:t>建立专业化审判格局，提升专业化审判水平，加强司法便民综合系统建设</w:t>
      </w:r>
      <w:r w:rsidR="00021229">
        <w:rPr>
          <w:rFonts w:ascii="仿宋_GB2312" w:eastAsia="仿宋_GB2312" w:hAnsi="仿宋_GB2312" w:cs="仿宋_GB2312" w:hint="eastAsia"/>
          <w:color w:val="000000"/>
          <w:kern w:val="0"/>
          <w:sz w:val="28"/>
          <w:szCs w:val="28"/>
        </w:rPr>
        <w:t>：</w:t>
      </w:r>
    </w:p>
    <w:p w:rsidR="00021229" w:rsidRDefault="00021229" w:rsidP="00021229">
      <w:pPr>
        <w:pStyle w:val="a0"/>
        <w:ind w:firstLine="560"/>
        <w:rPr>
          <w:rFonts w:ascii="仿宋_GB2312" w:eastAsia="仿宋_GB2312" w:hAnsi="仿宋_GB2312" w:cs="仿宋_GB2312"/>
          <w:color w:val="000000"/>
          <w:kern w:val="0"/>
          <w:sz w:val="28"/>
          <w:szCs w:val="28"/>
        </w:rPr>
      </w:pPr>
      <w:r w:rsidRPr="00912E90">
        <w:rPr>
          <w:rFonts w:ascii="仿宋_GB2312" w:eastAsia="仿宋_GB2312" w:hAnsi="仿宋_GB2312" w:cs="仿宋_GB2312" w:hint="eastAsia"/>
          <w:color w:val="000000"/>
          <w:kern w:val="0"/>
          <w:sz w:val="28"/>
          <w:szCs w:val="28"/>
        </w:rPr>
        <w:t>执行信访办结率100%。持续推进“六稳六保”专项执行行动，启动雷霆执行行动</w:t>
      </w:r>
      <w:r w:rsidR="008407ED">
        <w:rPr>
          <w:rFonts w:ascii="仿宋_GB2312" w:eastAsia="仿宋_GB2312" w:hAnsi="仿宋_GB2312" w:cs="仿宋_GB2312" w:hint="eastAsia"/>
          <w:color w:val="000000"/>
          <w:kern w:val="0"/>
          <w:sz w:val="28"/>
          <w:szCs w:val="28"/>
        </w:rPr>
        <w:t>。</w:t>
      </w:r>
      <w:r w:rsidR="00141853" w:rsidRPr="00141853">
        <w:rPr>
          <w:rFonts w:ascii="仿宋_GB2312" w:eastAsia="仿宋_GB2312" w:hAnsi="仿宋_GB2312" w:cs="仿宋_GB2312" w:hint="eastAsia"/>
          <w:color w:val="000000"/>
          <w:kern w:val="0"/>
          <w:sz w:val="28"/>
          <w:szCs w:val="28"/>
        </w:rPr>
        <w:t>健全诉源治理体系，</w:t>
      </w:r>
      <w:r w:rsidR="00141853">
        <w:rPr>
          <w:rFonts w:ascii="仿宋_GB2312" w:eastAsia="仿宋_GB2312" w:hAnsi="仿宋_GB2312" w:cs="仿宋_GB2312" w:hint="eastAsia"/>
          <w:color w:val="000000"/>
          <w:kern w:val="0"/>
          <w:sz w:val="28"/>
          <w:szCs w:val="28"/>
        </w:rPr>
        <w:t>完善</w:t>
      </w:r>
      <w:r w:rsidR="00141853" w:rsidRPr="00141853">
        <w:rPr>
          <w:rFonts w:ascii="仿宋_GB2312" w:eastAsia="仿宋_GB2312" w:hAnsi="仿宋_GB2312" w:cs="仿宋_GB2312" w:hint="eastAsia"/>
          <w:color w:val="000000"/>
          <w:kern w:val="0"/>
          <w:sz w:val="28"/>
          <w:szCs w:val="28"/>
        </w:rPr>
        <w:t>“一站式”多元解纷</w:t>
      </w:r>
      <w:r w:rsidR="00141853">
        <w:rPr>
          <w:rFonts w:ascii="仿宋_GB2312" w:eastAsia="仿宋_GB2312" w:hAnsi="仿宋_GB2312" w:cs="仿宋_GB2312" w:hint="eastAsia"/>
          <w:color w:val="000000"/>
          <w:kern w:val="0"/>
          <w:sz w:val="28"/>
          <w:szCs w:val="28"/>
        </w:rPr>
        <w:t>。</w:t>
      </w:r>
      <w:r w:rsidR="00141853" w:rsidRPr="00141853">
        <w:rPr>
          <w:rFonts w:ascii="仿宋_GB2312" w:eastAsia="仿宋_GB2312" w:hAnsi="仿宋_GB2312" w:cs="仿宋_GB2312" w:hint="eastAsia"/>
          <w:color w:val="000000"/>
          <w:kern w:val="0"/>
          <w:sz w:val="28"/>
          <w:szCs w:val="28"/>
        </w:rPr>
        <w:t>提升12368“一号响应”诉源治理工作机制效能，办结诉源治理类工单722个，排名全市基层法院第二；对接房山区12345“接诉即办”平台，向问题集中的重点行业领域、基层组织发放诉源治理预警提示单76份。拓展“一站式”司法确认机制适用领域，完成全国首批劳动领域纠纷行政调解协议“一站式”司法确认，法官工作站首次入驻行政机关，开启劳动纠纷社会共治新模式。落实“总对总”诉调对接机制，与行业协会建立在线调解模式，社区治理、金融、合同等类型案件同比减少41%，类型案件治理成效排名全市基层法院第一。</w:t>
      </w:r>
    </w:p>
    <w:p w:rsidR="00021229" w:rsidRDefault="00093E8E" w:rsidP="00021229">
      <w:pPr>
        <w:pStyle w:val="a0"/>
        <w:ind w:firstLine="56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lastRenderedPageBreak/>
        <w:t>（2）</w:t>
      </w:r>
      <w:r w:rsidR="00021229" w:rsidRPr="00912E90">
        <w:rPr>
          <w:rFonts w:ascii="仿宋_GB2312" w:eastAsia="仿宋_GB2312" w:hAnsi="仿宋_GB2312" w:cs="仿宋_GB2312" w:hint="eastAsia"/>
          <w:color w:val="000000"/>
          <w:kern w:val="0"/>
          <w:sz w:val="28"/>
          <w:szCs w:val="28"/>
        </w:rPr>
        <w:t>加强信息化建设</w:t>
      </w:r>
      <w:r w:rsidR="00021229">
        <w:rPr>
          <w:rFonts w:ascii="仿宋_GB2312" w:eastAsia="仿宋_GB2312" w:hAnsi="仿宋_GB2312" w:cs="仿宋_GB2312" w:hint="eastAsia"/>
          <w:color w:val="000000"/>
          <w:kern w:val="0"/>
          <w:sz w:val="28"/>
          <w:szCs w:val="28"/>
        </w:rPr>
        <w:t>：</w:t>
      </w:r>
    </w:p>
    <w:p w:rsidR="00CB7802" w:rsidRDefault="00021229" w:rsidP="00021229">
      <w:pPr>
        <w:pStyle w:val="a0"/>
        <w:ind w:firstLine="560"/>
        <w:rPr>
          <w:rFonts w:ascii="仿宋_GB2312" w:eastAsia="仿宋_GB2312" w:hAnsi="仿宋_GB2312" w:cs="仿宋_GB2312"/>
          <w:color w:val="000000"/>
          <w:kern w:val="0"/>
          <w:sz w:val="28"/>
          <w:szCs w:val="28"/>
        </w:rPr>
      </w:pPr>
      <w:r w:rsidRPr="008870EC">
        <w:rPr>
          <w:rFonts w:ascii="仿宋_GB2312" w:eastAsia="仿宋_GB2312" w:hAnsi="仿宋_GB2312" w:cs="仿宋_GB2312"/>
          <w:color w:val="000000"/>
          <w:kern w:val="0"/>
          <w:sz w:val="28"/>
          <w:szCs w:val="28"/>
        </w:rPr>
        <w:t>202</w:t>
      </w:r>
      <w:r w:rsidR="0097279E">
        <w:rPr>
          <w:rFonts w:ascii="仿宋_GB2312" w:eastAsia="仿宋_GB2312" w:hAnsi="仿宋_GB2312" w:cs="仿宋_GB2312" w:hint="eastAsia"/>
          <w:color w:val="000000"/>
          <w:kern w:val="0"/>
          <w:sz w:val="28"/>
          <w:szCs w:val="28"/>
        </w:rPr>
        <w:t>3</w:t>
      </w:r>
      <w:r w:rsidRPr="008870EC">
        <w:rPr>
          <w:rFonts w:ascii="仿宋_GB2312" w:eastAsia="仿宋_GB2312" w:hAnsi="仿宋_GB2312" w:cs="仿宋_GB2312" w:hint="eastAsia"/>
          <w:color w:val="000000"/>
          <w:kern w:val="0"/>
          <w:sz w:val="28"/>
          <w:szCs w:val="28"/>
        </w:rPr>
        <w:t>年在线庭审率、民商事案件电子送达裁判文书比均同比大幅提升，</w:t>
      </w:r>
      <w:r w:rsidR="00CB7802" w:rsidRPr="00CB7802">
        <w:rPr>
          <w:rFonts w:ascii="仿宋_GB2312" w:eastAsia="仿宋_GB2312" w:hAnsi="仿宋_GB2312" w:cs="仿宋_GB2312" w:hint="eastAsia"/>
          <w:color w:val="000000"/>
          <w:kern w:val="0"/>
          <w:sz w:val="28"/>
          <w:szCs w:val="28"/>
        </w:rPr>
        <w:t>电子送达覆盖率达到64.07%，在线庭审率达到81.77%，在避免人员聚集的同时，降低了当事人的诉讼成本</w:t>
      </w:r>
      <w:r w:rsidR="008407ED">
        <w:rPr>
          <w:rFonts w:ascii="仿宋_GB2312" w:eastAsia="仿宋_GB2312" w:hAnsi="仿宋_GB2312" w:cs="仿宋_GB2312" w:hint="eastAsia"/>
          <w:color w:val="000000"/>
          <w:kern w:val="0"/>
          <w:sz w:val="28"/>
          <w:szCs w:val="28"/>
        </w:rPr>
        <w:t>。</w:t>
      </w:r>
    </w:p>
    <w:p w:rsidR="00021229" w:rsidRDefault="00093E8E" w:rsidP="00021229">
      <w:pPr>
        <w:pStyle w:val="a0"/>
        <w:ind w:firstLine="56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（3）</w:t>
      </w:r>
      <w:r w:rsidR="00021229" w:rsidRPr="000109A7">
        <w:rPr>
          <w:rFonts w:ascii="仿宋_GB2312" w:eastAsia="仿宋_GB2312" w:hAnsi="仿宋_GB2312" w:cs="仿宋_GB2312" w:hint="eastAsia"/>
          <w:color w:val="000000"/>
          <w:kern w:val="0"/>
          <w:sz w:val="28"/>
          <w:szCs w:val="28"/>
        </w:rPr>
        <w:t>加强法治宣传</w:t>
      </w:r>
      <w:r w:rsidR="00021229">
        <w:rPr>
          <w:rFonts w:ascii="仿宋_GB2312" w:eastAsia="仿宋_GB2312" w:hAnsi="仿宋_GB2312" w:cs="仿宋_GB2312" w:hint="eastAsia"/>
          <w:color w:val="000000"/>
          <w:kern w:val="0"/>
          <w:sz w:val="28"/>
          <w:szCs w:val="28"/>
        </w:rPr>
        <w:t>：</w:t>
      </w:r>
    </w:p>
    <w:p w:rsidR="00021229" w:rsidRPr="00912E90" w:rsidRDefault="00CB7802" w:rsidP="00CB7802">
      <w:pPr>
        <w:pStyle w:val="a0"/>
        <w:ind w:firstLine="560"/>
        <w:rPr>
          <w:rFonts w:ascii="仿宋_GB2312" w:eastAsia="仿宋_GB2312" w:hAnsi="仿宋_GB2312" w:cs="仿宋_GB2312"/>
          <w:color w:val="000000"/>
          <w:kern w:val="0"/>
          <w:sz w:val="28"/>
          <w:szCs w:val="28"/>
        </w:rPr>
      </w:pPr>
      <w:r w:rsidRPr="00CB7802">
        <w:rPr>
          <w:rFonts w:ascii="仿宋_GB2312" w:eastAsia="仿宋_GB2312" w:hAnsi="仿宋_GB2312" w:cs="仿宋_GB2312" w:hint="eastAsia"/>
          <w:color w:val="000000"/>
          <w:kern w:val="0"/>
          <w:sz w:val="28"/>
          <w:szCs w:val="28"/>
        </w:rPr>
        <w:t>以群众法治需求为导向，全面落实“谁执法谁普法”普法责任制，不断加大司法公开力度。坚持以案释法主动发声，组织重大案事件宣传活动20余场，召开涉宅基地权属争议等典型案例新闻通报会6场，央视《今日说法》《一线》及北京电视台等多家媒体报道我院执行工作130余期，执行干警实名注册视频号发布案例作品28期，累计播放量5000万次，被网民点赞称“中国好法官”。把握群众需求精准普法，疫情期间发布《线上“找”法院攻略》，就网上立案、司法确认等推出“线场”直播系列普法栏目；围绕养老诈骗、住房租赁等百姓关注热点，依托“普法巴士”“小乐说法”等品牌开展订单式精准普法82场；拍摄微电影《速裁先锋》荣获第九届亚洲微电影艺术节“最佳作品奖”；完成北京法院首批“普法驿站”进景区、进机关、进学校三地同步挂牌，成立“房法爱心团队”普法志愿服务队，助力增强全民法治观念。</w:t>
      </w:r>
    </w:p>
    <w:p w:rsidR="00021229" w:rsidRDefault="00093E8E" w:rsidP="00021229">
      <w:pPr>
        <w:spacing w:line="580" w:lineRule="exact"/>
        <w:ind w:leftChars="50" w:left="105" w:firstLineChars="150" w:firstLine="42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3</w:t>
      </w:r>
      <w:r>
        <w:rPr>
          <w:rFonts w:ascii="仿宋_GB2312" w:eastAsia="仿宋_GB2312" w:hAnsi="仿宋_GB2312" w:cs="仿宋_GB2312"/>
          <w:color w:val="000000"/>
          <w:kern w:val="0"/>
          <w:sz w:val="28"/>
          <w:szCs w:val="28"/>
        </w:rPr>
        <w:t>.</w:t>
      </w:r>
      <w:r w:rsidR="00021229">
        <w:rPr>
          <w:rFonts w:ascii="仿宋_GB2312" w:eastAsia="仿宋_GB2312" w:hAnsi="仿宋_GB2312" w:cs="仿宋_GB2312" w:hint="eastAsia"/>
          <w:color w:val="000000"/>
          <w:kern w:val="0"/>
          <w:sz w:val="28"/>
          <w:szCs w:val="28"/>
        </w:rPr>
        <w:t>产出进度：</w:t>
      </w:r>
      <w:r w:rsidR="00021229" w:rsidRPr="00912E90">
        <w:rPr>
          <w:rFonts w:ascii="仿宋_GB2312" w:eastAsia="仿宋_GB2312" w:hAnsi="仿宋_GB2312" w:cs="仿宋_GB2312" w:hint="eastAsia"/>
          <w:color w:val="000000"/>
          <w:kern w:val="0"/>
          <w:sz w:val="28"/>
          <w:szCs w:val="28"/>
        </w:rPr>
        <w:t>年内如期完成</w:t>
      </w:r>
      <w:r w:rsidR="00021229">
        <w:rPr>
          <w:rFonts w:ascii="仿宋_GB2312" w:eastAsia="仿宋_GB2312" w:hAnsi="仿宋_GB2312" w:cs="仿宋_GB2312" w:hint="eastAsia"/>
          <w:color w:val="000000"/>
          <w:kern w:val="0"/>
          <w:sz w:val="28"/>
          <w:szCs w:val="28"/>
        </w:rPr>
        <w:t>。</w:t>
      </w:r>
    </w:p>
    <w:p w:rsidR="00021229" w:rsidRPr="00EE392D" w:rsidRDefault="00093E8E" w:rsidP="00021229">
      <w:pPr>
        <w:pStyle w:val="a0"/>
        <w:ind w:firstLine="560"/>
      </w:pPr>
      <w:r>
        <w:rPr>
          <w:rFonts w:ascii="仿宋_GB2312" w:eastAsia="仿宋_GB2312" w:hAnsi="仿宋_GB2312" w:cs="仿宋_GB2312" w:hint="eastAsia"/>
          <w:color w:val="000000"/>
          <w:kern w:val="0"/>
          <w:sz w:val="28"/>
          <w:szCs w:val="28"/>
        </w:rPr>
        <w:lastRenderedPageBreak/>
        <w:t>4</w:t>
      </w:r>
      <w:r>
        <w:rPr>
          <w:rFonts w:ascii="仿宋_GB2312" w:eastAsia="仿宋_GB2312" w:hAnsi="仿宋_GB2312" w:cs="仿宋_GB2312"/>
          <w:color w:val="000000"/>
          <w:kern w:val="0"/>
          <w:sz w:val="28"/>
          <w:szCs w:val="28"/>
        </w:rPr>
        <w:t>.</w:t>
      </w:r>
      <w:r w:rsidR="00021229">
        <w:rPr>
          <w:rFonts w:ascii="仿宋_GB2312" w:eastAsia="仿宋_GB2312" w:hAnsi="仿宋_GB2312" w:cs="仿宋_GB2312" w:hint="eastAsia"/>
          <w:color w:val="000000"/>
          <w:kern w:val="0"/>
          <w:sz w:val="28"/>
          <w:szCs w:val="28"/>
        </w:rPr>
        <w:t>产出成本 :</w:t>
      </w:r>
      <w:r w:rsidR="00CB7802">
        <w:rPr>
          <w:rFonts w:ascii="仿宋_GB2312" w:eastAsia="仿宋_GB2312" w:hAnsi="仿宋_GB2312" w:cs="仿宋_GB2312" w:hint="eastAsia"/>
          <w:color w:val="000000"/>
          <w:kern w:val="0"/>
          <w:sz w:val="28"/>
          <w:szCs w:val="28"/>
        </w:rPr>
        <w:t>按年度预算完成。</w:t>
      </w:r>
    </w:p>
    <w:p w:rsidR="00021229" w:rsidRDefault="00093E8E" w:rsidP="00021229">
      <w:pPr>
        <w:spacing w:line="580" w:lineRule="exact"/>
        <w:ind w:leftChars="50" w:left="105" w:firstLineChars="150" w:firstLine="420"/>
        <w:rPr>
          <w:rFonts w:ascii="仿宋_GB2312" w:eastAsia="仿宋_GB2312" w:hAnsi="仿宋_GB2312" w:cs="仿宋_GB2312"/>
          <w:sz w:val="28"/>
          <w:szCs w:val="28"/>
        </w:rPr>
      </w:pPr>
      <w:r>
        <w:rPr>
          <w:rFonts w:ascii="仿宋_GB2312" w:eastAsia="仿宋_GB2312" w:hAnsi="仿宋_GB2312" w:cs="仿宋_GB2312" w:hint="eastAsia"/>
          <w:sz w:val="28"/>
          <w:szCs w:val="28"/>
        </w:rPr>
        <w:t>（二）</w:t>
      </w:r>
      <w:r w:rsidR="00021229">
        <w:rPr>
          <w:rFonts w:ascii="仿宋_GB2312" w:eastAsia="仿宋_GB2312" w:hAnsi="仿宋_GB2312" w:cs="仿宋_GB2312" w:hint="eastAsia"/>
          <w:sz w:val="28"/>
          <w:szCs w:val="28"/>
        </w:rPr>
        <w:t>效果实现情况分析</w:t>
      </w:r>
    </w:p>
    <w:p w:rsidR="00021229" w:rsidRPr="00EE392D" w:rsidRDefault="00093E8E" w:rsidP="00021229">
      <w:pPr>
        <w:spacing w:line="580" w:lineRule="exact"/>
        <w:ind w:leftChars="50" w:left="105" w:firstLineChars="150" w:firstLine="42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1</w:t>
      </w:r>
      <w:r>
        <w:rPr>
          <w:rFonts w:ascii="仿宋_GB2312" w:eastAsia="仿宋_GB2312" w:hAnsi="仿宋_GB2312" w:cs="仿宋_GB2312"/>
          <w:color w:val="000000"/>
          <w:kern w:val="0"/>
          <w:sz w:val="28"/>
          <w:szCs w:val="28"/>
        </w:rPr>
        <w:t>.</w:t>
      </w:r>
      <w:r w:rsidR="00021229">
        <w:rPr>
          <w:rFonts w:ascii="仿宋_GB2312" w:eastAsia="仿宋_GB2312" w:hAnsi="仿宋_GB2312" w:cs="仿宋_GB2312" w:hint="eastAsia"/>
          <w:color w:val="000000"/>
          <w:kern w:val="0"/>
          <w:sz w:val="28"/>
          <w:szCs w:val="28"/>
        </w:rPr>
        <w:t>经济效益：不涉及。</w:t>
      </w:r>
    </w:p>
    <w:p w:rsidR="00C23D1D" w:rsidRPr="00C23D1D" w:rsidRDefault="00093E8E" w:rsidP="00C23D1D">
      <w:pPr>
        <w:spacing w:line="580" w:lineRule="exact"/>
        <w:ind w:leftChars="50" w:left="105" w:firstLineChars="150" w:firstLine="42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2</w:t>
      </w:r>
      <w:r>
        <w:rPr>
          <w:rFonts w:ascii="仿宋_GB2312" w:eastAsia="仿宋_GB2312" w:hAnsi="仿宋_GB2312" w:cs="仿宋_GB2312"/>
          <w:color w:val="000000"/>
          <w:kern w:val="0"/>
          <w:sz w:val="28"/>
          <w:szCs w:val="28"/>
        </w:rPr>
        <w:t>.</w:t>
      </w:r>
      <w:r w:rsidR="00021229">
        <w:rPr>
          <w:rFonts w:ascii="仿宋_GB2312" w:eastAsia="仿宋_GB2312" w:hAnsi="仿宋_GB2312" w:cs="仿宋_GB2312" w:hint="eastAsia"/>
          <w:color w:val="000000"/>
          <w:kern w:val="0"/>
          <w:sz w:val="28"/>
          <w:szCs w:val="28"/>
        </w:rPr>
        <w:t>社会效益：</w:t>
      </w:r>
      <w:r w:rsidR="0097279E" w:rsidRPr="0097279E">
        <w:rPr>
          <w:rFonts w:ascii="仿宋_GB2312" w:eastAsia="仿宋_GB2312" w:hAnsi="仿宋_GB2312" w:cs="仿宋_GB2312" w:hint="eastAsia"/>
          <w:color w:val="000000"/>
          <w:kern w:val="0"/>
          <w:sz w:val="28"/>
          <w:szCs w:val="28"/>
        </w:rPr>
        <w:t>高质效审结商事案件8000余件，充分保护市场主体合法权益。采取分期付款调解、“放水养鱼”执行等方法化解150余起企业合同纠纷，盘活企业资产；运用商事案件庭前会议制度，15日内促成总价款1430万元买卖合同纠纷调解。开展“优化营商环境宣传月”活动，赴重点企业实地普法10余次，走访联络“服务包”企业，现场组织解决8项诉求，助企纾困解难。完善《优化营商环境立审执工作指引》，“一网通办”“一站式服务”推进诉讼全流程提速增效。在市发改委发布的2022年北京市区级营商环境评价中民商事案件立案时间获全市最佳表现，在全市基层法院优化营商环境考核中排名第一；2023年民商事案件平均审理时间优于全市法院平均水平45天，首次执行案件平均用时指标排名全市法院第一，用高效便捷的司法服务助力区域营商环境进一步优化。</w:t>
      </w:r>
    </w:p>
    <w:p w:rsidR="00C23D1D" w:rsidRPr="00C23D1D" w:rsidRDefault="0097279E" w:rsidP="0097279E">
      <w:pPr>
        <w:spacing w:line="580" w:lineRule="exact"/>
        <w:ind w:leftChars="50" w:left="105" w:firstLineChars="200" w:firstLine="560"/>
        <w:rPr>
          <w:rFonts w:ascii="仿宋_GB2312" w:eastAsia="仿宋_GB2312" w:hAnsi="仿宋_GB2312" w:cs="仿宋_GB2312"/>
          <w:color w:val="000000"/>
          <w:kern w:val="0"/>
          <w:sz w:val="28"/>
          <w:szCs w:val="28"/>
        </w:rPr>
      </w:pPr>
      <w:r w:rsidRPr="0097279E">
        <w:rPr>
          <w:rFonts w:ascii="仿宋_GB2312" w:eastAsia="仿宋_GB2312" w:hAnsi="仿宋_GB2312" w:cs="仿宋_GB2312" w:hint="eastAsia"/>
          <w:color w:val="000000"/>
          <w:kern w:val="0"/>
          <w:sz w:val="28"/>
          <w:szCs w:val="28"/>
        </w:rPr>
        <w:t>完善“预防为先、非诉挺前、诉讼托底”的解纷体系。加强与区“接诉即办”平台对接，在全市率先实现诉源治理需求响应街乡镇全覆盖，办理诉源治理工单2340件，排名全市法院第三，完成关于犬类管理的调研报告，被纳入市委接诉即办改革“每月一题”专项治理；加大非诉化解力度，加强“两中心”实体化运行，完善“一站式”多元解纷体系建设，诉前化解矛盾纠纷5570件，诉讼中以调解、和解等方式实质性化解纠纷6899件，占同</w:t>
      </w:r>
      <w:r w:rsidRPr="0097279E">
        <w:rPr>
          <w:rFonts w:ascii="仿宋_GB2312" w:eastAsia="仿宋_GB2312" w:hAnsi="仿宋_GB2312" w:cs="仿宋_GB2312" w:hint="eastAsia"/>
          <w:color w:val="000000"/>
          <w:kern w:val="0"/>
          <w:sz w:val="28"/>
          <w:szCs w:val="28"/>
        </w:rPr>
        <w:lastRenderedPageBreak/>
        <w:t>期民事结案数近50%；完善“示范判决+司法确认+纠纷导回”的全程治理模式，类型案件治理成效继续保持全市基层法院第一，民事、行政万人成讼率指标排名全市各区第三；制定实施《督促生效裁判文书自动履行工作规范》，开通当事人自动履行账户，督促履行成功案件2200余件，履行金额1.46亿元，努力实现案结事了人和。</w:t>
      </w:r>
    </w:p>
    <w:p w:rsidR="00C23D1D" w:rsidRDefault="00093E8E" w:rsidP="00021229">
      <w:pPr>
        <w:spacing w:line="580" w:lineRule="exact"/>
        <w:ind w:leftChars="50" w:left="105" w:firstLineChars="150" w:firstLine="42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3</w:t>
      </w:r>
      <w:r>
        <w:rPr>
          <w:rFonts w:ascii="仿宋_GB2312" w:eastAsia="仿宋_GB2312" w:hAnsi="仿宋_GB2312" w:cs="仿宋_GB2312"/>
          <w:color w:val="000000"/>
          <w:kern w:val="0"/>
          <w:sz w:val="28"/>
          <w:szCs w:val="28"/>
        </w:rPr>
        <w:t>.</w:t>
      </w:r>
      <w:r w:rsidR="00021229">
        <w:rPr>
          <w:rFonts w:ascii="仿宋_GB2312" w:eastAsia="仿宋_GB2312" w:hAnsi="仿宋_GB2312" w:cs="仿宋_GB2312" w:hint="eastAsia"/>
          <w:color w:val="000000"/>
          <w:kern w:val="0"/>
          <w:sz w:val="28"/>
          <w:szCs w:val="28"/>
        </w:rPr>
        <w:t>环境效益：</w:t>
      </w:r>
      <w:r w:rsidR="00F02E67" w:rsidRPr="00F02E67">
        <w:rPr>
          <w:rFonts w:ascii="仿宋_GB2312" w:eastAsia="仿宋_GB2312" w:hAnsi="仿宋_GB2312" w:cs="仿宋_GB2312" w:hint="eastAsia"/>
          <w:color w:val="000000"/>
          <w:kern w:val="0"/>
          <w:sz w:val="28"/>
          <w:szCs w:val="28"/>
        </w:rPr>
        <w:t>做好涉“疏整促”专项行动及规自领域、环境污染专项治理等案件审执工作。严厉打击违法倾倒垃圾、破坏生态环境犯罪，妥善审结2起污染环境罪案件，依法从严判处9名被告人最高六年十个月有期徒刑；在周口店环境整治项目推进中，就93件涉某产业园行政赔偿案件先行作出5件示范性判决，统一赔偿标准，获区委、区政府主要领导批示肯定。在长沟法庭挂牌成立环境资源法庭，打造首批生态法治公园及普法驿站，发布环境资源审判十大典型案例，与周边5家法院签署审判协作协议，共同推进京津冀生态文明建设。</w:t>
      </w:r>
    </w:p>
    <w:p w:rsidR="00C23D1D" w:rsidRDefault="00093E8E" w:rsidP="00021229">
      <w:pPr>
        <w:spacing w:line="580" w:lineRule="exact"/>
        <w:ind w:leftChars="50" w:left="105" w:firstLineChars="150" w:firstLine="42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4</w:t>
      </w:r>
      <w:r>
        <w:rPr>
          <w:rFonts w:ascii="仿宋_GB2312" w:eastAsia="仿宋_GB2312" w:hAnsi="仿宋_GB2312" w:cs="仿宋_GB2312"/>
          <w:color w:val="000000"/>
          <w:kern w:val="0"/>
          <w:sz w:val="28"/>
          <w:szCs w:val="28"/>
        </w:rPr>
        <w:t>.</w:t>
      </w:r>
      <w:r w:rsidR="00021229">
        <w:rPr>
          <w:rFonts w:ascii="仿宋_GB2312" w:eastAsia="仿宋_GB2312" w:hAnsi="仿宋_GB2312" w:cs="仿宋_GB2312" w:hint="eastAsia"/>
          <w:color w:val="000000"/>
          <w:kern w:val="0"/>
          <w:sz w:val="28"/>
          <w:szCs w:val="28"/>
        </w:rPr>
        <w:t>可持续性影响</w:t>
      </w:r>
      <w:r w:rsidR="00141853">
        <w:rPr>
          <w:rFonts w:ascii="仿宋_GB2312" w:eastAsia="仿宋_GB2312" w:hAnsi="仿宋_GB2312" w:cs="仿宋_GB2312" w:hint="eastAsia"/>
          <w:color w:val="000000"/>
          <w:kern w:val="0"/>
          <w:sz w:val="28"/>
          <w:szCs w:val="28"/>
        </w:rPr>
        <w:t>：</w:t>
      </w:r>
      <w:r w:rsidR="00D51E25" w:rsidRPr="00D51E25">
        <w:rPr>
          <w:rFonts w:ascii="仿宋_GB2312" w:eastAsia="仿宋_GB2312" w:hAnsi="仿宋_GB2312" w:cs="仿宋_GB2312" w:hint="eastAsia"/>
          <w:color w:val="000000"/>
          <w:kern w:val="0"/>
          <w:sz w:val="28"/>
          <w:szCs w:val="28"/>
        </w:rPr>
        <w:t>主动融入基层社会治理格局，完善“一法庭一品牌”特色机制，构建“三全三化”法官工作站建设体系，推动人民法院调解平台“进乡村、进社区、进网格”，在矛盾易发多发领域或诉源治理需求强烈的地区运行43个法官工作站，加强与“平安好邻居”、“我来办”工作室对接，推动“无讼村居”建设。依靠基层力量，推动矛盾就地化解，联合村集体组织通过“诉前调解+督促履行”方式成功化解某村40余起土地租赁合同纠纷，引入建设工程商事纠纷调解委员会等“法律明白人”，就地调解农村房屋建设、邻里财产纠纷等200余件。法官深入村、社区开展巡回审判60余次，就地化解矛盾、以案释法，让群众零距离感受司法。发挥典型案例的价</w:t>
      </w:r>
      <w:r w:rsidR="00D51E25" w:rsidRPr="00D51E25">
        <w:rPr>
          <w:rFonts w:ascii="仿宋_GB2312" w:eastAsia="仿宋_GB2312" w:hAnsi="仿宋_GB2312" w:cs="仿宋_GB2312" w:hint="eastAsia"/>
          <w:color w:val="000000"/>
          <w:kern w:val="0"/>
          <w:sz w:val="28"/>
          <w:szCs w:val="28"/>
        </w:rPr>
        <w:lastRenderedPageBreak/>
        <w:t>值引导作用，召开弘扬社会主义核心价值观等典型案例新闻通报会6场，通报典型案例20个，审理的2起家事案件在央视《家事如天》栏目专题播出，23篇案例被《法治日报》《人民法院报》等中央级媒体整版或专栏报道，用群众听得懂的语言释法析理，让法治理念深入人心。</w:t>
      </w:r>
    </w:p>
    <w:p w:rsidR="00C23D1D" w:rsidRDefault="00093E8E" w:rsidP="00021229">
      <w:pPr>
        <w:spacing w:line="580" w:lineRule="exact"/>
        <w:ind w:leftChars="50" w:left="105" w:firstLineChars="150" w:firstLine="42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5</w:t>
      </w:r>
      <w:r>
        <w:rPr>
          <w:rFonts w:ascii="仿宋_GB2312" w:eastAsia="仿宋_GB2312" w:hAnsi="仿宋_GB2312" w:cs="仿宋_GB2312"/>
          <w:color w:val="000000"/>
          <w:kern w:val="0"/>
          <w:sz w:val="28"/>
          <w:szCs w:val="28"/>
        </w:rPr>
        <w:t>.</w:t>
      </w:r>
      <w:r w:rsidR="00021229">
        <w:rPr>
          <w:rFonts w:ascii="仿宋_GB2312" w:eastAsia="仿宋_GB2312" w:hAnsi="仿宋_GB2312" w:cs="仿宋_GB2312" w:hint="eastAsia"/>
          <w:color w:val="000000"/>
          <w:kern w:val="0"/>
          <w:sz w:val="28"/>
          <w:szCs w:val="28"/>
        </w:rPr>
        <w:t>服务对象满意度:</w:t>
      </w:r>
      <w:r w:rsidR="00E57E82" w:rsidRPr="00E57E82">
        <w:rPr>
          <w:rFonts w:hint="eastAsia"/>
        </w:rPr>
        <w:t xml:space="preserve"> </w:t>
      </w:r>
      <w:r w:rsidR="00E57E82" w:rsidRPr="00E57E82">
        <w:rPr>
          <w:rFonts w:ascii="仿宋_GB2312" w:eastAsia="仿宋_GB2312" w:hAnsi="仿宋_GB2312" w:cs="仿宋_GB2312" w:hint="eastAsia"/>
          <w:color w:val="000000"/>
          <w:kern w:val="0"/>
          <w:sz w:val="28"/>
          <w:szCs w:val="28"/>
        </w:rPr>
        <w:t>巩固深化政法队伍教育整顿成果。党组逐件听取“院长来信”事项办理情况汇报；制定《12345政法民声热线办理工作规范》，实施半年来党组成员每周办理12345工单共147件，中层干部每月轮流值守接听12368诉讼服务热线2600余通；执行局长接待日接待群众1100余人次；纪检督察部门回访律师130余人次。及时发现审执工作中不规范现象，立行立改，并举一反三，不断完善相应工作机制。在北京法院满意度评价中排名全市基层法院第四。</w:t>
      </w:r>
    </w:p>
    <w:p w:rsidR="00021229" w:rsidRPr="005D3252" w:rsidRDefault="00093E8E" w:rsidP="00021229">
      <w:pPr>
        <w:spacing w:line="580" w:lineRule="exact"/>
        <w:ind w:leftChars="50" w:left="105" w:firstLineChars="150" w:firstLine="42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四、</w:t>
      </w:r>
      <w:r w:rsidR="00021229">
        <w:rPr>
          <w:rFonts w:ascii="仿宋_GB2312" w:eastAsia="仿宋_GB2312" w:hAnsi="仿宋_GB2312" w:cs="仿宋_GB2312" w:hint="eastAsia"/>
          <w:color w:val="000000"/>
          <w:kern w:val="0"/>
          <w:sz w:val="28"/>
          <w:szCs w:val="28"/>
        </w:rPr>
        <w:t>预算管理情况分析</w:t>
      </w:r>
    </w:p>
    <w:p w:rsidR="00021229" w:rsidRDefault="00093E8E" w:rsidP="00021229">
      <w:pPr>
        <w:spacing w:line="580" w:lineRule="exact"/>
        <w:ind w:leftChars="50" w:left="105" w:firstLineChars="150" w:firstLine="420"/>
        <w:rPr>
          <w:rFonts w:ascii="仿宋_GB2312" w:eastAsia="仿宋_GB2312" w:hAnsi="仿宋_GB2312" w:cs="仿宋_GB2312"/>
          <w:sz w:val="28"/>
          <w:szCs w:val="28"/>
        </w:rPr>
      </w:pPr>
      <w:r>
        <w:rPr>
          <w:rFonts w:ascii="仿宋_GB2312" w:eastAsia="仿宋_GB2312" w:hAnsi="仿宋_GB2312" w:cs="仿宋_GB2312" w:hint="eastAsia"/>
          <w:sz w:val="28"/>
          <w:szCs w:val="28"/>
        </w:rPr>
        <w:t>（一）</w:t>
      </w:r>
      <w:r w:rsidR="00021229">
        <w:rPr>
          <w:rFonts w:ascii="仿宋_GB2312" w:eastAsia="仿宋_GB2312" w:hAnsi="仿宋_GB2312" w:cs="仿宋_GB2312" w:hint="eastAsia"/>
          <w:sz w:val="28"/>
          <w:szCs w:val="28"/>
        </w:rPr>
        <w:t>财务管理</w:t>
      </w:r>
    </w:p>
    <w:p w:rsidR="00021229" w:rsidRDefault="00093E8E" w:rsidP="00021229">
      <w:pPr>
        <w:spacing w:line="580" w:lineRule="exact"/>
        <w:ind w:leftChars="50" w:left="105" w:firstLineChars="150" w:firstLine="42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1</w:t>
      </w:r>
      <w:r>
        <w:rPr>
          <w:rFonts w:ascii="仿宋_GB2312" w:eastAsia="仿宋_GB2312" w:hAnsi="仿宋_GB2312" w:cs="仿宋_GB2312"/>
          <w:color w:val="000000"/>
          <w:kern w:val="0"/>
          <w:sz w:val="28"/>
          <w:szCs w:val="28"/>
        </w:rPr>
        <w:t>.</w:t>
      </w:r>
      <w:r w:rsidR="00021229">
        <w:rPr>
          <w:rFonts w:ascii="仿宋_GB2312" w:eastAsia="仿宋_GB2312" w:hAnsi="仿宋_GB2312" w:cs="仿宋_GB2312" w:hint="eastAsia"/>
          <w:color w:val="000000"/>
          <w:kern w:val="0"/>
          <w:sz w:val="28"/>
          <w:szCs w:val="28"/>
        </w:rPr>
        <w:t>财务管理制度健全性</w:t>
      </w:r>
    </w:p>
    <w:p w:rsidR="00021229" w:rsidRPr="005D3252" w:rsidRDefault="00021229" w:rsidP="00021229">
      <w:pPr>
        <w:pStyle w:val="a0"/>
        <w:ind w:firstLine="560"/>
      </w:pPr>
      <w:r w:rsidRPr="00084C91">
        <w:rPr>
          <w:rFonts w:ascii="仿宋_GB2312" w:eastAsia="仿宋_GB2312" w:hAnsi="仿宋_GB2312" w:cs="仿宋_GB2312" w:hint="eastAsia"/>
          <w:color w:val="000000"/>
          <w:kern w:val="0"/>
          <w:sz w:val="28"/>
          <w:szCs w:val="28"/>
        </w:rPr>
        <w:t>我院制定了《</w:t>
      </w:r>
      <w:r>
        <w:rPr>
          <w:rFonts w:ascii="仿宋_GB2312" w:eastAsia="仿宋_GB2312" w:hAnsi="仿宋_GB2312" w:cs="仿宋_GB2312" w:hint="eastAsia"/>
          <w:color w:val="000000"/>
          <w:kern w:val="0"/>
          <w:sz w:val="28"/>
          <w:szCs w:val="28"/>
        </w:rPr>
        <w:t>北京市房山区人民法院内部控制手册</w:t>
      </w:r>
      <w:r w:rsidRPr="00084C91">
        <w:rPr>
          <w:rFonts w:ascii="仿宋_GB2312" w:eastAsia="仿宋_GB2312" w:hAnsi="仿宋_GB2312" w:cs="仿宋_GB2312" w:hint="eastAsia"/>
          <w:color w:val="000000"/>
          <w:kern w:val="0"/>
          <w:sz w:val="28"/>
          <w:szCs w:val="28"/>
        </w:rPr>
        <w:t>》</w:t>
      </w:r>
      <w:r>
        <w:rPr>
          <w:rFonts w:ascii="仿宋_GB2312" w:eastAsia="仿宋_GB2312" w:hAnsi="仿宋_GB2312" w:cs="仿宋_GB2312" w:hint="eastAsia"/>
          <w:color w:val="000000"/>
          <w:kern w:val="0"/>
          <w:sz w:val="28"/>
          <w:szCs w:val="28"/>
        </w:rPr>
        <w:t>及</w:t>
      </w:r>
      <w:r w:rsidRPr="00084C91">
        <w:rPr>
          <w:rFonts w:ascii="仿宋_GB2312" w:eastAsia="仿宋_GB2312" w:hAnsi="仿宋_GB2312" w:cs="仿宋_GB2312" w:hint="eastAsia"/>
          <w:color w:val="000000"/>
          <w:kern w:val="0"/>
          <w:sz w:val="28"/>
          <w:szCs w:val="28"/>
        </w:rPr>
        <w:t>《</w:t>
      </w:r>
      <w:r>
        <w:rPr>
          <w:rFonts w:ascii="仿宋_GB2312" w:eastAsia="仿宋_GB2312" w:hAnsi="仿宋_GB2312" w:cs="仿宋_GB2312" w:hint="eastAsia"/>
          <w:color w:val="000000"/>
          <w:kern w:val="0"/>
          <w:sz w:val="28"/>
          <w:szCs w:val="28"/>
        </w:rPr>
        <w:t>北京市房山区人民法院管理制度汇编</w:t>
      </w:r>
      <w:r w:rsidRPr="00084C91">
        <w:rPr>
          <w:rFonts w:ascii="仿宋_GB2312" w:eastAsia="仿宋_GB2312" w:hAnsi="仿宋_GB2312" w:cs="仿宋_GB2312" w:hint="eastAsia"/>
          <w:color w:val="000000"/>
          <w:kern w:val="0"/>
          <w:sz w:val="28"/>
          <w:szCs w:val="28"/>
        </w:rPr>
        <w:t>》</w:t>
      </w:r>
      <w:r>
        <w:rPr>
          <w:rFonts w:ascii="仿宋_GB2312" w:eastAsia="仿宋_GB2312" w:hAnsi="仿宋_GB2312" w:cs="仿宋_GB2312" w:hint="eastAsia"/>
          <w:color w:val="000000"/>
          <w:kern w:val="0"/>
          <w:sz w:val="28"/>
          <w:szCs w:val="28"/>
        </w:rPr>
        <w:t>，制度汇编包括预算内管理制度、收支管理制度、采购管理制度、资产管理制度、合同管理制度等</w:t>
      </w:r>
      <w:r w:rsidRPr="00084C91">
        <w:rPr>
          <w:rFonts w:ascii="仿宋_GB2312" w:eastAsia="仿宋_GB2312" w:hAnsi="仿宋_GB2312" w:cs="仿宋_GB2312" w:hint="eastAsia"/>
          <w:color w:val="000000"/>
          <w:kern w:val="0"/>
          <w:sz w:val="28"/>
          <w:szCs w:val="28"/>
        </w:rPr>
        <w:t>系列合法合规、较为完整的制度并严格遵照执行。</w:t>
      </w:r>
    </w:p>
    <w:p w:rsidR="00021229" w:rsidRDefault="00093E8E" w:rsidP="00021229">
      <w:pPr>
        <w:spacing w:line="580" w:lineRule="exact"/>
        <w:ind w:leftChars="50" w:left="105" w:firstLineChars="150" w:firstLine="42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lastRenderedPageBreak/>
        <w:t>2</w:t>
      </w:r>
      <w:r>
        <w:rPr>
          <w:rFonts w:ascii="仿宋_GB2312" w:eastAsia="仿宋_GB2312" w:hAnsi="仿宋_GB2312" w:cs="仿宋_GB2312"/>
          <w:color w:val="000000"/>
          <w:kern w:val="0"/>
          <w:sz w:val="28"/>
          <w:szCs w:val="28"/>
        </w:rPr>
        <w:t>.</w:t>
      </w:r>
      <w:r w:rsidR="00021229">
        <w:rPr>
          <w:rFonts w:ascii="仿宋_GB2312" w:eastAsia="仿宋_GB2312" w:hAnsi="仿宋_GB2312" w:cs="仿宋_GB2312" w:hint="eastAsia"/>
          <w:color w:val="000000"/>
          <w:kern w:val="0"/>
          <w:sz w:val="28"/>
          <w:szCs w:val="28"/>
        </w:rPr>
        <w:t>资金使用合规性和安全性</w:t>
      </w:r>
    </w:p>
    <w:p w:rsidR="00021229" w:rsidRPr="005D3252" w:rsidRDefault="00021229" w:rsidP="00021229">
      <w:pPr>
        <w:pStyle w:val="a0"/>
        <w:ind w:firstLine="560"/>
      </w:pPr>
      <w:r w:rsidRPr="00935662">
        <w:rPr>
          <w:rFonts w:ascii="仿宋_GB2312" w:eastAsia="仿宋_GB2312" w:hAnsi="仿宋_GB2312" w:cs="仿宋_GB2312" w:hint="eastAsia"/>
          <w:color w:val="000000"/>
          <w:kern w:val="0"/>
          <w:sz w:val="28"/>
          <w:szCs w:val="28"/>
        </w:rPr>
        <w:t>资金的支付符合国家财经法规和财务管理制度规定以及有关专项资金管理办法的规定；资金拨付有完整的审批程序和手续；经费支出符合部门预算批复的用途；资金使用无截留、挪用、虚列支出等情况；资金使用符合政府采购的程序和流程；资金使用符合公务卡结算相关制度和规定。</w:t>
      </w:r>
    </w:p>
    <w:p w:rsidR="00021229" w:rsidRDefault="00093E8E" w:rsidP="00021229">
      <w:pPr>
        <w:spacing w:line="580" w:lineRule="exact"/>
        <w:ind w:leftChars="50" w:left="105" w:firstLineChars="150" w:firstLine="42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3</w:t>
      </w:r>
      <w:r>
        <w:rPr>
          <w:rFonts w:ascii="仿宋_GB2312" w:eastAsia="仿宋_GB2312" w:hAnsi="仿宋_GB2312" w:cs="仿宋_GB2312"/>
          <w:color w:val="000000"/>
          <w:kern w:val="0"/>
          <w:sz w:val="28"/>
          <w:szCs w:val="28"/>
        </w:rPr>
        <w:t>.</w:t>
      </w:r>
      <w:r w:rsidR="00021229">
        <w:rPr>
          <w:rFonts w:ascii="仿宋_GB2312" w:eastAsia="仿宋_GB2312" w:hAnsi="仿宋_GB2312" w:cs="仿宋_GB2312" w:hint="eastAsia"/>
          <w:color w:val="000000"/>
          <w:kern w:val="0"/>
          <w:sz w:val="28"/>
          <w:szCs w:val="28"/>
        </w:rPr>
        <w:t>会计基础信息完善性</w:t>
      </w:r>
    </w:p>
    <w:p w:rsidR="00021229" w:rsidRPr="005D3252" w:rsidRDefault="00021229" w:rsidP="00021229">
      <w:pPr>
        <w:pStyle w:val="a0"/>
        <w:ind w:firstLine="560"/>
      </w:pPr>
      <w:r w:rsidRPr="00FB4A9A">
        <w:rPr>
          <w:rFonts w:ascii="仿宋_GB2312" w:eastAsia="仿宋_GB2312" w:hAnsi="仿宋_GB2312" w:cs="仿宋_GB2312" w:hint="eastAsia"/>
          <w:color w:val="000000"/>
          <w:kern w:val="0"/>
          <w:sz w:val="28"/>
          <w:szCs w:val="28"/>
        </w:rPr>
        <w:t>基础数据信息和会计信息资料真实、完整、准确，会计信息与财务账簿、会计凭证相符。</w:t>
      </w:r>
    </w:p>
    <w:p w:rsidR="00021229" w:rsidRDefault="00093E8E" w:rsidP="00021229">
      <w:pPr>
        <w:spacing w:line="580" w:lineRule="exact"/>
        <w:ind w:leftChars="50" w:left="105" w:firstLineChars="150" w:firstLine="420"/>
        <w:rPr>
          <w:rFonts w:ascii="仿宋_GB2312" w:eastAsia="仿宋_GB2312" w:hAnsi="仿宋_GB2312" w:cs="仿宋_GB2312"/>
          <w:sz w:val="28"/>
          <w:szCs w:val="28"/>
        </w:rPr>
      </w:pPr>
      <w:r>
        <w:rPr>
          <w:rFonts w:ascii="仿宋_GB2312" w:eastAsia="仿宋_GB2312" w:hAnsi="仿宋_GB2312" w:cs="仿宋_GB2312" w:hint="eastAsia"/>
          <w:sz w:val="28"/>
          <w:szCs w:val="28"/>
        </w:rPr>
        <w:t>（二）</w:t>
      </w:r>
      <w:r w:rsidR="00021229">
        <w:rPr>
          <w:rFonts w:ascii="仿宋_GB2312" w:eastAsia="仿宋_GB2312" w:hAnsi="仿宋_GB2312" w:cs="仿宋_GB2312" w:hint="eastAsia"/>
          <w:sz w:val="28"/>
          <w:szCs w:val="28"/>
        </w:rPr>
        <w:t>资产管理</w:t>
      </w:r>
    </w:p>
    <w:p w:rsidR="00021229" w:rsidRDefault="00021229" w:rsidP="00021229">
      <w:pPr>
        <w:pStyle w:val="a0"/>
        <w:ind w:firstLine="560"/>
        <w:rPr>
          <w:rFonts w:ascii="仿宋_GB2312" w:eastAsia="仿宋_GB2312" w:hAnsi="仿宋_GB2312" w:cs="仿宋_GB2312"/>
          <w:color w:val="000000"/>
          <w:kern w:val="0"/>
          <w:sz w:val="28"/>
          <w:szCs w:val="28"/>
        </w:rPr>
      </w:pPr>
      <w:r w:rsidRPr="00935662">
        <w:rPr>
          <w:rFonts w:ascii="仿宋_GB2312" w:eastAsia="仿宋_GB2312" w:hAnsi="仿宋_GB2312" w:cs="仿宋_GB2312" w:hint="eastAsia"/>
          <w:color w:val="000000"/>
          <w:kern w:val="0"/>
          <w:sz w:val="28"/>
          <w:szCs w:val="28"/>
        </w:rPr>
        <w:t>区法院制定了固定资产管理制度，财务科负责建立固定资产总账、分类账、明细账，技术科负责建立固定资产卡片，详细记载了固定资产的名称、类别、编号、规格、型号、购置日期、使用部门。</w:t>
      </w:r>
    </w:p>
    <w:p w:rsidR="00021229" w:rsidRPr="005D3252" w:rsidRDefault="00021229" w:rsidP="00021229">
      <w:pPr>
        <w:pStyle w:val="a0"/>
        <w:ind w:firstLine="560"/>
      </w:pPr>
      <w:r w:rsidRPr="00935662">
        <w:rPr>
          <w:rFonts w:ascii="仿宋_GB2312" w:eastAsia="仿宋_GB2312" w:hAnsi="仿宋_GB2312" w:cs="仿宋_GB2312" w:hint="eastAsia"/>
          <w:color w:val="000000"/>
          <w:kern w:val="0"/>
          <w:sz w:val="28"/>
          <w:szCs w:val="28"/>
        </w:rPr>
        <w:t>由技术科负责固定资产的管理工作，专人负责资产管理系统，办理资产的验收入库、调出、报废、更新等事宜。</w:t>
      </w:r>
    </w:p>
    <w:p w:rsidR="00021229" w:rsidRDefault="00093E8E" w:rsidP="00021229">
      <w:pPr>
        <w:spacing w:line="580" w:lineRule="exact"/>
        <w:ind w:leftChars="50" w:left="105" w:firstLineChars="150" w:firstLine="420"/>
        <w:rPr>
          <w:rFonts w:ascii="仿宋_GB2312" w:eastAsia="仿宋_GB2312" w:hAnsi="仿宋_GB2312" w:cs="仿宋_GB2312"/>
          <w:sz w:val="28"/>
          <w:szCs w:val="28"/>
        </w:rPr>
      </w:pPr>
      <w:r>
        <w:rPr>
          <w:rFonts w:ascii="仿宋_GB2312" w:eastAsia="仿宋_GB2312" w:hAnsi="仿宋_GB2312" w:cs="仿宋_GB2312" w:hint="eastAsia"/>
          <w:sz w:val="28"/>
          <w:szCs w:val="28"/>
        </w:rPr>
        <w:t>（三）</w:t>
      </w:r>
      <w:r w:rsidR="00021229">
        <w:rPr>
          <w:rFonts w:ascii="仿宋_GB2312" w:eastAsia="仿宋_GB2312" w:hAnsi="仿宋_GB2312" w:cs="仿宋_GB2312" w:hint="eastAsia"/>
          <w:sz w:val="28"/>
          <w:szCs w:val="28"/>
        </w:rPr>
        <w:t>绩效管理</w:t>
      </w:r>
    </w:p>
    <w:p w:rsidR="00021229" w:rsidRPr="005D3252" w:rsidRDefault="00021229" w:rsidP="00021229">
      <w:pPr>
        <w:pStyle w:val="a0"/>
        <w:ind w:firstLine="560"/>
      </w:pPr>
      <w:r>
        <w:rPr>
          <w:rFonts w:ascii="仿宋_GB2312" w:eastAsia="仿宋_GB2312" w:hAnsi="仿宋_GB2312" w:cs="仿宋_GB2312" w:hint="eastAsia"/>
          <w:color w:val="000000"/>
          <w:kern w:val="0"/>
          <w:sz w:val="28"/>
          <w:szCs w:val="28"/>
        </w:rPr>
        <w:t>本单位共</w:t>
      </w:r>
      <w:r w:rsidR="00734D9A">
        <w:rPr>
          <w:rFonts w:ascii="仿宋_GB2312" w:eastAsia="仿宋_GB2312" w:hAnsi="仿宋_GB2312" w:cs="仿宋_GB2312" w:hint="eastAsia"/>
          <w:color w:val="000000"/>
          <w:kern w:val="0"/>
          <w:sz w:val="28"/>
          <w:szCs w:val="28"/>
        </w:rPr>
        <w:t>1</w:t>
      </w:r>
      <w:r w:rsidR="00D51E25">
        <w:rPr>
          <w:rFonts w:ascii="仿宋_GB2312" w:eastAsia="仿宋_GB2312" w:hAnsi="仿宋_GB2312" w:cs="仿宋_GB2312" w:hint="eastAsia"/>
          <w:color w:val="000000"/>
          <w:kern w:val="0"/>
          <w:sz w:val="28"/>
          <w:szCs w:val="28"/>
        </w:rPr>
        <w:t>3</w:t>
      </w:r>
      <w:r>
        <w:rPr>
          <w:rFonts w:ascii="仿宋_GB2312" w:eastAsia="仿宋_GB2312" w:hAnsi="仿宋_GB2312" w:cs="仿宋_GB2312" w:hint="eastAsia"/>
          <w:color w:val="000000"/>
          <w:kern w:val="0"/>
          <w:sz w:val="28"/>
          <w:szCs w:val="28"/>
        </w:rPr>
        <w:t>个项目实施绩效评价，涉及金额</w:t>
      </w:r>
      <w:r w:rsidR="00D51E25">
        <w:rPr>
          <w:rFonts w:ascii="仿宋_GB2312" w:eastAsia="仿宋_GB2312" w:hAnsi="仿宋_GB2312" w:cs="仿宋_GB2312" w:hint="eastAsia"/>
          <w:color w:val="000000"/>
          <w:kern w:val="0"/>
          <w:sz w:val="28"/>
          <w:szCs w:val="28"/>
        </w:rPr>
        <w:t>4707.94万</w:t>
      </w:r>
      <w:r>
        <w:rPr>
          <w:rFonts w:ascii="仿宋_GB2312" w:eastAsia="仿宋_GB2312" w:hAnsi="仿宋_GB2312" w:cs="仿宋_GB2312" w:hint="eastAsia"/>
          <w:color w:val="000000"/>
          <w:kern w:val="0"/>
          <w:sz w:val="28"/>
          <w:szCs w:val="28"/>
        </w:rPr>
        <w:t>元。</w:t>
      </w:r>
      <w:r w:rsidRPr="00677BE7">
        <w:rPr>
          <w:rFonts w:ascii="仿宋_GB2312" w:eastAsia="仿宋_GB2312" w:hAnsi="仿宋_GB2312" w:cs="仿宋_GB2312" w:hint="eastAsia"/>
          <w:color w:val="000000"/>
          <w:kern w:val="0"/>
          <w:sz w:val="28"/>
          <w:szCs w:val="28"/>
        </w:rPr>
        <w:t>及时对绩效信息进行汇总分析整理</w:t>
      </w:r>
      <w:r>
        <w:rPr>
          <w:rFonts w:ascii="仿宋_GB2312" w:eastAsia="仿宋_GB2312" w:hAnsi="仿宋_GB2312" w:cs="仿宋_GB2312" w:hint="eastAsia"/>
          <w:color w:val="000000"/>
          <w:kern w:val="0"/>
          <w:sz w:val="28"/>
          <w:szCs w:val="28"/>
        </w:rPr>
        <w:t>。</w:t>
      </w:r>
    </w:p>
    <w:p w:rsidR="00021229" w:rsidRDefault="00093E8E" w:rsidP="00021229">
      <w:pPr>
        <w:spacing w:line="580" w:lineRule="exact"/>
        <w:ind w:leftChars="50" w:left="105" w:firstLineChars="150" w:firstLine="420"/>
        <w:rPr>
          <w:rFonts w:ascii="仿宋_GB2312" w:eastAsia="仿宋_GB2312" w:hAnsi="仿宋_GB2312" w:cs="仿宋_GB2312"/>
          <w:sz w:val="28"/>
          <w:szCs w:val="28"/>
        </w:rPr>
      </w:pPr>
      <w:r>
        <w:rPr>
          <w:rFonts w:ascii="仿宋_GB2312" w:eastAsia="仿宋_GB2312" w:hAnsi="仿宋_GB2312" w:cs="仿宋_GB2312" w:hint="eastAsia"/>
          <w:sz w:val="28"/>
          <w:szCs w:val="28"/>
        </w:rPr>
        <w:t>（四）</w:t>
      </w:r>
      <w:r w:rsidR="00021229">
        <w:rPr>
          <w:rFonts w:ascii="仿宋_GB2312" w:eastAsia="仿宋_GB2312" w:hAnsi="仿宋_GB2312" w:cs="仿宋_GB2312" w:hint="eastAsia"/>
          <w:sz w:val="28"/>
          <w:szCs w:val="28"/>
        </w:rPr>
        <w:t>结转结余率</w:t>
      </w:r>
    </w:p>
    <w:p w:rsidR="000E07E0" w:rsidRPr="000E07E0" w:rsidRDefault="000E07E0" w:rsidP="000E07E0">
      <w:pPr>
        <w:pStyle w:val="a0"/>
        <w:ind w:firstLine="560"/>
      </w:pPr>
      <w:r>
        <w:rPr>
          <w:rFonts w:ascii="仿宋_GB2312" w:eastAsia="仿宋_GB2312" w:hAnsi="仿宋_GB2312" w:cs="仿宋_GB2312" w:hint="eastAsia"/>
          <w:sz w:val="28"/>
          <w:szCs w:val="28"/>
        </w:rPr>
        <w:lastRenderedPageBreak/>
        <w:t>202</w:t>
      </w:r>
      <w:r w:rsidR="0070017C">
        <w:rPr>
          <w:rFonts w:ascii="仿宋_GB2312" w:eastAsia="仿宋_GB2312" w:hAnsi="仿宋_GB2312" w:cs="仿宋_GB2312" w:hint="eastAsia"/>
          <w:sz w:val="28"/>
          <w:szCs w:val="28"/>
        </w:rPr>
        <w:t>3</w:t>
      </w:r>
      <w:r>
        <w:rPr>
          <w:rFonts w:ascii="仿宋_GB2312" w:eastAsia="仿宋_GB2312" w:hAnsi="仿宋_GB2312" w:cs="仿宋_GB2312" w:hint="eastAsia"/>
          <w:sz w:val="28"/>
          <w:szCs w:val="28"/>
        </w:rPr>
        <w:t>年北京市房山区人民法院预算</w:t>
      </w:r>
      <w:r w:rsidR="00734D9A">
        <w:rPr>
          <w:rFonts w:ascii="仿宋_GB2312" w:eastAsia="仿宋_GB2312" w:hAnsi="仿宋_GB2312" w:cs="仿宋_GB2312" w:hint="eastAsia"/>
          <w:sz w:val="28"/>
          <w:szCs w:val="28"/>
        </w:rPr>
        <w:t>数</w:t>
      </w:r>
      <w:r>
        <w:rPr>
          <w:rFonts w:ascii="仿宋_GB2312" w:eastAsia="仿宋_GB2312" w:hAnsi="仿宋_GB2312" w:cs="仿宋_GB2312" w:hint="eastAsia"/>
          <w:sz w:val="28"/>
          <w:szCs w:val="28"/>
        </w:rPr>
        <w:t>为</w:t>
      </w:r>
      <w:r w:rsidR="007A2F72">
        <w:rPr>
          <w:rFonts w:ascii="仿宋_GB2312" w:eastAsia="仿宋_GB2312" w:hAnsi="仿宋_GB2312" w:cs="仿宋_GB2312" w:hint="eastAsia"/>
          <w:sz w:val="28"/>
          <w:szCs w:val="28"/>
        </w:rPr>
        <w:t>25144.74</w:t>
      </w:r>
      <w:r>
        <w:rPr>
          <w:rFonts w:ascii="仿宋_GB2312" w:eastAsia="仿宋_GB2312" w:hAnsi="仿宋_GB2312" w:cs="仿宋_GB2312" w:hint="eastAsia"/>
          <w:sz w:val="28"/>
          <w:szCs w:val="28"/>
        </w:rPr>
        <w:t>万元，结转结余数为</w:t>
      </w:r>
      <w:r w:rsidR="007A2F72">
        <w:rPr>
          <w:rFonts w:ascii="仿宋_GB2312" w:eastAsia="仿宋_GB2312" w:hAnsi="仿宋_GB2312" w:cs="仿宋_GB2312" w:hint="eastAsia"/>
          <w:sz w:val="28"/>
          <w:szCs w:val="28"/>
        </w:rPr>
        <w:t>274.75</w:t>
      </w:r>
      <w:r>
        <w:rPr>
          <w:rFonts w:ascii="仿宋_GB2312" w:eastAsia="仿宋_GB2312" w:hAnsi="仿宋_GB2312" w:cs="仿宋_GB2312" w:hint="eastAsia"/>
          <w:sz w:val="28"/>
          <w:szCs w:val="28"/>
        </w:rPr>
        <w:t>万元，结转结余率为</w:t>
      </w:r>
      <w:r w:rsidR="007A2F72">
        <w:rPr>
          <w:rFonts w:ascii="仿宋_GB2312" w:eastAsia="仿宋_GB2312" w:hAnsi="仿宋_GB2312" w:cs="仿宋_GB2312" w:hint="eastAsia"/>
          <w:sz w:val="28"/>
          <w:szCs w:val="28"/>
        </w:rPr>
        <w:t>1.09</w:t>
      </w:r>
      <w:r>
        <w:rPr>
          <w:rFonts w:ascii="仿宋_GB2312" w:eastAsia="仿宋_GB2312" w:hAnsi="仿宋_GB2312" w:cs="仿宋_GB2312" w:hint="eastAsia"/>
          <w:sz w:val="28"/>
          <w:szCs w:val="28"/>
        </w:rPr>
        <w:t>%。</w:t>
      </w:r>
    </w:p>
    <w:p w:rsidR="00021229" w:rsidRDefault="00093E8E" w:rsidP="00021229">
      <w:pPr>
        <w:spacing w:line="580" w:lineRule="exact"/>
        <w:ind w:leftChars="50" w:left="105" w:firstLineChars="150" w:firstLine="420"/>
        <w:rPr>
          <w:rFonts w:ascii="仿宋_GB2312" w:eastAsia="仿宋_GB2312" w:hAnsi="仿宋_GB2312" w:cs="仿宋_GB2312"/>
          <w:sz w:val="28"/>
          <w:szCs w:val="28"/>
        </w:rPr>
      </w:pPr>
      <w:r>
        <w:rPr>
          <w:rFonts w:ascii="仿宋_GB2312" w:eastAsia="仿宋_GB2312" w:hAnsi="仿宋_GB2312" w:cs="仿宋_GB2312" w:hint="eastAsia"/>
          <w:sz w:val="28"/>
          <w:szCs w:val="28"/>
        </w:rPr>
        <w:t>（五）</w:t>
      </w:r>
      <w:r w:rsidR="00021229">
        <w:rPr>
          <w:rFonts w:ascii="仿宋_GB2312" w:eastAsia="仿宋_GB2312" w:hAnsi="仿宋_GB2312" w:cs="仿宋_GB2312" w:hint="eastAsia"/>
          <w:sz w:val="28"/>
          <w:szCs w:val="28"/>
        </w:rPr>
        <w:t>部门预决算差异率</w:t>
      </w:r>
    </w:p>
    <w:p w:rsidR="006475E4" w:rsidRDefault="000E07E0" w:rsidP="00021229">
      <w:pPr>
        <w:pStyle w:val="a0"/>
        <w:ind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202</w:t>
      </w:r>
      <w:r w:rsidR="00633633">
        <w:rPr>
          <w:rFonts w:ascii="仿宋_GB2312" w:eastAsia="仿宋_GB2312" w:hAnsi="仿宋_GB2312" w:cs="仿宋_GB2312" w:hint="eastAsia"/>
          <w:sz w:val="28"/>
          <w:szCs w:val="28"/>
        </w:rPr>
        <w:t>3</w:t>
      </w:r>
      <w:r>
        <w:rPr>
          <w:rFonts w:ascii="仿宋_GB2312" w:eastAsia="仿宋_GB2312" w:hAnsi="仿宋_GB2312" w:cs="仿宋_GB2312" w:hint="eastAsia"/>
          <w:sz w:val="28"/>
          <w:szCs w:val="28"/>
        </w:rPr>
        <w:t>年北京市房山区人民法院年初预算为</w:t>
      </w:r>
      <w:r w:rsidR="00633633">
        <w:rPr>
          <w:rFonts w:ascii="仿宋_GB2312" w:eastAsia="仿宋_GB2312" w:hAnsi="仿宋_GB2312" w:cs="仿宋_GB2312" w:hint="eastAsia"/>
          <w:sz w:val="28"/>
          <w:szCs w:val="28"/>
        </w:rPr>
        <w:t>25605.52</w:t>
      </w:r>
      <w:r>
        <w:rPr>
          <w:rFonts w:ascii="仿宋_GB2312" w:eastAsia="仿宋_GB2312" w:hAnsi="仿宋_GB2312" w:cs="仿宋_GB2312" w:hint="eastAsia"/>
          <w:sz w:val="28"/>
          <w:szCs w:val="28"/>
        </w:rPr>
        <w:t>万元，部门年度决算为</w:t>
      </w:r>
      <w:r w:rsidR="00633633">
        <w:rPr>
          <w:rFonts w:ascii="仿宋_GB2312" w:eastAsia="仿宋_GB2312" w:hAnsi="仿宋_GB2312" w:cs="仿宋_GB2312" w:hint="eastAsia"/>
          <w:sz w:val="28"/>
          <w:szCs w:val="28"/>
        </w:rPr>
        <w:t>25144.74</w:t>
      </w:r>
      <w:r>
        <w:rPr>
          <w:rFonts w:ascii="仿宋_GB2312" w:eastAsia="仿宋_GB2312" w:hAnsi="仿宋_GB2312" w:cs="仿宋_GB2312" w:hint="eastAsia"/>
          <w:sz w:val="28"/>
          <w:szCs w:val="28"/>
        </w:rPr>
        <w:t>万元，部门预决算差异率为</w:t>
      </w:r>
      <w:r w:rsidR="00633633">
        <w:rPr>
          <w:rFonts w:ascii="仿宋_GB2312" w:eastAsia="仿宋_GB2312" w:hAnsi="仿宋_GB2312" w:cs="仿宋_GB2312" w:hint="eastAsia"/>
          <w:sz w:val="28"/>
          <w:szCs w:val="28"/>
        </w:rPr>
        <w:t>1.83</w:t>
      </w:r>
      <w:r>
        <w:rPr>
          <w:rFonts w:ascii="仿宋_GB2312" w:eastAsia="仿宋_GB2312" w:hAnsi="仿宋_GB2312" w:cs="仿宋_GB2312" w:hint="eastAsia"/>
          <w:sz w:val="28"/>
          <w:szCs w:val="28"/>
        </w:rPr>
        <w:t>%，部门预决算差异率控制情况较好。</w:t>
      </w:r>
    </w:p>
    <w:p w:rsidR="00021229" w:rsidRDefault="00093E8E" w:rsidP="00021229">
      <w:pPr>
        <w:spacing w:line="580" w:lineRule="exact"/>
        <w:ind w:leftChars="50" w:left="105" w:firstLineChars="150" w:firstLine="420"/>
        <w:rPr>
          <w:rFonts w:ascii="仿宋_GB2312" w:eastAsia="仿宋_GB2312" w:hAnsi="仿宋_GB2312" w:cs="仿宋_GB2312"/>
          <w:sz w:val="28"/>
          <w:szCs w:val="28"/>
        </w:rPr>
      </w:pPr>
      <w:r>
        <w:rPr>
          <w:rFonts w:ascii="仿宋_GB2312" w:eastAsia="仿宋_GB2312" w:hAnsi="仿宋_GB2312" w:cs="仿宋_GB2312" w:hint="eastAsia"/>
          <w:sz w:val="28"/>
          <w:szCs w:val="28"/>
        </w:rPr>
        <w:t>五、</w:t>
      </w:r>
      <w:r w:rsidR="00021229">
        <w:rPr>
          <w:rFonts w:ascii="仿宋_GB2312" w:eastAsia="仿宋_GB2312" w:hAnsi="仿宋_GB2312" w:cs="仿宋_GB2312" w:hint="eastAsia"/>
          <w:sz w:val="28"/>
          <w:szCs w:val="28"/>
        </w:rPr>
        <w:t>总体评价结论</w:t>
      </w:r>
    </w:p>
    <w:p w:rsidR="00021229" w:rsidRDefault="00093E8E" w:rsidP="00021229">
      <w:pPr>
        <w:spacing w:line="580" w:lineRule="exact"/>
        <w:ind w:leftChars="50" w:left="105" w:firstLineChars="150" w:firstLine="420"/>
        <w:rPr>
          <w:rFonts w:ascii="仿宋_GB2312" w:eastAsia="仿宋_GB2312" w:hAnsi="仿宋_GB2312" w:cs="仿宋_GB2312"/>
          <w:sz w:val="28"/>
          <w:szCs w:val="28"/>
        </w:rPr>
      </w:pPr>
      <w:r>
        <w:rPr>
          <w:rFonts w:ascii="仿宋_GB2312" w:eastAsia="仿宋_GB2312" w:hAnsi="仿宋_GB2312" w:cs="仿宋_GB2312" w:hint="eastAsia"/>
          <w:sz w:val="28"/>
          <w:szCs w:val="28"/>
        </w:rPr>
        <w:t>（一）</w:t>
      </w:r>
      <w:r w:rsidR="00021229">
        <w:rPr>
          <w:rFonts w:ascii="仿宋_GB2312" w:eastAsia="仿宋_GB2312" w:hAnsi="仿宋_GB2312" w:cs="仿宋_GB2312" w:hint="eastAsia"/>
          <w:sz w:val="28"/>
          <w:szCs w:val="28"/>
        </w:rPr>
        <w:t>评价得分情况</w:t>
      </w:r>
    </w:p>
    <w:p w:rsidR="00021229" w:rsidRPr="005D3252" w:rsidRDefault="00021229" w:rsidP="00021229">
      <w:pPr>
        <w:pStyle w:val="a0"/>
        <w:ind w:firstLine="560"/>
      </w:pPr>
      <w:r w:rsidRPr="00B04C4D">
        <w:rPr>
          <w:rFonts w:ascii="仿宋_GB2312" w:eastAsia="仿宋_GB2312" w:hAnsi="仿宋_GB2312" w:cs="仿宋_GB2312" w:hint="eastAsia"/>
          <w:sz w:val="28"/>
          <w:szCs w:val="28"/>
        </w:rPr>
        <w:t>总体</w:t>
      </w:r>
      <w:r w:rsidRPr="004C6C5D">
        <w:rPr>
          <w:rFonts w:ascii="仿宋_GB2312" w:eastAsia="仿宋_GB2312" w:hAnsi="仿宋_GB2312" w:cs="仿宋_GB2312" w:hint="eastAsia"/>
          <w:sz w:val="28"/>
          <w:szCs w:val="28"/>
        </w:rPr>
        <w:t>得分9</w:t>
      </w:r>
      <w:r w:rsidR="009D629E">
        <w:rPr>
          <w:rFonts w:ascii="仿宋_GB2312" w:eastAsia="仿宋_GB2312" w:hAnsi="仿宋_GB2312" w:cs="仿宋_GB2312" w:hint="eastAsia"/>
          <w:sz w:val="28"/>
          <w:szCs w:val="28"/>
        </w:rPr>
        <w:t>6.5</w:t>
      </w:r>
      <w:r w:rsidRPr="00B04C4D">
        <w:rPr>
          <w:rFonts w:ascii="仿宋_GB2312" w:eastAsia="仿宋_GB2312" w:hAnsi="仿宋_GB2312" w:cs="仿宋_GB2312" w:hint="eastAsia"/>
          <w:sz w:val="28"/>
          <w:szCs w:val="28"/>
        </w:rPr>
        <w:t>分</w:t>
      </w:r>
      <w:r>
        <w:rPr>
          <w:rFonts w:ascii="仿宋_GB2312" w:eastAsia="仿宋_GB2312" w:hAnsi="仿宋_GB2312" w:cs="仿宋_GB2312" w:hint="eastAsia"/>
          <w:sz w:val="28"/>
          <w:szCs w:val="28"/>
        </w:rPr>
        <w:t>。</w:t>
      </w:r>
    </w:p>
    <w:p w:rsidR="00021229" w:rsidRDefault="00093E8E" w:rsidP="00021229">
      <w:pPr>
        <w:spacing w:line="580" w:lineRule="exact"/>
        <w:ind w:leftChars="50" w:left="105" w:firstLineChars="150" w:firstLine="420"/>
        <w:rPr>
          <w:rFonts w:ascii="仿宋_GB2312" w:eastAsia="仿宋_GB2312" w:hAnsi="仿宋_GB2312" w:cs="仿宋_GB2312"/>
          <w:sz w:val="28"/>
          <w:szCs w:val="28"/>
        </w:rPr>
      </w:pPr>
      <w:r>
        <w:rPr>
          <w:rFonts w:ascii="仿宋_GB2312" w:eastAsia="仿宋_GB2312" w:hAnsi="仿宋_GB2312" w:cs="仿宋_GB2312" w:hint="eastAsia"/>
          <w:sz w:val="28"/>
          <w:szCs w:val="28"/>
        </w:rPr>
        <w:t>（二）</w:t>
      </w:r>
      <w:r w:rsidR="00021229">
        <w:rPr>
          <w:rFonts w:ascii="仿宋_GB2312" w:eastAsia="仿宋_GB2312" w:hAnsi="仿宋_GB2312" w:cs="仿宋_GB2312" w:hint="eastAsia"/>
          <w:sz w:val="28"/>
          <w:szCs w:val="28"/>
        </w:rPr>
        <w:t>存在的问题及原因分析</w:t>
      </w:r>
    </w:p>
    <w:p w:rsidR="00021229" w:rsidRPr="005D3252" w:rsidRDefault="00021229" w:rsidP="00021229">
      <w:pPr>
        <w:pStyle w:val="a0"/>
        <w:ind w:firstLine="560"/>
      </w:pPr>
      <w:r>
        <w:rPr>
          <w:rFonts w:ascii="仿宋_GB2312" w:eastAsia="仿宋_GB2312" w:hAnsi="仿宋_GB2312" w:cs="仿宋_GB2312" w:hint="eastAsia"/>
          <w:sz w:val="28"/>
          <w:szCs w:val="28"/>
        </w:rPr>
        <w:t>绩效管理：</w:t>
      </w:r>
      <w:r w:rsidR="00E31B73">
        <w:rPr>
          <w:rFonts w:ascii="仿宋_GB2312" w:eastAsia="仿宋_GB2312" w:hAnsi="仿宋_GB2312" w:cs="仿宋_GB2312" w:hint="eastAsia"/>
          <w:sz w:val="28"/>
          <w:szCs w:val="28"/>
        </w:rPr>
        <w:t>绩效目标细化程度不高，指标体系设置有待完善，</w:t>
      </w:r>
      <w:r w:rsidRPr="00D6066C">
        <w:rPr>
          <w:rFonts w:ascii="仿宋_GB2312" w:eastAsia="仿宋_GB2312" w:hAnsi="仿宋_GB2312" w:cs="仿宋_GB2312" w:hint="eastAsia"/>
          <w:sz w:val="28"/>
          <w:szCs w:val="28"/>
        </w:rPr>
        <w:t>对绩效目标偏离情况</w:t>
      </w:r>
      <w:r>
        <w:rPr>
          <w:rFonts w:ascii="仿宋_GB2312" w:eastAsia="仿宋_GB2312" w:hAnsi="仿宋_GB2312" w:cs="仿宋_GB2312" w:hint="eastAsia"/>
          <w:sz w:val="28"/>
          <w:szCs w:val="28"/>
        </w:rPr>
        <w:t>虽然能</w:t>
      </w:r>
      <w:r w:rsidRPr="00D6066C">
        <w:rPr>
          <w:rFonts w:ascii="仿宋_GB2312" w:eastAsia="仿宋_GB2312" w:hAnsi="仿宋_GB2312" w:cs="仿宋_GB2312" w:hint="eastAsia"/>
          <w:sz w:val="28"/>
          <w:szCs w:val="28"/>
        </w:rPr>
        <w:t>进行矫正</w:t>
      </w:r>
      <w:r>
        <w:rPr>
          <w:rFonts w:ascii="仿宋_GB2312" w:eastAsia="仿宋_GB2312" w:hAnsi="仿宋_GB2312" w:cs="仿宋_GB2312" w:hint="eastAsia"/>
          <w:sz w:val="28"/>
          <w:szCs w:val="28"/>
        </w:rPr>
        <w:t>，但不及时。</w:t>
      </w:r>
    </w:p>
    <w:p w:rsidR="00021229" w:rsidRDefault="00093E8E" w:rsidP="00021229">
      <w:pPr>
        <w:pStyle w:val="a0"/>
        <w:spacing w:line="580" w:lineRule="exact"/>
        <w:ind w:firstLine="56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六、</w:t>
      </w:r>
      <w:r w:rsidR="00021229">
        <w:rPr>
          <w:rFonts w:ascii="仿宋_GB2312" w:eastAsia="仿宋_GB2312" w:hAnsi="仿宋_GB2312" w:cs="仿宋_GB2312" w:hint="eastAsia"/>
          <w:color w:val="000000"/>
          <w:kern w:val="0"/>
          <w:sz w:val="28"/>
          <w:szCs w:val="28"/>
        </w:rPr>
        <w:t>措施建议</w:t>
      </w:r>
    </w:p>
    <w:p w:rsidR="00C71744" w:rsidRDefault="00021229" w:rsidP="005D6039">
      <w:pPr>
        <w:ind w:firstLineChars="200" w:firstLine="56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对于绩效管理方面的学习要持续加强，认真学习相关政策，对于绩效目标偏离情况及时矫正。</w:t>
      </w:r>
      <w:r w:rsidR="00734D9A">
        <w:rPr>
          <w:rFonts w:ascii="仿宋_GB2312" w:eastAsia="仿宋_GB2312" w:hAnsi="仿宋_GB2312" w:cs="仿宋_GB2312" w:hint="eastAsia"/>
          <w:color w:val="000000"/>
          <w:kern w:val="0"/>
          <w:sz w:val="28"/>
          <w:szCs w:val="28"/>
        </w:rPr>
        <w:t>明确并细化项目绩效目标，准确设定项目</w:t>
      </w:r>
      <w:r w:rsidR="00E31B73">
        <w:rPr>
          <w:rFonts w:ascii="仿宋_GB2312" w:eastAsia="仿宋_GB2312" w:hAnsi="仿宋_GB2312" w:cs="仿宋_GB2312" w:hint="eastAsia"/>
          <w:color w:val="000000"/>
          <w:kern w:val="0"/>
          <w:sz w:val="28"/>
          <w:szCs w:val="28"/>
        </w:rPr>
        <w:t>各项</w:t>
      </w:r>
      <w:r w:rsidR="00734D9A">
        <w:rPr>
          <w:rFonts w:ascii="仿宋_GB2312" w:eastAsia="仿宋_GB2312" w:hAnsi="仿宋_GB2312" w:cs="仿宋_GB2312" w:hint="eastAsia"/>
          <w:color w:val="000000"/>
          <w:kern w:val="0"/>
          <w:sz w:val="28"/>
          <w:szCs w:val="28"/>
        </w:rPr>
        <w:t>指标，进一步提高绩效管理意识。</w:t>
      </w:r>
    </w:p>
    <w:p w:rsidR="009323F9" w:rsidRDefault="00093E8E" w:rsidP="009323F9">
      <w:pPr>
        <w:pStyle w:val="a0"/>
        <w:spacing w:line="580" w:lineRule="exact"/>
        <w:ind w:firstLine="56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七、</w:t>
      </w:r>
      <w:r w:rsidR="009323F9">
        <w:rPr>
          <w:rFonts w:ascii="仿宋_GB2312" w:eastAsia="仿宋_GB2312" w:hAnsi="仿宋_GB2312" w:cs="仿宋_GB2312" w:hint="eastAsia"/>
          <w:color w:val="000000"/>
          <w:kern w:val="0"/>
          <w:sz w:val="28"/>
          <w:szCs w:val="28"/>
        </w:rPr>
        <w:t>附件</w:t>
      </w:r>
    </w:p>
    <w:p w:rsidR="009323F9" w:rsidRDefault="009323F9" w:rsidP="009323F9">
      <w:pPr>
        <w:pStyle w:val="a0"/>
        <w:spacing w:line="580" w:lineRule="exact"/>
        <w:ind w:firstLine="56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lastRenderedPageBreak/>
        <w:t>202</w:t>
      </w:r>
      <w:r w:rsidR="0083454D">
        <w:rPr>
          <w:rFonts w:ascii="仿宋_GB2312" w:eastAsia="仿宋_GB2312" w:hAnsi="仿宋_GB2312" w:cs="仿宋_GB2312" w:hint="eastAsia"/>
          <w:color w:val="000000"/>
          <w:kern w:val="0"/>
          <w:sz w:val="28"/>
          <w:szCs w:val="28"/>
        </w:rPr>
        <w:t>3</w:t>
      </w:r>
      <w:r>
        <w:rPr>
          <w:rFonts w:ascii="仿宋_GB2312" w:eastAsia="仿宋_GB2312" w:hAnsi="仿宋_GB2312" w:cs="仿宋_GB2312" w:hint="eastAsia"/>
          <w:color w:val="000000"/>
          <w:kern w:val="0"/>
          <w:sz w:val="28"/>
          <w:szCs w:val="28"/>
        </w:rPr>
        <w:t>年部门整体绩效评价指标体系评分表</w:t>
      </w:r>
    </w:p>
    <w:p w:rsidR="006D7F4A" w:rsidRDefault="006D7F4A" w:rsidP="009323F9">
      <w:pPr>
        <w:pStyle w:val="a0"/>
        <w:spacing w:line="580" w:lineRule="exact"/>
        <w:ind w:firstLine="560"/>
        <w:rPr>
          <w:rFonts w:ascii="仿宋_GB2312" w:eastAsia="仿宋_GB2312" w:hAnsi="仿宋_GB2312" w:cs="仿宋_GB2312"/>
          <w:color w:val="000000"/>
          <w:kern w:val="0"/>
          <w:sz w:val="28"/>
          <w:szCs w:val="28"/>
        </w:rPr>
      </w:pPr>
    </w:p>
    <w:p w:rsidR="006D7F4A" w:rsidRPr="00F72483" w:rsidRDefault="006D7F4A" w:rsidP="009323F9">
      <w:pPr>
        <w:pStyle w:val="a0"/>
        <w:spacing w:line="580" w:lineRule="exact"/>
        <w:ind w:firstLine="560"/>
        <w:rPr>
          <w:rFonts w:ascii="仿宋_GB2312" w:eastAsia="仿宋_GB2312" w:hAnsi="仿宋_GB2312" w:cs="仿宋_GB2312"/>
          <w:color w:val="000000"/>
          <w:kern w:val="0"/>
          <w:sz w:val="28"/>
          <w:szCs w:val="28"/>
        </w:rPr>
      </w:pPr>
    </w:p>
    <w:p w:rsidR="009323F9" w:rsidRPr="009323F9" w:rsidRDefault="009323F9" w:rsidP="009323F9">
      <w:pPr>
        <w:spacing w:line="560" w:lineRule="exact"/>
        <w:jc w:val="left"/>
        <w:rPr>
          <w:rFonts w:ascii="方正黑体_GBK" w:eastAsia="方正黑体_GBK" w:hAnsi="方正黑体_GBK" w:cs="方正黑体_GBK"/>
          <w:sz w:val="32"/>
        </w:rPr>
      </w:pPr>
      <w:r w:rsidRPr="009323F9">
        <w:rPr>
          <w:rFonts w:ascii="方正黑体_GBK" w:eastAsia="方正黑体_GBK" w:hAnsi="方正黑体_GBK" w:cs="方正黑体_GBK" w:hint="eastAsia"/>
          <w:sz w:val="32"/>
        </w:rPr>
        <w:t>附件4-1</w:t>
      </w:r>
    </w:p>
    <w:tbl>
      <w:tblPr>
        <w:tblW w:w="5038" w:type="pct"/>
        <w:tblLayout w:type="fixed"/>
        <w:tblLook w:val="04A0"/>
      </w:tblPr>
      <w:tblGrid>
        <w:gridCol w:w="484"/>
        <w:gridCol w:w="431"/>
        <w:gridCol w:w="443"/>
        <w:gridCol w:w="877"/>
        <w:gridCol w:w="3473"/>
        <w:gridCol w:w="494"/>
        <w:gridCol w:w="566"/>
        <w:gridCol w:w="568"/>
        <w:gridCol w:w="994"/>
        <w:gridCol w:w="1274"/>
        <w:gridCol w:w="668"/>
        <w:gridCol w:w="554"/>
        <w:gridCol w:w="3456"/>
      </w:tblGrid>
      <w:tr w:rsidR="009323F9" w:rsidRPr="00710F2E" w:rsidTr="00B92A0E">
        <w:trPr>
          <w:trHeight w:val="90"/>
        </w:trPr>
        <w:tc>
          <w:tcPr>
            <w:tcW w:w="5000" w:type="pct"/>
            <w:gridSpan w:val="13"/>
            <w:tcBorders>
              <w:top w:val="nil"/>
              <w:left w:val="nil"/>
              <w:bottom w:val="single" w:sz="4" w:space="0" w:color="auto"/>
              <w:right w:val="nil"/>
            </w:tcBorders>
            <w:noWrap/>
            <w:vAlign w:val="bottom"/>
          </w:tcPr>
          <w:p w:rsidR="009323F9" w:rsidRPr="009323F9" w:rsidRDefault="009323F9" w:rsidP="00FD50F0">
            <w:pPr>
              <w:widowControl/>
              <w:jc w:val="center"/>
              <w:rPr>
                <w:rFonts w:ascii="方正小标宋简体" w:eastAsia="方正小标宋简体" w:hAnsi="黑体" w:cs="宋体"/>
                <w:color w:val="000000"/>
                <w:kern w:val="0"/>
                <w:sz w:val="44"/>
                <w:szCs w:val="44"/>
                <w:highlight w:val="yellow"/>
              </w:rPr>
            </w:pPr>
            <w:r w:rsidRPr="009323F9">
              <w:rPr>
                <w:rFonts w:ascii="方正小标宋简体" w:eastAsia="方正小标宋简体" w:hAnsi="黑体" w:cs="宋体" w:hint="eastAsia"/>
                <w:color w:val="000000"/>
                <w:kern w:val="0"/>
                <w:sz w:val="44"/>
                <w:szCs w:val="44"/>
              </w:rPr>
              <w:t>202</w:t>
            </w:r>
            <w:r w:rsidR="00FD50F0">
              <w:rPr>
                <w:rFonts w:ascii="方正小标宋简体" w:eastAsia="方正小标宋简体" w:hAnsi="黑体" w:cs="宋体" w:hint="eastAsia"/>
                <w:color w:val="000000"/>
                <w:kern w:val="0"/>
                <w:sz w:val="44"/>
                <w:szCs w:val="44"/>
              </w:rPr>
              <w:t>3</w:t>
            </w:r>
            <w:r w:rsidRPr="009323F9">
              <w:rPr>
                <w:rFonts w:ascii="方正小标宋简体" w:eastAsia="方正小标宋简体" w:hAnsi="黑体" w:cs="宋体" w:hint="eastAsia"/>
                <w:color w:val="000000"/>
                <w:kern w:val="0"/>
                <w:sz w:val="44"/>
                <w:szCs w:val="44"/>
              </w:rPr>
              <w:t>年部门整体绩效评价指标体系评分表</w:t>
            </w:r>
          </w:p>
        </w:tc>
      </w:tr>
      <w:tr w:rsidR="009323F9" w:rsidRPr="009323F9" w:rsidTr="00B92A0E">
        <w:trPr>
          <w:trHeight w:val="470"/>
        </w:trPr>
        <w:tc>
          <w:tcPr>
            <w:tcW w:w="5000" w:type="pct"/>
            <w:gridSpan w:val="13"/>
            <w:tcBorders>
              <w:top w:val="single" w:sz="4" w:space="0" w:color="auto"/>
              <w:left w:val="single" w:sz="4" w:space="0" w:color="auto"/>
              <w:bottom w:val="single" w:sz="4" w:space="0" w:color="000000"/>
              <w:right w:val="single" w:sz="4" w:space="0" w:color="auto"/>
            </w:tcBorders>
            <w:noWrap/>
            <w:vAlign w:val="center"/>
          </w:tcPr>
          <w:p w:rsidR="009323F9" w:rsidRPr="009323F9" w:rsidRDefault="009323F9" w:rsidP="009323F9">
            <w:pPr>
              <w:widowControl/>
              <w:jc w:val="left"/>
              <w:rPr>
                <w:rFonts w:ascii="宋体" w:hAnsi="宋体" w:cs="宋体"/>
                <w:color w:val="000000"/>
                <w:kern w:val="0"/>
                <w:sz w:val="18"/>
                <w:szCs w:val="18"/>
              </w:rPr>
            </w:pPr>
            <w:r w:rsidRPr="009323F9">
              <w:rPr>
                <w:rFonts w:ascii="宋体" w:hAnsi="宋体" w:cs="宋体" w:hint="eastAsia"/>
                <w:color w:val="000000"/>
                <w:kern w:val="0"/>
                <w:sz w:val="18"/>
                <w:szCs w:val="18"/>
              </w:rPr>
              <w:t>一、</w:t>
            </w:r>
            <w:r w:rsidRPr="009323F9">
              <w:rPr>
                <w:rFonts w:ascii="宋体" w:hAnsi="宋体" w:cs="宋体" w:hint="eastAsia"/>
                <w:color w:val="000000"/>
                <w:kern w:val="0"/>
                <w:sz w:val="20"/>
                <w:szCs w:val="20"/>
              </w:rPr>
              <w:t>当年预算执行情况（20分）</w:t>
            </w:r>
          </w:p>
        </w:tc>
      </w:tr>
      <w:tr w:rsidR="00710F2E" w:rsidRPr="009323F9" w:rsidTr="00AF0772">
        <w:trPr>
          <w:trHeight w:val="660"/>
        </w:trPr>
        <w:tc>
          <w:tcPr>
            <w:tcW w:w="169" w:type="pct"/>
            <w:tcBorders>
              <w:top w:val="single" w:sz="4" w:space="0" w:color="auto"/>
              <w:left w:val="single" w:sz="4" w:space="0" w:color="auto"/>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一</w:t>
            </w:r>
            <w:r w:rsidRPr="009323F9">
              <w:rPr>
                <w:rFonts w:ascii="宋体" w:hAnsi="宋体" w:cs="宋体"/>
                <w:color w:val="000000"/>
                <w:kern w:val="0"/>
                <w:sz w:val="20"/>
                <w:szCs w:val="20"/>
              </w:rPr>
              <w:t>级指标</w:t>
            </w:r>
            <w:r w:rsidRPr="009323F9">
              <w:rPr>
                <w:rFonts w:ascii="宋体" w:hAnsi="宋体" w:cs="宋体" w:hint="eastAsia"/>
                <w:color w:val="000000"/>
                <w:kern w:val="0"/>
                <w:sz w:val="20"/>
                <w:szCs w:val="20"/>
              </w:rPr>
              <w:t xml:space="preserve">　</w:t>
            </w:r>
          </w:p>
        </w:tc>
        <w:tc>
          <w:tcPr>
            <w:tcW w:w="151" w:type="pct"/>
            <w:tcBorders>
              <w:top w:val="single" w:sz="4" w:space="0" w:color="auto"/>
              <w:left w:val="single" w:sz="4" w:space="0" w:color="auto"/>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二</w:t>
            </w:r>
            <w:r w:rsidRPr="009323F9">
              <w:rPr>
                <w:rFonts w:ascii="宋体" w:hAnsi="宋体" w:cs="宋体"/>
                <w:color w:val="000000"/>
                <w:kern w:val="0"/>
                <w:sz w:val="20"/>
                <w:szCs w:val="20"/>
              </w:rPr>
              <w:t>级指标</w:t>
            </w:r>
            <w:r w:rsidRPr="009323F9">
              <w:rPr>
                <w:rFonts w:ascii="宋体" w:hAnsi="宋体" w:cs="宋体" w:hint="eastAsia"/>
                <w:color w:val="000000"/>
                <w:kern w:val="0"/>
                <w:sz w:val="20"/>
                <w:szCs w:val="20"/>
              </w:rPr>
              <w:t xml:space="preserve">　</w:t>
            </w:r>
          </w:p>
        </w:tc>
        <w:tc>
          <w:tcPr>
            <w:tcW w:w="462" w:type="pct"/>
            <w:gridSpan w:val="2"/>
            <w:tcBorders>
              <w:top w:val="single" w:sz="4" w:space="0" w:color="auto"/>
              <w:left w:val="single" w:sz="4" w:space="0" w:color="auto"/>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预算数（万元）</w:t>
            </w:r>
          </w:p>
        </w:tc>
        <w:tc>
          <w:tcPr>
            <w:tcW w:w="1587" w:type="pct"/>
            <w:gridSpan w:val="3"/>
            <w:tcBorders>
              <w:top w:val="single" w:sz="4" w:space="0" w:color="auto"/>
              <w:left w:val="single" w:sz="4" w:space="0" w:color="auto"/>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执行数（万元）</w:t>
            </w:r>
          </w:p>
        </w:tc>
        <w:tc>
          <w:tcPr>
            <w:tcW w:w="199" w:type="pct"/>
            <w:tcBorders>
              <w:top w:val="single" w:sz="4" w:space="0" w:color="auto"/>
              <w:left w:val="single" w:sz="4" w:space="0" w:color="auto"/>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预算执行率</w:t>
            </w:r>
          </w:p>
        </w:tc>
        <w:tc>
          <w:tcPr>
            <w:tcW w:w="348" w:type="pct"/>
            <w:tcBorders>
              <w:top w:val="single" w:sz="4" w:space="0" w:color="auto"/>
              <w:left w:val="single" w:sz="4" w:space="0" w:color="auto"/>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分值</w:t>
            </w:r>
          </w:p>
        </w:tc>
        <w:tc>
          <w:tcPr>
            <w:tcW w:w="446" w:type="pct"/>
            <w:tcBorders>
              <w:top w:val="single" w:sz="4" w:space="0" w:color="auto"/>
              <w:left w:val="single" w:sz="4" w:space="0" w:color="auto"/>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得分</w:t>
            </w:r>
          </w:p>
        </w:tc>
        <w:tc>
          <w:tcPr>
            <w:tcW w:w="428" w:type="pct"/>
            <w:gridSpan w:val="2"/>
            <w:tcBorders>
              <w:top w:val="single" w:sz="4" w:space="0" w:color="auto"/>
              <w:left w:val="single" w:sz="4" w:space="0" w:color="auto"/>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指标解释</w:t>
            </w:r>
          </w:p>
        </w:tc>
        <w:tc>
          <w:tcPr>
            <w:tcW w:w="1210" w:type="pct"/>
            <w:tcBorders>
              <w:top w:val="single" w:sz="4" w:space="0" w:color="auto"/>
              <w:left w:val="nil"/>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评分标准</w:t>
            </w:r>
          </w:p>
        </w:tc>
      </w:tr>
      <w:tr w:rsidR="00710F2E" w:rsidRPr="009323F9" w:rsidTr="00AF0772">
        <w:trPr>
          <w:trHeight w:val="630"/>
        </w:trPr>
        <w:tc>
          <w:tcPr>
            <w:tcW w:w="169" w:type="pct"/>
            <w:vMerge w:val="restart"/>
            <w:tcBorders>
              <w:top w:val="nil"/>
              <w:left w:val="single" w:sz="4" w:space="0" w:color="auto"/>
              <w:bottom w:val="single" w:sz="4" w:space="0" w:color="000000"/>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当年预算执行情况</w:t>
            </w:r>
            <w:r w:rsidRPr="009323F9">
              <w:rPr>
                <w:rFonts w:ascii="宋体" w:hAnsi="宋体" w:cs="宋体" w:hint="eastAsia"/>
                <w:color w:val="000000"/>
                <w:kern w:val="0"/>
                <w:sz w:val="20"/>
                <w:szCs w:val="20"/>
              </w:rPr>
              <w:lastRenderedPageBreak/>
              <w:t>（20）</w:t>
            </w:r>
          </w:p>
        </w:tc>
        <w:tc>
          <w:tcPr>
            <w:tcW w:w="151" w:type="pct"/>
            <w:tcBorders>
              <w:top w:val="single" w:sz="4" w:space="0" w:color="auto"/>
              <w:left w:val="single" w:sz="4" w:space="0" w:color="auto"/>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lastRenderedPageBreak/>
              <w:t>资金总体</w:t>
            </w:r>
          </w:p>
        </w:tc>
        <w:tc>
          <w:tcPr>
            <w:tcW w:w="462" w:type="pct"/>
            <w:gridSpan w:val="2"/>
            <w:tcBorders>
              <w:top w:val="single" w:sz="4" w:space="0" w:color="auto"/>
              <w:left w:val="single" w:sz="4" w:space="0" w:color="auto"/>
              <w:bottom w:val="single" w:sz="4" w:space="0" w:color="auto"/>
              <w:right w:val="single" w:sz="4" w:space="0" w:color="auto"/>
            </w:tcBorders>
            <w:noWrap/>
            <w:vAlign w:val="center"/>
          </w:tcPr>
          <w:p w:rsidR="009323F9" w:rsidRPr="009323F9" w:rsidRDefault="00F72483" w:rsidP="009323F9">
            <w:pPr>
              <w:widowControl/>
              <w:jc w:val="center"/>
              <w:rPr>
                <w:rFonts w:ascii="宋体" w:hAnsi="宋体" w:cs="宋体"/>
                <w:color w:val="000000"/>
                <w:kern w:val="0"/>
                <w:sz w:val="20"/>
                <w:szCs w:val="20"/>
              </w:rPr>
            </w:pPr>
            <w:r>
              <w:rPr>
                <w:rFonts w:ascii="宋体" w:hAnsi="宋体" w:cs="宋体" w:hint="eastAsia"/>
                <w:color w:val="000000"/>
                <w:kern w:val="0"/>
                <w:sz w:val="20"/>
                <w:szCs w:val="20"/>
              </w:rPr>
              <w:t>25144.74</w:t>
            </w:r>
            <w:r w:rsidR="009323F9" w:rsidRPr="009323F9">
              <w:rPr>
                <w:rFonts w:ascii="宋体" w:hAnsi="宋体" w:cs="宋体" w:hint="eastAsia"/>
                <w:color w:val="000000"/>
                <w:kern w:val="0"/>
                <w:sz w:val="20"/>
                <w:szCs w:val="20"/>
              </w:rPr>
              <w:t xml:space="preserve">　</w:t>
            </w:r>
          </w:p>
        </w:tc>
        <w:tc>
          <w:tcPr>
            <w:tcW w:w="1587" w:type="pct"/>
            <w:gridSpan w:val="3"/>
            <w:tcBorders>
              <w:top w:val="single" w:sz="4" w:space="0" w:color="auto"/>
              <w:left w:val="single" w:sz="4" w:space="0" w:color="auto"/>
              <w:bottom w:val="single" w:sz="4" w:space="0" w:color="auto"/>
              <w:right w:val="single" w:sz="4" w:space="0" w:color="auto"/>
            </w:tcBorders>
            <w:noWrap/>
            <w:vAlign w:val="center"/>
          </w:tcPr>
          <w:p w:rsidR="009323F9" w:rsidRPr="009323F9" w:rsidRDefault="00612799" w:rsidP="009323F9">
            <w:pPr>
              <w:widowControl/>
              <w:jc w:val="center"/>
              <w:rPr>
                <w:rFonts w:ascii="宋体" w:hAnsi="宋体" w:cs="宋体"/>
                <w:color w:val="000000"/>
                <w:kern w:val="0"/>
                <w:sz w:val="20"/>
                <w:szCs w:val="20"/>
              </w:rPr>
            </w:pPr>
            <w:r>
              <w:rPr>
                <w:rFonts w:ascii="宋体" w:hAnsi="宋体" w:cs="宋体" w:hint="eastAsia"/>
                <w:color w:val="000000"/>
                <w:kern w:val="0"/>
                <w:sz w:val="20"/>
                <w:szCs w:val="20"/>
              </w:rPr>
              <w:t>24869.99</w:t>
            </w:r>
          </w:p>
        </w:tc>
        <w:tc>
          <w:tcPr>
            <w:tcW w:w="199" w:type="pct"/>
            <w:tcBorders>
              <w:top w:val="single" w:sz="4" w:space="0" w:color="auto"/>
              <w:left w:val="single" w:sz="4" w:space="0" w:color="auto"/>
              <w:bottom w:val="single" w:sz="4" w:space="0" w:color="auto"/>
              <w:right w:val="single" w:sz="4" w:space="0" w:color="auto"/>
            </w:tcBorders>
            <w:noWrap/>
            <w:vAlign w:val="center"/>
          </w:tcPr>
          <w:p w:rsidR="009323F9" w:rsidRPr="009323F9" w:rsidRDefault="009323F9" w:rsidP="0061279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 xml:space="preserve">　</w:t>
            </w:r>
            <w:r w:rsidR="00612799">
              <w:rPr>
                <w:rFonts w:ascii="宋体" w:hAnsi="宋体" w:cs="宋体" w:hint="eastAsia"/>
                <w:color w:val="000000"/>
                <w:kern w:val="0"/>
                <w:sz w:val="20"/>
                <w:szCs w:val="20"/>
              </w:rPr>
              <w:t>98.91</w:t>
            </w:r>
            <w:r>
              <w:rPr>
                <w:rFonts w:ascii="宋体" w:hAnsi="宋体" w:cs="宋体" w:hint="eastAsia"/>
                <w:color w:val="000000"/>
                <w:kern w:val="0"/>
                <w:sz w:val="20"/>
                <w:szCs w:val="20"/>
              </w:rPr>
              <w:t>%</w:t>
            </w:r>
          </w:p>
        </w:tc>
        <w:tc>
          <w:tcPr>
            <w:tcW w:w="348" w:type="pct"/>
            <w:vMerge w:val="restart"/>
            <w:tcBorders>
              <w:top w:val="single" w:sz="4" w:space="0" w:color="auto"/>
              <w:left w:val="single" w:sz="4" w:space="0" w:color="auto"/>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20</w:t>
            </w:r>
          </w:p>
        </w:tc>
        <w:tc>
          <w:tcPr>
            <w:tcW w:w="446" w:type="pct"/>
            <w:vMerge w:val="restart"/>
            <w:tcBorders>
              <w:top w:val="single" w:sz="4" w:space="0" w:color="auto"/>
              <w:left w:val="single" w:sz="4" w:space="0" w:color="auto"/>
              <w:bottom w:val="single" w:sz="4" w:space="0" w:color="auto"/>
              <w:right w:val="single" w:sz="4" w:space="0" w:color="auto"/>
            </w:tcBorders>
            <w:noWrap/>
            <w:vAlign w:val="center"/>
          </w:tcPr>
          <w:p w:rsidR="009323F9" w:rsidRPr="009323F9" w:rsidRDefault="00612799" w:rsidP="009323F9">
            <w:pPr>
              <w:widowControl/>
              <w:jc w:val="center"/>
              <w:rPr>
                <w:rFonts w:ascii="宋体" w:hAnsi="宋体" w:cs="宋体"/>
                <w:color w:val="000000"/>
                <w:kern w:val="0"/>
                <w:sz w:val="20"/>
                <w:szCs w:val="20"/>
              </w:rPr>
            </w:pPr>
            <w:r>
              <w:rPr>
                <w:rFonts w:ascii="宋体" w:hAnsi="宋体" w:cs="宋体" w:hint="eastAsia"/>
                <w:color w:val="000000"/>
                <w:kern w:val="0"/>
                <w:sz w:val="20"/>
                <w:szCs w:val="20"/>
              </w:rPr>
              <w:t>19.8</w:t>
            </w:r>
            <w:r w:rsidR="009323F9" w:rsidRPr="009323F9">
              <w:rPr>
                <w:rFonts w:ascii="宋体" w:hAnsi="宋体" w:cs="宋体" w:hint="eastAsia"/>
                <w:color w:val="000000"/>
                <w:kern w:val="0"/>
                <w:sz w:val="20"/>
                <w:szCs w:val="20"/>
              </w:rPr>
              <w:t xml:space="preserve">　</w:t>
            </w:r>
          </w:p>
        </w:tc>
        <w:tc>
          <w:tcPr>
            <w:tcW w:w="428" w:type="pct"/>
            <w:gridSpan w:val="2"/>
            <w:vMerge w:val="restart"/>
            <w:tcBorders>
              <w:top w:val="single" w:sz="4" w:space="0" w:color="auto"/>
              <w:left w:val="single" w:sz="4" w:space="0" w:color="auto"/>
              <w:bottom w:val="single" w:sz="4" w:space="0" w:color="auto"/>
              <w:right w:val="single" w:sz="4" w:space="0" w:color="auto"/>
            </w:tcBorders>
            <w:noWrap/>
            <w:vAlign w:val="center"/>
          </w:tcPr>
          <w:p w:rsidR="009323F9" w:rsidRPr="009323F9" w:rsidRDefault="009323F9" w:rsidP="009323F9">
            <w:pPr>
              <w:widowControl/>
              <w:jc w:val="left"/>
              <w:rPr>
                <w:rFonts w:ascii="宋体" w:hAnsi="宋体" w:cs="宋体"/>
                <w:color w:val="000000"/>
                <w:kern w:val="0"/>
                <w:sz w:val="18"/>
                <w:szCs w:val="18"/>
              </w:rPr>
            </w:pPr>
            <w:r w:rsidRPr="009323F9">
              <w:rPr>
                <w:rFonts w:ascii="宋体" w:hAnsi="宋体" w:cs="宋体" w:hint="eastAsia"/>
                <w:color w:val="000000"/>
                <w:kern w:val="0"/>
                <w:sz w:val="18"/>
                <w:szCs w:val="18"/>
              </w:rPr>
              <w:t>部门全年执行数与全年预算数的比率。资金总体=基本支出+项目支出+其他</w:t>
            </w:r>
          </w:p>
        </w:tc>
        <w:tc>
          <w:tcPr>
            <w:tcW w:w="1210" w:type="pct"/>
            <w:vMerge w:val="restart"/>
            <w:tcBorders>
              <w:top w:val="nil"/>
              <w:left w:val="single" w:sz="4" w:space="0" w:color="auto"/>
              <w:bottom w:val="single" w:sz="4" w:space="0" w:color="auto"/>
              <w:right w:val="single" w:sz="4" w:space="0" w:color="auto"/>
            </w:tcBorders>
            <w:noWrap/>
            <w:vAlign w:val="center"/>
          </w:tcPr>
          <w:p w:rsidR="009323F9" w:rsidRPr="009323F9" w:rsidRDefault="009323F9" w:rsidP="009323F9">
            <w:pPr>
              <w:widowControl/>
              <w:jc w:val="left"/>
              <w:rPr>
                <w:rFonts w:ascii="宋体" w:hAnsi="宋体" w:cs="宋体"/>
                <w:color w:val="000000"/>
                <w:kern w:val="0"/>
                <w:sz w:val="18"/>
                <w:szCs w:val="18"/>
              </w:rPr>
            </w:pPr>
            <w:r w:rsidRPr="009323F9">
              <w:rPr>
                <w:rFonts w:ascii="宋体" w:hAnsi="宋体" w:cs="宋体" w:hint="eastAsia"/>
                <w:color w:val="000000"/>
                <w:kern w:val="0"/>
                <w:sz w:val="18"/>
                <w:szCs w:val="18"/>
              </w:rPr>
              <w:t>①得分一档最高不能超过该指标分值上限（20分）。</w:t>
            </w:r>
            <w:r w:rsidRPr="009323F9">
              <w:rPr>
                <w:rFonts w:ascii="宋体" w:hAnsi="宋体" w:cs="宋体" w:hint="eastAsia"/>
                <w:color w:val="000000"/>
                <w:kern w:val="0"/>
                <w:sz w:val="18"/>
                <w:szCs w:val="18"/>
              </w:rPr>
              <w:br/>
              <w:t>②该指标若为正向指标，则得分计算方法应用全年实际值（B）/年度指标值（A）*该指标分值；若定量指标为反向指标，则得分计算方法应用年度指标值（A）/全年实际值（B）*该指标分值。若年初指标值设定偏低，则得分计算方法应用（全年实</w:t>
            </w:r>
            <w:r w:rsidRPr="009323F9">
              <w:rPr>
                <w:rFonts w:ascii="宋体" w:hAnsi="宋体" w:cs="宋体" w:hint="eastAsia"/>
                <w:color w:val="000000"/>
                <w:kern w:val="0"/>
                <w:sz w:val="18"/>
                <w:szCs w:val="18"/>
              </w:rPr>
              <w:lastRenderedPageBreak/>
              <w:t>际值（B）—年度指标值（A））/年度指标值（A）*100%。若计算结果在200%-300%（含200%）区间，则按照该指标分值的10%扣分；计算结果在300%-500%（含300%）区间，则按照该指标分值的20%扣分；计算结果高于500%（含500%），则按照该指标分值的30%扣分。</w:t>
            </w:r>
          </w:p>
        </w:tc>
      </w:tr>
      <w:tr w:rsidR="00710F2E" w:rsidRPr="009323F9" w:rsidTr="00AF0772">
        <w:trPr>
          <w:trHeight w:val="600"/>
        </w:trPr>
        <w:tc>
          <w:tcPr>
            <w:tcW w:w="169" w:type="pct"/>
            <w:vMerge/>
            <w:tcBorders>
              <w:top w:val="nil"/>
              <w:left w:val="single" w:sz="4" w:space="0" w:color="auto"/>
              <w:bottom w:val="single" w:sz="4" w:space="0" w:color="000000"/>
              <w:right w:val="single" w:sz="4" w:space="0" w:color="auto"/>
            </w:tcBorders>
            <w:noWrap/>
            <w:vAlign w:val="center"/>
          </w:tcPr>
          <w:p w:rsidR="009323F9" w:rsidRPr="009323F9" w:rsidRDefault="009323F9" w:rsidP="009323F9">
            <w:pPr>
              <w:widowControl/>
              <w:jc w:val="left"/>
              <w:rPr>
                <w:rFonts w:ascii="宋体" w:hAnsi="宋体" w:cs="宋体"/>
                <w:color w:val="000000"/>
                <w:kern w:val="0"/>
                <w:sz w:val="20"/>
                <w:szCs w:val="20"/>
              </w:rPr>
            </w:pPr>
          </w:p>
        </w:tc>
        <w:tc>
          <w:tcPr>
            <w:tcW w:w="151" w:type="pct"/>
            <w:tcBorders>
              <w:top w:val="single" w:sz="4" w:space="0" w:color="auto"/>
              <w:left w:val="single" w:sz="4" w:space="0" w:color="auto"/>
              <w:bottom w:val="single" w:sz="4" w:space="0" w:color="auto"/>
              <w:right w:val="nil"/>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基本支出</w:t>
            </w:r>
          </w:p>
        </w:tc>
        <w:tc>
          <w:tcPr>
            <w:tcW w:w="462" w:type="pct"/>
            <w:gridSpan w:val="2"/>
            <w:tcBorders>
              <w:top w:val="single" w:sz="4" w:space="0" w:color="auto"/>
              <w:left w:val="single" w:sz="4" w:space="0" w:color="auto"/>
              <w:bottom w:val="single" w:sz="4" w:space="0" w:color="auto"/>
              <w:right w:val="single" w:sz="4" w:space="0" w:color="auto"/>
            </w:tcBorders>
            <w:noWrap/>
            <w:vAlign w:val="center"/>
          </w:tcPr>
          <w:p w:rsidR="009323F9" w:rsidRPr="009323F9" w:rsidRDefault="00612799" w:rsidP="009323F9">
            <w:pPr>
              <w:widowControl/>
              <w:jc w:val="center"/>
              <w:rPr>
                <w:rFonts w:ascii="宋体" w:hAnsi="宋体" w:cs="宋体"/>
                <w:color w:val="000000"/>
                <w:kern w:val="0"/>
                <w:sz w:val="20"/>
                <w:szCs w:val="20"/>
              </w:rPr>
            </w:pPr>
            <w:r>
              <w:rPr>
                <w:rFonts w:ascii="宋体" w:hAnsi="宋体" w:cs="宋体" w:hint="eastAsia"/>
                <w:color w:val="000000"/>
                <w:kern w:val="0"/>
                <w:sz w:val="20"/>
                <w:szCs w:val="20"/>
              </w:rPr>
              <w:t>20482.92</w:t>
            </w:r>
            <w:r w:rsidR="009323F9" w:rsidRPr="009323F9">
              <w:rPr>
                <w:rFonts w:ascii="宋体" w:hAnsi="宋体" w:cs="宋体" w:hint="eastAsia"/>
                <w:color w:val="000000"/>
                <w:kern w:val="0"/>
                <w:sz w:val="20"/>
                <w:szCs w:val="20"/>
              </w:rPr>
              <w:t xml:space="preserve">　</w:t>
            </w:r>
          </w:p>
        </w:tc>
        <w:tc>
          <w:tcPr>
            <w:tcW w:w="1587" w:type="pct"/>
            <w:gridSpan w:val="3"/>
            <w:tcBorders>
              <w:top w:val="single" w:sz="4" w:space="0" w:color="auto"/>
              <w:left w:val="nil"/>
              <w:bottom w:val="single" w:sz="4" w:space="0" w:color="auto"/>
              <w:right w:val="single" w:sz="4" w:space="0" w:color="auto"/>
            </w:tcBorders>
            <w:noWrap/>
            <w:vAlign w:val="center"/>
          </w:tcPr>
          <w:p w:rsidR="009323F9" w:rsidRPr="009323F9" w:rsidRDefault="009323F9" w:rsidP="0061279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 xml:space="preserve">　</w:t>
            </w:r>
            <w:r w:rsidR="00612799">
              <w:rPr>
                <w:rFonts w:ascii="宋体" w:hAnsi="宋体" w:cs="宋体" w:hint="eastAsia"/>
                <w:color w:val="000000"/>
                <w:kern w:val="0"/>
                <w:sz w:val="20"/>
                <w:szCs w:val="20"/>
              </w:rPr>
              <w:t>20280.14</w:t>
            </w:r>
          </w:p>
        </w:tc>
        <w:tc>
          <w:tcPr>
            <w:tcW w:w="199" w:type="pct"/>
            <w:vMerge w:val="restart"/>
            <w:tcBorders>
              <w:top w:val="single" w:sz="4" w:space="0" w:color="auto"/>
              <w:left w:val="single" w:sz="4" w:space="0" w:color="auto"/>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w:t>
            </w:r>
          </w:p>
        </w:tc>
        <w:tc>
          <w:tcPr>
            <w:tcW w:w="348" w:type="pct"/>
            <w:vMerge/>
            <w:tcBorders>
              <w:top w:val="single" w:sz="4" w:space="0" w:color="auto"/>
              <w:left w:val="single" w:sz="4" w:space="0" w:color="auto"/>
              <w:bottom w:val="single" w:sz="4" w:space="0" w:color="auto"/>
              <w:right w:val="single" w:sz="4" w:space="0" w:color="auto"/>
            </w:tcBorders>
            <w:noWrap/>
            <w:vAlign w:val="center"/>
          </w:tcPr>
          <w:p w:rsidR="009323F9" w:rsidRPr="009323F9" w:rsidRDefault="009323F9" w:rsidP="009323F9">
            <w:pPr>
              <w:widowControl/>
              <w:jc w:val="left"/>
              <w:rPr>
                <w:rFonts w:ascii="宋体" w:hAnsi="宋体" w:cs="宋体"/>
                <w:color w:val="000000"/>
                <w:kern w:val="0"/>
                <w:sz w:val="20"/>
                <w:szCs w:val="20"/>
              </w:rPr>
            </w:pPr>
          </w:p>
        </w:tc>
        <w:tc>
          <w:tcPr>
            <w:tcW w:w="446" w:type="pct"/>
            <w:vMerge/>
            <w:tcBorders>
              <w:top w:val="single" w:sz="4" w:space="0" w:color="auto"/>
              <w:left w:val="nil"/>
              <w:bottom w:val="single" w:sz="4" w:space="0" w:color="auto"/>
              <w:right w:val="nil"/>
            </w:tcBorders>
            <w:noWrap/>
            <w:vAlign w:val="center"/>
          </w:tcPr>
          <w:p w:rsidR="009323F9" w:rsidRPr="009323F9" w:rsidRDefault="009323F9" w:rsidP="009323F9">
            <w:pPr>
              <w:widowControl/>
              <w:jc w:val="left"/>
              <w:rPr>
                <w:rFonts w:ascii="宋体" w:hAnsi="宋体" w:cs="宋体"/>
                <w:color w:val="000000"/>
                <w:kern w:val="0"/>
                <w:sz w:val="20"/>
                <w:szCs w:val="20"/>
              </w:rPr>
            </w:pPr>
          </w:p>
        </w:tc>
        <w:tc>
          <w:tcPr>
            <w:tcW w:w="428" w:type="pct"/>
            <w:gridSpan w:val="2"/>
            <w:vMerge/>
            <w:tcBorders>
              <w:top w:val="single" w:sz="4" w:space="0" w:color="auto"/>
              <w:left w:val="single" w:sz="4" w:space="0" w:color="auto"/>
              <w:bottom w:val="single" w:sz="4" w:space="0" w:color="auto"/>
              <w:right w:val="single" w:sz="4" w:space="0" w:color="auto"/>
            </w:tcBorders>
            <w:noWrap/>
            <w:vAlign w:val="center"/>
          </w:tcPr>
          <w:p w:rsidR="009323F9" w:rsidRPr="009323F9" w:rsidRDefault="009323F9" w:rsidP="009323F9">
            <w:pPr>
              <w:widowControl/>
              <w:jc w:val="left"/>
              <w:rPr>
                <w:rFonts w:ascii="宋体" w:hAnsi="宋体" w:cs="宋体"/>
                <w:color w:val="000000"/>
                <w:kern w:val="0"/>
                <w:sz w:val="18"/>
                <w:szCs w:val="18"/>
              </w:rPr>
            </w:pPr>
          </w:p>
        </w:tc>
        <w:tc>
          <w:tcPr>
            <w:tcW w:w="1210" w:type="pct"/>
            <w:vMerge/>
            <w:tcBorders>
              <w:top w:val="nil"/>
              <w:left w:val="single" w:sz="4" w:space="0" w:color="auto"/>
              <w:bottom w:val="single" w:sz="4" w:space="0" w:color="auto"/>
              <w:right w:val="single" w:sz="4" w:space="0" w:color="auto"/>
            </w:tcBorders>
            <w:noWrap/>
            <w:vAlign w:val="center"/>
          </w:tcPr>
          <w:p w:rsidR="009323F9" w:rsidRPr="009323F9" w:rsidRDefault="009323F9" w:rsidP="009323F9">
            <w:pPr>
              <w:widowControl/>
              <w:jc w:val="left"/>
              <w:rPr>
                <w:rFonts w:ascii="宋体" w:hAnsi="宋体" w:cs="宋体"/>
                <w:color w:val="000000"/>
                <w:kern w:val="0"/>
                <w:sz w:val="18"/>
                <w:szCs w:val="18"/>
              </w:rPr>
            </w:pPr>
          </w:p>
        </w:tc>
      </w:tr>
      <w:tr w:rsidR="00710F2E" w:rsidRPr="009323F9" w:rsidTr="00AF0772">
        <w:trPr>
          <w:trHeight w:val="615"/>
        </w:trPr>
        <w:tc>
          <w:tcPr>
            <w:tcW w:w="169" w:type="pct"/>
            <w:vMerge/>
            <w:tcBorders>
              <w:top w:val="nil"/>
              <w:left w:val="single" w:sz="4" w:space="0" w:color="auto"/>
              <w:bottom w:val="single" w:sz="4" w:space="0" w:color="000000"/>
              <w:right w:val="single" w:sz="4" w:space="0" w:color="auto"/>
            </w:tcBorders>
            <w:noWrap/>
            <w:vAlign w:val="center"/>
          </w:tcPr>
          <w:p w:rsidR="009323F9" w:rsidRPr="009323F9" w:rsidRDefault="009323F9" w:rsidP="009323F9">
            <w:pPr>
              <w:widowControl/>
              <w:jc w:val="left"/>
              <w:rPr>
                <w:rFonts w:ascii="宋体" w:hAnsi="宋体" w:cs="宋体"/>
                <w:color w:val="000000"/>
                <w:kern w:val="0"/>
                <w:sz w:val="20"/>
                <w:szCs w:val="20"/>
              </w:rPr>
            </w:pPr>
          </w:p>
        </w:tc>
        <w:tc>
          <w:tcPr>
            <w:tcW w:w="151" w:type="pct"/>
            <w:tcBorders>
              <w:top w:val="single" w:sz="4" w:space="0" w:color="auto"/>
              <w:left w:val="single" w:sz="4" w:space="0" w:color="auto"/>
              <w:bottom w:val="single" w:sz="4" w:space="0" w:color="auto"/>
              <w:right w:val="nil"/>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项目支出</w:t>
            </w:r>
          </w:p>
        </w:tc>
        <w:tc>
          <w:tcPr>
            <w:tcW w:w="462" w:type="pct"/>
            <w:gridSpan w:val="2"/>
            <w:tcBorders>
              <w:top w:val="single" w:sz="4" w:space="0" w:color="auto"/>
              <w:left w:val="single" w:sz="4" w:space="0" w:color="auto"/>
              <w:bottom w:val="single" w:sz="4" w:space="0" w:color="auto"/>
              <w:right w:val="single" w:sz="4" w:space="0" w:color="auto"/>
            </w:tcBorders>
            <w:noWrap/>
            <w:vAlign w:val="center"/>
          </w:tcPr>
          <w:p w:rsidR="009323F9" w:rsidRPr="009323F9" w:rsidRDefault="00612799" w:rsidP="009323F9">
            <w:pPr>
              <w:widowControl/>
              <w:jc w:val="center"/>
              <w:rPr>
                <w:rFonts w:ascii="宋体" w:hAnsi="宋体" w:cs="宋体"/>
                <w:color w:val="000000"/>
                <w:kern w:val="0"/>
                <w:sz w:val="20"/>
                <w:szCs w:val="20"/>
              </w:rPr>
            </w:pPr>
            <w:r>
              <w:rPr>
                <w:rFonts w:ascii="宋体" w:hAnsi="宋体" w:cs="宋体" w:hint="eastAsia"/>
                <w:color w:val="000000"/>
                <w:kern w:val="0"/>
                <w:sz w:val="20"/>
                <w:szCs w:val="20"/>
              </w:rPr>
              <w:t>4661.82</w:t>
            </w:r>
            <w:r w:rsidR="009323F9" w:rsidRPr="009323F9">
              <w:rPr>
                <w:rFonts w:ascii="宋体" w:hAnsi="宋体" w:cs="宋体" w:hint="eastAsia"/>
                <w:color w:val="000000"/>
                <w:kern w:val="0"/>
                <w:sz w:val="20"/>
                <w:szCs w:val="20"/>
              </w:rPr>
              <w:t xml:space="preserve">　</w:t>
            </w:r>
          </w:p>
        </w:tc>
        <w:tc>
          <w:tcPr>
            <w:tcW w:w="1587" w:type="pct"/>
            <w:gridSpan w:val="3"/>
            <w:tcBorders>
              <w:top w:val="single" w:sz="4" w:space="0" w:color="auto"/>
              <w:left w:val="nil"/>
              <w:bottom w:val="single" w:sz="4" w:space="0" w:color="auto"/>
              <w:right w:val="single" w:sz="4" w:space="0" w:color="auto"/>
            </w:tcBorders>
            <w:noWrap/>
            <w:vAlign w:val="center"/>
          </w:tcPr>
          <w:p w:rsidR="009323F9" w:rsidRPr="009323F9" w:rsidRDefault="00612799" w:rsidP="009323F9">
            <w:pPr>
              <w:widowControl/>
              <w:jc w:val="center"/>
              <w:rPr>
                <w:rFonts w:ascii="宋体" w:hAnsi="宋体" w:cs="宋体"/>
                <w:color w:val="000000"/>
                <w:kern w:val="0"/>
                <w:sz w:val="20"/>
                <w:szCs w:val="20"/>
              </w:rPr>
            </w:pPr>
            <w:r>
              <w:rPr>
                <w:rFonts w:ascii="宋体" w:hAnsi="宋体" w:cs="宋体" w:hint="eastAsia"/>
                <w:color w:val="000000"/>
                <w:kern w:val="0"/>
                <w:sz w:val="20"/>
                <w:szCs w:val="20"/>
              </w:rPr>
              <w:t>4589.85</w:t>
            </w:r>
          </w:p>
        </w:tc>
        <w:tc>
          <w:tcPr>
            <w:tcW w:w="199" w:type="pct"/>
            <w:vMerge/>
            <w:tcBorders>
              <w:top w:val="single" w:sz="4" w:space="0" w:color="auto"/>
              <w:left w:val="single" w:sz="4" w:space="0" w:color="auto"/>
              <w:bottom w:val="single" w:sz="4" w:space="0" w:color="auto"/>
              <w:right w:val="single" w:sz="4" w:space="0" w:color="auto"/>
            </w:tcBorders>
            <w:noWrap/>
            <w:vAlign w:val="center"/>
          </w:tcPr>
          <w:p w:rsidR="009323F9" w:rsidRPr="009323F9" w:rsidRDefault="009323F9" w:rsidP="009323F9">
            <w:pPr>
              <w:widowControl/>
              <w:jc w:val="left"/>
              <w:rPr>
                <w:rFonts w:ascii="宋体" w:hAnsi="宋体" w:cs="宋体"/>
                <w:color w:val="000000"/>
                <w:kern w:val="0"/>
                <w:sz w:val="20"/>
                <w:szCs w:val="20"/>
              </w:rPr>
            </w:pPr>
          </w:p>
        </w:tc>
        <w:tc>
          <w:tcPr>
            <w:tcW w:w="348" w:type="pct"/>
            <w:vMerge/>
            <w:tcBorders>
              <w:top w:val="single" w:sz="4" w:space="0" w:color="auto"/>
              <w:left w:val="single" w:sz="4" w:space="0" w:color="auto"/>
              <w:bottom w:val="single" w:sz="4" w:space="0" w:color="auto"/>
              <w:right w:val="single" w:sz="4" w:space="0" w:color="auto"/>
            </w:tcBorders>
            <w:noWrap/>
            <w:vAlign w:val="center"/>
          </w:tcPr>
          <w:p w:rsidR="009323F9" w:rsidRPr="009323F9" w:rsidRDefault="009323F9" w:rsidP="009323F9">
            <w:pPr>
              <w:widowControl/>
              <w:jc w:val="left"/>
              <w:rPr>
                <w:rFonts w:ascii="宋体" w:hAnsi="宋体" w:cs="宋体"/>
                <w:color w:val="000000"/>
                <w:kern w:val="0"/>
                <w:sz w:val="20"/>
                <w:szCs w:val="20"/>
              </w:rPr>
            </w:pPr>
          </w:p>
        </w:tc>
        <w:tc>
          <w:tcPr>
            <w:tcW w:w="446" w:type="pct"/>
            <w:vMerge/>
            <w:tcBorders>
              <w:top w:val="single" w:sz="4" w:space="0" w:color="auto"/>
              <w:left w:val="nil"/>
              <w:bottom w:val="single" w:sz="4" w:space="0" w:color="auto"/>
              <w:right w:val="nil"/>
            </w:tcBorders>
            <w:noWrap/>
            <w:vAlign w:val="center"/>
          </w:tcPr>
          <w:p w:rsidR="009323F9" w:rsidRPr="009323F9" w:rsidRDefault="009323F9" w:rsidP="009323F9">
            <w:pPr>
              <w:widowControl/>
              <w:jc w:val="left"/>
              <w:rPr>
                <w:rFonts w:ascii="宋体" w:hAnsi="宋体" w:cs="宋体"/>
                <w:color w:val="000000"/>
                <w:kern w:val="0"/>
                <w:sz w:val="20"/>
                <w:szCs w:val="20"/>
              </w:rPr>
            </w:pPr>
          </w:p>
        </w:tc>
        <w:tc>
          <w:tcPr>
            <w:tcW w:w="428" w:type="pct"/>
            <w:gridSpan w:val="2"/>
            <w:vMerge/>
            <w:tcBorders>
              <w:top w:val="single" w:sz="4" w:space="0" w:color="auto"/>
              <w:left w:val="single" w:sz="4" w:space="0" w:color="auto"/>
              <w:bottom w:val="single" w:sz="4" w:space="0" w:color="auto"/>
              <w:right w:val="single" w:sz="4" w:space="0" w:color="auto"/>
            </w:tcBorders>
            <w:noWrap/>
            <w:vAlign w:val="center"/>
          </w:tcPr>
          <w:p w:rsidR="009323F9" w:rsidRPr="009323F9" w:rsidRDefault="009323F9" w:rsidP="009323F9">
            <w:pPr>
              <w:widowControl/>
              <w:jc w:val="left"/>
              <w:rPr>
                <w:rFonts w:ascii="宋体" w:hAnsi="宋体" w:cs="宋体"/>
                <w:color w:val="000000"/>
                <w:kern w:val="0"/>
                <w:sz w:val="18"/>
                <w:szCs w:val="18"/>
              </w:rPr>
            </w:pPr>
          </w:p>
        </w:tc>
        <w:tc>
          <w:tcPr>
            <w:tcW w:w="1210" w:type="pct"/>
            <w:vMerge/>
            <w:tcBorders>
              <w:top w:val="nil"/>
              <w:left w:val="single" w:sz="4" w:space="0" w:color="auto"/>
              <w:bottom w:val="single" w:sz="4" w:space="0" w:color="auto"/>
              <w:right w:val="single" w:sz="4" w:space="0" w:color="auto"/>
            </w:tcBorders>
            <w:noWrap/>
            <w:vAlign w:val="center"/>
          </w:tcPr>
          <w:p w:rsidR="009323F9" w:rsidRPr="009323F9" w:rsidRDefault="009323F9" w:rsidP="009323F9">
            <w:pPr>
              <w:widowControl/>
              <w:jc w:val="left"/>
              <w:rPr>
                <w:rFonts w:ascii="宋体" w:hAnsi="宋体" w:cs="宋体"/>
                <w:color w:val="000000"/>
                <w:kern w:val="0"/>
                <w:sz w:val="18"/>
                <w:szCs w:val="18"/>
              </w:rPr>
            </w:pPr>
          </w:p>
        </w:tc>
      </w:tr>
      <w:tr w:rsidR="009323F9" w:rsidRPr="009323F9" w:rsidTr="00B92A0E">
        <w:trPr>
          <w:trHeight w:val="479"/>
        </w:trPr>
        <w:tc>
          <w:tcPr>
            <w:tcW w:w="5000" w:type="pct"/>
            <w:gridSpan w:val="13"/>
            <w:tcBorders>
              <w:top w:val="nil"/>
              <w:left w:val="single" w:sz="4" w:space="0" w:color="auto"/>
              <w:bottom w:val="single" w:sz="4" w:space="0" w:color="auto"/>
              <w:right w:val="single" w:sz="4" w:space="0" w:color="auto"/>
            </w:tcBorders>
            <w:noWrap/>
            <w:vAlign w:val="center"/>
          </w:tcPr>
          <w:p w:rsidR="009323F9" w:rsidRPr="009323F9" w:rsidRDefault="009323F9" w:rsidP="009323F9">
            <w:pPr>
              <w:widowControl/>
              <w:jc w:val="left"/>
              <w:rPr>
                <w:rFonts w:ascii="宋体" w:hAnsi="宋体" w:cs="宋体"/>
                <w:color w:val="000000"/>
                <w:kern w:val="0"/>
                <w:sz w:val="18"/>
                <w:szCs w:val="18"/>
              </w:rPr>
            </w:pPr>
            <w:r w:rsidRPr="009323F9">
              <w:rPr>
                <w:rFonts w:ascii="宋体" w:hAnsi="宋体" w:cs="宋体" w:hint="eastAsia"/>
                <w:color w:val="000000"/>
                <w:kern w:val="0"/>
                <w:sz w:val="18"/>
                <w:szCs w:val="18"/>
              </w:rPr>
              <w:lastRenderedPageBreak/>
              <w:t>二</w:t>
            </w:r>
            <w:r w:rsidRPr="009323F9">
              <w:rPr>
                <w:rFonts w:ascii="宋体" w:hAnsi="宋体" w:cs="宋体"/>
                <w:color w:val="000000"/>
                <w:kern w:val="0"/>
                <w:sz w:val="18"/>
                <w:szCs w:val="18"/>
              </w:rPr>
              <w:t>、</w:t>
            </w:r>
            <w:r w:rsidRPr="009323F9">
              <w:rPr>
                <w:rFonts w:ascii="宋体" w:hAnsi="宋体" w:cs="宋体" w:hint="eastAsia"/>
                <w:color w:val="000000"/>
                <w:kern w:val="0"/>
                <w:sz w:val="20"/>
                <w:szCs w:val="20"/>
              </w:rPr>
              <w:t>整体绩效目标实现情况（60分）</w:t>
            </w:r>
          </w:p>
        </w:tc>
      </w:tr>
      <w:tr w:rsidR="00B92A0E" w:rsidRPr="009323F9" w:rsidTr="00AF0772">
        <w:trPr>
          <w:trHeight w:val="499"/>
        </w:trPr>
        <w:tc>
          <w:tcPr>
            <w:tcW w:w="169" w:type="pct"/>
            <w:tcBorders>
              <w:top w:val="single" w:sz="4" w:space="0" w:color="auto"/>
              <w:left w:val="single" w:sz="4" w:space="0" w:color="auto"/>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一</w:t>
            </w:r>
            <w:r w:rsidRPr="009323F9">
              <w:rPr>
                <w:rFonts w:ascii="宋体" w:hAnsi="宋体" w:cs="宋体"/>
                <w:color w:val="000000"/>
                <w:kern w:val="0"/>
                <w:sz w:val="20"/>
                <w:szCs w:val="20"/>
              </w:rPr>
              <w:t>级指标</w:t>
            </w:r>
          </w:p>
        </w:tc>
        <w:tc>
          <w:tcPr>
            <w:tcW w:w="151" w:type="pct"/>
            <w:tcBorders>
              <w:top w:val="single" w:sz="4" w:space="0" w:color="auto"/>
              <w:left w:val="nil"/>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二</w:t>
            </w:r>
            <w:r w:rsidRPr="009323F9">
              <w:rPr>
                <w:rFonts w:ascii="宋体" w:hAnsi="宋体" w:cs="宋体"/>
                <w:color w:val="000000"/>
                <w:kern w:val="0"/>
                <w:sz w:val="20"/>
                <w:szCs w:val="20"/>
              </w:rPr>
              <w:t>级指标</w:t>
            </w:r>
            <w:r w:rsidRPr="009323F9">
              <w:rPr>
                <w:rFonts w:ascii="宋体" w:hAnsi="宋体" w:cs="宋体" w:hint="eastAsia"/>
                <w:color w:val="000000"/>
                <w:kern w:val="0"/>
                <w:sz w:val="20"/>
                <w:szCs w:val="20"/>
              </w:rPr>
              <w:t xml:space="preserve">　</w:t>
            </w:r>
          </w:p>
        </w:tc>
        <w:tc>
          <w:tcPr>
            <w:tcW w:w="155" w:type="pct"/>
            <w:tcBorders>
              <w:top w:val="single" w:sz="4" w:space="0" w:color="auto"/>
              <w:left w:val="nil"/>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三</w:t>
            </w:r>
            <w:r w:rsidRPr="009323F9">
              <w:rPr>
                <w:rFonts w:ascii="宋体" w:hAnsi="宋体" w:cs="宋体"/>
                <w:color w:val="000000"/>
                <w:kern w:val="0"/>
                <w:sz w:val="20"/>
                <w:szCs w:val="20"/>
              </w:rPr>
              <w:t>级指标</w:t>
            </w:r>
            <w:r w:rsidRPr="009323F9">
              <w:rPr>
                <w:rFonts w:ascii="宋体" w:hAnsi="宋体" w:cs="宋体" w:hint="eastAsia"/>
                <w:color w:val="000000"/>
                <w:kern w:val="0"/>
                <w:sz w:val="20"/>
                <w:szCs w:val="20"/>
              </w:rPr>
              <w:t xml:space="preserve">　</w:t>
            </w:r>
          </w:p>
        </w:tc>
        <w:tc>
          <w:tcPr>
            <w:tcW w:w="307" w:type="pct"/>
            <w:tcBorders>
              <w:top w:val="single" w:sz="4" w:space="0" w:color="auto"/>
              <w:left w:val="nil"/>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指标值</w:t>
            </w:r>
          </w:p>
        </w:tc>
        <w:tc>
          <w:tcPr>
            <w:tcW w:w="1216" w:type="pct"/>
            <w:tcBorders>
              <w:top w:val="single" w:sz="4" w:space="0" w:color="auto"/>
              <w:left w:val="nil"/>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完成值</w:t>
            </w:r>
          </w:p>
        </w:tc>
        <w:tc>
          <w:tcPr>
            <w:tcW w:w="173" w:type="pct"/>
            <w:tcBorders>
              <w:top w:val="single" w:sz="4" w:space="0" w:color="auto"/>
              <w:left w:val="nil"/>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分值</w:t>
            </w:r>
          </w:p>
        </w:tc>
        <w:tc>
          <w:tcPr>
            <w:tcW w:w="198" w:type="pct"/>
            <w:tcBorders>
              <w:top w:val="single" w:sz="4" w:space="0" w:color="auto"/>
              <w:left w:val="nil"/>
              <w:bottom w:val="single" w:sz="4" w:space="0" w:color="auto"/>
              <w:right w:val="nil"/>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得分</w:t>
            </w:r>
          </w:p>
        </w:tc>
        <w:tc>
          <w:tcPr>
            <w:tcW w:w="1227" w:type="pct"/>
            <w:gridSpan w:val="4"/>
            <w:tcBorders>
              <w:top w:val="single" w:sz="4" w:space="0" w:color="auto"/>
              <w:left w:val="single" w:sz="4" w:space="0" w:color="auto"/>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bCs/>
                <w:color w:val="000000"/>
                <w:kern w:val="0"/>
                <w:sz w:val="18"/>
                <w:szCs w:val="18"/>
              </w:rPr>
            </w:pPr>
            <w:r w:rsidRPr="009323F9">
              <w:rPr>
                <w:rFonts w:ascii="宋体" w:hAnsi="宋体" w:cs="宋体" w:hint="eastAsia"/>
                <w:bCs/>
                <w:color w:val="000000"/>
                <w:kern w:val="0"/>
                <w:sz w:val="18"/>
                <w:szCs w:val="18"/>
              </w:rPr>
              <w:t>指标</w:t>
            </w:r>
            <w:r w:rsidRPr="009323F9">
              <w:rPr>
                <w:rFonts w:ascii="宋体" w:hAnsi="宋体" w:cs="宋体"/>
                <w:bCs/>
                <w:color w:val="000000"/>
                <w:kern w:val="0"/>
                <w:sz w:val="18"/>
                <w:szCs w:val="18"/>
              </w:rPr>
              <w:t>解释</w:t>
            </w:r>
          </w:p>
        </w:tc>
        <w:tc>
          <w:tcPr>
            <w:tcW w:w="1404" w:type="pct"/>
            <w:gridSpan w:val="2"/>
            <w:tcBorders>
              <w:top w:val="single" w:sz="4" w:space="0" w:color="auto"/>
              <w:left w:val="single" w:sz="4" w:space="0" w:color="auto"/>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18"/>
                <w:szCs w:val="18"/>
              </w:rPr>
            </w:pPr>
            <w:r w:rsidRPr="009323F9">
              <w:rPr>
                <w:rFonts w:ascii="宋体" w:hAnsi="宋体" w:cs="宋体" w:hint="eastAsia"/>
                <w:color w:val="000000"/>
                <w:kern w:val="0"/>
                <w:sz w:val="18"/>
                <w:szCs w:val="18"/>
              </w:rPr>
              <w:t>评</w:t>
            </w:r>
            <w:r w:rsidRPr="009323F9">
              <w:rPr>
                <w:rFonts w:ascii="宋体" w:hAnsi="宋体" w:cs="宋体"/>
                <w:color w:val="000000"/>
                <w:kern w:val="0"/>
                <w:sz w:val="18"/>
                <w:szCs w:val="18"/>
              </w:rPr>
              <w:t>分标准</w:t>
            </w:r>
          </w:p>
        </w:tc>
      </w:tr>
      <w:tr w:rsidR="00C37A77" w:rsidRPr="009323F9" w:rsidTr="00B90934">
        <w:trPr>
          <w:trHeight w:val="1196"/>
        </w:trPr>
        <w:tc>
          <w:tcPr>
            <w:tcW w:w="169" w:type="pct"/>
            <w:vMerge w:val="restart"/>
            <w:tcBorders>
              <w:top w:val="single" w:sz="4" w:space="0" w:color="auto"/>
              <w:left w:val="single" w:sz="4" w:space="0" w:color="auto"/>
              <w:right w:val="single" w:sz="4" w:space="0" w:color="auto"/>
            </w:tcBorders>
            <w:noWrap/>
            <w:vAlign w:val="center"/>
          </w:tcPr>
          <w:p w:rsidR="00C37A77" w:rsidRPr="009323F9" w:rsidRDefault="00C37A77"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整体绩效目标实现情况（60）</w:t>
            </w:r>
          </w:p>
        </w:tc>
        <w:tc>
          <w:tcPr>
            <w:tcW w:w="151" w:type="pct"/>
            <w:vMerge w:val="restart"/>
            <w:tcBorders>
              <w:top w:val="single" w:sz="4" w:space="0" w:color="auto"/>
              <w:left w:val="nil"/>
              <w:right w:val="single" w:sz="4" w:space="0" w:color="auto"/>
            </w:tcBorders>
            <w:noWrap/>
            <w:vAlign w:val="center"/>
          </w:tcPr>
          <w:p w:rsidR="00C37A77" w:rsidRPr="009323F9" w:rsidRDefault="00C37A77" w:rsidP="009323F9">
            <w:pPr>
              <w:widowControl/>
              <w:jc w:val="center"/>
              <w:rPr>
                <w:rFonts w:ascii="宋体" w:hAnsi="宋体" w:cs="宋体"/>
                <w:color w:val="000000"/>
                <w:kern w:val="0"/>
                <w:sz w:val="20"/>
                <w:szCs w:val="20"/>
              </w:rPr>
            </w:pPr>
          </w:p>
          <w:p w:rsidR="00C37A77" w:rsidRPr="009323F9" w:rsidRDefault="00C37A77" w:rsidP="009323F9">
            <w:pPr>
              <w:jc w:val="center"/>
              <w:rPr>
                <w:rFonts w:ascii="宋体" w:hAnsi="宋体" w:cs="宋体"/>
                <w:color w:val="000000"/>
                <w:kern w:val="0"/>
                <w:sz w:val="20"/>
                <w:szCs w:val="20"/>
              </w:rPr>
            </w:pPr>
            <w:r w:rsidRPr="009323F9">
              <w:rPr>
                <w:rFonts w:ascii="宋体" w:hAnsi="宋体" w:cs="宋体" w:hint="eastAsia"/>
                <w:color w:val="000000"/>
                <w:kern w:val="0"/>
                <w:sz w:val="20"/>
                <w:szCs w:val="20"/>
              </w:rPr>
              <w:t>产出（30）</w:t>
            </w:r>
          </w:p>
        </w:tc>
        <w:tc>
          <w:tcPr>
            <w:tcW w:w="155" w:type="pct"/>
            <w:tcBorders>
              <w:top w:val="single" w:sz="4" w:space="0" w:color="auto"/>
              <w:left w:val="nil"/>
              <w:bottom w:val="single" w:sz="4" w:space="0" w:color="auto"/>
              <w:right w:val="single" w:sz="4" w:space="0" w:color="auto"/>
            </w:tcBorders>
            <w:noWrap/>
            <w:vAlign w:val="center"/>
          </w:tcPr>
          <w:p w:rsidR="00C37A77" w:rsidRPr="009323F9" w:rsidRDefault="00C37A77" w:rsidP="009323F9">
            <w:pPr>
              <w:widowControl/>
              <w:jc w:val="center"/>
              <w:rPr>
                <w:rFonts w:ascii="宋体" w:hAnsi="宋体" w:cs="宋体"/>
                <w:color w:val="000000"/>
                <w:kern w:val="0"/>
                <w:sz w:val="20"/>
                <w:szCs w:val="20"/>
              </w:rPr>
            </w:pPr>
          </w:p>
          <w:p w:rsidR="00C37A77" w:rsidRPr="009323F9" w:rsidRDefault="00C37A77" w:rsidP="009323F9">
            <w:pPr>
              <w:jc w:val="center"/>
              <w:rPr>
                <w:rFonts w:ascii="宋体" w:hAnsi="宋体" w:cs="宋体"/>
                <w:color w:val="000000"/>
                <w:kern w:val="0"/>
                <w:sz w:val="20"/>
                <w:szCs w:val="20"/>
              </w:rPr>
            </w:pPr>
            <w:r>
              <w:rPr>
                <w:rFonts w:ascii="宋体" w:hAnsi="宋体" w:cs="宋体" w:hint="eastAsia"/>
                <w:color w:val="000000"/>
                <w:kern w:val="0"/>
                <w:sz w:val="20"/>
                <w:szCs w:val="20"/>
              </w:rPr>
              <w:t>指标1</w:t>
            </w:r>
          </w:p>
        </w:tc>
        <w:tc>
          <w:tcPr>
            <w:tcW w:w="307" w:type="pct"/>
            <w:tcBorders>
              <w:top w:val="single" w:sz="4" w:space="0" w:color="auto"/>
              <w:left w:val="nil"/>
              <w:bottom w:val="single" w:sz="4" w:space="0" w:color="auto"/>
              <w:right w:val="single" w:sz="4" w:space="0" w:color="auto"/>
            </w:tcBorders>
            <w:noWrap/>
            <w:vAlign w:val="center"/>
          </w:tcPr>
          <w:p w:rsidR="00C37A77" w:rsidRPr="009323F9" w:rsidRDefault="00C37A77" w:rsidP="009323F9">
            <w:pPr>
              <w:widowControl/>
              <w:jc w:val="center"/>
              <w:rPr>
                <w:rFonts w:ascii="宋体" w:hAnsi="宋体" w:cs="宋体"/>
                <w:color w:val="000000"/>
                <w:kern w:val="0"/>
                <w:sz w:val="20"/>
                <w:szCs w:val="20"/>
              </w:rPr>
            </w:pPr>
          </w:p>
          <w:p w:rsidR="00C37A77" w:rsidRDefault="00C37A77" w:rsidP="00121EC8">
            <w:pPr>
              <w:widowControl/>
              <w:jc w:val="center"/>
              <w:rPr>
                <w:color w:val="000000"/>
                <w:sz w:val="20"/>
                <w:szCs w:val="20"/>
              </w:rPr>
            </w:pPr>
            <w:r>
              <w:rPr>
                <w:rFonts w:hint="eastAsia"/>
                <w:color w:val="000000"/>
                <w:sz w:val="20"/>
                <w:szCs w:val="20"/>
              </w:rPr>
              <w:t>依法履行审判职能</w:t>
            </w:r>
          </w:p>
          <w:p w:rsidR="00C37A77" w:rsidRPr="009323F9" w:rsidRDefault="00C37A77" w:rsidP="009323F9">
            <w:pPr>
              <w:jc w:val="center"/>
              <w:rPr>
                <w:rFonts w:ascii="宋体" w:hAnsi="宋体" w:cs="宋体"/>
                <w:color w:val="000000"/>
                <w:kern w:val="0"/>
                <w:sz w:val="20"/>
                <w:szCs w:val="20"/>
              </w:rPr>
            </w:pPr>
            <w:r w:rsidRPr="009323F9">
              <w:rPr>
                <w:rFonts w:ascii="宋体" w:hAnsi="宋体" w:cs="宋体" w:hint="eastAsia"/>
                <w:color w:val="000000"/>
                <w:kern w:val="0"/>
                <w:sz w:val="20"/>
                <w:szCs w:val="20"/>
              </w:rPr>
              <w:t xml:space="preserve">　</w:t>
            </w:r>
          </w:p>
        </w:tc>
        <w:tc>
          <w:tcPr>
            <w:tcW w:w="1216" w:type="pct"/>
            <w:tcBorders>
              <w:top w:val="single" w:sz="4" w:space="0" w:color="auto"/>
              <w:left w:val="nil"/>
              <w:bottom w:val="single" w:sz="4" w:space="0" w:color="auto"/>
              <w:right w:val="single" w:sz="4" w:space="0" w:color="auto"/>
            </w:tcBorders>
            <w:noWrap/>
            <w:vAlign w:val="center"/>
          </w:tcPr>
          <w:p w:rsidR="00C37A77" w:rsidRPr="00121EC8" w:rsidRDefault="00C37A77" w:rsidP="00BA2563">
            <w:pPr>
              <w:widowControl/>
              <w:jc w:val="center"/>
              <w:rPr>
                <w:color w:val="000000"/>
                <w:sz w:val="20"/>
                <w:szCs w:val="20"/>
              </w:rPr>
            </w:pPr>
            <w:r w:rsidRPr="00121EC8">
              <w:rPr>
                <w:rFonts w:hint="eastAsia"/>
                <w:color w:val="000000"/>
                <w:sz w:val="20"/>
                <w:szCs w:val="20"/>
              </w:rPr>
              <w:t>落实</w:t>
            </w:r>
            <w:r w:rsidRPr="00121EC8">
              <w:rPr>
                <w:color w:val="000000"/>
                <w:sz w:val="20"/>
                <w:szCs w:val="20"/>
              </w:rPr>
              <w:t>“</w:t>
            </w:r>
            <w:r w:rsidRPr="00121EC8">
              <w:rPr>
                <w:rFonts w:hint="eastAsia"/>
                <w:color w:val="000000"/>
                <w:sz w:val="20"/>
                <w:szCs w:val="20"/>
              </w:rPr>
              <w:t>开放、动态、透明、便民</w:t>
            </w:r>
            <w:r w:rsidRPr="00121EC8">
              <w:rPr>
                <w:color w:val="000000"/>
                <w:sz w:val="20"/>
                <w:szCs w:val="20"/>
              </w:rPr>
              <w:t>”</w:t>
            </w:r>
            <w:r w:rsidRPr="00121EC8">
              <w:rPr>
                <w:rFonts w:hint="eastAsia"/>
                <w:color w:val="000000"/>
                <w:sz w:val="20"/>
                <w:szCs w:val="20"/>
              </w:rPr>
              <w:t>的阳光司法机制，深化审判流程公开、执行信息公开、裁判文书上网、庭审网络直播</w:t>
            </w:r>
            <w:r w:rsidRPr="00121EC8">
              <w:rPr>
                <w:color w:val="000000"/>
                <w:sz w:val="20"/>
                <w:szCs w:val="20"/>
              </w:rPr>
              <w:t>“</w:t>
            </w:r>
            <w:r w:rsidRPr="00121EC8">
              <w:rPr>
                <w:rFonts w:hint="eastAsia"/>
                <w:color w:val="000000"/>
                <w:sz w:val="20"/>
                <w:szCs w:val="20"/>
              </w:rPr>
              <w:t>四大平台</w:t>
            </w:r>
            <w:r w:rsidRPr="00121EC8">
              <w:rPr>
                <w:color w:val="000000"/>
                <w:sz w:val="20"/>
                <w:szCs w:val="20"/>
              </w:rPr>
              <w:t>”</w:t>
            </w:r>
            <w:r w:rsidRPr="00121EC8">
              <w:rPr>
                <w:rFonts w:hint="eastAsia"/>
                <w:color w:val="000000"/>
                <w:sz w:val="20"/>
                <w:szCs w:val="20"/>
              </w:rPr>
              <w:t>应用，截止</w:t>
            </w:r>
            <w:r w:rsidRPr="00121EC8">
              <w:rPr>
                <w:rFonts w:hint="eastAsia"/>
                <w:color w:val="000000"/>
                <w:sz w:val="20"/>
                <w:szCs w:val="20"/>
              </w:rPr>
              <w:t>202</w:t>
            </w:r>
            <w:r w:rsidR="00BA2563">
              <w:rPr>
                <w:rFonts w:hint="eastAsia"/>
                <w:color w:val="000000"/>
                <w:sz w:val="20"/>
                <w:szCs w:val="20"/>
              </w:rPr>
              <w:t>3</w:t>
            </w:r>
            <w:r w:rsidRPr="00121EC8">
              <w:rPr>
                <w:rFonts w:hint="eastAsia"/>
                <w:color w:val="000000"/>
                <w:sz w:val="20"/>
                <w:szCs w:val="20"/>
              </w:rPr>
              <w:t>年</w:t>
            </w:r>
            <w:r w:rsidRPr="00121EC8">
              <w:rPr>
                <w:rFonts w:hint="eastAsia"/>
                <w:color w:val="000000"/>
                <w:sz w:val="20"/>
                <w:szCs w:val="20"/>
              </w:rPr>
              <w:t>12</w:t>
            </w:r>
            <w:r w:rsidRPr="00121EC8">
              <w:rPr>
                <w:rFonts w:hint="eastAsia"/>
                <w:color w:val="000000"/>
                <w:sz w:val="20"/>
                <w:szCs w:val="20"/>
              </w:rPr>
              <w:t>月</w:t>
            </w:r>
            <w:r w:rsidRPr="00121EC8">
              <w:rPr>
                <w:rFonts w:hint="eastAsia"/>
                <w:color w:val="000000"/>
                <w:sz w:val="20"/>
                <w:szCs w:val="20"/>
              </w:rPr>
              <w:t>31</w:t>
            </w:r>
            <w:r w:rsidRPr="00121EC8">
              <w:rPr>
                <w:rFonts w:hint="eastAsia"/>
                <w:color w:val="000000"/>
                <w:sz w:val="20"/>
                <w:szCs w:val="20"/>
              </w:rPr>
              <w:t>日，我院新收案件</w:t>
            </w:r>
            <w:r w:rsidR="00BA2563">
              <w:rPr>
                <w:rFonts w:hint="eastAsia"/>
                <w:color w:val="000000"/>
                <w:sz w:val="20"/>
                <w:szCs w:val="20"/>
              </w:rPr>
              <w:t>44879</w:t>
            </w:r>
            <w:r w:rsidRPr="00121EC8">
              <w:rPr>
                <w:rFonts w:hint="eastAsia"/>
                <w:color w:val="000000"/>
                <w:sz w:val="20"/>
                <w:szCs w:val="20"/>
              </w:rPr>
              <w:t>件，审结</w:t>
            </w:r>
            <w:r w:rsidR="00BA2563">
              <w:rPr>
                <w:rFonts w:hint="eastAsia"/>
                <w:color w:val="000000"/>
                <w:sz w:val="20"/>
                <w:szCs w:val="20"/>
              </w:rPr>
              <w:t>44208</w:t>
            </w:r>
            <w:r w:rsidRPr="00121EC8">
              <w:rPr>
                <w:rFonts w:hint="eastAsia"/>
                <w:color w:val="000000"/>
                <w:sz w:val="20"/>
                <w:szCs w:val="20"/>
              </w:rPr>
              <w:t>件。</w:t>
            </w:r>
          </w:p>
        </w:tc>
        <w:tc>
          <w:tcPr>
            <w:tcW w:w="173" w:type="pct"/>
            <w:tcBorders>
              <w:top w:val="single" w:sz="4" w:space="0" w:color="auto"/>
              <w:left w:val="nil"/>
              <w:bottom w:val="single" w:sz="4" w:space="0" w:color="auto"/>
              <w:right w:val="single" w:sz="4" w:space="0" w:color="auto"/>
            </w:tcBorders>
            <w:noWrap/>
            <w:vAlign w:val="center"/>
          </w:tcPr>
          <w:p w:rsidR="00C37A77" w:rsidRPr="009323F9" w:rsidRDefault="00C37A77" w:rsidP="009323F9">
            <w:pPr>
              <w:widowControl/>
              <w:jc w:val="center"/>
              <w:rPr>
                <w:rFonts w:ascii="宋体" w:hAnsi="宋体" w:cs="宋体"/>
                <w:color w:val="000000"/>
                <w:kern w:val="0"/>
                <w:sz w:val="20"/>
                <w:szCs w:val="20"/>
              </w:rPr>
            </w:pPr>
          </w:p>
          <w:p w:rsidR="00C37A77" w:rsidRPr="009323F9" w:rsidRDefault="00C37A77" w:rsidP="009323F9">
            <w:pPr>
              <w:jc w:val="center"/>
              <w:rPr>
                <w:rFonts w:ascii="宋体" w:hAnsi="宋体" w:cs="宋体"/>
                <w:color w:val="000000"/>
                <w:kern w:val="0"/>
                <w:sz w:val="20"/>
                <w:szCs w:val="20"/>
              </w:rPr>
            </w:pPr>
            <w:r>
              <w:rPr>
                <w:rFonts w:ascii="宋体" w:hAnsi="宋体" w:cs="宋体"/>
                <w:color w:val="000000"/>
                <w:kern w:val="0"/>
                <w:sz w:val="20"/>
                <w:szCs w:val="20"/>
              </w:rPr>
              <w:t>6</w:t>
            </w:r>
          </w:p>
        </w:tc>
        <w:tc>
          <w:tcPr>
            <w:tcW w:w="198" w:type="pct"/>
            <w:tcBorders>
              <w:top w:val="single" w:sz="4" w:space="0" w:color="auto"/>
              <w:left w:val="nil"/>
              <w:bottom w:val="single" w:sz="4" w:space="0" w:color="auto"/>
              <w:right w:val="nil"/>
            </w:tcBorders>
            <w:noWrap/>
            <w:vAlign w:val="center"/>
          </w:tcPr>
          <w:p w:rsidR="00C37A77" w:rsidRPr="009323F9" w:rsidRDefault="00C37A77" w:rsidP="009323F9">
            <w:pPr>
              <w:widowControl/>
              <w:jc w:val="center"/>
              <w:rPr>
                <w:rFonts w:ascii="宋体" w:hAnsi="宋体" w:cs="宋体"/>
                <w:color w:val="000000"/>
                <w:kern w:val="0"/>
                <w:sz w:val="20"/>
                <w:szCs w:val="20"/>
              </w:rPr>
            </w:pPr>
          </w:p>
          <w:p w:rsidR="00C37A77" w:rsidRPr="009323F9" w:rsidRDefault="00C37A77" w:rsidP="009323F9">
            <w:pPr>
              <w:jc w:val="center"/>
              <w:rPr>
                <w:rFonts w:ascii="宋体" w:hAnsi="宋体" w:cs="宋体"/>
                <w:color w:val="000000"/>
                <w:kern w:val="0"/>
                <w:sz w:val="20"/>
                <w:szCs w:val="20"/>
              </w:rPr>
            </w:pPr>
            <w:r>
              <w:rPr>
                <w:rFonts w:ascii="宋体" w:hAnsi="宋体" w:cs="宋体"/>
                <w:color w:val="000000"/>
                <w:kern w:val="0"/>
                <w:sz w:val="20"/>
                <w:szCs w:val="20"/>
              </w:rPr>
              <w:t>5.5</w:t>
            </w:r>
            <w:r w:rsidRPr="009323F9">
              <w:rPr>
                <w:rFonts w:ascii="宋体" w:hAnsi="宋体" w:cs="宋体" w:hint="eastAsia"/>
                <w:color w:val="000000"/>
                <w:kern w:val="0"/>
                <w:sz w:val="20"/>
                <w:szCs w:val="20"/>
              </w:rPr>
              <w:t xml:space="preserve">　</w:t>
            </w:r>
          </w:p>
        </w:tc>
        <w:tc>
          <w:tcPr>
            <w:tcW w:w="1227" w:type="pct"/>
            <w:gridSpan w:val="4"/>
            <w:vMerge w:val="restart"/>
            <w:tcBorders>
              <w:top w:val="single" w:sz="4" w:space="0" w:color="auto"/>
              <w:left w:val="single" w:sz="4" w:space="0" w:color="auto"/>
              <w:bottom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18"/>
                <w:szCs w:val="18"/>
              </w:rPr>
            </w:pPr>
            <w:r w:rsidRPr="009323F9">
              <w:rPr>
                <w:rFonts w:ascii="宋体" w:hAnsi="宋体" w:cs="宋体" w:hint="eastAsia"/>
                <w:b/>
                <w:bCs/>
                <w:color w:val="000000"/>
                <w:kern w:val="0"/>
                <w:sz w:val="18"/>
                <w:szCs w:val="18"/>
              </w:rPr>
              <w:t>产出数量</w:t>
            </w:r>
            <w:r w:rsidRPr="009323F9">
              <w:rPr>
                <w:rFonts w:ascii="宋体" w:hAnsi="宋体" w:cs="宋体" w:hint="eastAsia"/>
                <w:color w:val="000000"/>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sidRPr="009323F9">
              <w:rPr>
                <w:rFonts w:ascii="宋体" w:hAnsi="宋体" w:cs="宋体" w:hint="eastAsia"/>
                <w:b/>
                <w:bCs/>
                <w:color w:val="000000"/>
                <w:kern w:val="0"/>
                <w:sz w:val="18"/>
                <w:szCs w:val="18"/>
              </w:rPr>
              <w:t>产出质量</w:t>
            </w:r>
            <w:r w:rsidRPr="009323F9">
              <w:rPr>
                <w:rFonts w:ascii="宋体" w:hAnsi="宋体" w:cs="宋体" w:hint="eastAsia"/>
                <w:color w:val="000000"/>
                <w:kern w:val="0"/>
                <w:sz w:val="18"/>
                <w:szCs w:val="18"/>
              </w:rPr>
              <w:t>：质量达标率=质量达标工作数/实际完成工作数×100%。质量达标工作数：一定时期（年度或规划期）内部门（单位）实际完成工作数中达到部门绩效目标要求（绩效标准值）的工作任务数量。</w:t>
            </w:r>
            <w:r w:rsidRPr="009323F9">
              <w:rPr>
                <w:rFonts w:ascii="宋体" w:hAnsi="宋体" w:cs="宋体" w:hint="eastAsia"/>
                <w:b/>
                <w:bCs/>
                <w:color w:val="000000"/>
                <w:kern w:val="0"/>
                <w:sz w:val="18"/>
                <w:szCs w:val="18"/>
              </w:rPr>
              <w:t>产出进度：</w:t>
            </w:r>
            <w:r w:rsidRPr="009323F9">
              <w:rPr>
                <w:rFonts w:ascii="宋体" w:hAnsi="宋体" w:cs="宋体" w:hint="eastAsia"/>
                <w:color w:val="000000"/>
                <w:kern w:val="0"/>
                <w:sz w:val="18"/>
                <w:szCs w:val="18"/>
              </w:rPr>
              <w:t>按时完成率=（按时完成工作数/实际完成工作数）×100%。按时完成</w:t>
            </w:r>
            <w:r w:rsidRPr="009323F9">
              <w:rPr>
                <w:rFonts w:ascii="宋体" w:hAnsi="宋体" w:cs="宋体" w:hint="eastAsia"/>
                <w:color w:val="000000"/>
                <w:kern w:val="0"/>
                <w:sz w:val="18"/>
                <w:szCs w:val="18"/>
              </w:rPr>
              <w:lastRenderedPageBreak/>
              <w:t>工作数：部门（单位）按照整体绩效目标确定的时限实际完成的工作任务数量。</w:t>
            </w:r>
            <w:r w:rsidRPr="009323F9">
              <w:rPr>
                <w:rFonts w:ascii="宋体" w:hAnsi="宋体" w:cs="宋体" w:hint="eastAsia"/>
                <w:b/>
                <w:bCs/>
                <w:color w:val="000000"/>
                <w:kern w:val="0"/>
                <w:sz w:val="18"/>
                <w:szCs w:val="18"/>
              </w:rPr>
              <w:t>产出成本</w:t>
            </w:r>
            <w:r w:rsidRPr="009323F9">
              <w:rPr>
                <w:rFonts w:ascii="宋体" w:hAnsi="宋体" w:cs="宋体" w:hint="eastAsia"/>
                <w:color w:val="000000"/>
                <w:kern w:val="0"/>
                <w:sz w:val="18"/>
                <w:szCs w:val="18"/>
              </w:rPr>
              <w:t>：单位产出相对于上一年度的节约额；②单位产出相对于市场同类产出的节约额；③部门公用经费的控制情况。</w:t>
            </w:r>
          </w:p>
        </w:tc>
        <w:tc>
          <w:tcPr>
            <w:tcW w:w="1404" w:type="pct"/>
            <w:gridSpan w:val="2"/>
            <w:vMerge w:val="restart"/>
            <w:tcBorders>
              <w:top w:val="single" w:sz="4" w:space="0" w:color="auto"/>
              <w:left w:val="single" w:sz="4" w:space="0" w:color="auto"/>
              <w:bottom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18"/>
                <w:szCs w:val="18"/>
              </w:rPr>
            </w:pPr>
            <w:r w:rsidRPr="009323F9">
              <w:rPr>
                <w:rFonts w:ascii="宋体" w:hAnsi="宋体" w:cs="宋体" w:hint="eastAsia"/>
                <w:color w:val="000000"/>
                <w:kern w:val="0"/>
                <w:sz w:val="18"/>
                <w:szCs w:val="18"/>
              </w:rPr>
              <w:lastRenderedPageBreak/>
              <w:t>部门根据本单位情况自行确定并选择产出指标，合理确定各项指标权重。可量化的指标按照比率*单项指标分值即为该指标得分。如果不能定量评价，则以定性的方式进行自评。</w:t>
            </w:r>
          </w:p>
        </w:tc>
      </w:tr>
      <w:tr w:rsidR="00C37A77" w:rsidRPr="009323F9" w:rsidTr="00B90934">
        <w:trPr>
          <w:trHeight w:val="1130"/>
        </w:trPr>
        <w:tc>
          <w:tcPr>
            <w:tcW w:w="169" w:type="pct"/>
            <w:vMerge/>
            <w:tcBorders>
              <w:left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20"/>
                <w:szCs w:val="20"/>
              </w:rPr>
            </w:pPr>
          </w:p>
        </w:tc>
        <w:tc>
          <w:tcPr>
            <w:tcW w:w="151" w:type="pct"/>
            <w:vMerge/>
            <w:tcBorders>
              <w:left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20"/>
                <w:szCs w:val="20"/>
              </w:rPr>
            </w:pPr>
          </w:p>
        </w:tc>
        <w:tc>
          <w:tcPr>
            <w:tcW w:w="155" w:type="pct"/>
            <w:tcBorders>
              <w:top w:val="single" w:sz="4" w:space="0" w:color="auto"/>
              <w:left w:val="nil"/>
              <w:bottom w:val="single" w:sz="4" w:space="0" w:color="auto"/>
              <w:right w:val="single" w:sz="4" w:space="0" w:color="auto"/>
            </w:tcBorders>
            <w:noWrap/>
            <w:vAlign w:val="center"/>
          </w:tcPr>
          <w:p w:rsidR="00C37A77" w:rsidRPr="009323F9" w:rsidRDefault="00C37A77" w:rsidP="009323F9">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指标2</w:t>
            </w:r>
          </w:p>
        </w:tc>
        <w:tc>
          <w:tcPr>
            <w:tcW w:w="307" w:type="pct"/>
            <w:tcBorders>
              <w:top w:val="single" w:sz="4" w:space="0" w:color="auto"/>
              <w:left w:val="nil"/>
              <w:bottom w:val="single" w:sz="4" w:space="0" w:color="auto"/>
              <w:right w:val="single" w:sz="4" w:space="0" w:color="auto"/>
            </w:tcBorders>
            <w:noWrap/>
            <w:vAlign w:val="center"/>
          </w:tcPr>
          <w:p w:rsidR="00C37A77" w:rsidRPr="00121EC8" w:rsidRDefault="00C37A77" w:rsidP="00121EC8">
            <w:pPr>
              <w:widowControl/>
              <w:jc w:val="center"/>
              <w:rPr>
                <w:color w:val="000000"/>
                <w:sz w:val="20"/>
                <w:szCs w:val="20"/>
              </w:rPr>
            </w:pPr>
            <w:r>
              <w:rPr>
                <w:rFonts w:hint="eastAsia"/>
                <w:color w:val="000000"/>
                <w:sz w:val="20"/>
                <w:szCs w:val="20"/>
              </w:rPr>
              <w:t>以司法为民为宗旨，深度参与市域社会治理现代</w:t>
            </w:r>
            <w:r>
              <w:rPr>
                <w:rFonts w:hint="eastAsia"/>
                <w:color w:val="000000"/>
                <w:sz w:val="20"/>
                <w:szCs w:val="20"/>
              </w:rPr>
              <w:lastRenderedPageBreak/>
              <w:t>化</w:t>
            </w:r>
            <w:r w:rsidRPr="009323F9">
              <w:rPr>
                <w:rFonts w:ascii="宋体" w:hAnsi="宋体" w:cs="宋体" w:hint="eastAsia"/>
                <w:color w:val="000000"/>
                <w:kern w:val="0"/>
                <w:sz w:val="20"/>
                <w:szCs w:val="20"/>
              </w:rPr>
              <w:t xml:space="preserve">　</w:t>
            </w:r>
          </w:p>
        </w:tc>
        <w:tc>
          <w:tcPr>
            <w:tcW w:w="1216" w:type="pct"/>
            <w:tcBorders>
              <w:top w:val="single" w:sz="4" w:space="0" w:color="auto"/>
              <w:left w:val="nil"/>
              <w:bottom w:val="single" w:sz="4" w:space="0" w:color="auto"/>
              <w:right w:val="single" w:sz="4" w:space="0" w:color="auto"/>
            </w:tcBorders>
            <w:noWrap/>
            <w:vAlign w:val="center"/>
          </w:tcPr>
          <w:p w:rsidR="00C37A77" w:rsidRPr="00121EC8" w:rsidRDefault="00C37A77" w:rsidP="00BA2563">
            <w:pPr>
              <w:widowControl/>
              <w:rPr>
                <w:color w:val="000000"/>
                <w:sz w:val="20"/>
                <w:szCs w:val="20"/>
              </w:rPr>
            </w:pPr>
            <w:r w:rsidRPr="00121EC8">
              <w:rPr>
                <w:rFonts w:hint="eastAsia"/>
                <w:color w:val="000000"/>
                <w:sz w:val="20"/>
                <w:szCs w:val="20"/>
              </w:rPr>
              <w:lastRenderedPageBreak/>
              <w:t>网上预约立案数量（占全部收案数量的比重）为</w:t>
            </w:r>
            <w:r w:rsidRPr="00121EC8">
              <w:rPr>
                <w:rFonts w:hint="eastAsia"/>
                <w:color w:val="000000"/>
                <w:sz w:val="20"/>
                <w:szCs w:val="20"/>
              </w:rPr>
              <w:t>42.28%</w:t>
            </w:r>
            <w:r w:rsidRPr="00121EC8">
              <w:rPr>
                <w:rFonts w:hint="eastAsia"/>
                <w:color w:val="000000"/>
                <w:sz w:val="20"/>
                <w:szCs w:val="20"/>
              </w:rPr>
              <w:t>；打造</w:t>
            </w:r>
            <w:r w:rsidRPr="00121EC8">
              <w:rPr>
                <w:rFonts w:hint="eastAsia"/>
                <w:color w:val="000000"/>
                <w:sz w:val="20"/>
                <w:szCs w:val="20"/>
              </w:rPr>
              <w:t>24</w:t>
            </w:r>
            <w:r w:rsidRPr="00121EC8">
              <w:rPr>
                <w:rFonts w:hint="eastAsia"/>
                <w:color w:val="000000"/>
                <w:sz w:val="20"/>
                <w:szCs w:val="20"/>
              </w:rPr>
              <w:t xml:space="preserve">小时诉讼材料交转柜、胶囊法庭等七大智能化诉讼辅助设施，被中国法院网络电视台专题报道，“智慧法院”建设成果真正为民所用。　</w:t>
            </w:r>
          </w:p>
        </w:tc>
        <w:tc>
          <w:tcPr>
            <w:tcW w:w="173" w:type="pct"/>
            <w:tcBorders>
              <w:top w:val="single" w:sz="4" w:space="0" w:color="auto"/>
              <w:left w:val="single" w:sz="4" w:space="0" w:color="auto"/>
              <w:bottom w:val="single" w:sz="4" w:space="0" w:color="auto"/>
              <w:right w:val="single" w:sz="4" w:space="0" w:color="auto"/>
            </w:tcBorders>
            <w:noWrap/>
            <w:vAlign w:val="center"/>
          </w:tcPr>
          <w:p w:rsidR="00C37A77" w:rsidRPr="009323F9" w:rsidRDefault="00C37A77" w:rsidP="009323F9">
            <w:pPr>
              <w:jc w:val="left"/>
              <w:rPr>
                <w:rFonts w:ascii="宋体" w:hAnsi="宋体" w:cs="宋体"/>
                <w:color w:val="000000"/>
                <w:kern w:val="0"/>
                <w:sz w:val="20"/>
                <w:szCs w:val="20"/>
              </w:rPr>
            </w:pPr>
            <w:r>
              <w:rPr>
                <w:rFonts w:ascii="宋体" w:hAnsi="宋体" w:cs="宋体" w:hint="eastAsia"/>
                <w:color w:val="000000"/>
                <w:kern w:val="0"/>
                <w:sz w:val="20"/>
                <w:szCs w:val="20"/>
              </w:rPr>
              <w:t>6</w:t>
            </w:r>
          </w:p>
        </w:tc>
        <w:tc>
          <w:tcPr>
            <w:tcW w:w="198" w:type="pct"/>
            <w:tcBorders>
              <w:top w:val="single" w:sz="4" w:space="0" w:color="auto"/>
              <w:left w:val="nil"/>
              <w:bottom w:val="single" w:sz="4" w:space="0" w:color="auto"/>
              <w:right w:val="nil"/>
            </w:tcBorders>
            <w:noWrap/>
            <w:vAlign w:val="center"/>
          </w:tcPr>
          <w:p w:rsidR="00C37A77" w:rsidRPr="009323F9" w:rsidRDefault="00C37A77" w:rsidP="009323F9">
            <w:pPr>
              <w:widowControl/>
              <w:jc w:val="center"/>
              <w:rPr>
                <w:rFonts w:ascii="宋体" w:hAnsi="宋体" w:cs="宋体"/>
                <w:color w:val="000000"/>
                <w:kern w:val="0"/>
                <w:sz w:val="20"/>
                <w:szCs w:val="20"/>
              </w:rPr>
            </w:pPr>
            <w:r>
              <w:rPr>
                <w:rFonts w:ascii="宋体" w:hAnsi="宋体" w:cs="宋体"/>
                <w:color w:val="000000"/>
                <w:kern w:val="0"/>
                <w:sz w:val="20"/>
                <w:szCs w:val="20"/>
              </w:rPr>
              <w:t>6</w:t>
            </w:r>
            <w:r w:rsidRPr="009323F9">
              <w:rPr>
                <w:rFonts w:ascii="宋体" w:hAnsi="宋体" w:cs="宋体" w:hint="eastAsia"/>
                <w:color w:val="000000"/>
                <w:kern w:val="0"/>
                <w:sz w:val="20"/>
                <w:szCs w:val="20"/>
              </w:rPr>
              <w:t xml:space="preserve">　</w:t>
            </w:r>
          </w:p>
        </w:tc>
        <w:tc>
          <w:tcPr>
            <w:tcW w:w="1227" w:type="pct"/>
            <w:gridSpan w:val="4"/>
            <w:vMerge/>
            <w:tcBorders>
              <w:top w:val="nil"/>
              <w:left w:val="single" w:sz="4" w:space="0" w:color="auto"/>
              <w:bottom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18"/>
                <w:szCs w:val="18"/>
              </w:rPr>
            </w:pPr>
          </w:p>
        </w:tc>
        <w:tc>
          <w:tcPr>
            <w:tcW w:w="1404" w:type="pct"/>
            <w:gridSpan w:val="2"/>
            <w:vMerge/>
            <w:tcBorders>
              <w:top w:val="nil"/>
              <w:left w:val="single" w:sz="4" w:space="0" w:color="auto"/>
              <w:bottom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18"/>
                <w:szCs w:val="18"/>
              </w:rPr>
            </w:pPr>
          </w:p>
        </w:tc>
      </w:tr>
      <w:tr w:rsidR="00C37A77" w:rsidRPr="009323F9" w:rsidTr="00B90934">
        <w:trPr>
          <w:cantSplit/>
          <w:trHeight w:val="1258"/>
        </w:trPr>
        <w:tc>
          <w:tcPr>
            <w:tcW w:w="169" w:type="pct"/>
            <w:vMerge/>
            <w:tcBorders>
              <w:left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20"/>
                <w:szCs w:val="20"/>
              </w:rPr>
            </w:pPr>
          </w:p>
        </w:tc>
        <w:tc>
          <w:tcPr>
            <w:tcW w:w="151" w:type="pct"/>
            <w:vMerge/>
            <w:tcBorders>
              <w:left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20"/>
                <w:szCs w:val="20"/>
              </w:rPr>
            </w:pPr>
          </w:p>
        </w:tc>
        <w:tc>
          <w:tcPr>
            <w:tcW w:w="155" w:type="pct"/>
            <w:tcBorders>
              <w:top w:val="nil"/>
              <w:left w:val="nil"/>
              <w:bottom w:val="single" w:sz="4" w:space="0" w:color="auto"/>
              <w:right w:val="single" w:sz="4" w:space="0" w:color="auto"/>
            </w:tcBorders>
            <w:noWrap/>
            <w:vAlign w:val="center"/>
          </w:tcPr>
          <w:p w:rsidR="00C37A77" w:rsidRPr="009323F9" w:rsidRDefault="00C37A77" w:rsidP="009323F9">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指标3</w:t>
            </w:r>
          </w:p>
        </w:tc>
        <w:tc>
          <w:tcPr>
            <w:tcW w:w="307" w:type="pct"/>
            <w:tcBorders>
              <w:top w:val="nil"/>
              <w:left w:val="nil"/>
              <w:bottom w:val="single" w:sz="4" w:space="0" w:color="auto"/>
              <w:right w:val="single" w:sz="4" w:space="0" w:color="auto"/>
            </w:tcBorders>
            <w:noWrap/>
            <w:vAlign w:val="center"/>
          </w:tcPr>
          <w:p w:rsidR="00C37A77" w:rsidRPr="00121EC8" w:rsidRDefault="00C37A77" w:rsidP="00121EC8">
            <w:pPr>
              <w:widowControl/>
              <w:jc w:val="center"/>
              <w:rPr>
                <w:color w:val="000000"/>
                <w:sz w:val="20"/>
                <w:szCs w:val="20"/>
              </w:rPr>
            </w:pPr>
            <w:r>
              <w:rPr>
                <w:rFonts w:hint="eastAsia"/>
                <w:color w:val="000000"/>
                <w:sz w:val="20"/>
                <w:szCs w:val="20"/>
              </w:rPr>
              <w:t>建立专业化审判格局，提升专业化审判水平，加强司法便民综合系统建设</w:t>
            </w:r>
            <w:r w:rsidRPr="009323F9">
              <w:rPr>
                <w:rFonts w:ascii="宋体" w:hAnsi="宋体" w:cs="宋体" w:hint="eastAsia"/>
                <w:color w:val="000000"/>
                <w:kern w:val="0"/>
                <w:sz w:val="20"/>
                <w:szCs w:val="20"/>
              </w:rPr>
              <w:t xml:space="preserve">　</w:t>
            </w:r>
          </w:p>
        </w:tc>
        <w:tc>
          <w:tcPr>
            <w:tcW w:w="1216" w:type="pct"/>
            <w:tcBorders>
              <w:top w:val="nil"/>
              <w:left w:val="nil"/>
              <w:bottom w:val="single" w:sz="4" w:space="0" w:color="auto"/>
              <w:right w:val="single" w:sz="4" w:space="0" w:color="auto"/>
            </w:tcBorders>
            <w:noWrap/>
            <w:vAlign w:val="center"/>
          </w:tcPr>
          <w:p w:rsidR="00C37A77" w:rsidRPr="00121EC8" w:rsidRDefault="00C37A77" w:rsidP="00121EC8">
            <w:pPr>
              <w:widowControl/>
              <w:jc w:val="center"/>
              <w:rPr>
                <w:color w:val="000000"/>
                <w:sz w:val="20"/>
                <w:szCs w:val="20"/>
              </w:rPr>
            </w:pPr>
            <w:r w:rsidRPr="00121EC8">
              <w:rPr>
                <w:rFonts w:hint="eastAsia"/>
                <w:color w:val="000000"/>
                <w:sz w:val="20"/>
                <w:szCs w:val="20"/>
              </w:rPr>
              <w:t>执行信访办结率</w:t>
            </w:r>
            <w:r w:rsidRPr="00121EC8">
              <w:rPr>
                <w:rFonts w:hint="eastAsia"/>
                <w:color w:val="000000"/>
                <w:sz w:val="20"/>
                <w:szCs w:val="20"/>
              </w:rPr>
              <w:t>100%</w:t>
            </w:r>
            <w:r w:rsidRPr="00121EC8">
              <w:rPr>
                <w:rFonts w:hint="eastAsia"/>
                <w:color w:val="000000"/>
                <w:sz w:val="20"/>
                <w:szCs w:val="20"/>
              </w:rPr>
              <w:t>。持续推进“六稳六保”专项执行行动，启动雷霆执行行动。健全诉源治理体系，完善“一站式”多元解纷。提升</w:t>
            </w:r>
            <w:r w:rsidRPr="00121EC8">
              <w:rPr>
                <w:rFonts w:hint="eastAsia"/>
                <w:color w:val="000000"/>
                <w:sz w:val="20"/>
                <w:szCs w:val="20"/>
              </w:rPr>
              <w:t>12368</w:t>
            </w:r>
            <w:r w:rsidRPr="00121EC8">
              <w:rPr>
                <w:rFonts w:hint="eastAsia"/>
                <w:color w:val="000000"/>
                <w:sz w:val="20"/>
                <w:szCs w:val="20"/>
              </w:rPr>
              <w:t>“一号响应”诉源治理工作机制效能，办结诉源治理类工单</w:t>
            </w:r>
            <w:r w:rsidRPr="00121EC8">
              <w:rPr>
                <w:rFonts w:hint="eastAsia"/>
                <w:color w:val="000000"/>
                <w:sz w:val="20"/>
                <w:szCs w:val="20"/>
              </w:rPr>
              <w:t>722</w:t>
            </w:r>
            <w:r w:rsidRPr="00121EC8">
              <w:rPr>
                <w:rFonts w:hint="eastAsia"/>
                <w:color w:val="000000"/>
                <w:sz w:val="20"/>
                <w:szCs w:val="20"/>
              </w:rPr>
              <w:t>个，排名全市基层法院第二；对接房山区</w:t>
            </w:r>
            <w:r w:rsidRPr="00121EC8">
              <w:rPr>
                <w:rFonts w:hint="eastAsia"/>
                <w:color w:val="000000"/>
                <w:sz w:val="20"/>
                <w:szCs w:val="20"/>
              </w:rPr>
              <w:t>12345</w:t>
            </w:r>
            <w:r w:rsidRPr="00121EC8">
              <w:rPr>
                <w:rFonts w:hint="eastAsia"/>
                <w:color w:val="000000"/>
                <w:sz w:val="20"/>
                <w:szCs w:val="20"/>
              </w:rPr>
              <w:t>“接诉即办”平台，向问题集中的重点行业领域、基层组织发放诉源治理预警提示单</w:t>
            </w:r>
            <w:r w:rsidRPr="00121EC8">
              <w:rPr>
                <w:rFonts w:hint="eastAsia"/>
                <w:color w:val="000000"/>
                <w:sz w:val="20"/>
                <w:szCs w:val="20"/>
              </w:rPr>
              <w:t>76</w:t>
            </w:r>
            <w:r w:rsidRPr="00121EC8">
              <w:rPr>
                <w:rFonts w:hint="eastAsia"/>
                <w:color w:val="000000"/>
                <w:sz w:val="20"/>
                <w:szCs w:val="20"/>
              </w:rPr>
              <w:t>份。</w:t>
            </w:r>
          </w:p>
        </w:tc>
        <w:tc>
          <w:tcPr>
            <w:tcW w:w="173" w:type="pct"/>
            <w:tcBorders>
              <w:top w:val="single" w:sz="4" w:space="0" w:color="auto"/>
              <w:left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20"/>
                <w:szCs w:val="20"/>
              </w:rPr>
            </w:pPr>
            <w:r>
              <w:rPr>
                <w:rFonts w:ascii="宋体" w:hAnsi="宋体" w:cs="宋体" w:hint="eastAsia"/>
                <w:color w:val="000000"/>
                <w:kern w:val="0"/>
                <w:sz w:val="20"/>
                <w:szCs w:val="20"/>
              </w:rPr>
              <w:t>6</w:t>
            </w:r>
          </w:p>
        </w:tc>
        <w:tc>
          <w:tcPr>
            <w:tcW w:w="198" w:type="pct"/>
            <w:tcBorders>
              <w:top w:val="single" w:sz="4" w:space="0" w:color="auto"/>
              <w:left w:val="nil"/>
              <w:bottom w:val="single" w:sz="4" w:space="0" w:color="auto"/>
              <w:right w:val="nil"/>
            </w:tcBorders>
            <w:noWrap/>
            <w:vAlign w:val="center"/>
          </w:tcPr>
          <w:p w:rsidR="00C37A77" w:rsidRPr="009323F9" w:rsidRDefault="00C37A77" w:rsidP="009323F9">
            <w:pPr>
              <w:widowControl/>
              <w:jc w:val="center"/>
              <w:rPr>
                <w:rFonts w:ascii="宋体" w:hAnsi="宋体" w:cs="宋体"/>
                <w:color w:val="000000"/>
                <w:kern w:val="0"/>
                <w:sz w:val="20"/>
                <w:szCs w:val="20"/>
              </w:rPr>
            </w:pPr>
            <w:r>
              <w:rPr>
                <w:rFonts w:ascii="宋体" w:hAnsi="宋体" w:cs="宋体"/>
                <w:color w:val="000000"/>
                <w:kern w:val="0"/>
                <w:sz w:val="20"/>
                <w:szCs w:val="20"/>
              </w:rPr>
              <w:t>6</w:t>
            </w:r>
            <w:r w:rsidRPr="009323F9">
              <w:rPr>
                <w:rFonts w:ascii="宋体" w:hAnsi="宋体" w:cs="宋体" w:hint="eastAsia"/>
                <w:color w:val="000000"/>
                <w:kern w:val="0"/>
                <w:sz w:val="20"/>
                <w:szCs w:val="20"/>
              </w:rPr>
              <w:t xml:space="preserve">　</w:t>
            </w:r>
          </w:p>
        </w:tc>
        <w:tc>
          <w:tcPr>
            <w:tcW w:w="1227" w:type="pct"/>
            <w:gridSpan w:val="4"/>
            <w:vMerge/>
            <w:tcBorders>
              <w:top w:val="nil"/>
              <w:left w:val="single" w:sz="4" w:space="0" w:color="auto"/>
              <w:bottom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18"/>
                <w:szCs w:val="18"/>
              </w:rPr>
            </w:pPr>
          </w:p>
        </w:tc>
        <w:tc>
          <w:tcPr>
            <w:tcW w:w="1404" w:type="pct"/>
            <w:gridSpan w:val="2"/>
            <w:vMerge/>
            <w:tcBorders>
              <w:top w:val="nil"/>
              <w:left w:val="single" w:sz="4" w:space="0" w:color="auto"/>
              <w:bottom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18"/>
                <w:szCs w:val="18"/>
              </w:rPr>
            </w:pPr>
          </w:p>
        </w:tc>
      </w:tr>
      <w:tr w:rsidR="00C37A77" w:rsidRPr="009323F9" w:rsidTr="00B90934">
        <w:trPr>
          <w:trHeight w:val="975"/>
        </w:trPr>
        <w:tc>
          <w:tcPr>
            <w:tcW w:w="169" w:type="pct"/>
            <w:vMerge/>
            <w:tcBorders>
              <w:left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20"/>
                <w:szCs w:val="20"/>
              </w:rPr>
            </w:pPr>
          </w:p>
        </w:tc>
        <w:tc>
          <w:tcPr>
            <w:tcW w:w="151" w:type="pct"/>
            <w:vMerge/>
            <w:tcBorders>
              <w:left w:val="single" w:sz="4" w:space="0" w:color="auto"/>
              <w:bottom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20"/>
                <w:szCs w:val="20"/>
              </w:rPr>
            </w:pPr>
          </w:p>
        </w:tc>
        <w:tc>
          <w:tcPr>
            <w:tcW w:w="155" w:type="pct"/>
            <w:tcBorders>
              <w:top w:val="nil"/>
              <w:left w:val="nil"/>
              <w:bottom w:val="single" w:sz="4" w:space="0" w:color="auto"/>
              <w:right w:val="single" w:sz="4" w:space="0" w:color="auto"/>
            </w:tcBorders>
            <w:noWrap/>
            <w:vAlign w:val="center"/>
          </w:tcPr>
          <w:p w:rsidR="00C37A77" w:rsidRPr="009323F9" w:rsidRDefault="00C37A77" w:rsidP="009323F9">
            <w:pPr>
              <w:widowControl/>
              <w:rPr>
                <w:rFonts w:ascii="宋体" w:hAnsi="宋体" w:cs="宋体"/>
                <w:color w:val="000000"/>
                <w:kern w:val="0"/>
                <w:sz w:val="20"/>
                <w:szCs w:val="20"/>
              </w:rPr>
            </w:pPr>
            <w:r>
              <w:rPr>
                <w:rFonts w:ascii="宋体" w:hAnsi="宋体" w:cs="宋体" w:hint="eastAsia"/>
                <w:color w:val="000000"/>
                <w:kern w:val="0"/>
                <w:sz w:val="20"/>
                <w:szCs w:val="20"/>
              </w:rPr>
              <w:t>指标4</w:t>
            </w:r>
          </w:p>
        </w:tc>
        <w:tc>
          <w:tcPr>
            <w:tcW w:w="307" w:type="pct"/>
            <w:tcBorders>
              <w:top w:val="nil"/>
              <w:left w:val="nil"/>
              <w:bottom w:val="single" w:sz="4" w:space="0" w:color="auto"/>
              <w:right w:val="single" w:sz="4" w:space="0" w:color="auto"/>
            </w:tcBorders>
            <w:noWrap/>
            <w:vAlign w:val="center"/>
          </w:tcPr>
          <w:p w:rsidR="00C37A77" w:rsidRPr="009323F9" w:rsidRDefault="00C37A77" w:rsidP="009323F9">
            <w:pPr>
              <w:widowControl/>
              <w:jc w:val="center"/>
              <w:rPr>
                <w:rFonts w:ascii="宋体" w:hAnsi="宋体" w:cs="宋体"/>
                <w:color w:val="000000"/>
                <w:kern w:val="0"/>
                <w:sz w:val="20"/>
                <w:szCs w:val="20"/>
              </w:rPr>
            </w:pPr>
            <w:r w:rsidRPr="00121EC8">
              <w:rPr>
                <w:rFonts w:ascii="宋体" w:hAnsi="宋体" w:cs="宋体" w:hint="eastAsia"/>
                <w:color w:val="000000"/>
                <w:kern w:val="0"/>
                <w:sz w:val="20"/>
                <w:szCs w:val="20"/>
              </w:rPr>
              <w:t>加强信息化建设</w:t>
            </w:r>
            <w:r w:rsidRPr="009323F9">
              <w:rPr>
                <w:rFonts w:ascii="宋体" w:hAnsi="宋体" w:cs="宋体" w:hint="eastAsia"/>
                <w:color w:val="000000"/>
                <w:kern w:val="0"/>
                <w:sz w:val="20"/>
                <w:szCs w:val="20"/>
              </w:rPr>
              <w:t xml:space="preserve">　</w:t>
            </w:r>
          </w:p>
        </w:tc>
        <w:tc>
          <w:tcPr>
            <w:tcW w:w="1216" w:type="pct"/>
            <w:tcBorders>
              <w:top w:val="single" w:sz="4" w:space="0" w:color="auto"/>
              <w:left w:val="nil"/>
              <w:bottom w:val="single" w:sz="4" w:space="0" w:color="auto"/>
              <w:right w:val="single" w:sz="4" w:space="0" w:color="auto"/>
            </w:tcBorders>
            <w:noWrap/>
            <w:vAlign w:val="center"/>
          </w:tcPr>
          <w:p w:rsidR="00C37A77" w:rsidRPr="00121EC8" w:rsidRDefault="00C37A77" w:rsidP="00BA2563">
            <w:pPr>
              <w:widowControl/>
              <w:jc w:val="center"/>
              <w:rPr>
                <w:color w:val="000000"/>
                <w:sz w:val="20"/>
                <w:szCs w:val="20"/>
              </w:rPr>
            </w:pPr>
            <w:r w:rsidRPr="00121EC8">
              <w:rPr>
                <w:rFonts w:hint="eastAsia"/>
                <w:color w:val="000000"/>
                <w:sz w:val="20"/>
                <w:szCs w:val="20"/>
              </w:rPr>
              <w:t>202</w:t>
            </w:r>
            <w:r w:rsidR="00BA2563">
              <w:rPr>
                <w:rFonts w:hint="eastAsia"/>
                <w:color w:val="000000"/>
                <w:sz w:val="20"/>
                <w:szCs w:val="20"/>
              </w:rPr>
              <w:t>3</w:t>
            </w:r>
            <w:r w:rsidRPr="00121EC8">
              <w:rPr>
                <w:rFonts w:hint="eastAsia"/>
                <w:color w:val="000000"/>
                <w:sz w:val="20"/>
                <w:szCs w:val="20"/>
              </w:rPr>
              <w:t>年在线庭审率、民商事案件电子送达裁判文书比均同比大幅提升，电子送达覆盖率达到</w:t>
            </w:r>
            <w:r w:rsidRPr="00121EC8">
              <w:rPr>
                <w:rFonts w:hint="eastAsia"/>
                <w:color w:val="000000"/>
                <w:sz w:val="20"/>
                <w:szCs w:val="20"/>
              </w:rPr>
              <w:t>64.07%</w:t>
            </w:r>
            <w:r w:rsidRPr="00121EC8">
              <w:rPr>
                <w:rFonts w:hint="eastAsia"/>
                <w:color w:val="000000"/>
                <w:sz w:val="20"/>
                <w:szCs w:val="20"/>
              </w:rPr>
              <w:t>，在线庭审率达到</w:t>
            </w:r>
            <w:r w:rsidRPr="00121EC8">
              <w:rPr>
                <w:rFonts w:hint="eastAsia"/>
                <w:color w:val="000000"/>
                <w:sz w:val="20"/>
                <w:szCs w:val="20"/>
              </w:rPr>
              <w:t>81.77%</w:t>
            </w:r>
            <w:r w:rsidRPr="00121EC8">
              <w:rPr>
                <w:rFonts w:hint="eastAsia"/>
                <w:color w:val="000000"/>
                <w:sz w:val="20"/>
                <w:szCs w:val="20"/>
              </w:rPr>
              <w:t xml:space="preserve">，在避免人员聚集的同时，降低了当事人的诉讼成本。　</w:t>
            </w:r>
          </w:p>
        </w:tc>
        <w:tc>
          <w:tcPr>
            <w:tcW w:w="173" w:type="pct"/>
            <w:tcBorders>
              <w:left w:val="single" w:sz="4" w:space="0" w:color="auto"/>
              <w:bottom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20"/>
                <w:szCs w:val="20"/>
              </w:rPr>
            </w:pPr>
            <w:r>
              <w:rPr>
                <w:rFonts w:ascii="宋体" w:hAnsi="宋体" w:cs="宋体" w:hint="eastAsia"/>
                <w:color w:val="000000"/>
                <w:kern w:val="0"/>
                <w:sz w:val="20"/>
                <w:szCs w:val="20"/>
              </w:rPr>
              <w:t>6</w:t>
            </w:r>
          </w:p>
        </w:tc>
        <w:tc>
          <w:tcPr>
            <w:tcW w:w="198" w:type="pct"/>
            <w:tcBorders>
              <w:top w:val="single" w:sz="4" w:space="0" w:color="auto"/>
              <w:left w:val="nil"/>
              <w:bottom w:val="single" w:sz="4" w:space="0" w:color="auto"/>
              <w:right w:val="nil"/>
            </w:tcBorders>
            <w:noWrap/>
            <w:vAlign w:val="center"/>
          </w:tcPr>
          <w:p w:rsidR="00C37A77" w:rsidRPr="009323F9" w:rsidRDefault="00C37A77" w:rsidP="009323F9">
            <w:pPr>
              <w:widowControl/>
              <w:jc w:val="center"/>
              <w:rPr>
                <w:rFonts w:ascii="宋体" w:hAnsi="宋体" w:cs="宋体"/>
                <w:color w:val="000000"/>
                <w:kern w:val="0"/>
                <w:sz w:val="20"/>
                <w:szCs w:val="20"/>
              </w:rPr>
            </w:pPr>
            <w:r>
              <w:rPr>
                <w:rFonts w:ascii="宋体" w:hAnsi="宋体" w:cs="宋体"/>
                <w:color w:val="000000"/>
                <w:kern w:val="0"/>
                <w:sz w:val="20"/>
                <w:szCs w:val="20"/>
              </w:rPr>
              <w:t>6</w:t>
            </w:r>
          </w:p>
        </w:tc>
        <w:tc>
          <w:tcPr>
            <w:tcW w:w="1227" w:type="pct"/>
            <w:gridSpan w:val="4"/>
            <w:vMerge/>
            <w:tcBorders>
              <w:top w:val="single" w:sz="4" w:space="0" w:color="auto"/>
              <w:left w:val="single" w:sz="4" w:space="0" w:color="auto"/>
              <w:bottom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18"/>
                <w:szCs w:val="18"/>
              </w:rPr>
            </w:pPr>
          </w:p>
        </w:tc>
        <w:tc>
          <w:tcPr>
            <w:tcW w:w="1404" w:type="pct"/>
            <w:gridSpan w:val="2"/>
            <w:vMerge/>
            <w:tcBorders>
              <w:top w:val="single" w:sz="4" w:space="0" w:color="auto"/>
              <w:left w:val="single" w:sz="4" w:space="0" w:color="auto"/>
              <w:bottom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18"/>
                <w:szCs w:val="18"/>
              </w:rPr>
            </w:pPr>
          </w:p>
        </w:tc>
      </w:tr>
      <w:tr w:rsidR="00C37A77" w:rsidRPr="009323F9" w:rsidTr="00B90934">
        <w:trPr>
          <w:trHeight w:val="975"/>
        </w:trPr>
        <w:tc>
          <w:tcPr>
            <w:tcW w:w="169" w:type="pct"/>
            <w:vMerge/>
            <w:tcBorders>
              <w:left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20"/>
                <w:szCs w:val="20"/>
              </w:rPr>
            </w:pPr>
          </w:p>
        </w:tc>
        <w:tc>
          <w:tcPr>
            <w:tcW w:w="151" w:type="pct"/>
            <w:tcBorders>
              <w:left w:val="single" w:sz="4" w:space="0" w:color="auto"/>
              <w:bottom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20"/>
                <w:szCs w:val="20"/>
              </w:rPr>
            </w:pPr>
          </w:p>
        </w:tc>
        <w:tc>
          <w:tcPr>
            <w:tcW w:w="155" w:type="pct"/>
            <w:tcBorders>
              <w:top w:val="nil"/>
              <w:left w:val="nil"/>
              <w:bottom w:val="single" w:sz="4" w:space="0" w:color="auto"/>
              <w:right w:val="single" w:sz="4" w:space="0" w:color="auto"/>
            </w:tcBorders>
            <w:noWrap/>
            <w:vAlign w:val="center"/>
          </w:tcPr>
          <w:p w:rsidR="00C37A77" w:rsidRDefault="00C37A77" w:rsidP="009323F9">
            <w:pPr>
              <w:widowControl/>
              <w:rPr>
                <w:rFonts w:ascii="宋体" w:hAnsi="宋体" w:cs="宋体"/>
                <w:color w:val="000000"/>
                <w:kern w:val="0"/>
                <w:sz w:val="20"/>
                <w:szCs w:val="20"/>
              </w:rPr>
            </w:pPr>
            <w:r>
              <w:rPr>
                <w:rFonts w:ascii="宋体" w:hAnsi="宋体" w:cs="宋体" w:hint="eastAsia"/>
                <w:color w:val="000000"/>
                <w:kern w:val="0"/>
                <w:sz w:val="20"/>
                <w:szCs w:val="20"/>
              </w:rPr>
              <w:t>指标5</w:t>
            </w:r>
          </w:p>
        </w:tc>
        <w:tc>
          <w:tcPr>
            <w:tcW w:w="307" w:type="pct"/>
            <w:tcBorders>
              <w:top w:val="nil"/>
              <w:left w:val="nil"/>
              <w:bottom w:val="single" w:sz="4" w:space="0" w:color="auto"/>
              <w:right w:val="single" w:sz="4" w:space="0" w:color="auto"/>
            </w:tcBorders>
            <w:noWrap/>
            <w:vAlign w:val="center"/>
          </w:tcPr>
          <w:p w:rsidR="00C37A77" w:rsidRPr="00121EC8" w:rsidRDefault="00C37A77" w:rsidP="009323F9">
            <w:pPr>
              <w:widowControl/>
              <w:jc w:val="center"/>
              <w:rPr>
                <w:rFonts w:ascii="宋体" w:hAnsi="宋体" w:cs="宋体"/>
                <w:color w:val="000000"/>
                <w:kern w:val="0"/>
                <w:sz w:val="20"/>
                <w:szCs w:val="20"/>
              </w:rPr>
            </w:pPr>
            <w:r w:rsidRPr="00121EC8">
              <w:rPr>
                <w:rFonts w:ascii="宋体" w:hAnsi="宋体" w:cs="宋体" w:hint="eastAsia"/>
                <w:color w:val="000000"/>
                <w:kern w:val="0"/>
                <w:sz w:val="20"/>
                <w:szCs w:val="20"/>
              </w:rPr>
              <w:t>加强法治宣传</w:t>
            </w:r>
          </w:p>
        </w:tc>
        <w:tc>
          <w:tcPr>
            <w:tcW w:w="1216" w:type="pct"/>
            <w:tcBorders>
              <w:top w:val="nil"/>
              <w:left w:val="nil"/>
              <w:bottom w:val="single" w:sz="4" w:space="0" w:color="auto"/>
              <w:right w:val="single" w:sz="4" w:space="0" w:color="auto"/>
            </w:tcBorders>
            <w:noWrap/>
            <w:vAlign w:val="center"/>
          </w:tcPr>
          <w:p w:rsidR="00C37A77" w:rsidRPr="00121EC8" w:rsidRDefault="00C37A77" w:rsidP="00BA2563">
            <w:pPr>
              <w:widowControl/>
              <w:jc w:val="center"/>
              <w:rPr>
                <w:color w:val="000000"/>
                <w:sz w:val="20"/>
                <w:szCs w:val="20"/>
              </w:rPr>
            </w:pPr>
            <w:r w:rsidRPr="00121EC8">
              <w:rPr>
                <w:rFonts w:hint="eastAsia"/>
                <w:color w:val="000000"/>
                <w:sz w:val="20"/>
                <w:szCs w:val="20"/>
              </w:rPr>
              <w:t>坚持以案释法主动发声，组织重大案事件宣传活动</w:t>
            </w:r>
            <w:r w:rsidRPr="00121EC8">
              <w:rPr>
                <w:rFonts w:hint="eastAsia"/>
                <w:color w:val="000000"/>
                <w:sz w:val="20"/>
                <w:szCs w:val="20"/>
              </w:rPr>
              <w:t>20</w:t>
            </w:r>
            <w:r w:rsidRPr="00121EC8">
              <w:rPr>
                <w:rFonts w:hint="eastAsia"/>
                <w:color w:val="000000"/>
                <w:sz w:val="20"/>
                <w:szCs w:val="20"/>
              </w:rPr>
              <w:t>余场，召开涉宅基地权属争议等典型案例新闻通报会</w:t>
            </w:r>
            <w:r w:rsidRPr="00121EC8">
              <w:rPr>
                <w:rFonts w:hint="eastAsia"/>
                <w:color w:val="000000"/>
                <w:sz w:val="20"/>
                <w:szCs w:val="20"/>
              </w:rPr>
              <w:t>6</w:t>
            </w:r>
            <w:r w:rsidRPr="00121EC8">
              <w:rPr>
                <w:rFonts w:hint="eastAsia"/>
                <w:color w:val="000000"/>
                <w:sz w:val="20"/>
                <w:szCs w:val="20"/>
              </w:rPr>
              <w:t>场，央视《今日说法》《一线》及北京电视台等多家媒体报道我院执行工作</w:t>
            </w:r>
            <w:r w:rsidRPr="00121EC8">
              <w:rPr>
                <w:rFonts w:hint="eastAsia"/>
                <w:color w:val="000000"/>
                <w:sz w:val="20"/>
                <w:szCs w:val="20"/>
              </w:rPr>
              <w:t>130</w:t>
            </w:r>
            <w:r w:rsidRPr="00121EC8">
              <w:rPr>
                <w:rFonts w:hint="eastAsia"/>
                <w:color w:val="000000"/>
                <w:sz w:val="20"/>
                <w:szCs w:val="20"/>
              </w:rPr>
              <w:t>余期，执行干警实名注册视频号发布</w:t>
            </w:r>
            <w:r w:rsidRPr="00121EC8">
              <w:rPr>
                <w:rFonts w:hint="eastAsia"/>
                <w:color w:val="000000"/>
                <w:sz w:val="20"/>
                <w:szCs w:val="20"/>
              </w:rPr>
              <w:lastRenderedPageBreak/>
              <w:t>案例作品</w:t>
            </w:r>
            <w:r w:rsidRPr="00121EC8">
              <w:rPr>
                <w:rFonts w:hint="eastAsia"/>
                <w:color w:val="000000"/>
                <w:sz w:val="20"/>
                <w:szCs w:val="20"/>
              </w:rPr>
              <w:t>28</w:t>
            </w:r>
            <w:r w:rsidRPr="00121EC8">
              <w:rPr>
                <w:rFonts w:hint="eastAsia"/>
                <w:color w:val="000000"/>
                <w:sz w:val="20"/>
                <w:szCs w:val="20"/>
              </w:rPr>
              <w:t>期，累计播放量</w:t>
            </w:r>
            <w:r w:rsidRPr="00121EC8">
              <w:rPr>
                <w:rFonts w:hint="eastAsia"/>
                <w:color w:val="000000"/>
                <w:sz w:val="20"/>
                <w:szCs w:val="20"/>
              </w:rPr>
              <w:t>5000</w:t>
            </w:r>
            <w:r w:rsidRPr="00121EC8">
              <w:rPr>
                <w:rFonts w:hint="eastAsia"/>
                <w:color w:val="000000"/>
                <w:sz w:val="20"/>
                <w:szCs w:val="20"/>
              </w:rPr>
              <w:t>万次，被网民点赞称“中国好法官”。把握群众需求精准普法，；围绕养老诈骗、住房租赁等百姓关注热点，依托“普法巴士”“小乐说法”等品牌开展订单式精准普法</w:t>
            </w:r>
            <w:r w:rsidRPr="00121EC8">
              <w:rPr>
                <w:rFonts w:hint="eastAsia"/>
                <w:color w:val="000000"/>
                <w:sz w:val="20"/>
                <w:szCs w:val="20"/>
              </w:rPr>
              <w:t>82</w:t>
            </w:r>
            <w:r w:rsidRPr="00121EC8">
              <w:rPr>
                <w:rFonts w:hint="eastAsia"/>
                <w:color w:val="000000"/>
                <w:sz w:val="20"/>
                <w:szCs w:val="20"/>
              </w:rPr>
              <w:t>场；拍摄微电影《速裁先锋》荣获第九届亚洲微电影艺术节“最佳作品奖”；完成北京法院首批“普法驿站”进景区、进机关、进学校三地同步挂牌，成立“房法爱心团队”普法志愿服务队，助力增强全民法治观念。</w:t>
            </w:r>
          </w:p>
        </w:tc>
        <w:tc>
          <w:tcPr>
            <w:tcW w:w="173" w:type="pct"/>
            <w:tcBorders>
              <w:left w:val="single" w:sz="4" w:space="0" w:color="auto"/>
              <w:bottom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6</w:t>
            </w:r>
          </w:p>
        </w:tc>
        <w:tc>
          <w:tcPr>
            <w:tcW w:w="198" w:type="pct"/>
            <w:tcBorders>
              <w:top w:val="nil"/>
              <w:left w:val="nil"/>
              <w:bottom w:val="single" w:sz="4" w:space="0" w:color="auto"/>
              <w:right w:val="nil"/>
            </w:tcBorders>
            <w:noWrap/>
            <w:vAlign w:val="center"/>
          </w:tcPr>
          <w:p w:rsidR="00C37A77" w:rsidRDefault="00C37A77" w:rsidP="009323F9">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r>
              <w:rPr>
                <w:rFonts w:ascii="宋体" w:hAnsi="宋体" w:cs="宋体"/>
                <w:color w:val="000000"/>
                <w:kern w:val="0"/>
                <w:sz w:val="20"/>
                <w:szCs w:val="20"/>
              </w:rPr>
              <w:t>.5</w:t>
            </w:r>
          </w:p>
        </w:tc>
        <w:tc>
          <w:tcPr>
            <w:tcW w:w="1227" w:type="pct"/>
            <w:gridSpan w:val="4"/>
            <w:tcBorders>
              <w:top w:val="nil"/>
              <w:left w:val="single" w:sz="4" w:space="0" w:color="auto"/>
              <w:bottom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18"/>
                <w:szCs w:val="18"/>
              </w:rPr>
            </w:pPr>
          </w:p>
        </w:tc>
        <w:tc>
          <w:tcPr>
            <w:tcW w:w="1404" w:type="pct"/>
            <w:gridSpan w:val="2"/>
            <w:tcBorders>
              <w:top w:val="nil"/>
              <w:left w:val="single" w:sz="4" w:space="0" w:color="auto"/>
              <w:bottom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18"/>
                <w:szCs w:val="18"/>
              </w:rPr>
            </w:pPr>
          </w:p>
        </w:tc>
      </w:tr>
      <w:tr w:rsidR="00C37A77" w:rsidRPr="009323F9" w:rsidTr="0020026A">
        <w:trPr>
          <w:trHeight w:val="675"/>
        </w:trPr>
        <w:tc>
          <w:tcPr>
            <w:tcW w:w="169" w:type="pct"/>
            <w:vMerge/>
            <w:tcBorders>
              <w:left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20"/>
                <w:szCs w:val="20"/>
              </w:rPr>
            </w:pPr>
          </w:p>
        </w:tc>
        <w:tc>
          <w:tcPr>
            <w:tcW w:w="151" w:type="pct"/>
            <w:vMerge w:val="restart"/>
            <w:tcBorders>
              <w:top w:val="nil"/>
              <w:left w:val="single" w:sz="4" w:space="0" w:color="auto"/>
              <w:right w:val="single" w:sz="4" w:space="0" w:color="auto"/>
            </w:tcBorders>
            <w:noWrap/>
            <w:vAlign w:val="center"/>
          </w:tcPr>
          <w:p w:rsidR="00C37A77" w:rsidRPr="009323F9" w:rsidRDefault="00C37A77"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效果（30）</w:t>
            </w:r>
          </w:p>
        </w:tc>
        <w:tc>
          <w:tcPr>
            <w:tcW w:w="155" w:type="pct"/>
            <w:tcBorders>
              <w:top w:val="nil"/>
              <w:left w:val="nil"/>
              <w:bottom w:val="single" w:sz="4" w:space="0" w:color="auto"/>
              <w:right w:val="single" w:sz="4" w:space="0" w:color="auto"/>
            </w:tcBorders>
            <w:noWrap/>
            <w:vAlign w:val="center"/>
          </w:tcPr>
          <w:p w:rsidR="00C37A77" w:rsidRPr="009323F9" w:rsidRDefault="00C37A77" w:rsidP="009323F9">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指标1</w:t>
            </w:r>
          </w:p>
        </w:tc>
        <w:tc>
          <w:tcPr>
            <w:tcW w:w="307" w:type="pct"/>
            <w:tcBorders>
              <w:top w:val="nil"/>
              <w:left w:val="nil"/>
              <w:bottom w:val="single" w:sz="4" w:space="0" w:color="auto"/>
              <w:right w:val="single" w:sz="4" w:space="0" w:color="auto"/>
            </w:tcBorders>
            <w:noWrap/>
            <w:vAlign w:val="center"/>
          </w:tcPr>
          <w:p w:rsidR="00C37A77" w:rsidRPr="009323F9" w:rsidRDefault="00C37A77" w:rsidP="009323F9">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w:t>
            </w:r>
            <w:r w:rsidRPr="009323F9">
              <w:rPr>
                <w:rFonts w:ascii="宋体" w:hAnsi="宋体" w:cs="宋体" w:hint="eastAsia"/>
                <w:color w:val="000000"/>
                <w:kern w:val="0"/>
                <w:sz w:val="20"/>
                <w:szCs w:val="20"/>
              </w:rPr>
              <w:t xml:space="preserve">　</w:t>
            </w:r>
          </w:p>
        </w:tc>
        <w:tc>
          <w:tcPr>
            <w:tcW w:w="1216" w:type="pct"/>
            <w:tcBorders>
              <w:top w:val="nil"/>
              <w:left w:val="nil"/>
              <w:bottom w:val="single" w:sz="4" w:space="0" w:color="auto"/>
              <w:right w:val="single" w:sz="4" w:space="0" w:color="auto"/>
            </w:tcBorders>
            <w:noWrap/>
            <w:vAlign w:val="center"/>
          </w:tcPr>
          <w:p w:rsidR="00C37A77" w:rsidRPr="00121EC8" w:rsidRDefault="00BA2563" w:rsidP="009323F9">
            <w:pPr>
              <w:widowControl/>
              <w:jc w:val="center"/>
              <w:rPr>
                <w:color w:val="000000"/>
                <w:sz w:val="20"/>
                <w:szCs w:val="20"/>
              </w:rPr>
            </w:pPr>
            <w:r w:rsidRPr="00BA2563">
              <w:rPr>
                <w:rFonts w:hint="eastAsia"/>
                <w:color w:val="000000"/>
                <w:sz w:val="20"/>
                <w:szCs w:val="20"/>
              </w:rPr>
              <w:t>高质效审结商事案件</w:t>
            </w:r>
            <w:r w:rsidRPr="00BA2563">
              <w:rPr>
                <w:rFonts w:hint="eastAsia"/>
                <w:color w:val="000000"/>
                <w:sz w:val="20"/>
                <w:szCs w:val="20"/>
              </w:rPr>
              <w:t>8000</w:t>
            </w:r>
            <w:r w:rsidRPr="00BA2563">
              <w:rPr>
                <w:rFonts w:hint="eastAsia"/>
                <w:color w:val="000000"/>
                <w:sz w:val="20"/>
                <w:szCs w:val="20"/>
              </w:rPr>
              <w:t>余件，充分保护市场主体合法权益。采取分期付款调解、“放水养鱼”执行等方法化解</w:t>
            </w:r>
            <w:r w:rsidRPr="00BA2563">
              <w:rPr>
                <w:rFonts w:hint="eastAsia"/>
                <w:color w:val="000000"/>
                <w:sz w:val="20"/>
                <w:szCs w:val="20"/>
              </w:rPr>
              <w:t>150</w:t>
            </w:r>
            <w:r w:rsidRPr="00BA2563">
              <w:rPr>
                <w:rFonts w:hint="eastAsia"/>
                <w:color w:val="000000"/>
                <w:sz w:val="20"/>
                <w:szCs w:val="20"/>
              </w:rPr>
              <w:t>余起企业合同纠纷，盘活企业资产；运用商事案件庭前会议制度，</w:t>
            </w:r>
            <w:r w:rsidRPr="00BA2563">
              <w:rPr>
                <w:rFonts w:hint="eastAsia"/>
                <w:color w:val="000000"/>
                <w:sz w:val="20"/>
                <w:szCs w:val="20"/>
              </w:rPr>
              <w:t>15</w:t>
            </w:r>
            <w:r w:rsidRPr="00BA2563">
              <w:rPr>
                <w:rFonts w:hint="eastAsia"/>
                <w:color w:val="000000"/>
                <w:sz w:val="20"/>
                <w:szCs w:val="20"/>
              </w:rPr>
              <w:t>日内促成总价款</w:t>
            </w:r>
            <w:r w:rsidRPr="00BA2563">
              <w:rPr>
                <w:rFonts w:hint="eastAsia"/>
                <w:color w:val="000000"/>
                <w:sz w:val="20"/>
                <w:szCs w:val="20"/>
              </w:rPr>
              <w:t>1430</w:t>
            </w:r>
            <w:r w:rsidRPr="00BA2563">
              <w:rPr>
                <w:rFonts w:hint="eastAsia"/>
                <w:color w:val="000000"/>
                <w:sz w:val="20"/>
                <w:szCs w:val="20"/>
              </w:rPr>
              <w:t>万元买卖合同纠纷调解。开展“优化营商环境宣传月”活动，赴重点企业实地普法</w:t>
            </w:r>
            <w:r w:rsidRPr="00BA2563">
              <w:rPr>
                <w:rFonts w:hint="eastAsia"/>
                <w:color w:val="000000"/>
                <w:sz w:val="20"/>
                <w:szCs w:val="20"/>
              </w:rPr>
              <w:t>10</w:t>
            </w:r>
            <w:r w:rsidRPr="00BA2563">
              <w:rPr>
                <w:rFonts w:hint="eastAsia"/>
                <w:color w:val="000000"/>
                <w:sz w:val="20"/>
                <w:szCs w:val="20"/>
              </w:rPr>
              <w:t>余次，走访联络“服务包”企业，现场组织解决</w:t>
            </w:r>
            <w:r w:rsidRPr="00BA2563">
              <w:rPr>
                <w:rFonts w:hint="eastAsia"/>
                <w:color w:val="000000"/>
                <w:sz w:val="20"/>
                <w:szCs w:val="20"/>
              </w:rPr>
              <w:t>8</w:t>
            </w:r>
            <w:r w:rsidRPr="00BA2563">
              <w:rPr>
                <w:rFonts w:hint="eastAsia"/>
                <w:color w:val="000000"/>
                <w:sz w:val="20"/>
                <w:szCs w:val="20"/>
              </w:rPr>
              <w:t>项诉求，助企纾困解难。完善《优化营商环境立审执工作指引》，“一网通办”“一站式服务”推进诉讼全流程提速增效。</w:t>
            </w:r>
            <w:r w:rsidR="00C37A77" w:rsidRPr="00121EC8">
              <w:rPr>
                <w:rFonts w:hint="eastAsia"/>
                <w:color w:val="000000"/>
                <w:sz w:val="20"/>
                <w:szCs w:val="20"/>
              </w:rPr>
              <w:t xml:space="preserve">　</w:t>
            </w:r>
          </w:p>
        </w:tc>
        <w:tc>
          <w:tcPr>
            <w:tcW w:w="173" w:type="pct"/>
            <w:tcBorders>
              <w:top w:val="nil"/>
              <w:left w:val="single" w:sz="4" w:space="0" w:color="auto"/>
              <w:bottom w:val="single" w:sz="4" w:space="0" w:color="auto"/>
              <w:right w:val="single" w:sz="4" w:space="0" w:color="auto"/>
            </w:tcBorders>
            <w:noWrap/>
            <w:vAlign w:val="center"/>
          </w:tcPr>
          <w:p w:rsidR="00C37A77" w:rsidRPr="009323F9" w:rsidRDefault="00C37A77" w:rsidP="009323F9">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r>
              <w:rPr>
                <w:rFonts w:ascii="宋体" w:hAnsi="宋体" w:cs="宋体"/>
                <w:color w:val="000000"/>
                <w:kern w:val="0"/>
                <w:sz w:val="20"/>
                <w:szCs w:val="20"/>
              </w:rPr>
              <w:t>.5</w:t>
            </w:r>
          </w:p>
        </w:tc>
        <w:tc>
          <w:tcPr>
            <w:tcW w:w="198" w:type="pct"/>
            <w:tcBorders>
              <w:top w:val="nil"/>
              <w:left w:val="nil"/>
              <w:bottom w:val="single" w:sz="4" w:space="0" w:color="auto"/>
              <w:right w:val="nil"/>
            </w:tcBorders>
            <w:noWrap/>
            <w:vAlign w:val="center"/>
          </w:tcPr>
          <w:p w:rsidR="00C37A77" w:rsidRPr="009323F9" w:rsidRDefault="00C37A77" w:rsidP="009323F9">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r w:rsidRPr="009323F9">
              <w:rPr>
                <w:rFonts w:ascii="宋体" w:hAnsi="宋体" w:cs="宋体" w:hint="eastAsia"/>
                <w:color w:val="000000"/>
                <w:kern w:val="0"/>
                <w:sz w:val="20"/>
                <w:szCs w:val="20"/>
              </w:rPr>
              <w:t xml:space="preserve">　</w:t>
            </w:r>
          </w:p>
        </w:tc>
        <w:tc>
          <w:tcPr>
            <w:tcW w:w="1227" w:type="pct"/>
            <w:gridSpan w:val="4"/>
            <w:vMerge w:val="restart"/>
            <w:tcBorders>
              <w:top w:val="nil"/>
              <w:left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18"/>
                <w:szCs w:val="18"/>
              </w:rPr>
            </w:pPr>
            <w:r w:rsidRPr="009323F9">
              <w:rPr>
                <w:rFonts w:ascii="宋体" w:hAnsi="宋体" w:cs="宋体" w:hint="eastAsia"/>
                <w:b/>
                <w:bCs/>
                <w:color w:val="000000"/>
                <w:kern w:val="0"/>
                <w:sz w:val="18"/>
                <w:szCs w:val="18"/>
              </w:rPr>
              <w:t>经济效益</w:t>
            </w:r>
            <w:r w:rsidRPr="009323F9">
              <w:rPr>
                <w:rFonts w:ascii="宋体" w:hAnsi="宋体" w:cs="宋体" w:hint="eastAsia"/>
                <w:color w:val="000000"/>
                <w:kern w:val="0"/>
                <w:sz w:val="18"/>
                <w:szCs w:val="18"/>
              </w:rPr>
              <w:t>：部门（单位）履行职责对经济发展所带来的直接或间接影响。</w:t>
            </w:r>
            <w:r w:rsidRPr="009323F9">
              <w:rPr>
                <w:rFonts w:ascii="宋体" w:hAnsi="宋体" w:cs="宋体" w:hint="eastAsia"/>
                <w:b/>
                <w:bCs/>
                <w:color w:val="000000"/>
                <w:kern w:val="0"/>
                <w:sz w:val="18"/>
                <w:szCs w:val="18"/>
              </w:rPr>
              <w:t>社会效益</w:t>
            </w:r>
            <w:r w:rsidRPr="009323F9">
              <w:rPr>
                <w:rFonts w:ascii="宋体" w:hAnsi="宋体" w:cs="宋体" w:hint="eastAsia"/>
                <w:color w:val="000000"/>
                <w:kern w:val="0"/>
                <w:sz w:val="18"/>
                <w:szCs w:val="18"/>
              </w:rPr>
              <w:t>：部门（单位）履行职责对社会发展所带来的直接或间接影响。</w:t>
            </w:r>
            <w:r w:rsidRPr="009323F9">
              <w:rPr>
                <w:rFonts w:ascii="宋体" w:hAnsi="宋体" w:cs="宋体" w:hint="eastAsia"/>
                <w:b/>
                <w:bCs/>
                <w:color w:val="000000"/>
                <w:kern w:val="0"/>
                <w:sz w:val="18"/>
                <w:szCs w:val="18"/>
              </w:rPr>
              <w:t>环境效益</w:t>
            </w:r>
            <w:r w:rsidRPr="009323F9">
              <w:rPr>
                <w:rFonts w:ascii="宋体" w:hAnsi="宋体" w:cs="宋体" w:hint="eastAsia"/>
                <w:color w:val="000000"/>
                <w:kern w:val="0"/>
                <w:sz w:val="18"/>
                <w:szCs w:val="18"/>
              </w:rPr>
              <w:t>：部门（单位）履行职责对环境所带来的直接或间接影响。</w:t>
            </w:r>
            <w:r w:rsidRPr="009323F9">
              <w:rPr>
                <w:rFonts w:ascii="宋体" w:hAnsi="宋体" w:cs="宋体" w:hint="eastAsia"/>
                <w:b/>
                <w:bCs/>
                <w:color w:val="000000"/>
                <w:kern w:val="0"/>
                <w:sz w:val="18"/>
                <w:szCs w:val="18"/>
              </w:rPr>
              <w:t>可持续性影响：</w:t>
            </w:r>
            <w:r w:rsidRPr="009323F9">
              <w:rPr>
                <w:rFonts w:ascii="宋体" w:hAnsi="宋体" w:cs="宋体" w:hint="eastAsia"/>
                <w:color w:val="000000"/>
                <w:kern w:val="0"/>
                <w:sz w:val="18"/>
                <w:szCs w:val="18"/>
              </w:rPr>
              <w:t>部门绩效目标实现的长效机制建设情况，部门工作效率提升措施的创新。</w:t>
            </w:r>
            <w:r w:rsidRPr="009323F9">
              <w:rPr>
                <w:rFonts w:ascii="宋体" w:hAnsi="宋体" w:cs="宋体" w:hint="eastAsia"/>
                <w:b/>
                <w:bCs/>
                <w:color w:val="000000"/>
                <w:kern w:val="0"/>
                <w:sz w:val="18"/>
                <w:szCs w:val="18"/>
              </w:rPr>
              <w:t>服务对象满意度</w:t>
            </w:r>
            <w:r w:rsidRPr="009323F9">
              <w:rPr>
                <w:rFonts w:ascii="宋体" w:hAnsi="宋体" w:cs="宋体" w:hint="eastAsia"/>
                <w:color w:val="000000"/>
                <w:kern w:val="0"/>
                <w:sz w:val="18"/>
                <w:szCs w:val="18"/>
              </w:rPr>
              <w:t>：部门（单位）的服务对象对部门履职效果的满意程度。</w:t>
            </w:r>
          </w:p>
        </w:tc>
        <w:tc>
          <w:tcPr>
            <w:tcW w:w="1404" w:type="pct"/>
            <w:gridSpan w:val="2"/>
            <w:vMerge w:val="restart"/>
            <w:tcBorders>
              <w:top w:val="nil"/>
              <w:left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18"/>
                <w:szCs w:val="18"/>
              </w:rPr>
            </w:pPr>
            <w:r w:rsidRPr="009323F9">
              <w:rPr>
                <w:rFonts w:ascii="宋体" w:hAnsi="宋体" w:cs="宋体" w:hint="eastAsia"/>
                <w:color w:val="000000"/>
                <w:kern w:val="0"/>
                <w:sz w:val="18"/>
                <w:szCs w:val="18"/>
              </w:rPr>
              <w:t>部门根据实际情况选择指标进行填写，并将其细化为相应的个性化指标。对于效益类指标可从受益对象瞄准度、受益广度和受益深度上进行设计分析。</w:t>
            </w:r>
          </w:p>
        </w:tc>
      </w:tr>
      <w:tr w:rsidR="00C37A77" w:rsidRPr="009323F9" w:rsidTr="0020026A">
        <w:trPr>
          <w:trHeight w:val="630"/>
        </w:trPr>
        <w:tc>
          <w:tcPr>
            <w:tcW w:w="169" w:type="pct"/>
            <w:vMerge/>
            <w:tcBorders>
              <w:left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20"/>
                <w:szCs w:val="20"/>
              </w:rPr>
            </w:pPr>
          </w:p>
        </w:tc>
        <w:tc>
          <w:tcPr>
            <w:tcW w:w="151" w:type="pct"/>
            <w:vMerge/>
            <w:tcBorders>
              <w:left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20"/>
                <w:szCs w:val="20"/>
              </w:rPr>
            </w:pPr>
          </w:p>
        </w:tc>
        <w:tc>
          <w:tcPr>
            <w:tcW w:w="155" w:type="pct"/>
            <w:tcBorders>
              <w:top w:val="nil"/>
              <w:left w:val="nil"/>
              <w:bottom w:val="single" w:sz="4" w:space="0" w:color="auto"/>
              <w:right w:val="single" w:sz="4" w:space="0" w:color="auto"/>
            </w:tcBorders>
            <w:noWrap/>
            <w:vAlign w:val="center"/>
          </w:tcPr>
          <w:p w:rsidR="00C37A77" w:rsidRPr="009323F9" w:rsidRDefault="00C37A77" w:rsidP="009323F9">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指标2</w:t>
            </w:r>
          </w:p>
        </w:tc>
        <w:tc>
          <w:tcPr>
            <w:tcW w:w="307" w:type="pct"/>
            <w:tcBorders>
              <w:top w:val="nil"/>
              <w:left w:val="nil"/>
              <w:bottom w:val="single" w:sz="4" w:space="0" w:color="auto"/>
              <w:right w:val="single" w:sz="4" w:space="0" w:color="auto"/>
            </w:tcBorders>
            <w:noWrap/>
            <w:vAlign w:val="center"/>
          </w:tcPr>
          <w:p w:rsidR="00C37A77" w:rsidRPr="009323F9" w:rsidRDefault="00C37A77"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 xml:space="preserve">　</w:t>
            </w:r>
            <w:r>
              <w:rPr>
                <w:rFonts w:ascii="宋体" w:hAnsi="宋体" w:cs="宋体" w:hint="eastAsia"/>
                <w:color w:val="000000"/>
                <w:kern w:val="0"/>
                <w:sz w:val="20"/>
                <w:szCs w:val="20"/>
              </w:rPr>
              <w:t>环境效益</w:t>
            </w:r>
          </w:p>
        </w:tc>
        <w:tc>
          <w:tcPr>
            <w:tcW w:w="1216" w:type="pct"/>
            <w:tcBorders>
              <w:top w:val="nil"/>
              <w:left w:val="nil"/>
              <w:bottom w:val="single" w:sz="4" w:space="0" w:color="auto"/>
              <w:right w:val="single" w:sz="4" w:space="0" w:color="auto"/>
            </w:tcBorders>
            <w:noWrap/>
            <w:vAlign w:val="center"/>
          </w:tcPr>
          <w:p w:rsidR="00C37A77" w:rsidRPr="00121EC8" w:rsidRDefault="00BA2563" w:rsidP="00BA2563">
            <w:pPr>
              <w:widowControl/>
              <w:jc w:val="center"/>
              <w:rPr>
                <w:color w:val="000000"/>
                <w:sz w:val="20"/>
                <w:szCs w:val="20"/>
              </w:rPr>
            </w:pPr>
            <w:r w:rsidRPr="00BA2563">
              <w:rPr>
                <w:rFonts w:hint="eastAsia"/>
                <w:color w:val="000000"/>
                <w:sz w:val="20"/>
                <w:szCs w:val="20"/>
              </w:rPr>
              <w:t>严厉打击违法倾倒垃圾、破坏生态环境犯罪，妥善审结</w:t>
            </w:r>
            <w:r w:rsidRPr="00BA2563">
              <w:rPr>
                <w:rFonts w:hint="eastAsia"/>
                <w:color w:val="000000"/>
                <w:sz w:val="20"/>
                <w:szCs w:val="20"/>
              </w:rPr>
              <w:t>2</w:t>
            </w:r>
            <w:r w:rsidRPr="00BA2563">
              <w:rPr>
                <w:rFonts w:hint="eastAsia"/>
                <w:color w:val="000000"/>
                <w:sz w:val="20"/>
                <w:szCs w:val="20"/>
              </w:rPr>
              <w:t>起污染环境罪案件，依法从严判处</w:t>
            </w:r>
            <w:r w:rsidRPr="00BA2563">
              <w:rPr>
                <w:rFonts w:hint="eastAsia"/>
                <w:color w:val="000000"/>
                <w:sz w:val="20"/>
                <w:szCs w:val="20"/>
              </w:rPr>
              <w:t>9</w:t>
            </w:r>
            <w:r w:rsidRPr="00BA2563">
              <w:rPr>
                <w:rFonts w:hint="eastAsia"/>
                <w:color w:val="000000"/>
                <w:sz w:val="20"/>
                <w:szCs w:val="20"/>
              </w:rPr>
              <w:t>名被告人最高六年十个月有期徒刑；在周口店环境整治项目推进中，就</w:t>
            </w:r>
            <w:r w:rsidRPr="00BA2563">
              <w:rPr>
                <w:rFonts w:hint="eastAsia"/>
                <w:color w:val="000000"/>
                <w:sz w:val="20"/>
                <w:szCs w:val="20"/>
              </w:rPr>
              <w:t>93</w:t>
            </w:r>
            <w:r w:rsidRPr="00BA2563">
              <w:rPr>
                <w:rFonts w:hint="eastAsia"/>
                <w:color w:val="000000"/>
                <w:sz w:val="20"/>
                <w:szCs w:val="20"/>
              </w:rPr>
              <w:t>件涉某产业园行政赔偿案件先行作出</w:t>
            </w:r>
            <w:r w:rsidRPr="00BA2563">
              <w:rPr>
                <w:rFonts w:hint="eastAsia"/>
                <w:color w:val="000000"/>
                <w:sz w:val="20"/>
                <w:szCs w:val="20"/>
              </w:rPr>
              <w:t>5</w:t>
            </w:r>
            <w:r w:rsidRPr="00BA2563">
              <w:rPr>
                <w:rFonts w:hint="eastAsia"/>
                <w:color w:val="000000"/>
                <w:sz w:val="20"/>
                <w:szCs w:val="20"/>
              </w:rPr>
              <w:t>件示范性判决，统一赔偿标准。在长沟法庭挂牌成立环境资源法庭，打造首批生态法治公园及普法驿站，发布环境资源审判十大典型案例，与周边</w:t>
            </w:r>
            <w:r w:rsidRPr="00BA2563">
              <w:rPr>
                <w:rFonts w:hint="eastAsia"/>
                <w:color w:val="000000"/>
                <w:sz w:val="20"/>
                <w:szCs w:val="20"/>
              </w:rPr>
              <w:t>5</w:t>
            </w:r>
            <w:r w:rsidRPr="00BA2563">
              <w:rPr>
                <w:rFonts w:hint="eastAsia"/>
                <w:color w:val="000000"/>
                <w:sz w:val="20"/>
                <w:szCs w:val="20"/>
              </w:rPr>
              <w:t>家法院签署审判协作协议，共同推进京津冀生态文明建设。</w:t>
            </w:r>
          </w:p>
        </w:tc>
        <w:tc>
          <w:tcPr>
            <w:tcW w:w="173" w:type="pct"/>
            <w:tcBorders>
              <w:top w:val="single" w:sz="4" w:space="0" w:color="auto"/>
              <w:left w:val="single" w:sz="4" w:space="0" w:color="auto"/>
              <w:bottom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20"/>
                <w:szCs w:val="20"/>
              </w:rPr>
            </w:pPr>
            <w:r>
              <w:rPr>
                <w:rFonts w:ascii="宋体" w:hAnsi="宋体" w:cs="宋体" w:hint="eastAsia"/>
                <w:color w:val="000000"/>
                <w:kern w:val="0"/>
                <w:sz w:val="20"/>
                <w:szCs w:val="20"/>
              </w:rPr>
              <w:t>7</w:t>
            </w:r>
            <w:r>
              <w:rPr>
                <w:rFonts w:ascii="宋体" w:hAnsi="宋体" w:cs="宋体"/>
                <w:color w:val="000000"/>
                <w:kern w:val="0"/>
                <w:sz w:val="20"/>
                <w:szCs w:val="20"/>
              </w:rPr>
              <w:t>.5</w:t>
            </w:r>
          </w:p>
        </w:tc>
        <w:tc>
          <w:tcPr>
            <w:tcW w:w="198" w:type="pct"/>
            <w:tcBorders>
              <w:top w:val="single" w:sz="4" w:space="0" w:color="auto"/>
              <w:left w:val="nil"/>
              <w:bottom w:val="single" w:sz="4" w:space="0" w:color="auto"/>
              <w:right w:val="nil"/>
            </w:tcBorders>
            <w:noWrap/>
            <w:vAlign w:val="center"/>
          </w:tcPr>
          <w:p w:rsidR="00C37A77" w:rsidRPr="009323F9" w:rsidRDefault="00C37A77" w:rsidP="009323F9">
            <w:pPr>
              <w:widowControl/>
              <w:jc w:val="center"/>
              <w:rPr>
                <w:rFonts w:ascii="宋体" w:hAnsi="宋体" w:cs="宋体"/>
                <w:color w:val="000000"/>
                <w:kern w:val="0"/>
                <w:sz w:val="20"/>
                <w:szCs w:val="20"/>
              </w:rPr>
            </w:pPr>
            <w:r>
              <w:rPr>
                <w:rFonts w:ascii="宋体" w:hAnsi="宋体" w:cs="宋体"/>
                <w:color w:val="000000"/>
                <w:kern w:val="0"/>
                <w:sz w:val="20"/>
                <w:szCs w:val="20"/>
              </w:rPr>
              <w:t>7</w:t>
            </w:r>
            <w:r w:rsidRPr="009323F9">
              <w:rPr>
                <w:rFonts w:ascii="宋体" w:hAnsi="宋体" w:cs="宋体" w:hint="eastAsia"/>
                <w:color w:val="000000"/>
                <w:kern w:val="0"/>
                <w:sz w:val="20"/>
                <w:szCs w:val="20"/>
              </w:rPr>
              <w:t xml:space="preserve">　</w:t>
            </w:r>
          </w:p>
        </w:tc>
        <w:tc>
          <w:tcPr>
            <w:tcW w:w="1227" w:type="pct"/>
            <w:gridSpan w:val="4"/>
            <w:vMerge/>
            <w:tcBorders>
              <w:left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18"/>
                <w:szCs w:val="18"/>
              </w:rPr>
            </w:pPr>
          </w:p>
        </w:tc>
        <w:tc>
          <w:tcPr>
            <w:tcW w:w="1404" w:type="pct"/>
            <w:gridSpan w:val="2"/>
            <w:vMerge/>
            <w:tcBorders>
              <w:left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18"/>
                <w:szCs w:val="18"/>
              </w:rPr>
            </w:pPr>
          </w:p>
        </w:tc>
      </w:tr>
      <w:tr w:rsidR="00C37A77" w:rsidRPr="009323F9" w:rsidTr="00C37A77">
        <w:trPr>
          <w:trHeight w:val="2542"/>
        </w:trPr>
        <w:tc>
          <w:tcPr>
            <w:tcW w:w="169" w:type="pct"/>
            <w:vMerge/>
            <w:tcBorders>
              <w:left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20"/>
                <w:szCs w:val="20"/>
              </w:rPr>
            </w:pPr>
          </w:p>
        </w:tc>
        <w:tc>
          <w:tcPr>
            <w:tcW w:w="151" w:type="pct"/>
            <w:vMerge/>
            <w:tcBorders>
              <w:left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20"/>
                <w:szCs w:val="20"/>
              </w:rPr>
            </w:pPr>
          </w:p>
        </w:tc>
        <w:tc>
          <w:tcPr>
            <w:tcW w:w="155" w:type="pct"/>
            <w:vMerge w:val="restart"/>
            <w:tcBorders>
              <w:top w:val="nil"/>
              <w:left w:val="nil"/>
              <w:right w:val="single" w:sz="4" w:space="0" w:color="auto"/>
            </w:tcBorders>
            <w:noWrap/>
            <w:vAlign w:val="center"/>
          </w:tcPr>
          <w:p w:rsidR="00C37A77" w:rsidRPr="009323F9" w:rsidRDefault="00C37A77" w:rsidP="009323F9">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指标3</w:t>
            </w:r>
          </w:p>
        </w:tc>
        <w:tc>
          <w:tcPr>
            <w:tcW w:w="307" w:type="pct"/>
            <w:vMerge w:val="restart"/>
            <w:tcBorders>
              <w:top w:val="nil"/>
              <w:left w:val="nil"/>
              <w:right w:val="single" w:sz="4" w:space="0" w:color="auto"/>
            </w:tcBorders>
            <w:noWrap/>
            <w:vAlign w:val="center"/>
          </w:tcPr>
          <w:p w:rsidR="00C37A77" w:rsidRPr="009323F9" w:rsidRDefault="00C37A77" w:rsidP="009323F9">
            <w:pPr>
              <w:widowControl/>
              <w:jc w:val="center"/>
              <w:rPr>
                <w:rFonts w:ascii="宋体" w:hAnsi="宋体" w:cs="宋体"/>
                <w:color w:val="000000"/>
                <w:kern w:val="0"/>
                <w:sz w:val="20"/>
                <w:szCs w:val="20"/>
              </w:rPr>
            </w:pPr>
            <w:r>
              <w:rPr>
                <w:rFonts w:ascii="宋体" w:hAnsi="宋体" w:cs="宋体" w:hint="eastAsia"/>
                <w:color w:val="000000"/>
                <w:kern w:val="0"/>
                <w:sz w:val="20"/>
                <w:szCs w:val="20"/>
              </w:rPr>
              <w:t>可持续影响</w:t>
            </w:r>
            <w:r w:rsidRPr="009323F9">
              <w:rPr>
                <w:rFonts w:ascii="宋体" w:hAnsi="宋体" w:cs="宋体" w:hint="eastAsia"/>
                <w:color w:val="000000"/>
                <w:kern w:val="0"/>
                <w:sz w:val="20"/>
                <w:szCs w:val="20"/>
              </w:rPr>
              <w:t xml:space="preserve">　</w:t>
            </w:r>
          </w:p>
        </w:tc>
        <w:tc>
          <w:tcPr>
            <w:tcW w:w="1216" w:type="pct"/>
            <w:vMerge w:val="restart"/>
            <w:tcBorders>
              <w:top w:val="single" w:sz="4" w:space="0" w:color="auto"/>
              <w:left w:val="nil"/>
              <w:right w:val="single" w:sz="4" w:space="0" w:color="auto"/>
            </w:tcBorders>
            <w:noWrap/>
            <w:vAlign w:val="center"/>
          </w:tcPr>
          <w:p w:rsidR="00C37A77" w:rsidRPr="00121EC8" w:rsidRDefault="00BA2563" w:rsidP="009323F9">
            <w:pPr>
              <w:widowControl/>
              <w:jc w:val="center"/>
              <w:rPr>
                <w:color w:val="000000"/>
                <w:sz w:val="20"/>
                <w:szCs w:val="20"/>
              </w:rPr>
            </w:pPr>
            <w:r w:rsidRPr="00BA2563">
              <w:rPr>
                <w:rFonts w:hint="eastAsia"/>
                <w:color w:val="000000"/>
                <w:sz w:val="20"/>
                <w:szCs w:val="20"/>
              </w:rPr>
              <w:t>主动融入基层社会治理格局，完善“一法庭一品牌”特色机制，构建“三全三化”法官工作站建设体系，推动人民法院调解平台“进乡村、进社区、进网格”，在矛盾易发多发领域或诉源治理需求强烈的地区运行</w:t>
            </w:r>
            <w:r w:rsidRPr="00BA2563">
              <w:rPr>
                <w:rFonts w:hint="eastAsia"/>
                <w:color w:val="000000"/>
                <w:sz w:val="20"/>
                <w:szCs w:val="20"/>
              </w:rPr>
              <w:t>43</w:t>
            </w:r>
            <w:r w:rsidRPr="00BA2563">
              <w:rPr>
                <w:rFonts w:hint="eastAsia"/>
                <w:color w:val="000000"/>
                <w:sz w:val="20"/>
                <w:szCs w:val="20"/>
              </w:rPr>
              <w:t>个法官工作站，加强与“平安好邻居”、“我来办”工作室对接，推动“无讼村居”</w:t>
            </w:r>
            <w:r w:rsidRPr="00BA2563">
              <w:rPr>
                <w:rFonts w:hint="eastAsia"/>
                <w:color w:val="000000"/>
                <w:sz w:val="20"/>
                <w:szCs w:val="20"/>
              </w:rPr>
              <w:lastRenderedPageBreak/>
              <w:t>建设。依靠基层力量，推动矛盾就地化解，联合村集体组织通过“诉前调解</w:t>
            </w:r>
            <w:r w:rsidRPr="00BA2563">
              <w:rPr>
                <w:rFonts w:hint="eastAsia"/>
                <w:color w:val="000000"/>
                <w:sz w:val="20"/>
                <w:szCs w:val="20"/>
              </w:rPr>
              <w:t>+</w:t>
            </w:r>
            <w:r w:rsidRPr="00BA2563">
              <w:rPr>
                <w:rFonts w:hint="eastAsia"/>
                <w:color w:val="000000"/>
                <w:sz w:val="20"/>
                <w:szCs w:val="20"/>
              </w:rPr>
              <w:t>督促履行”方式成功化解某村</w:t>
            </w:r>
            <w:r w:rsidRPr="00BA2563">
              <w:rPr>
                <w:rFonts w:hint="eastAsia"/>
                <w:color w:val="000000"/>
                <w:sz w:val="20"/>
                <w:szCs w:val="20"/>
              </w:rPr>
              <w:t>40</w:t>
            </w:r>
            <w:r w:rsidRPr="00BA2563">
              <w:rPr>
                <w:rFonts w:hint="eastAsia"/>
                <w:color w:val="000000"/>
                <w:sz w:val="20"/>
                <w:szCs w:val="20"/>
              </w:rPr>
              <w:t>余起土地租赁合同纠纷，引入建设工程商事纠纷调解委员会等“法律明白人”，就地调解农村房屋建设、邻里财产纠纷等</w:t>
            </w:r>
            <w:r w:rsidRPr="00BA2563">
              <w:rPr>
                <w:rFonts w:hint="eastAsia"/>
                <w:color w:val="000000"/>
                <w:sz w:val="20"/>
                <w:szCs w:val="20"/>
              </w:rPr>
              <w:t>200</w:t>
            </w:r>
            <w:r w:rsidRPr="00BA2563">
              <w:rPr>
                <w:rFonts w:hint="eastAsia"/>
                <w:color w:val="000000"/>
                <w:sz w:val="20"/>
                <w:szCs w:val="20"/>
              </w:rPr>
              <w:t>余件。法官深入村、社区开展巡回审判</w:t>
            </w:r>
            <w:r w:rsidRPr="00BA2563">
              <w:rPr>
                <w:rFonts w:hint="eastAsia"/>
                <w:color w:val="000000"/>
                <w:sz w:val="20"/>
                <w:szCs w:val="20"/>
              </w:rPr>
              <w:t>60</w:t>
            </w:r>
            <w:r w:rsidRPr="00BA2563">
              <w:rPr>
                <w:rFonts w:hint="eastAsia"/>
                <w:color w:val="000000"/>
                <w:sz w:val="20"/>
                <w:szCs w:val="20"/>
              </w:rPr>
              <w:t>余次，就地化解矛盾、以案释法，让群众零距离感受司法。发挥典型案例的价值引导作用，召开弘扬社会主义核心价值观等典型案例新闻通报会</w:t>
            </w:r>
            <w:r w:rsidRPr="00BA2563">
              <w:rPr>
                <w:rFonts w:hint="eastAsia"/>
                <w:color w:val="000000"/>
                <w:sz w:val="20"/>
                <w:szCs w:val="20"/>
              </w:rPr>
              <w:t>6</w:t>
            </w:r>
            <w:r w:rsidRPr="00BA2563">
              <w:rPr>
                <w:rFonts w:hint="eastAsia"/>
                <w:color w:val="000000"/>
                <w:sz w:val="20"/>
                <w:szCs w:val="20"/>
              </w:rPr>
              <w:t>场，通报典型案例</w:t>
            </w:r>
            <w:r w:rsidRPr="00BA2563">
              <w:rPr>
                <w:rFonts w:hint="eastAsia"/>
                <w:color w:val="000000"/>
                <w:sz w:val="20"/>
                <w:szCs w:val="20"/>
              </w:rPr>
              <w:t>20</w:t>
            </w:r>
            <w:r w:rsidRPr="00BA2563">
              <w:rPr>
                <w:rFonts w:hint="eastAsia"/>
                <w:color w:val="000000"/>
                <w:sz w:val="20"/>
                <w:szCs w:val="20"/>
              </w:rPr>
              <w:t>个，审理的</w:t>
            </w:r>
            <w:r w:rsidRPr="00BA2563">
              <w:rPr>
                <w:rFonts w:hint="eastAsia"/>
                <w:color w:val="000000"/>
                <w:sz w:val="20"/>
                <w:szCs w:val="20"/>
              </w:rPr>
              <w:t>2</w:t>
            </w:r>
            <w:r w:rsidRPr="00BA2563">
              <w:rPr>
                <w:rFonts w:hint="eastAsia"/>
                <w:color w:val="000000"/>
                <w:sz w:val="20"/>
                <w:szCs w:val="20"/>
              </w:rPr>
              <w:t>起家事案件在央视《家事如天》栏目专题播出，</w:t>
            </w:r>
            <w:r w:rsidRPr="00BA2563">
              <w:rPr>
                <w:rFonts w:hint="eastAsia"/>
                <w:color w:val="000000"/>
                <w:sz w:val="20"/>
                <w:szCs w:val="20"/>
              </w:rPr>
              <w:t>23</w:t>
            </w:r>
            <w:r w:rsidRPr="00BA2563">
              <w:rPr>
                <w:rFonts w:hint="eastAsia"/>
                <w:color w:val="000000"/>
                <w:sz w:val="20"/>
                <w:szCs w:val="20"/>
              </w:rPr>
              <w:t>篇案例被《法治日报》《人民法院报》等中央级媒体整版或专栏报道，用群众听得懂的语言释法析理，让法治理念深入人心。</w:t>
            </w:r>
          </w:p>
        </w:tc>
        <w:tc>
          <w:tcPr>
            <w:tcW w:w="173" w:type="pct"/>
            <w:tcBorders>
              <w:top w:val="single" w:sz="4" w:space="0" w:color="auto"/>
              <w:left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20"/>
                <w:szCs w:val="20"/>
              </w:rPr>
            </w:pPr>
            <w:r>
              <w:rPr>
                <w:rFonts w:ascii="宋体" w:hAnsi="宋体" w:cs="宋体"/>
                <w:color w:val="000000"/>
                <w:kern w:val="0"/>
                <w:sz w:val="20"/>
                <w:szCs w:val="20"/>
              </w:rPr>
              <w:lastRenderedPageBreak/>
              <w:t>7.5</w:t>
            </w:r>
          </w:p>
        </w:tc>
        <w:tc>
          <w:tcPr>
            <w:tcW w:w="198" w:type="pct"/>
            <w:vMerge w:val="restart"/>
            <w:tcBorders>
              <w:top w:val="single" w:sz="4" w:space="0" w:color="auto"/>
              <w:left w:val="nil"/>
              <w:right w:val="nil"/>
            </w:tcBorders>
            <w:noWrap/>
            <w:vAlign w:val="center"/>
          </w:tcPr>
          <w:p w:rsidR="00C37A77" w:rsidRPr="009323F9" w:rsidRDefault="00C37A77" w:rsidP="009323F9">
            <w:pPr>
              <w:widowControl/>
              <w:jc w:val="center"/>
              <w:rPr>
                <w:rFonts w:ascii="宋体" w:hAnsi="宋体" w:cs="宋体"/>
                <w:color w:val="000000"/>
                <w:kern w:val="0"/>
                <w:sz w:val="20"/>
                <w:szCs w:val="20"/>
              </w:rPr>
            </w:pPr>
            <w:r>
              <w:rPr>
                <w:rFonts w:ascii="宋体" w:hAnsi="宋体" w:cs="宋体"/>
                <w:color w:val="000000"/>
                <w:kern w:val="0"/>
                <w:sz w:val="20"/>
                <w:szCs w:val="20"/>
              </w:rPr>
              <w:t>7.5</w:t>
            </w:r>
            <w:r w:rsidRPr="009323F9">
              <w:rPr>
                <w:rFonts w:ascii="宋体" w:hAnsi="宋体" w:cs="宋体" w:hint="eastAsia"/>
                <w:color w:val="000000"/>
                <w:kern w:val="0"/>
                <w:sz w:val="20"/>
                <w:szCs w:val="20"/>
              </w:rPr>
              <w:t xml:space="preserve">　</w:t>
            </w:r>
          </w:p>
        </w:tc>
        <w:tc>
          <w:tcPr>
            <w:tcW w:w="1227" w:type="pct"/>
            <w:gridSpan w:val="4"/>
            <w:vMerge/>
            <w:tcBorders>
              <w:left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18"/>
                <w:szCs w:val="18"/>
              </w:rPr>
            </w:pPr>
          </w:p>
        </w:tc>
        <w:tc>
          <w:tcPr>
            <w:tcW w:w="1404" w:type="pct"/>
            <w:gridSpan w:val="2"/>
            <w:vMerge/>
            <w:tcBorders>
              <w:left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18"/>
                <w:szCs w:val="18"/>
              </w:rPr>
            </w:pPr>
          </w:p>
        </w:tc>
      </w:tr>
      <w:tr w:rsidR="00C37A77" w:rsidRPr="009323F9" w:rsidTr="0020026A">
        <w:trPr>
          <w:trHeight w:val="2340"/>
        </w:trPr>
        <w:tc>
          <w:tcPr>
            <w:tcW w:w="169" w:type="pct"/>
            <w:vMerge/>
            <w:tcBorders>
              <w:left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20"/>
                <w:szCs w:val="20"/>
              </w:rPr>
            </w:pPr>
          </w:p>
        </w:tc>
        <w:tc>
          <w:tcPr>
            <w:tcW w:w="151" w:type="pct"/>
            <w:vMerge/>
            <w:tcBorders>
              <w:left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20"/>
                <w:szCs w:val="20"/>
              </w:rPr>
            </w:pPr>
          </w:p>
        </w:tc>
        <w:tc>
          <w:tcPr>
            <w:tcW w:w="155" w:type="pct"/>
            <w:vMerge/>
            <w:tcBorders>
              <w:left w:val="nil"/>
              <w:bottom w:val="single" w:sz="4" w:space="0" w:color="auto"/>
              <w:right w:val="single" w:sz="4" w:space="0" w:color="auto"/>
            </w:tcBorders>
            <w:noWrap/>
            <w:vAlign w:val="center"/>
          </w:tcPr>
          <w:p w:rsidR="00C37A77" w:rsidRDefault="00C37A77" w:rsidP="009323F9">
            <w:pPr>
              <w:widowControl/>
              <w:jc w:val="center"/>
              <w:rPr>
                <w:rFonts w:ascii="宋体" w:hAnsi="宋体" w:cs="宋体"/>
                <w:color w:val="000000"/>
                <w:kern w:val="0"/>
                <w:sz w:val="20"/>
                <w:szCs w:val="20"/>
              </w:rPr>
            </w:pPr>
          </w:p>
        </w:tc>
        <w:tc>
          <w:tcPr>
            <w:tcW w:w="307" w:type="pct"/>
            <w:vMerge/>
            <w:tcBorders>
              <w:left w:val="nil"/>
              <w:bottom w:val="single" w:sz="4" w:space="0" w:color="auto"/>
              <w:right w:val="single" w:sz="4" w:space="0" w:color="auto"/>
            </w:tcBorders>
            <w:noWrap/>
            <w:vAlign w:val="center"/>
          </w:tcPr>
          <w:p w:rsidR="00C37A77" w:rsidRDefault="00C37A77" w:rsidP="009323F9">
            <w:pPr>
              <w:widowControl/>
              <w:jc w:val="center"/>
              <w:rPr>
                <w:rFonts w:ascii="宋体" w:hAnsi="宋体" w:cs="宋体"/>
                <w:color w:val="000000"/>
                <w:kern w:val="0"/>
                <w:sz w:val="20"/>
                <w:szCs w:val="20"/>
              </w:rPr>
            </w:pPr>
          </w:p>
        </w:tc>
        <w:tc>
          <w:tcPr>
            <w:tcW w:w="1216" w:type="pct"/>
            <w:vMerge/>
            <w:tcBorders>
              <w:left w:val="nil"/>
              <w:bottom w:val="single" w:sz="4" w:space="0" w:color="auto"/>
              <w:right w:val="single" w:sz="4" w:space="0" w:color="auto"/>
            </w:tcBorders>
            <w:noWrap/>
            <w:vAlign w:val="center"/>
          </w:tcPr>
          <w:p w:rsidR="00C37A77" w:rsidRPr="00CD5DF5" w:rsidRDefault="00C37A77" w:rsidP="009323F9">
            <w:pPr>
              <w:widowControl/>
              <w:jc w:val="center"/>
              <w:rPr>
                <w:color w:val="000000"/>
                <w:sz w:val="20"/>
                <w:szCs w:val="20"/>
              </w:rPr>
            </w:pPr>
          </w:p>
        </w:tc>
        <w:tc>
          <w:tcPr>
            <w:tcW w:w="173" w:type="pct"/>
            <w:tcBorders>
              <w:top w:val="single" w:sz="4" w:space="0" w:color="auto"/>
              <w:left w:val="single" w:sz="4" w:space="0" w:color="auto"/>
              <w:right w:val="single" w:sz="4" w:space="0" w:color="auto"/>
            </w:tcBorders>
            <w:noWrap/>
            <w:vAlign w:val="center"/>
          </w:tcPr>
          <w:p w:rsidR="00C37A77" w:rsidRDefault="00C37A77" w:rsidP="009323F9">
            <w:pPr>
              <w:widowControl/>
              <w:jc w:val="left"/>
              <w:rPr>
                <w:rFonts w:ascii="宋体" w:hAnsi="宋体" w:cs="宋体"/>
                <w:color w:val="000000"/>
                <w:kern w:val="0"/>
                <w:sz w:val="20"/>
                <w:szCs w:val="20"/>
              </w:rPr>
            </w:pPr>
            <w:r>
              <w:rPr>
                <w:rFonts w:ascii="宋体" w:hAnsi="宋体" w:cs="宋体" w:hint="eastAsia"/>
                <w:color w:val="000000"/>
                <w:kern w:val="0"/>
                <w:sz w:val="20"/>
                <w:szCs w:val="20"/>
              </w:rPr>
              <w:t>7</w:t>
            </w:r>
            <w:r>
              <w:rPr>
                <w:rFonts w:ascii="宋体" w:hAnsi="宋体" w:cs="宋体"/>
                <w:color w:val="000000"/>
                <w:kern w:val="0"/>
                <w:sz w:val="20"/>
                <w:szCs w:val="20"/>
              </w:rPr>
              <w:t>.5</w:t>
            </w:r>
          </w:p>
        </w:tc>
        <w:tc>
          <w:tcPr>
            <w:tcW w:w="198" w:type="pct"/>
            <w:vMerge/>
            <w:tcBorders>
              <w:left w:val="nil"/>
              <w:bottom w:val="single" w:sz="4" w:space="0" w:color="auto"/>
              <w:right w:val="nil"/>
            </w:tcBorders>
            <w:noWrap/>
            <w:vAlign w:val="center"/>
          </w:tcPr>
          <w:p w:rsidR="00C37A77" w:rsidRDefault="00C37A77" w:rsidP="009323F9">
            <w:pPr>
              <w:widowControl/>
              <w:jc w:val="center"/>
              <w:rPr>
                <w:rFonts w:ascii="宋体" w:hAnsi="宋体" w:cs="宋体"/>
                <w:color w:val="000000"/>
                <w:kern w:val="0"/>
                <w:sz w:val="20"/>
                <w:szCs w:val="20"/>
              </w:rPr>
            </w:pPr>
          </w:p>
        </w:tc>
        <w:tc>
          <w:tcPr>
            <w:tcW w:w="1227" w:type="pct"/>
            <w:gridSpan w:val="4"/>
            <w:vMerge/>
            <w:tcBorders>
              <w:left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18"/>
                <w:szCs w:val="18"/>
              </w:rPr>
            </w:pPr>
          </w:p>
        </w:tc>
        <w:tc>
          <w:tcPr>
            <w:tcW w:w="1404" w:type="pct"/>
            <w:gridSpan w:val="2"/>
            <w:vMerge/>
            <w:tcBorders>
              <w:left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18"/>
                <w:szCs w:val="18"/>
              </w:rPr>
            </w:pPr>
          </w:p>
        </w:tc>
      </w:tr>
      <w:tr w:rsidR="00C37A77" w:rsidRPr="009323F9" w:rsidTr="0020026A">
        <w:trPr>
          <w:trHeight w:val="675"/>
        </w:trPr>
        <w:tc>
          <w:tcPr>
            <w:tcW w:w="169" w:type="pct"/>
            <w:vMerge/>
            <w:tcBorders>
              <w:left w:val="single" w:sz="4" w:space="0" w:color="auto"/>
              <w:bottom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20"/>
                <w:szCs w:val="20"/>
              </w:rPr>
            </w:pPr>
          </w:p>
        </w:tc>
        <w:tc>
          <w:tcPr>
            <w:tcW w:w="151" w:type="pct"/>
            <w:vMerge/>
            <w:tcBorders>
              <w:left w:val="single" w:sz="4" w:space="0" w:color="auto"/>
              <w:bottom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20"/>
                <w:szCs w:val="20"/>
              </w:rPr>
            </w:pPr>
          </w:p>
        </w:tc>
        <w:tc>
          <w:tcPr>
            <w:tcW w:w="155" w:type="pct"/>
            <w:tcBorders>
              <w:top w:val="nil"/>
              <w:left w:val="nil"/>
              <w:bottom w:val="single" w:sz="4" w:space="0" w:color="auto"/>
              <w:right w:val="single" w:sz="4" w:space="0" w:color="auto"/>
            </w:tcBorders>
            <w:noWrap/>
            <w:vAlign w:val="center"/>
          </w:tcPr>
          <w:p w:rsidR="00C37A77" w:rsidRPr="009323F9" w:rsidRDefault="00C37A77" w:rsidP="009323F9">
            <w:pPr>
              <w:widowControl/>
              <w:rPr>
                <w:rFonts w:ascii="宋体" w:hAnsi="宋体" w:cs="宋体"/>
                <w:color w:val="000000"/>
                <w:kern w:val="0"/>
                <w:sz w:val="20"/>
                <w:szCs w:val="20"/>
              </w:rPr>
            </w:pPr>
            <w:r>
              <w:rPr>
                <w:rFonts w:ascii="宋体" w:hAnsi="宋体" w:cs="宋体" w:hint="eastAsia"/>
                <w:color w:val="000000"/>
                <w:kern w:val="0"/>
                <w:sz w:val="20"/>
                <w:szCs w:val="20"/>
              </w:rPr>
              <w:t>服指标4</w:t>
            </w:r>
          </w:p>
        </w:tc>
        <w:tc>
          <w:tcPr>
            <w:tcW w:w="307" w:type="pct"/>
            <w:tcBorders>
              <w:top w:val="nil"/>
              <w:left w:val="nil"/>
              <w:bottom w:val="single" w:sz="4" w:space="0" w:color="auto"/>
              <w:right w:val="single" w:sz="4" w:space="0" w:color="auto"/>
            </w:tcBorders>
            <w:noWrap/>
            <w:vAlign w:val="center"/>
          </w:tcPr>
          <w:p w:rsidR="00C37A77" w:rsidRPr="009323F9" w:rsidRDefault="00C37A77" w:rsidP="009323F9">
            <w:pPr>
              <w:widowControl/>
              <w:jc w:val="center"/>
              <w:rPr>
                <w:rFonts w:ascii="宋体" w:hAnsi="宋体" w:cs="宋体"/>
                <w:color w:val="000000"/>
                <w:kern w:val="0"/>
                <w:sz w:val="20"/>
                <w:szCs w:val="20"/>
              </w:rPr>
            </w:pPr>
            <w:r>
              <w:rPr>
                <w:rFonts w:ascii="宋体" w:hAnsi="宋体" w:cs="宋体" w:hint="eastAsia"/>
                <w:color w:val="000000"/>
                <w:kern w:val="0"/>
                <w:sz w:val="20"/>
                <w:szCs w:val="20"/>
              </w:rPr>
              <w:t>服务对象满意度</w:t>
            </w:r>
            <w:r w:rsidRPr="009323F9">
              <w:rPr>
                <w:rFonts w:ascii="宋体" w:hAnsi="宋体" w:cs="宋体" w:hint="eastAsia"/>
                <w:color w:val="000000"/>
                <w:kern w:val="0"/>
                <w:sz w:val="20"/>
                <w:szCs w:val="20"/>
              </w:rPr>
              <w:t xml:space="preserve">　</w:t>
            </w:r>
          </w:p>
        </w:tc>
        <w:tc>
          <w:tcPr>
            <w:tcW w:w="1216" w:type="pct"/>
            <w:tcBorders>
              <w:top w:val="single" w:sz="4" w:space="0" w:color="auto"/>
              <w:left w:val="nil"/>
              <w:bottom w:val="single" w:sz="4" w:space="0" w:color="auto"/>
              <w:right w:val="single" w:sz="4" w:space="0" w:color="auto"/>
            </w:tcBorders>
            <w:noWrap/>
            <w:vAlign w:val="center"/>
          </w:tcPr>
          <w:p w:rsidR="00C37A77" w:rsidRPr="00121EC8" w:rsidRDefault="00BA2563" w:rsidP="009323F9">
            <w:pPr>
              <w:widowControl/>
              <w:jc w:val="center"/>
              <w:rPr>
                <w:color w:val="000000"/>
                <w:sz w:val="20"/>
                <w:szCs w:val="20"/>
              </w:rPr>
            </w:pPr>
            <w:r w:rsidRPr="00BA2563">
              <w:rPr>
                <w:rFonts w:hint="eastAsia"/>
                <w:color w:val="000000"/>
                <w:sz w:val="20"/>
                <w:szCs w:val="20"/>
              </w:rPr>
              <w:t>党组逐件听取“院长来信”事项办理情况汇报；制定《</w:t>
            </w:r>
            <w:r w:rsidRPr="00BA2563">
              <w:rPr>
                <w:rFonts w:hint="eastAsia"/>
                <w:color w:val="000000"/>
                <w:sz w:val="20"/>
                <w:szCs w:val="20"/>
              </w:rPr>
              <w:t>12345</w:t>
            </w:r>
            <w:r w:rsidRPr="00BA2563">
              <w:rPr>
                <w:rFonts w:hint="eastAsia"/>
                <w:color w:val="000000"/>
                <w:sz w:val="20"/>
                <w:szCs w:val="20"/>
              </w:rPr>
              <w:t>政法民声热线办理工作规范》，实施半年来党组成员每周办理</w:t>
            </w:r>
            <w:r w:rsidRPr="00BA2563">
              <w:rPr>
                <w:rFonts w:hint="eastAsia"/>
                <w:color w:val="000000"/>
                <w:sz w:val="20"/>
                <w:szCs w:val="20"/>
              </w:rPr>
              <w:t>12345</w:t>
            </w:r>
            <w:r w:rsidRPr="00BA2563">
              <w:rPr>
                <w:rFonts w:hint="eastAsia"/>
                <w:color w:val="000000"/>
                <w:sz w:val="20"/>
                <w:szCs w:val="20"/>
              </w:rPr>
              <w:t>工单共</w:t>
            </w:r>
            <w:r w:rsidRPr="00BA2563">
              <w:rPr>
                <w:rFonts w:hint="eastAsia"/>
                <w:color w:val="000000"/>
                <w:sz w:val="20"/>
                <w:szCs w:val="20"/>
              </w:rPr>
              <w:t>147</w:t>
            </w:r>
            <w:r w:rsidRPr="00BA2563">
              <w:rPr>
                <w:rFonts w:hint="eastAsia"/>
                <w:color w:val="000000"/>
                <w:sz w:val="20"/>
                <w:szCs w:val="20"/>
              </w:rPr>
              <w:t>件，中层干部每月轮流值守接听</w:t>
            </w:r>
            <w:r w:rsidRPr="00BA2563">
              <w:rPr>
                <w:rFonts w:hint="eastAsia"/>
                <w:color w:val="000000"/>
                <w:sz w:val="20"/>
                <w:szCs w:val="20"/>
              </w:rPr>
              <w:t>12368</w:t>
            </w:r>
            <w:r w:rsidRPr="00BA2563">
              <w:rPr>
                <w:rFonts w:hint="eastAsia"/>
                <w:color w:val="000000"/>
                <w:sz w:val="20"/>
                <w:szCs w:val="20"/>
              </w:rPr>
              <w:t>诉讼服务热线</w:t>
            </w:r>
            <w:r w:rsidRPr="00BA2563">
              <w:rPr>
                <w:rFonts w:hint="eastAsia"/>
                <w:color w:val="000000"/>
                <w:sz w:val="20"/>
                <w:szCs w:val="20"/>
              </w:rPr>
              <w:t>2600</w:t>
            </w:r>
            <w:r w:rsidRPr="00BA2563">
              <w:rPr>
                <w:rFonts w:hint="eastAsia"/>
                <w:color w:val="000000"/>
                <w:sz w:val="20"/>
                <w:szCs w:val="20"/>
              </w:rPr>
              <w:t>余通；执行局长接待日接待群众</w:t>
            </w:r>
            <w:r w:rsidRPr="00BA2563">
              <w:rPr>
                <w:rFonts w:hint="eastAsia"/>
                <w:color w:val="000000"/>
                <w:sz w:val="20"/>
                <w:szCs w:val="20"/>
              </w:rPr>
              <w:t>1100</w:t>
            </w:r>
            <w:r w:rsidRPr="00BA2563">
              <w:rPr>
                <w:rFonts w:hint="eastAsia"/>
                <w:color w:val="000000"/>
                <w:sz w:val="20"/>
                <w:szCs w:val="20"/>
              </w:rPr>
              <w:t>余人次；纪检督察部门回访律师</w:t>
            </w:r>
            <w:r w:rsidRPr="00BA2563">
              <w:rPr>
                <w:rFonts w:hint="eastAsia"/>
                <w:color w:val="000000"/>
                <w:sz w:val="20"/>
                <w:szCs w:val="20"/>
              </w:rPr>
              <w:t>130</w:t>
            </w:r>
            <w:r w:rsidRPr="00BA2563">
              <w:rPr>
                <w:rFonts w:hint="eastAsia"/>
                <w:color w:val="000000"/>
                <w:sz w:val="20"/>
                <w:szCs w:val="20"/>
              </w:rPr>
              <w:t>余人次。及时发现审执工</w:t>
            </w:r>
            <w:r w:rsidRPr="00BA2563">
              <w:rPr>
                <w:rFonts w:hint="eastAsia"/>
                <w:color w:val="000000"/>
                <w:sz w:val="20"/>
                <w:szCs w:val="20"/>
              </w:rPr>
              <w:lastRenderedPageBreak/>
              <w:t>作中不规范现象，立行立改，并举一反三，不断完善相应工作机制。在北京法院满意度评价中排名全市基层法院第四。</w:t>
            </w:r>
          </w:p>
        </w:tc>
        <w:tc>
          <w:tcPr>
            <w:tcW w:w="173" w:type="pct"/>
            <w:tcBorders>
              <w:left w:val="single" w:sz="4" w:space="0" w:color="auto"/>
              <w:bottom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20"/>
                <w:szCs w:val="20"/>
              </w:rPr>
            </w:pPr>
          </w:p>
        </w:tc>
        <w:tc>
          <w:tcPr>
            <w:tcW w:w="198" w:type="pct"/>
            <w:tcBorders>
              <w:top w:val="single" w:sz="4" w:space="0" w:color="auto"/>
              <w:left w:val="nil"/>
              <w:bottom w:val="single" w:sz="4" w:space="0" w:color="auto"/>
              <w:right w:val="nil"/>
            </w:tcBorders>
            <w:noWrap/>
            <w:vAlign w:val="center"/>
          </w:tcPr>
          <w:p w:rsidR="00C37A77" w:rsidRPr="009323F9" w:rsidRDefault="00C37A77" w:rsidP="009323F9">
            <w:pPr>
              <w:widowControl/>
              <w:jc w:val="center"/>
              <w:rPr>
                <w:rFonts w:ascii="宋体" w:hAnsi="宋体" w:cs="宋体"/>
                <w:color w:val="000000"/>
                <w:kern w:val="0"/>
                <w:sz w:val="20"/>
                <w:szCs w:val="20"/>
              </w:rPr>
            </w:pPr>
            <w:r>
              <w:rPr>
                <w:rFonts w:ascii="宋体" w:hAnsi="宋体" w:cs="宋体"/>
                <w:color w:val="000000"/>
                <w:kern w:val="0"/>
                <w:sz w:val="20"/>
                <w:szCs w:val="20"/>
              </w:rPr>
              <w:t>7.2</w:t>
            </w:r>
            <w:r w:rsidRPr="009323F9">
              <w:rPr>
                <w:rFonts w:ascii="宋体" w:hAnsi="宋体" w:cs="宋体" w:hint="eastAsia"/>
                <w:color w:val="000000"/>
                <w:kern w:val="0"/>
                <w:sz w:val="20"/>
                <w:szCs w:val="20"/>
              </w:rPr>
              <w:t xml:space="preserve">　</w:t>
            </w:r>
          </w:p>
        </w:tc>
        <w:tc>
          <w:tcPr>
            <w:tcW w:w="1227" w:type="pct"/>
            <w:gridSpan w:val="4"/>
            <w:vMerge/>
            <w:tcBorders>
              <w:left w:val="single" w:sz="4" w:space="0" w:color="auto"/>
              <w:bottom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18"/>
                <w:szCs w:val="18"/>
              </w:rPr>
            </w:pPr>
          </w:p>
        </w:tc>
        <w:tc>
          <w:tcPr>
            <w:tcW w:w="1404" w:type="pct"/>
            <w:gridSpan w:val="2"/>
            <w:vMerge/>
            <w:tcBorders>
              <w:left w:val="single" w:sz="4" w:space="0" w:color="auto"/>
              <w:bottom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18"/>
                <w:szCs w:val="18"/>
              </w:rPr>
            </w:pPr>
          </w:p>
        </w:tc>
      </w:tr>
      <w:tr w:rsidR="009323F9" w:rsidRPr="009323F9" w:rsidTr="00B92A0E">
        <w:trPr>
          <w:trHeight w:val="487"/>
        </w:trPr>
        <w:tc>
          <w:tcPr>
            <w:tcW w:w="5000" w:type="pct"/>
            <w:gridSpan w:val="13"/>
            <w:tcBorders>
              <w:top w:val="single" w:sz="4" w:space="0" w:color="auto"/>
              <w:left w:val="single" w:sz="4" w:space="0" w:color="auto"/>
              <w:bottom w:val="single" w:sz="4" w:space="0" w:color="auto"/>
              <w:right w:val="single" w:sz="4" w:space="0" w:color="auto"/>
            </w:tcBorders>
            <w:noWrap/>
            <w:vAlign w:val="center"/>
          </w:tcPr>
          <w:p w:rsidR="009323F9" w:rsidRPr="00121EC8" w:rsidRDefault="009323F9" w:rsidP="00121EC8">
            <w:pPr>
              <w:widowControl/>
              <w:jc w:val="center"/>
              <w:rPr>
                <w:color w:val="000000"/>
                <w:sz w:val="20"/>
                <w:szCs w:val="20"/>
              </w:rPr>
            </w:pPr>
            <w:r w:rsidRPr="00121EC8">
              <w:rPr>
                <w:rFonts w:hint="eastAsia"/>
                <w:color w:val="000000"/>
                <w:sz w:val="20"/>
                <w:szCs w:val="20"/>
              </w:rPr>
              <w:lastRenderedPageBreak/>
              <w:t>三</w:t>
            </w:r>
            <w:r w:rsidRPr="00121EC8">
              <w:rPr>
                <w:color w:val="000000"/>
                <w:sz w:val="20"/>
                <w:szCs w:val="20"/>
              </w:rPr>
              <w:t>、</w:t>
            </w:r>
            <w:r w:rsidRPr="00121EC8">
              <w:rPr>
                <w:rFonts w:hint="eastAsia"/>
                <w:color w:val="000000"/>
                <w:sz w:val="20"/>
                <w:szCs w:val="20"/>
              </w:rPr>
              <w:t>预算管理情况（</w:t>
            </w:r>
            <w:r w:rsidRPr="00121EC8">
              <w:rPr>
                <w:rFonts w:hint="eastAsia"/>
                <w:color w:val="000000"/>
                <w:sz w:val="20"/>
                <w:szCs w:val="20"/>
              </w:rPr>
              <w:t>20</w:t>
            </w:r>
            <w:r w:rsidRPr="00121EC8">
              <w:rPr>
                <w:rFonts w:hint="eastAsia"/>
                <w:color w:val="000000"/>
                <w:sz w:val="20"/>
                <w:szCs w:val="20"/>
              </w:rPr>
              <w:t>分）</w:t>
            </w:r>
          </w:p>
        </w:tc>
      </w:tr>
      <w:tr w:rsidR="00B92A0E" w:rsidRPr="009323F9" w:rsidTr="00AF0772">
        <w:trPr>
          <w:trHeight w:val="702"/>
        </w:trPr>
        <w:tc>
          <w:tcPr>
            <w:tcW w:w="169" w:type="pct"/>
            <w:tcBorders>
              <w:top w:val="single" w:sz="4" w:space="0" w:color="auto"/>
              <w:left w:val="single" w:sz="4" w:space="0" w:color="auto"/>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一</w:t>
            </w:r>
            <w:r w:rsidRPr="009323F9">
              <w:rPr>
                <w:rFonts w:ascii="宋体" w:hAnsi="宋体" w:cs="宋体"/>
                <w:color w:val="000000"/>
                <w:kern w:val="0"/>
                <w:sz w:val="20"/>
                <w:szCs w:val="20"/>
              </w:rPr>
              <w:t>级指标</w:t>
            </w:r>
          </w:p>
        </w:tc>
        <w:tc>
          <w:tcPr>
            <w:tcW w:w="151" w:type="pct"/>
            <w:tcBorders>
              <w:top w:val="single" w:sz="4" w:space="0" w:color="auto"/>
              <w:left w:val="single" w:sz="4" w:space="0" w:color="auto"/>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二</w:t>
            </w:r>
            <w:r w:rsidRPr="009323F9">
              <w:rPr>
                <w:rFonts w:ascii="宋体" w:hAnsi="宋体" w:cs="宋体"/>
                <w:color w:val="000000"/>
                <w:kern w:val="0"/>
                <w:sz w:val="20"/>
                <w:szCs w:val="20"/>
              </w:rPr>
              <w:t>级指标</w:t>
            </w:r>
          </w:p>
        </w:tc>
        <w:tc>
          <w:tcPr>
            <w:tcW w:w="155" w:type="pct"/>
            <w:tcBorders>
              <w:top w:val="single" w:sz="4" w:space="0" w:color="auto"/>
              <w:left w:val="nil"/>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三</w:t>
            </w:r>
            <w:r w:rsidRPr="009323F9">
              <w:rPr>
                <w:rFonts w:ascii="宋体" w:hAnsi="宋体" w:cs="宋体"/>
                <w:color w:val="000000"/>
                <w:kern w:val="0"/>
                <w:sz w:val="20"/>
                <w:szCs w:val="20"/>
              </w:rPr>
              <w:t>级指标</w:t>
            </w:r>
          </w:p>
        </w:tc>
        <w:tc>
          <w:tcPr>
            <w:tcW w:w="307" w:type="pct"/>
            <w:tcBorders>
              <w:top w:val="single" w:sz="4" w:space="0" w:color="auto"/>
              <w:left w:val="nil"/>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指标</w:t>
            </w:r>
            <w:r w:rsidRPr="009323F9">
              <w:rPr>
                <w:rFonts w:ascii="宋体" w:hAnsi="宋体" w:cs="宋体"/>
                <w:color w:val="000000"/>
                <w:kern w:val="0"/>
                <w:sz w:val="20"/>
                <w:szCs w:val="20"/>
              </w:rPr>
              <w:t>值</w:t>
            </w:r>
          </w:p>
        </w:tc>
        <w:tc>
          <w:tcPr>
            <w:tcW w:w="1216" w:type="pct"/>
            <w:tcBorders>
              <w:top w:val="single" w:sz="4" w:space="0" w:color="auto"/>
              <w:left w:val="nil"/>
              <w:bottom w:val="single" w:sz="4" w:space="0" w:color="auto"/>
              <w:right w:val="single" w:sz="4" w:space="0" w:color="auto"/>
            </w:tcBorders>
            <w:noWrap/>
            <w:vAlign w:val="center"/>
          </w:tcPr>
          <w:p w:rsidR="009323F9" w:rsidRPr="00121EC8" w:rsidRDefault="009323F9" w:rsidP="009323F9">
            <w:pPr>
              <w:widowControl/>
              <w:jc w:val="center"/>
              <w:rPr>
                <w:color w:val="000000"/>
                <w:sz w:val="20"/>
                <w:szCs w:val="20"/>
              </w:rPr>
            </w:pPr>
            <w:r w:rsidRPr="00121EC8">
              <w:rPr>
                <w:rFonts w:hint="eastAsia"/>
                <w:color w:val="000000"/>
                <w:sz w:val="20"/>
                <w:szCs w:val="20"/>
              </w:rPr>
              <w:t>完成</w:t>
            </w:r>
            <w:r w:rsidRPr="00121EC8">
              <w:rPr>
                <w:color w:val="000000"/>
                <w:sz w:val="20"/>
                <w:szCs w:val="20"/>
              </w:rPr>
              <w:t>值</w:t>
            </w:r>
          </w:p>
        </w:tc>
        <w:tc>
          <w:tcPr>
            <w:tcW w:w="173" w:type="pct"/>
            <w:tcBorders>
              <w:top w:val="single" w:sz="4" w:space="0" w:color="auto"/>
              <w:left w:val="nil"/>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分</w:t>
            </w:r>
            <w:r w:rsidRPr="009323F9">
              <w:rPr>
                <w:rFonts w:ascii="宋体" w:hAnsi="宋体" w:cs="宋体"/>
                <w:color w:val="000000"/>
                <w:kern w:val="0"/>
                <w:sz w:val="20"/>
                <w:szCs w:val="20"/>
              </w:rPr>
              <w:t>值</w:t>
            </w:r>
          </w:p>
        </w:tc>
        <w:tc>
          <w:tcPr>
            <w:tcW w:w="198" w:type="pct"/>
            <w:tcBorders>
              <w:top w:val="single" w:sz="4" w:space="0" w:color="auto"/>
              <w:left w:val="nil"/>
              <w:bottom w:val="single" w:sz="4" w:space="0" w:color="auto"/>
              <w:right w:val="nil"/>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得</w:t>
            </w:r>
            <w:r w:rsidRPr="009323F9">
              <w:rPr>
                <w:rFonts w:ascii="宋体" w:hAnsi="宋体" w:cs="宋体"/>
                <w:color w:val="000000"/>
                <w:kern w:val="0"/>
                <w:sz w:val="20"/>
                <w:szCs w:val="20"/>
              </w:rPr>
              <w:t>分</w:t>
            </w:r>
          </w:p>
        </w:tc>
        <w:tc>
          <w:tcPr>
            <w:tcW w:w="1227" w:type="pct"/>
            <w:gridSpan w:val="4"/>
            <w:tcBorders>
              <w:top w:val="single" w:sz="4" w:space="0" w:color="auto"/>
              <w:left w:val="single" w:sz="4" w:space="0" w:color="auto"/>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b/>
                <w:bCs/>
                <w:color w:val="000000"/>
                <w:kern w:val="0"/>
                <w:sz w:val="18"/>
                <w:szCs w:val="18"/>
              </w:rPr>
            </w:pPr>
            <w:r w:rsidRPr="009323F9">
              <w:rPr>
                <w:rFonts w:ascii="宋体" w:hAnsi="宋体" w:cs="宋体" w:hint="eastAsia"/>
                <w:bCs/>
                <w:color w:val="000000"/>
                <w:kern w:val="0"/>
                <w:sz w:val="18"/>
                <w:szCs w:val="18"/>
              </w:rPr>
              <w:t>指标</w:t>
            </w:r>
            <w:r w:rsidRPr="009323F9">
              <w:rPr>
                <w:rFonts w:ascii="宋体" w:hAnsi="宋体" w:cs="宋体"/>
                <w:bCs/>
                <w:color w:val="000000"/>
                <w:kern w:val="0"/>
                <w:sz w:val="18"/>
                <w:szCs w:val="18"/>
              </w:rPr>
              <w:t>解释</w:t>
            </w:r>
          </w:p>
        </w:tc>
        <w:tc>
          <w:tcPr>
            <w:tcW w:w="1404" w:type="pct"/>
            <w:gridSpan w:val="2"/>
            <w:tcBorders>
              <w:top w:val="single" w:sz="4" w:space="0" w:color="auto"/>
              <w:left w:val="nil"/>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18"/>
                <w:szCs w:val="18"/>
              </w:rPr>
            </w:pPr>
            <w:r w:rsidRPr="009323F9">
              <w:rPr>
                <w:rFonts w:ascii="宋体" w:hAnsi="宋体" w:cs="宋体" w:hint="eastAsia"/>
                <w:color w:val="000000"/>
                <w:kern w:val="0"/>
                <w:sz w:val="18"/>
                <w:szCs w:val="18"/>
              </w:rPr>
              <w:t>评</w:t>
            </w:r>
            <w:r w:rsidRPr="009323F9">
              <w:rPr>
                <w:rFonts w:ascii="宋体" w:hAnsi="宋体" w:cs="宋体"/>
                <w:color w:val="000000"/>
                <w:kern w:val="0"/>
                <w:sz w:val="18"/>
                <w:szCs w:val="18"/>
              </w:rPr>
              <w:t>分标准</w:t>
            </w:r>
          </w:p>
        </w:tc>
      </w:tr>
      <w:tr w:rsidR="00AF0772" w:rsidRPr="009323F9" w:rsidTr="00AF0772">
        <w:trPr>
          <w:trHeight w:val="1230"/>
        </w:trPr>
        <w:tc>
          <w:tcPr>
            <w:tcW w:w="169" w:type="pct"/>
            <w:vMerge w:val="restart"/>
            <w:tcBorders>
              <w:top w:val="single" w:sz="4" w:space="0" w:color="auto"/>
              <w:left w:val="single" w:sz="4" w:space="0" w:color="auto"/>
              <w:bottom w:val="single" w:sz="4" w:space="0" w:color="auto"/>
              <w:right w:val="single" w:sz="4" w:space="0" w:color="auto"/>
            </w:tcBorders>
            <w:noWrap/>
            <w:vAlign w:val="center"/>
          </w:tcPr>
          <w:p w:rsidR="00AF0772" w:rsidRPr="009323F9" w:rsidRDefault="00AF0772" w:rsidP="00AF0772">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预算管理情况（20）</w:t>
            </w:r>
          </w:p>
        </w:tc>
        <w:tc>
          <w:tcPr>
            <w:tcW w:w="151" w:type="pct"/>
            <w:vMerge w:val="restart"/>
            <w:tcBorders>
              <w:top w:val="single" w:sz="4" w:space="0" w:color="auto"/>
              <w:left w:val="single" w:sz="4" w:space="0" w:color="auto"/>
              <w:bottom w:val="single" w:sz="4" w:space="0" w:color="auto"/>
              <w:right w:val="single" w:sz="4" w:space="0" w:color="auto"/>
            </w:tcBorders>
            <w:noWrap/>
            <w:vAlign w:val="center"/>
          </w:tcPr>
          <w:p w:rsidR="00AF0772" w:rsidRPr="009323F9" w:rsidRDefault="00AF0772" w:rsidP="00AF0772">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财务管理（4）</w:t>
            </w:r>
          </w:p>
        </w:tc>
        <w:tc>
          <w:tcPr>
            <w:tcW w:w="155" w:type="pct"/>
            <w:tcBorders>
              <w:top w:val="single" w:sz="4" w:space="0" w:color="auto"/>
              <w:left w:val="nil"/>
              <w:bottom w:val="single" w:sz="4" w:space="0" w:color="auto"/>
              <w:right w:val="single" w:sz="4" w:space="0" w:color="auto"/>
            </w:tcBorders>
            <w:noWrap/>
            <w:vAlign w:val="center"/>
          </w:tcPr>
          <w:p w:rsidR="00AF0772" w:rsidRPr="009323F9" w:rsidRDefault="00AF0772" w:rsidP="00AF0772">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财务管理制度健全性</w:t>
            </w:r>
          </w:p>
        </w:tc>
        <w:tc>
          <w:tcPr>
            <w:tcW w:w="307" w:type="pct"/>
            <w:tcBorders>
              <w:top w:val="single" w:sz="4" w:space="0" w:color="auto"/>
              <w:left w:val="nil"/>
              <w:bottom w:val="single" w:sz="4" w:space="0" w:color="auto"/>
              <w:right w:val="single" w:sz="4" w:space="0" w:color="auto"/>
            </w:tcBorders>
            <w:noWrap/>
            <w:vAlign w:val="center"/>
          </w:tcPr>
          <w:p w:rsidR="00AF0772" w:rsidRPr="009323F9" w:rsidRDefault="00AF0772" w:rsidP="00AF0772">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财务管理制度健全规范</w:t>
            </w:r>
            <w:r w:rsidRPr="009323F9">
              <w:rPr>
                <w:rFonts w:ascii="宋体" w:hAnsi="宋体" w:cs="宋体" w:hint="eastAsia"/>
                <w:color w:val="000000"/>
                <w:kern w:val="0"/>
                <w:sz w:val="20"/>
                <w:szCs w:val="20"/>
              </w:rPr>
              <w:t xml:space="preserve">　</w:t>
            </w:r>
          </w:p>
        </w:tc>
        <w:tc>
          <w:tcPr>
            <w:tcW w:w="1216" w:type="pct"/>
            <w:tcBorders>
              <w:top w:val="single" w:sz="4" w:space="0" w:color="auto"/>
              <w:left w:val="nil"/>
              <w:bottom w:val="single" w:sz="4" w:space="0" w:color="auto"/>
              <w:right w:val="single" w:sz="4" w:space="0" w:color="auto"/>
            </w:tcBorders>
            <w:noWrap/>
            <w:vAlign w:val="center"/>
          </w:tcPr>
          <w:p w:rsidR="00AF0772" w:rsidRPr="00121EC8" w:rsidRDefault="00AF0772" w:rsidP="00AF0772">
            <w:pPr>
              <w:widowControl/>
              <w:jc w:val="center"/>
              <w:rPr>
                <w:color w:val="000000"/>
                <w:sz w:val="20"/>
                <w:szCs w:val="20"/>
              </w:rPr>
            </w:pPr>
            <w:r>
              <w:rPr>
                <w:rFonts w:ascii="宋体" w:hAnsi="宋体" w:cs="宋体" w:hint="eastAsia"/>
                <w:color w:val="000000"/>
                <w:kern w:val="0"/>
                <w:sz w:val="20"/>
                <w:szCs w:val="20"/>
              </w:rPr>
              <w:t>财务管理制度健全规范</w:t>
            </w:r>
            <w:r w:rsidRPr="009323F9">
              <w:rPr>
                <w:rFonts w:ascii="宋体" w:hAnsi="宋体" w:cs="宋体" w:hint="eastAsia"/>
                <w:color w:val="000000"/>
                <w:kern w:val="0"/>
                <w:sz w:val="20"/>
                <w:szCs w:val="20"/>
              </w:rPr>
              <w:t xml:space="preserve">　</w:t>
            </w:r>
          </w:p>
        </w:tc>
        <w:tc>
          <w:tcPr>
            <w:tcW w:w="173" w:type="pct"/>
            <w:tcBorders>
              <w:top w:val="single" w:sz="4" w:space="0" w:color="auto"/>
              <w:left w:val="nil"/>
              <w:bottom w:val="single" w:sz="4" w:space="0" w:color="auto"/>
              <w:right w:val="single" w:sz="4" w:space="0" w:color="auto"/>
            </w:tcBorders>
            <w:noWrap/>
            <w:vAlign w:val="center"/>
          </w:tcPr>
          <w:p w:rsidR="00AF0772" w:rsidRPr="009323F9" w:rsidRDefault="00AF0772" w:rsidP="00AF0772">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1</w:t>
            </w:r>
          </w:p>
        </w:tc>
        <w:tc>
          <w:tcPr>
            <w:tcW w:w="198" w:type="pct"/>
            <w:tcBorders>
              <w:top w:val="single" w:sz="4" w:space="0" w:color="auto"/>
              <w:left w:val="nil"/>
              <w:bottom w:val="single" w:sz="4" w:space="0" w:color="auto"/>
              <w:right w:val="nil"/>
            </w:tcBorders>
            <w:noWrap/>
            <w:vAlign w:val="center"/>
          </w:tcPr>
          <w:p w:rsidR="00AF0772" w:rsidRPr="009323F9" w:rsidRDefault="00AF0772" w:rsidP="00AF0772">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sidRPr="009323F9">
              <w:rPr>
                <w:rFonts w:ascii="宋体" w:hAnsi="宋体" w:cs="宋体" w:hint="eastAsia"/>
                <w:color w:val="000000"/>
                <w:kern w:val="0"/>
                <w:sz w:val="20"/>
                <w:szCs w:val="20"/>
              </w:rPr>
              <w:t xml:space="preserve">　</w:t>
            </w:r>
          </w:p>
        </w:tc>
        <w:tc>
          <w:tcPr>
            <w:tcW w:w="1227" w:type="pct"/>
            <w:gridSpan w:val="4"/>
            <w:tcBorders>
              <w:top w:val="single" w:sz="4" w:space="0" w:color="auto"/>
              <w:left w:val="single" w:sz="4" w:space="0" w:color="auto"/>
              <w:bottom w:val="single" w:sz="4" w:space="0" w:color="auto"/>
              <w:right w:val="single" w:sz="4" w:space="0" w:color="auto"/>
            </w:tcBorders>
            <w:noWrap/>
            <w:vAlign w:val="center"/>
          </w:tcPr>
          <w:p w:rsidR="00AF0772" w:rsidRPr="009323F9" w:rsidRDefault="00AF0772" w:rsidP="00AF0772">
            <w:pPr>
              <w:widowControl/>
              <w:jc w:val="left"/>
              <w:rPr>
                <w:rFonts w:ascii="宋体" w:hAnsi="宋体" w:cs="宋体"/>
                <w:color w:val="000000"/>
                <w:kern w:val="0"/>
                <w:sz w:val="18"/>
                <w:szCs w:val="18"/>
              </w:rPr>
            </w:pPr>
            <w:r w:rsidRPr="009323F9">
              <w:rPr>
                <w:rFonts w:ascii="宋体" w:hAnsi="宋体" w:cs="宋体" w:hint="eastAsia"/>
                <w:b/>
                <w:bCs/>
                <w:color w:val="000000"/>
                <w:kern w:val="0"/>
                <w:sz w:val="18"/>
                <w:szCs w:val="18"/>
              </w:rPr>
              <w:t>财务管理制度健全性:</w:t>
            </w:r>
            <w:r w:rsidRPr="009323F9">
              <w:rPr>
                <w:rFonts w:ascii="宋体" w:hAnsi="宋体" w:cs="宋体" w:hint="eastAsia"/>
                <w:color w:val="000000"/>
                <w:kern w:val="0"/>
                <w:sz w:val="18"/>
                <w:szCs w:val="18"/>
              </w:rPr>
              <w:t>部门（单位）为加强财务管理、规范财务行为而制定的管理制度。</w:t>
            </w:r>
          </w:p>
        </w:tc>
        <w:tc>
          <w:tcPr>
            <w:tcW w:w="1404" w:type="pct"/>
            <w:gridSpan w:val="2"/>
            <w:tcBorders>
              <w:top w:val="single" w:sz="4" w:space="0" w:color="auto"/>
              <w:left w:val="nil"/>
              <w:bottom w:val="single" w:sz="4" w:space="0" w:color="auto"/>
              <w:right w:val="single" w:sz="4" w:space="0" w:color="auto"/>
            </w:tcBorders>
            <w:noWrap/>
            <w:vAlign w:val="center"/>
          </w:tcPr>
          <w:p w:rsidR="00AF0772" w:rsidRPr="009323F9" w:rsidRDefault="00AF0772" w:rsidP="00AF0772">
            <w:pPr>
              <w:widowControl/>
              <w:jc w:val="left"/>
              <w:rPr>
                <w:rFonts w:ascii="宋体" w:hAnsi="宋体" w:cs="宋体"/>
                <w:color w:val="000000"/>
                <w:kern w:val="0"/>
                <w:sz w:val="18"/>
                <w:szCs w:val="18"/>
              </w:rPr>
            </w:pPr>
            <w:r w:rsidRPr="009323F9">
              <w:rPr>
                <w:rFonts w:ascii="宋体" w:hAnsi="宋体" w:cs="宋体" w:hint="eastAsia"/>
                <w:color w:val="000000"/>
                <w:kern w:val="0"/>
                <w:sz w:val="18"/>
                <w:szCs w:val="18"/>
              </w:rPr>
              <w:t>①预算资金管理办法、绩效跟踪管理办法、资产管理办法等各项制度是否健全；②部门内部财务管理制度是否完整、合规；③会计核算制度是否完整、合规。每有一项不合格扣0.5分，扣完为止。</w:t>
            </w:r>
          </w:p>
        </w:tc>
      </w:tr>
      <w:tr w:rsidR="00AF0772" w:rsidRPr="009323F9" w:rsidTr="00AF0772">
        <w:trPr>
          <w:trHeight w:val="2220"/>
        </w:trPr>
        <w:tc>
          <w:tcPr>
            <w:tcW w:w="169" w:type="pct"/>
            <w:vMerge/>
            <w:tcBorders>
              <w:top w:val="single" w:sz="4" w:space="0" w:color="auto"/>
              <w:left w:val="single" w:sz="4" w:space="0" w:color="auto"/>
              <w:bottom w:val="single" w:sz="4" w:space="0" w:color="000000"/>
              <w:right w:val="single" w:sz="4" w:space="0" w:color="auto"/>
            </w:tcBorders>
            <w:noWrap/>
            <w:vAlign w:val="center"/>
          </w:tcPr>
          <w:p w:rsidR="00AF0772" w:rsidRPr="009323F9" w:rsidRDefault="00AF0772" w:rsidP="00AF0772">
            <w:pPr>
              <w:widowControl/>
              <w:jc w:val="left"/>
              <w:rPr>
                <w:rFonts w:ascii="宋体" w:hAnsi="宋体" w:cs="宋体"/>
                <w:color w:val="000000"/>
                <w:kern w:val="0"/>
                <w:sz w:val="20"/>
                <w:szCs w:val="20"/>
              </w:rPr>
            </w:pPr>
          </w:p>
        </w:tc>
        <w:tc>
          <w:tcPr>
            <w:tcW w:w="151" w:type="pct"/>
            <w:vMerge/>
            <w:tcBorders>
              <w:top w:val="single" w:sz="4" w:space="0" w:color="auto"/>
              <w:left w:val="single" w:sz="4" w:space="0" w:color="auto"/>
              <w:bottom w:val="single" w:sz="4" w:space="0" w:color="auto"/>
              <w:right w:val="single" w:sz="4" w:space="0" w:color="auto"/>
            </w:tcBorders>
            <w:noWrap/>
            <w:vAlign w:val="center"/>
          </w:tcPr>
          <w:p w:rsidR="00AF0772" w:rsidRPr="009323F9" w:rsidRDefault="00AF0772" w:rsidP="00AF0772">
            <w:pPr>
              <w:widowControl/>
              <w:jc w:val="left"/>
              <w:rPr>
                <w:rFonts w:ascii="宋体" w:hAnsi="宋体" w:cs="宋体"/>
                <w:color w:val="000000"/>
                <w:kern w:val="0"/>
                <w:sz w:val="20"/>
                <w:szCs w:val="20"/>
              </w:rPr>
            </w:pPr>
          </w:p>
        </w:tc>
        <w:tc>
          <w:tcPr>
            <w:tcW w:w="155" w:type="pct"/>
            <w:tcBorders>
              <w:top w:val="single" w:sz="4" w:space="0" w:color="auto"/>
              <w:left w:val="nil"/>
              <w:bottom w:val="single" w:sz="4" w:space="0" w:color="auto"/>
              <w:right w:val="single" w:sz="4" w:space="0" w:color="auto"/>
            </w:tcBorders>
            <w:noWrap/>
            <w:vAlign w:val="center"/>
          </w:tcPr>
          <w:p w:rsidR="00AF0772" w:rsidRPr="009323F9" w:rsidRDefault="00AF0772" w:rsidP="00AF0772">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资金使用合规性</w:t>
            </w:r>
            <w:r w:rsidRPr="009323F9">
              <w:rPr>
                <w:rFonts w:ascii="宋体" w:hAnsi="宋体" w:cs="宋体" w:hint="eastAsia"/>
                <w:color w:val="000000"/>
                <w:kern w:val="0"/>
                <w:sz w:val="20"/>
                <w:szCs w:val="20"/>
              </w:rPr>
              <w:lastRenderedPageBreak/>
              <w:t>和安全性</w:t>
            </w:r>
          </w:p>
        </w:tc>
        <w:tc>
          <w:tcPr>
            <w:tcW w:w="307" w:type="pct"/>
            <w:tcBorders>
              <w:top w:val="single" w:sz="4" w:space="0" w:color="auto"/>
              <w:left w:val="nil"/>
              <w:bottom w:val="single" w:sz="4" w:space="0" w:color="auto"/>
              <w:right w:val="single" w:sz="4" w:space="0" w:color="auto"/>
            </w:tcBorders>
            <w:noWrap/>
            <w:vAlign w:val="center"/>
          </w:tcPr>
          <w:p w:rsidR="00AF0772" w:rsidRPr="009323F9" w:rsidRDefault="00AF0772" w:rsidP="00AF077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资金使用合规安全</w:t>
            </w:r>
            <w:r w:rsidRPr="009323F9">
              <w:rPr>
                <w:rFonts w:ascii="宋体" w:hAnsi="宋体" w:cs="宋体" w:hint="eastAsia"/>
                <w:color w:val="000000"/>
                <w:kern w:val="0"/>
                <w:sz w:val="20"/>
                <w:szCs w:val="20"/>
              </w:rPr>
              <w:t xml:space="preserve">　</w:t>
            </w:r>
          </w:p>
        </w:tc>
        <w:tc>
          <w:tcPr>
            <w:tcW w:w="1216" w:type="pct"/>
            <w:tcBorders>
              <w:top w:val="single" w:sz="4" w:space="0" w:color="auto"/>
              <w:left w:val="nil"/>
              <w:bottom w:val="single" w:sz="4" w:space="0" w:color="auto"/>
              <w:right w:val="single" w:sz="4" w:space="0" w:color="auto"/>
            </w:tcBorders>
            <w:noWrap/>
            <w:vAlign w:val="center"/>
          </w:tcPr>
          <w:p w:rsidR="00AF0772" w:rsidRPr="00121EC8" w:rsidRDefault="00AF0772" w:rsidP="00AF0772">
            <w:pPr>
              <w:widowControl/>
              <w:jc w:val="center"/>
              <w:rPr>
                <w:color w:val="000000"/>
                <w:sz w:val="20"/>
                <w:szCs w:val="20"/>
              </w:rPr>
            </w:pPr>
            <w:r w:rsidRPr="00AF0772">
              <w:rPr>
                <w:rFonts w:hint="eastAsia"/>
                <w:color w:val="000000"/>
                <w:sz w:val="20"/>
                <w:szCs w:val="20"/>
              </w:rPr>
              <w:t xml:space="preserve">资金使用合规安全　</w:t>
            </w:r>
            <w:r w:rsidRPr="00121EC8">
              <w:rPr>
                <w:rFonts w:hint="eastAsia"/>
                <w:color w:val="000000"/>
                <w:sz w:val="20"/>
                <w:szCs w:val="20"/>
              </w:rPr>
              <w:t xml:space="preserve">　</w:t>
            </w:r>
          </w:p>
        </w:tc>
        <w:tc>
          <w:tcPr>
            <w:tcW w:w="173" w:type="pct"/>
            <w:tcBorders>
              <w:top w:val="single" w:sz="4" w:space="0" w:color="auto"/>
              <w:left w:val="nil"/>
              <w:bottom w:val="single" w:sz="4" w:space="0" w:color="auto"/>
              <w:right w:val="single" w:sz="4" w:space="0" w:color="auto"/>
            </w:tcBorders>
            <w:noWrap/>
            <w:vAlign w:val="center"/>
          </w:tcPr>
          <w:p w:rsidR="00AF0772" w:rsidRPr="009323F9" w:rsidRDefault="00AF0772" w:rsidP="00AF0772">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2</w:t>
            </w:r>
          </w:p>
        </w:tc>
        <w:tc>
          <w:tcPr>
            <w:tcW w:w="198" w:type="pct"/>
            <w:tcBorders>
              <w:top w:val="single" w:sz="4" w:space="0" w:color="auto"/>
              <w:left w:val="nil"/>
              <w:bottom w:val="single" w:sz="4" w:space="0" w:color="auto"/>
              <w:right w:val="nil"/>
            </w:tcBorders>
            <w:noWrap/>
            <w:vAlign w:val="center"/>
          </w:tcPr>
          <w:p w:rsidR="00AF0772" w:rsidRPr="009323F9" w:rsidRDefault="00AF0772" w:rsidP="00AF0772">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sidRPr="009323F9">
              <w:rPr>
                <w:rFonts w:ascii="宋体" w:hAnsi="宋体" w:cs="宋体" w:hint="eastAsia"/>
                <w:color w:val="000000"/>
                <w:kern w:val="0"/>
                <w:sz w:val="20"/>
                <w:szCs w:val="20"/>
              </w:rPr>
              <w:t xml:space="preserve">　</w:t>
            </w:r>
          </w:p>
        </w:tc>
        <w:tc>
          <w:tcPr>
            <w:tcW w:w="1227" w:type="pct"/>
            <w:gridSpan w:val="4"/>
            <w:tcBorders>
              <w:top w:val="single" w:sz="4" w:space="0" w:color="auto"/>
              <w:left w:val="single" w:sz="4" w:space="0" w:color="auto"/>
              <w:bottom w:val="single" w:sz="4" w:space="0" w:color="auto"/>
              <w:right w:val="single" w:sz="4" w:space="0" w:color="auto"/>
            </w:tcBorders>
            <w:noWrap/>
            <w:vAlign w:val="center"/>
          </w:tcPr>
          <w:p w:rsidR="00AF0772" w:rsidRPr="009323F9" w:rsidRDefault="00AF0772" w:rsidP="00AF0772">
            <w:pPr>
              <w:widowControl/>
              <w:jc w:val="left"/>
              <w:rPr>
                <w:rFonts w:ascii="宋体" w:hAnsi="宋体" w:cs="宋体"/>
                <w:color w:val="000000"/>
                <w:kern w:val="0"/>
                <w:sz w:val="18"/>
                <w:szCs w:val="18"/>
              </w:rPr>
            </w:pPr>
            <w:r w:rsidRPr="009323F9">
              <w:rPr>
                <w:rFonts w:ascii="宋体" w:hAnsi="宋体" w:cs="宋体" w:hint="eastAsia"/>
                <w:b/>
                <w:bCs/>
                <w:color w:val="000000"/>
                <w:kern w:val="0"/>
                <w:sz w:val="18"/>
                <w:szCs w:val="18"/>
              </w:rPr>
              <w:t>资金使用合规性和安全性:</w:t>
            </w:r>
            <w:r w:rsidRPr="009323F9">
              <w:rPr>
                <w:rFonts w:ascii="宋体" w:hAnsi="宋体" w:cs="宋体" w:hint="eastAsia"/>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1404" w:type="pct"/>
            <w:gridSpan w:val="2"/>
            <w:tcBorders>
              <w:top w:val="single" w:sz="4" w:space="0" w:color="auto"/>
              <w:left w:val="nil"/>
              <w:bottom w:val="single" w:sz="4" w:space="0" w:color="auto"/>
              <w:right w:val="single" w:sz="4" w:space="0" w:color="auto"/>
            </w:tcBorders>
            <w:noWrap/>
            <w:vAlign w:val="center"/>
          </w:tcPr>
          <w:p w:rsidR="00AF0772" w:rsidRPr="009323F9" w:rsidRDefault="00AF0772" w:rsidP="00AF0772">
            <w:pPr>
              <w:widowControl/>
              <w:jc w:val="left"/>
              <w:rPr>
                <w:rFonts w:ascii="宋体" w:hAnsi="宋体" w:cs="宋体"/>
                <w:color w:val="000000"/>
                <w:kern w:val="0"/>
                <w:sz w:val="18"/>
                <w:szCs w:val="18"/>
              </w:rPr>
            </w:pPr>
            <w:r w:rsidRPr="009323F9">
              <w:rPr>
                <w:rFonts w:ascii="宋体" w:hAnsi="宋体" w:cs="宋体" w:hint="eastAsia"/>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w:t>
            </w:r>
            <w:r w:rsidRPr="009323F9">
              <w:rPr>
                <w:rFonts w:ascii="宋体" w:hAnsi="宋体" w:cs="宋体" w:hint="eastAsia"/>
                <w:color w:val="000000"/>
                <w:kern w:val="0"/>
                <w:sz w:val="18"/>
                <w:szCs w:val="18"/>
              </w:rPr>
              <w:lastRenderedPageBreak/>
              <w:t>有一项不合格扣0.5分，扣完为止。</w:t>
            </w:r>
          </w:p>
        </w:tc>
      </w:tr>
      <w:tr w:rsidR="00AF0772" w:rsidRPr="009323F9" w:rsidTr="00AF0772">
        <w:trPr>
          <w:trHeight w:val="410"/>
        </w:trPr>
        <w:tc>
          <w:tcPr>
            <w:tcW w:w="169" w:type="pct"/>
            <w:vMerge/>
            <w:tcBorders>
              <w:top w:val="nil"/>
              <w:left w:val="single" w:sz="4" w:space="0" w:color="auto"/>
              <w:bottom w:val="single" w:sz="4" w:space="0" w:color="000000"/>
              <w:right w:val="single" w:sz="4" w:space="0" w:color="auto"/>
            </w:tcBorders>
            <w:noWrap/>
            <w:vAlign w:val="center"/>
          </w:tcPr>
          <w:p w:rsidR="00AF0772" w:rsidRPr="009323F9" w:rsidRDefault="00AF0772" w:rsidP="00AF0772">
            <w:pPr>
              <w:widowControl/>
              <w:jc w:val="left"/>
              <w:rPr>
                <w:rFonts w:ascii="宋体" w:hAnsi="宋体" w:cs="宋体"/>
                <w:color w:val="000000"/>
                <w:kern w:val="0"/>
                <w:sz w:val="20"/>
                <w:szCs w:val="20"/>
              </w:rPr>
            </w:pPr>
          </w:p>
        </w:tc>
        <w:tc>
          <w:tcPr>
            <w:tcW w:w="151" w:type="pct"/>
            <w:vMerge/>
            <w:tcBorders>
              <w:top w:val="nil"/>
              <w:left w:val="single" w:sz="4" w:space="0" w:color="auto"/>
              <w:bottom w:val="single" w:sz="4" w:space="0" w:color="auto"/>
              <w:right w:val="single" w:sz="4" w:space="0" w:color="auto"/>
            </w:tcBorders>
            <w:noWrap/>
            <w:vAlign w:val="center"/>
          </w:tcPr>
          <w:p w:rsidR="00AF0772" w:rsidRPr="009323F9" w:rsidRDefault="00AF0772" w:rsidP="00AF0772">
            <w:pPr>
              <w:widowControl/>
              <w:jc w:val="left"/>
              <w:rPr>
                <w:rFonts w:ascii="宋体" w:hAnsi="宋体" w:cs="宋体"/>
                <w:color w:val="000000"/>
                <w:kern w:val="0"/>
                <w:sz w:val="20"/>
                <w:szCs w:val="20"/>
              </w:rPr>
            </w:pPr>
          </w:p>
        </w:tc>
        <w:tc>
          <w:tcPr>
            <w:tcW w:w="155" w:type="pct"/>
            <w:tcBorders>
              <w:top w:val="nil"/>
              <w:left w:val="nil"/>
              <w:bottom w:val="single" w:sz="4" w:space="0" w:color="auto"/>
              <w:right w:val="single" w:sz="4" w:space="0" w:color="auto"/>
            </w:tcBorders>
            <w:noWrap/>
            <w:vAlign w:val="center"/>
          </w:tcPr>
          <w:p w:rsidR="00AF0772" w:rsidRPr="009323F9" w:rsidRDefault="00AF0772" w:rsidP="00AF0772">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会计基础信息完善性</w:t>
            </w:r>
          </w:p>
        </w:tc>
        <w:tc>
          <w:tcPr>
            <w:tcW w:w="307" w:type="pct"/>
            <w:tcBorders>
              <w:top w:val="nil"/>
              <w:left w:val="nil"/>
              <w:bottom w:val="single" w:sz="4" w:space="0" w:color="auto"/>
              <w:right w:val="single" w:sz="4" w:space="0" w:color="auto"/>
            </w:tcBorders>
            <w:noWrap/>
            <w:vAlign w:val="center"/>
          </w:tcPr>
          <w:p w:rsidR="00AF0772" w:rsidRPr="009323F9" w:rsidRDefault="00AF0772" w:rsidP="00AF0772">
            <w:pPr>
              <w:widowControl/>
              <w:jc w:val="center"/>
              <w:rPr>
                <w:rFonts w:ascii="宋体" w:hAnsi="宋体" w:cs="宋体"/>
                <w:color w:val="000000"/>
                <w:kern w:val="0"/>
                <w:sz w:val="20"/>
                <w:szCs w:val="20"/>
              </w:rPr>
            </w:pPr>
            <w:r>
              <w:rPr>
                <w:rFonts w:ascii="宋体" w:hAnsi="宋体" w:cs="宋体" w:hint="eastAsia"/>
                <w:color w:val="000000"/>
                <w:kern w:val="0"/>
                <w:sz w:val="20"/>
                <w:szCs w:val="20"/>
              </w:rPr>
              <w:t>会计基础信息完善</w:t>
            </w:r>
            <w:r w:rsidRPr="009323F9">
              <w:rPr>
                <w:rFonts w:ascii="宋体" w:hAnsi="宋体" w:cs="宋体" w:hint="eastAsia"/>
                <w:color w:val="000000"/>
                <w:kern w:val="0"/>
                <w:sz w:val="20"/>
                <w:szCs w:val="20"/>
              </w:rPr>
              <w:t xml:space="preserve">　</w:t>
            </w:r>
          </w:p>
        </w:tc>
        <w:tc>
          <w:tcPr>
            <w:tcW w:w="1216" w:type="pct"/>
            <w:tcBorders>
              <w:top w:val="nil"/>
              <w:left w:val="nil"/>
              <w:bottom w:val="single" w:sz="4" w:space="0" w:color="auto"/>
              <w:right w:val="single" w:sz="4" w:space="0" w:color="auto"/>
            </w:tcBorders>
            <w:noWrap/>
            <w:vAlign w:val="center"/>
          </w:tcPr>
          <w:p w:rsidR="00AF0772" w:rsidRPr="009323F9" w:rsidRDefault="00AF0772" w:rsidP="00AF0772">
            <w:pPr>
              <w:widowControl/>
              <w:jc w:val="center"/>
              <w:rPr>
                <w:rFonts w:ascii="宋体" w:hAnsi="宋体" w:cs="宋体"/>
                <w:color w:val="000000"/>
                <w:kern w:val="0"/>
                <w:sz w:val="20"/>
                <w:szCs w:val="20"/>
              </w:rPr>
            </w:pPr>
            <w:r w:rsidRPr="00AF0772">
              <w:rPr>
                <w:rFonts w:ascii="宋体" w:hAnsi="宋体" w:cs="宋体" w:hint="eastAsia"/>
                <w:color w:val="000000"/>
                <w:kern w:val="0"/>
                <w:sz w:val="20"/>
                <w:szCs w:val="20"/>
              </w:rPr>
              <w:t>会计基础信息完善</w:t>
            </w:r>
            <w:r w:rsidRPr="009323F9">
              <w:rPr>
                <w:rFonts w:ascii="宋体" w:hAnsi="宋体" w:cs="宋体" w:hint="eastAsia"/>
                <w:color w:val="000000"/>
                <w:kern w:val="0"/>
                <w:sz w:val="20"/>
                <w:szCs w:val="20"/>
              </w:rPr>
              <w:t xml:space="preserve">　</w:t>
            </w:r>
          </w:p>
        </w:tc>
        <w:tc>
          <w:tcPr>
            <w:tcW w:w="173" w:type="pct"/>
            <w:tcBorders>
              <w:top w:val="nil"/>
              <w:left w:val="nil"/>
              <w:bottom w:val="single" w:sz="4" w:space="0" w:color="auto"/>
              <w:right w:val="single" w:sz="4" w:space="0" w:color="auto"/>
            </w:tcBorders>
            <w:noWrap/>
            <w:vAlign w:val="center"/>
          </w:tcPr>
          <w:p w:rsidR="00AF0772" w:rsidRPr="009323F9" w:rsidRDefault="00AF0772" w:rsidP="00AF0772">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1</w:t>
            </w:r>
          </w:p>
        </w:tc>
        <w:tc>
          <w:tcPr>
            <w:tcW w:w="198" w:type="pct"/>
            <w:tcBorders>
              <w:top w:val="nil"/>
              <w:left w:val="nil"/>
              <w:bottom w:val="single" w:sz="4" w:space="0" w:color="auto"/>
              <w:right w:val="nil"/>
            </w:tcBorders>
            <w:noWrap/>
            <w:vAlign w:val="center"/>
          </w:tcPr>
          <w:p w:rsidR="00AF0772" w:rsidRPr="009323F9" w:rsidRDefault="00AF0772" w:rsidP="00AF0772">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sidRPr="009323F9">
              <w:rPr>
                <w:rFonts w:ascii="宋体" w:hAnsi="宋体" w:cs="宋体" w:hint="eastAsia"/>
                <w:color w:val="000000"/>
                <w:kern w:val="0"/>
                <w:sz w:val="20"/>
                <w:szCs w:val="20"/>
              </w:rPr>
              <w:t xml:space="preserve">　</w:t>
            </w:r>
          </w:p>
        </w:tc>
        <w:tc>
          <w:tcPr>
            <w:tcW w:w="1227" w:type="pct"/>
            <w:gridSpan w:val="4"/>
            <w:tcBorders>
              <w:top w:val="nil"/>
              <w:left w:val="single" w:sz="4" w:space="0" w:color="auto"/>
              <w:bottom w:val="single" w:sz="4" w:space="0" w:color="auto"/>
              <w:right w:val="single" w:sz="4" w:space="0" w:color="auto"/>
            </w:tcBorders>
            <w:noWrap/>
            <w:vAlign w:val="center"/>
          </w:tcPr>
          <w:p w:rsidR="00AF0772" w:rsidRPr="009323F9" w:rsidRDefault="00AF0772" w:rsidP="00AF0772">
            <w:pPr>
              <w:widowControl/>
              <w:jc w:val="left"/>
              <w:rPr>
                <w:rFonts w:ascii="宋体" w:hAnsi="宋体" w:cs="宋体"/>
                <w:color w:val="000000"/>
                <w:kern w:val="0"/>
                <w:sz w:val="18"/>
                <w:szCs w:val="18"/>
              </w:rPr>
            </w:pPr>
            <w:r w:rsidRPr="009323F9">
              <w:rPr>
                <w:rFonts w:ascii="宋体" w:hAnsi="宋体" w:cs="宋体" w:hint="eastAsia"/>
                <w:b/>
                <w:bCs/>
                <w:color w:val="000000"/>
                <w:kern w:val="0"/>
                <w:sz w:val="18"/>
                <w:szCs w:val="18"/>
              </w:rPr>
              <w:t>会计基础信息完善性:</w:t>
            </w:r>
            <w:r w:rsidRPr="009323F9">
              <w:rPr>
                <w:rFonts w:ascii="宋体" w:hAnsi="宋体" w:cs="宋体" w:hint="eastAsia"/>
                <w:color w:val="000000"/>
                <w:kern w:val="0"/>
                <w:sz w:val="18"/>
                <w:szCs w:val="18"/>
              </w:rPr>
              <w:t>部门（单位）会计基础信息情况。</w:t>
            </w:r>
          </w:p>
        </w:tc>
        <w:tc>
          <w:tcPr>
            <w:tcW w:w="1404" w:type="pct"/>
            <w:gridSpan w:val="2"/>
            <w:tcBorders>
              <w:top w:val="nil"/>
              <w:left w:val="nil"/>
              <w:bottom w:val="single" w:sz="4" w:space="0" w:color="auto"/>
              <w:right w:val="single" w:sz="4" w:space="0" w:color="auto"/>
            </w:tcBorders>
            <w:noWrap/>
            <w:vAlign w:val="center"/>
          </w:tcPr>
          <w:p w:rsidR="00AF0772" w:rsidRPr="009323F9" w:rsidRDefault="00AF0772" w:rsidP="00AF0772">
            <w:pPr>
              <w:widowControl/>
              <w:jc w:val="left"/>
              <w:rPr>
                <w:rFonts w:ascii="宋体" w:hAnsi="宋体" w:cs="宋体"/>
                <w:color w:val="000000"/>
                <w:kern w:val="0"/>
                <w:sz w:val="18"/>
                <w:szCs w:val="18"/>
              </w:rPr>
            </w:pPr>
            <w:r w:rsidRPr="009323F9">
              <w:rPr>
                <w:rFonts w:ascii="宋体" w:hAnsi="宋体" w:cs="宋体" w:hint="eastAsia"/>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rsidR="00AF0772" w:rsidRPr="009323F9" w:rsidTr="00AF0772">
        <w:trPr>
          <w:trHeight w:val="2220"/>
        </w:trPr>
        <w:tc>
          <w:tcPr>
            <w:tcW w:w="169" w:type="pct"/>
            <w:vMerge/>
            <w:tcBorders>
              <w:top w:val="nil"/>
              <w:left w:val="single" w:sz="4" w:space="0" w:color="auto"/>
              <w:bottom w:val="single" w:sz="4" w:space="0" w:color="000000"/>
              <w:right w:val="single" w:sz="4" w:space="0" w:color="auto"/>
            </w:tcBorders>
            <w:noWrap/>
            <w:vAlign w:val="center"/>
          </w:tcPr>
          <w:p w:rsidR="00AF0772" w:rsidRPr="009323F9" w:rsidRDefault="00AF0772" w:rsidP="00AF0772">
            <w:pPr>
              <w:widowControl/>
              <w:jc w:val="left"/>
              <w:rPr>
                <w:rFonts w:ascii="宋体" w:hAnsi="宋体" w:cs="宋体"/>
                <w:color w:val="000000"/>
                <w:kern w:val="0"/>
                <w:sz w:val="20"/>
                <w:szCs w:val="20"/>
              </w:rPr>
            </w:pPr>
          </w:p>
        </w:tc>
        <w:tc>
          <w:tcPr>
            <w:tcW w:w="151" w:type="pct"/>
            <w:tcBorders>
              <w:top w:val="single" w:sz="4" w:space="0" w:color="auto"/>
              <w:left w:val="single" w:sz="4" w:space="0" w:color="auto"/>
              <w:bottom w:val="single" w:sz="4" w:space="0" w:color="auto"/>
              <w:right w:val="single" w:sz="4" w:space="0" w:color="auto"/>
            </w:tcBorders>
            <w:noWrap/>
            <w:vAlign w:val="center"/>
          </w:tcPr>
          <w:p w:rsidR="00AF0772" w:rsidRPr="009323F9" w:rsidRDefault="00AF0772" w:rsidP="00AF0772">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资产管理（4）</w:t>
            </w:r>
          </w:p>
        </w:tc>
        <w:tc>
          <w:tcPr>
            <w:tcW w:w="155" w:type="pct"/>
            <w:tcBorders>
              <w:top w:val="single" w:sz="4" w:space="0" w:color="auto"/>
              <w:left w:val="single" w:sz="4" w:space="0" w:color="auto"/>
              <w:bottom w:val="single" w:sz="4" w:space="0" w:color="auto"/>
              <w:right w:val="single" w:sz="4" w:space="0" w:color="auto"/>
            </w:tcBorders>
            <w:noWrap/>
            <w:vAlign w:val="center"/>
          </w:tcPr>
          <w:p w:rsidR="00AF0772" w:rsidRPr="009323F9" w:rsidRDefault="00AF0772" w:rsidP="00AF0772">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资产管理规范性</w:t>
            </w:r>
          </w:p>
        </w:tc>
        <w:tc>
          <w:tcPr>
            <w:tcW w:w="307" w:type="pct"/>
            <w:tcBorders>
              <w:top w:val="single" w:sz="4" w:space="0" w:color="auto"/>
              <w:left w:val="single" w:sz="4" w:space="0" w:color="auto"/>
              <w:bottom w:val="single" w:sz="4" w:space="0" w:color="auto"/>
              <w:right w:val="single" w:sz="4" w:space="0" w:color="auto"/>
            </w:tcBorders>
            <w:noWrap/>
            <w:vAlign w:val="center"/>
          </w:tcPr>
          <w:p w:rsidR="00AF0772" w:rsidRPr="009323F9" w:rsidRDefault="00AF0772" w:rsidP="00AF0772">
            <w:pPr>
              <w:widowControl/>
              <w:jc w:val="left"/>
              <w:rPr>
                <w:rFonts w:ascii="宋体" w:hAnsi="宋体" w:cs="宋体"/>
                <w:color w:val="000000"/>
                <w:kern w:val="0"/>
                <w:sz w:val="20"/>
                <w:szCs w:val="20"/>
              </w:rPr>
            </w:pPr>
            <w:r w:rsidRPr="00AF0772">
              <w:rPr>
                <w:rFonts w:ascii="宋体" w:hAnsi="宋体" w:cs="宋体" w:hint="eastAsia"/>
                <w:color w:val="000000"/>
                <w:kern w:val="0"/>
                <w:sz w:val="20"/>
                <w:szCs w:val="20"/>
              </w:rPr>
              <w:t>资产安全完整，资产配置合理，资产使用和资产处理规范</w:t>
            </w:r>
          </w:p>
        </w:tc>
        <w:tc>
          <w:tcPr>
            <w:tcW w:w="1216" w:type="pct"/>
            <w:tcBorders>
              <w:top w:val="single" w:sz="4" w:space="0" w:color="auto"/>
              <w:left w:val="single" w:sz="4" w:space="0" w:color="auto"/>
              <w:bottom w:val="single" w:sz="4" w:space="0" w:color="auto"/>
              <w:right w:val="single" w:sz="4" w:space="0" w:color="auto"/>
            </w:tcBorders>
            <w:noWrap/>
            <w:vAlign w:val="center"/>
          </w:tcPr>
          <w:p w:rsidR="00AF0772" w:rsidRPr="009323F9" w:rsidRDefault="00AF0772" w:rsidP="00AF0772">
            <w:pPr>
              <w:widowControl/>
              <w:jc w:val="left"/>
              <w:rPr>
                <w:rFonts w:ascii="宋体" w:hAnsi="宋体" w:cs="宋体"/>
                <w:color w:val="000000"/>
                <w:kern w:val="0"/>
                <w:sz w:val="20"/>
                <w:szCs w:val="20"/>
              </w:rPr>
            </w:pPr>
            <w:r w:rsidRPr="00AF0772">
              <w:rPr>
                <w:rFonts w:ascii="宋体" w:hAnsi="宋体" w:cs="宋体" w:hint="eastAsia"/>
                <w:color w:val="000000"/>
                <w:kern w:val="0"/>
                <w:sz w:val="20"/>
                <w:szCs w:val="20"/>
              </w:rPr>
              <w:t>资产安全完整，资产配置合理，资产使用和资产处理规范</w:t>
            </w:r>
          </w:p>
        </w:tc>
        <w:tc>
          <w:tcPr>
            <w:tcW w:w="173" w:type="pct"/>
            <w:tcBorders>
              <w:top w:val="single" w:sz="4" w:space="0" w:color="auto"/>
              <w:left w:val="single" w:sz="4" w:space="0" w:color="auto"/>
              <w:bottom w:val="single" w:sz="4" w:space="0" w:color="auto"/>
              <w:right w:val="single" w:sz="4" w:space="0" w:color="auto"/>
            </w:tcBorders>
            <w:noWrap/>
            <w:vAlign w:val="center"/>
          </w:tcPr>
          <w:p w:rsidR="00AF0772" w:rsidRPr="009323F9" w:rsidRDefault="00AF0772" w:rsidP="00AF0772">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4</w:t>
            </w:r>
          </w:p>
        </w:tc>
        <w:tc>
          <w:tcPr>
            <w:tcW w:w="198" w:type="pct"/>
            <w:tcBorders>
              <w:top w:val="single" w:sz="4" w:space="0" w:color="auto"/>
              <w:left w:val="single" w:sz="4" w:space="0" w:color="auto"/>
              <w:bottom w:val="single" w:sz="4" w:space="0" w:color="auto"/>
              <w:right w:val="single" w:sz="4" w:space="0" w:color="auto"/>
            </w:tcBorders>
            <w:noWrap/>
            <w:vAlign w:val="center"/>
          </w:tcPr>
          <w:p w:rsidR="00AF0772" w:rsidRPr="009323F9" w:rsidRDefault="00AF0772" w:rsidP="00AF0772">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r w:rsidRPr="009323F9">
              <w:rPr>
                <w:rFonts w:ascii="宋体" w:hAnsi="宋体" w:cs="宋体" w:hint="eastAsia"/>
                <w:color w:val="000000"/>
                <w:kern w:val="0"/>
                <w:sz w:val="20"/>
                <w:szCs w:val="20"/>
              </w:rPr>
              <w:t xml:space="preserve">　</w:t>
            </w:r>
          </w:p>
        </w:tc>
        <w:tc>
          <w:tcPr>
            <w:tcW w:w="1227" w:type="pct"/>
            <w:gridSpan w:val="4"/>
            <w:tcBorders>
              <w:top w:val="single" w:sz="4" w:space="0" w:color="auto"/>
              <w:left w:val="single" w:sz="4" w:space="0" w:color="auto"/>
              <w:bottom w:val="single" w:sz="4" w:space="0" w:color="auto"/>
              <w:right w:val="single" w:sz="4" w:space="0" w:color="auto"/>
            </w:tcBorders>
            <w:noWrap/>
            <w:vAlign w:val="center"/>
          </w:tcPr>
          <w:p w:rsidR="00AF0772" w:rsidRPr="009323F9" w:rsidRDefault="00AF0772" w:rsidP="00AF0772">
            <w:pPr>
              <w:widowControl/>
              <w:jc w:val="left"/>
              <w:rPr>
                <w:rFonts w:ascii="宋体" w:hAnsi="宋体" w:cs="宋体"/>
                <w:color w:val="000000"/>
                <w:kern w:val="0"/>
                <w:sz w:val="18"/>
                <w:szCs w:val="18"/>
              </w:rPr>
            </w:pPr>
            <w:r w:rsidRPr="009323F9">
              <w:rPr>
                <w:rFonts w:ascii="宋体" w:hAnsi="宋体" w:cs="宋体" w:hint="eastAsia"/>
                <w:b/>
                <w:bCs/>
                <w:color w:val="000000"/>
                <w:kern w:val="0"/>
                <w:sz w:val="18"/>
                <w:szCs w:val="18"/>
              </w:rPr>
              <w:t>资产管理规范性:</w:t>
            </w:r>
            <w:r w:rsidRPr="009323F9">
              <w:rPr>
                <w:rFonts w:ascii="宋体" w:hAnsi="宋体" w:cs="宋体" w:hint="eastAsia"/>
                <w:color w:val="000000"/>
                <w:kern w:val="0"/>
                <w:sz w:val="18"/>
                <w:szCs w:val="18"/>
              </w:rPr>
              <w:t>部门（单位）的资产是否保持安全完整，资产配置是否合理，资产使用和资产处理是否规范，用以反映和考核部门（单位）资产管理的整体水平。</w:t>
            </w:r>
          </w:p>
        </w:tc>
        <w:tc>
          <w:tcPr>
            <w:tcW w:w="1404" w:type="pct"/>
            <w:gridSpan w:val="2"/>
            <w:tcBorders>
              <w:top w:val="single" w:sz="4" w:space="0" w:color="auto"/>
              <w:left w:val="single" w:sz="4" w:space="0" w:color="auto"/>
              <w:bottom w:val="single" w:sz="4" w:space="0" w:color="auto"/>
              <w:right w:val="single" w:sz="4" w:space="0" w:color="auto"/>
            </w:tcBorders>
            <w:noWrap/>
            <w:vAlign w:val="center"/>
          </w:tcPr>
          <w:p w:rsidR="00AF0772" w:rsidRPr="009323F9" w:rsidRDefault="00AF0772" w:rsidP="00AF0772">
            <w:pPr>
              <w:widowControl/>
              <w:jc w:val="left"/>
              <w:rPr>
                <w:rFonts w:ascii="宋体" w:hAnsi="宋体" w:cs="宋体"/>
                <w:color w:val="000000"/>
                <w:kern w:val="0"/>
                <w:sz w:val="18"/>
                <w:szCs w:val="18"/>
              </w:rPr>
            </w:pPr>
            <w:r w:rsidRPr="009323F9">
              <w:rPr>
                <w:rFonts w:ascii="宋体" w:hAnsi="宋体" w:cs="宋体" w:hint="eastAsia"/>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rsidR="00AF0772" w:rsidRPr="009323F9" w:rsidTr="00AF0772">
        <w:trPr>
          <w:trHeight w:val="1210"/>
        </w:trPr>
        <w:tc>
          <w:tcPr>
            <w:tcW w:w="169" w:type="pct"/>
            <w:vMerge/>
            <w:tcBorders>
              <w:top w:val="nil"/>
              <w:left w:val="single" w:sz="4" w:space="0" w:color="auto"/>
              <w:bottom w:val="single" w:sz="4" w:space="0" w:color="000000"/>
              <w:right w:val="single" w:sz="4" w:space="0" w:color="auto"/>
            </w:tcBorders>
            <w:noWrap/>
            <w:vAlign w:val="center"/>
          </w:tcPr>
          <w:p w:rsidR="00AF0772" w:rsidRPr="009323F9" w:rsidRDefault="00AF0772" w:rsidP="00AF0772">
            <w:pPr>
              <w:widowControl/>
              <w:jc w:val="left"/>
              <w:rPr>
                <w:rFonts w:ascii="宋体" w:hAnsi="宋体" w:cs="宋体"/>
                <w:color w:val="000000"/>
                <w:kern w:val="0"/>
                <w:sz w:val="20"/>
                <w:szCs w:val="20"/>
              </w:rPr>
            </w:pPr>
          </w:p>
        </w:tc>
        <w:tc>
          <w:tcPr>
            <w:tcW w:w="151" w:type="pct"/>
            <w:tcBorders>
              <w:top w:val="single" w:sz="4" w:space="0" w:color="auto"/>
              <w:left w:val="nil"/>
              <w:bottom w:val="single" w:sz="4" w:space="0" w:color="auto"/>
              <w:right w:val="single" w:sz="4" w:space="0" w:color="auto"/>
            </w:tcBorders>
            <w:noWrap/>
            <w:vAlign w:val="center"/>
          </w:tcPr>
          <w:p w:rsidR="00AF0772" w:rsidRPr="009323F9" w:rsidRDefault="00AF0772" w:rsidP="00AF0772">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绩效管理（4）</w:t>
            </w:r>
          </w:p>
        </w:tc>
        <w:tc>
          <w:tcPr>
            <w:tcW w:w="155" w:type="pct"/>
            <w:tcBorders>
              <w:top w:val="single" w:sz="4" w:space="0" w:color="auto"/>
              <w:left w:val="nil"/>
              <w:bottom w:val="single" w:sz="4" w:space="0" w:color="auto"/>
              <w:right w:val="single" w:sz="4" w:space="0" w:color="auto"/>
            </w:tcBorders>
            <w:noWrap/>
            <w:vAlign w:val="center"/>
          </w:tcPr>
          <w:p w:rsidR="00AF0772" w:rsidRPr="009323F9" w:rsidRDefault="00AF0772" w:rsidP="00AF0772">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绩效管理情况</w:t>
            </w:r>
          </w:p>
        </w:tc>
        <w:tc>
          <w:tcPr>
            <w:tcW w:w="307" w:type="pct"/>
            <w:tcBorders>
              <w:top w:val="single" w:sz="4" w:space="0" w:color="auto"/>
              <w:left w:val="nil"/>
              <w:bottom w:val="single" w:sz="4" w:space="0" w:color="auto"/>
              <w:right w:val="single" w:sz="4" w:space="0" w:color="auto"/>
            </w:tcBorders>
            <w:noWrap/>
            <w:vAlign w:val="center"/>
          </w:tcPr>
          <w:p w:rsidR="00AF0772" w:rsidRPr="009323F9" w:rsidRDefault="00AF0772" w:rsidP="00AF0772">
            <w:pPr>
              <w:widowControl/>
              <w:jc w:val="left"/>
              <w:rPr>
                <w:rFonts w:ascii="宋体" w:hAnsi="宋体" w:cs="宋体"/>
                <w:color w:val="000000"/>
                <w:kern w:val="0"/>
                <w:sz w:val="20"/>
                <w:szCs w:val="20"/>
              </w:rPr>
            </w:pPr>
            <w:r w:rsidRPr="00AF0772">
              <w:rPr>
                <w:rFonts w:ascii="宋体" w:hAnsi="宋体" w:cs="宋体" w:hint="eastAsia"/>
                <w:color w:val="000000"/>
                <w:kern w:val="0"/>
                <w:sz w:val="20"/>
                <w:szCs w:val="20"/>
              </w:rPr>
              <w:t>绩效管理信息的汇总和应用</w:t>
            </w:r>
            <w:r>
              <w:rPr>
                <w:rFonts w:ascii="宋体" w:hAnsi="宋体" w:cs="宋体" w:hint="eastAsia"/>
                <w:color w:val="000000"/>
                <w:kern w:val="0"/>
                <w:sz w:val="20"/>
                <w:szCs w:val="20"/>
              </w:rPr>
              <w:t>完整有效</w:t>
            </w:r>
          </w:p>
        </w:tc>
        <w:tc>
          <w:tcPr>
            <w:tcW w:w="1216" w:type="pct"/>
            <w:tcBorders>
              <w:top w:val="single" w:sz="4" w:space="0" w:color="auto"/>
              <w:left w:val="nil"/>
              <w:bottom w:val="single" w:sz="4" w:space="0" w:color="auto"/>
              <w:right w:val="single" w:sz="4" w:space="0" w:color="auto"/>
            </w:tcBorders>
            <w:noWrap/>
            <w:vAlign w:val="center"/>
          </w:tcPr>
          <w:p w:rsidR="00AF0772" w:rsidRPr="009323F9" w:rsidRDefault="00AF0772" w:rsidP="00AF0772">
            <w:pPr>
              <w:widowControl/>
              <w:jc w:val="left"/>
              <w:rPr>
                <w:rFonts w:ascii="宋体" w:hAnsi="宋体" w:cs="宋体"/>
                <w:color w:val="000000"/>
                <w:kern w:val="0"/>
                <w:sz w:val="20"/>
                <w:szCs w:val="20"/>
              </w:rPr>
            </w:pPr>
            <w:r w:rsidRPr="00AF0772">
              <w:rPr>
                <w:rFonts w:ascii="宋体" w:hAnsi="宋体" w:cs="宋体" w:hint="eastAsia"/>
                <w:color w:val="000000"/>
                <w:kern w:val="0"/>
                <w:sz w:val="20"/>
                <w:szCs w:val="20"/>
              </w:rPr>
              <w:t>绩效管理信息的汇总和应用完整有效</w:t>
            </w:r>
          </w:p>
        </w:tc>
        <w:tc>
          <w:tcPr>
            <w:tcW w:w="173" w:type="pct"/>
            <w:tcBorders>
              <w:top w:val="single" w:sz="4" w:space="0" w:color="auto"/>
              <w:left w:val="nil"/>
              <w:bottom w:val="single" w:sz="4" w:space="0" w:color="auto"/>
              <w:right w:val="single" w:sz="4" w:space="0" w:color="auto"/>
            </w:tcBorders>
            <w:noWrap/>
            <w:vAlign w:val="center"/>
          </w:tcPr>
          <w:p w:rsidR="00AF0772" w:rsidRPr="009323F9" w:rsidRDefault="00AF0772" w:rsidP="00AF0772">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4</w:t>
            </w:r>
          </w:p>
        </w:tc>
        <w:tc>
          <w:tcPr>
            <w:tcW w:w="198" w:type="pct"/>
            <w:tcBorders>
              <w:top w:val="single" w:sz="4" w:space="0" w:color="auto"/>
              <w:left w:val="nil"/>
              <w:bottom w:val="single" w:sz="4" w:space="0" w:color="auto"/>
              <w:right w:val="nil"/>
            </w:tcBorders>
            <w:noWrap/>
            <w:vAlign w:val="center"/>
          </w:tcPr>
          <w:p w:rsidR="00AF0772" w:rsidRPr="009323F9" w:rsidRDefault="00AF0772" w:rsidP="00AF0772">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1227" w:type="pct"/>
            <w:gridSpan w:val="4"/>
            <w:tcBorders>
              <w:top w:val="single" w:sz="4" w:space="0" w:color="auto"/>
              <w:left w:val="single" w:sz="4" w:space="0" w:color="auto"/>
              <w:bottom w:val="single" w:sz="4" w:space="0" w:color="auto"/>
              <w:right w:val="single" w:sz="4" w:space="0" w:color="auto"/>
            </w:tcBorders>
            <w:noWrap/>
            <w:vAlign w:val="center"/>
          </w:tcPr>
          <w:p w:rsidR="00AF0772" w:rsidRPr="009323F9" w:rsidRDefault="00AF0772" w:rsidP="00AF0772">
            <w:pPr>
              <w:widowControl/>
              <w:jc w:val="left"/>
              <w:rPr>
                <w:rFonts w:ascii="宋体" w:hAnsi="宋体" w:cs="宋体"/>
                <w:color w:val="000000"/>
                <w:kern w:val="0"/>
                <w:sz w:val="18"/>
                <w:szCs w:val="18"/>
              </w:rPr>
            </w:pPr>
            <w:r w:rsidRPr="009323F9">
              <w:rPr>
                <w:rFonts w:ascii="宋体" w:hAnsi="宋体" w:cs="宋体" w:hint="eastAsia"/>
                <w:b/>
                <w:bCs/>
                <w:color w:val="000000"/>
                <w:kern w:val="0"/>
                <w:sz w:val="18"/>
                <w:szCs w:val="18"/>
              </w:rPr>
              <w:t>绩效管理情况:</w:t>
            </w:r>
            <w:r w:rsidRPr="009323F9">
              <w:rPr>
                <w:rFonts w:ascii="宋体" w:hAnsi="宋体" w:cs="宋体" w:hint="eastAsia"/>
                <w:color w:val="000000"/>
                <w:kern w:val="0"/>
                <w:sz w:val="18"/>
                <w:szCs w:val="18"/>
              </w:rPr>
              <w:t>考核部门（单位）在绩效管理信息的汇总和应用情况。</w:t>
            </w:r>
          </w:p>
        </w:tc>
        <w:tc>
          <w:tcPr>
            <w:tcW w:w="1404" w:type="pct"/>
            <w:gridSpan w:val="2"/>
            <w:tcBorders>
              <w:top w:val="single" w:sz="4" w:space="0" w:color="auto"/>
              <w:left w:val="nil"/>
              <w:bottom w:val="single" w:sz="4" w:space="0" w:color="auto"/>
              <w:right w:val="single" w:sz="4" w:space="0" w:color="auto"/>
            </w:tcBorders>
            <w:noWrap/>
            <w:vAlign w:val="center"/>
          </w:tcPr>
          <w:p w:rsidR="00AF0772" w:rsidRPr="009323F9" w:rsidRDefault="00AF0772" w:rsidP="00AF0772">
            <w:pPr>
              <w:widowControl/>
              <w:jc w:val="left"/>
              <w:rPr>
                <w:rFonts w:ascii="宋体" w:hAnsi="宋体" w:cs="宋体"/>
                <w:color w:val="000000"/>
                <w:kern w:val="0"/>
                <w:sz w:val="18"/>
                <w:szCs w:val="18"/>
              </w:rPr>
            </w:pPr>
            <w:r w:rsidRPr="009323F9">
              <w:rPr>
                <w:rFonts w:ascii="宋体" w:hAnsi="宋体" w:cs="宋体" w:hint="eastAsia"/>
                <w:color w:val="000000"/>
                <w:kern w:val="0"/>
                <w:sz w:val="18"/>
                <w:szCs w:val="18"/>
              </w:rPr>
              <w:t>①部门（单位）是否及时对绩效信息进行汇总分析整理；②部门（单位）是否对绩效目标偏离情况及时进行矫正。每有一项不合格扣2分。</w:t>
            </w:r>
          </w:p>
        </w:tc>
      </w:tr>
      <w:tr w:rsidR="00AF0772" w:rsidRPr="009323F9" w:rsidTr="00AF0772">
        <w:trPr>
          <w:trHeight w:val="394"/>
        </w:trPr>
        <w:tc>
          <w:tcPr>
            <w:tcW w:w="169" w:type="pct"/>
            <w:vMerge/>
            <w:tcBorders>
              <w:top w:val="nil"/>
              <w:left w:val="single" w:sz="4" w:space="0" w:color="auto"/>
              <w:bottom w:val="single" w:sz="4" w:space="0" w:color="000000"/>
              <w:right w:val="single" w:sz="4" w:space="0" w:color="auto"/>
            </w:tcBorders>
            <w:noWrap/>
            <w:vAlign w:val="center"/>
          </w:tcPr>
          <w:p w:rsidR="00AF0772" w:rsidRPr="009323F9" w:rsidRDefault="00AF0772" w:rsidP="00AF0772">
            <w:pPr>
              <w:widowControl/>
              <w:jc w:val="left"/>
              <w:rPr>
                <w:rFonts w:ascii="宋体" w:hAnsi="宋体" w:cs="宋体"/>
                <w:color w:val="000000"/>
                <w:kern w:val="0"/>
                <w:sz w:val="20"/>
                <w:szCs w:val="20"/>
              </w:rPr>
            </w:pPr>
          </w:p>
        </w:tc>
        <w:tc>
          <w:tcPr>
            <w:tcW w:w="151" w:type="pct"/>
            <w:tcBorders>
              <w:top w:val="single" w:sz="4" w:space="0" w:color="auto"/>
              <w:left w:val="nil"/>
              <w:bottom w:val="single" w:sz="4" w:space="0" w:color="auto"/>
              <w:right w:val="single" w:sz="4" w:space="0" w:color="auto"/>
            </w:tcBorders>
            <w:noWrap/>
            <w:vAlign w:val="center"/>
          </w:tcPr>
          <w:p w:rsidR="00AF0772" w:rsidRPr="009323F9" w:rsidRDefault="00AF0772" w:rsidP="00AF0772">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 xml:space="preserve">指标　</w:t>
            </w:r>
          </w:p>
        </w:tc>
        <w:tc>
          <w:tcPr>
            <w:tcW w:w="462" w:type="pct"/>
            <w:gridSpan w:val="2"/>
            <w:tcBorders>
              <w:top w:val="single" w:sz="4" w:space="0" w:color="auto"/>
              <w:left w:val="nil"/>
              <w:bottom w:val="single" w:sz="4" w:space="0" w:color="auto"/>
              <w:right w:val="single" w:sz="4" w:space="0" w:color="000000"/>
            </w:tcBorders>
            <w:noWrap/>
            <w:vAlign w:val="center"/>
          </w:tcPr>
          <w:p w:rsidR="00AF0772" w:rsidRPr="009323F9" w:rsidRDefault="00AF0772" w:rsidP="00BA2563">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202</w:t>
            </w:r>
            <w:r w:rsidR="00BA2563">
              <w:rPr>
                <w:rFonts w:ascii="宋体" w:hAnsi="宋体" w:cs="宋体" w:hint="eastAsia"/>
                <w:color w:val="000000"/>
                <w:kern w:val="0"/>
                <w:sz w:val="20"/>
                <w:szCs w:val="20"/>
              </w:rPr>
              <w:t>2</w:t>
            </w:r>
            <w:r w:rsidRPr="009323F9">
              <w:rPr>
                <w:rFonts w:ascii="宋体" w:hAnsi="宋体" w:cs="宋体" w:hint="eastAsia"/>
                <w:color w:val="000000"/>
                <w:kern w:val="0"/>
                <w:sz w:val="20"/>
                <w:szCs w:val="20"/>
              </w:rPr>
              <w:t>年</w:t>
            </w:r>
          </w:p>
        </w:tc>
        <w:tc>
          <w:tcPr>
            <w:tcW w:w="1216" w:type="pct"/>
            <w:tcBorders>
              <w:top w:val="single" w:sz="4" w:space="0" w:color="auto"/>
              <w:left w:val="nil"/>
              <w:bottom w:val="single" w:sz="4" w:space="0" w:color="auto"/>
              <w:right w:val="single" w:sz="4" w:space="0" w:color="auto"/>
            </w:tcBorders>
            <w:noWrap/>
            <w:vAlign w:val="center"/>
          </w:tcPr>
          <w:p w:rsidR="00AF0772" w:rsidRPr="009323F9" w:rsidRDefault="00AF0772" w:rsidP="00BA2563">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202</w:t>
            </w:r>
            <w:r w:rsidR="00BA2563">
              <w:rPr>
                <w:rFonts w:ascii="宋体" w:hAnsi="宋体" w:cs="宋体" w:hint="eastAsia"/>
                <w:color w:val="000000"/>
                <w:kern w:val="0"/>
                <w:sz w:val="20"/>
                <w:szCs w:val="20"/>
              </w:rPr>
              <w:t>3</w:t>
            </w:r>
            <w:r w:rsidRPr="009323F9">
              <w:rPr>
                <w:rFonts w:ascii="宋体" w:hAnsi="宋体" w:cs="宋体" w:hint="eastAsia"/>
                <w:color w:val="000000"/>
                <w:kern w:val="0"/>
                <w:sz w:val="20"/>
                <w:szCs w:val="20"/>
              </w:rPr>
              <w:t>年</w:t>
            </w:r>
          </w:p>
        </w:tc>
        <w:tc>
          <w:tcPr>
            <w:tcW w:w="173" w:type="pct"/>
            <w:tcBorders>
              <w:top w:val="single" w:sz="4" w:space="0" w:color="auto"/>
              <w:left w:val="nil"/>
              <w:bottom w:val="single" w:sz="4" w:space="0" w:color="auto"/>
              <w:right w:val="single" w:sz="4" w:space="0" w:color="auto"/>
            </w:tcBorders>
            <w:noWrap/>
            <w:vAlign w:val="center"/>
          </w:tcPr>
          <w:p w:rsidR="00AF0772" w:rsidRPr="009323F9" w:rsidRDefault="00AF0772" w:rsidP="00AF0772">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分值</w:t>
            </w:r>
          </w:p>
        </w:tc>
        <w:tc>
          <w:tcPr>
            <w:tcW w:w="198" w:type="pct"/>
            <w:tcBorders>
              <w:top w:val="single" w:sz="4" w:space="0" w:color="auto"/>
              <w:left w:val="nil"/>
              <w:bottom w:val="single" w:sz="4" w:space="0" w:color="auto"/>
              <w:right w:val="single" w:sz="4" w:space="0" w:color="auto"/>
            </w:tcBorders>
            <w:noWrap/>
            <w:vAlign w:val="center"/>
          </w:tcPr>
          <w:p w:rsidR="00AF0772" w:rsidRPr="009323F9" w:rsidRDefault="00AF0772" w:rsidP="00AF0772">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得分</w:t>
            </w:r>
          </w:p>
        </w:tc>
        <w:tc>
          <w:tcPr>
            <w:tcW w:w="1227" w:type="pct"/>
            <w:gridSpan w:val="4"/>
            <w:tcBorders>
              <w:top w:val="single" w:sz="4" w:space="0" w:color="auto"/>
              <w:left w:val="single" w:sz="4" w:space="0" w:color="auto"/>
              <w:bottom w:val="single" w:sz="4" w:space="0" w:color="auto"/>
              <w:right w:val="single" w:sz="4" w:space="0" w:color="auto"/>
            </w:tcBorders>
            <w:noWrap/>
            <w:vAlign w:val="center"/>
          </w:tcPr>
          <w:p w:rsidR="00AF0772" w:rsidRPr="009323F9" w:rsidRDefault="00AF0772" w:rsidP="00AF0772">
            <w:pPr>
              <w:widowControl/>
              <w:jc w:val="center"/>
              <w:rPr>
                <w:rFonts w:ascii="宋体" w:hAnsi="宋体" w:cs="宋体"/>
                <w:color w:val="000000"/>
                <w:kern w:val="0"/>
                <w:sz w:val="20"/>
                <w:szCs w:val="20"/>
              </w:rPr>
            </w:pPr>
            <w:r w:rsidRPr="009323F9">
              <w:rPr>
                <w:rFonts w:ascii="宋体" w:hAnsi="宋体" w:cs="宋体" w:hint="eastAsia"/>
                <w:bCs/>
                <w:color w:val="000000"/>
                <w:kern w:val="0"/>
                <w:sz w:val="18"/>
                <w:szCs w:val="18"/>
              </w:rPr>
              <w:t>指标</w:t>
            </w:r>
            <w:r w:rsidRPr="009323F9">
              <w:rPr>
                <w:rFonts w:ascii="宋体" w:hAnsi="宋体" w:cs="宋体"/>
                <w:bCs/>
                <w:color w:val="000000"/>
                <w:kern w:val="0"/>
                <w:sz w:val="18"/>
                <w:szCs w:val="18"/>
              </w:rPr>
              <w:t>解释</w:t>
            </w:r>
          </w:p>
        </w:tc>
        <w:tc>
          <w:tcPr>
            <w:tcW w:w="1404" w:type="pct"/>
            <w:gridSpan w:val="2"/>
            <w:tcBorders>
              <w:top w:val="single" w:sz="4" w:space="0" w:color="auto"/>
              <w:left w:val="nil"/>
              <w:bottom w:val="single" w:sz="4" w:space="0" w:color="auto"/>
              <w:right w:val="single" w:sz="4" w:space="0" w:color="auto"/>
            </w:tcBorders>
            <w:noWrap/>
            <w:vAlign w:val="center"/>
          </w:tcPr>
          <w:p w:rsidR="00AF0772" w:rsidRPr="009323F9" w:rsidRDefault="00AF0772" w:rsidP="00AF0772">
            <w:pPr>
              <w:widowControl/>
              <w:jc w:val="center"/>
              <w:rPr>
                <w:rFonts w:eastAsia="Times New Roman"/>
                <w:kern w:val="0"/>
                <w:sz w:val="20"/>
                <w:szCs w:val="20"/>
              </w:rPr>
            </w:pPr>
            <w:r w:rsidRPr="009323F9">
              <w:rPr>
                <w:rFonts w:ascii="宋体" w:hAnsi="宋体" w:cs="宋体" w:hint="eastAsia"/>
                <w:color w:val="000000"/>
                <w:kern w:val="0"/>
                <w:sz w:val="18"/>
                <w:szCs w:val="18"/>
              </w:rPr>
              <w:t>评</w:t>
            </w:r>
            <w:r w:rsidRPr="009323F9">
              <w:rPr>
                <w:rFonts w:ascii="宋体" w:hAnsi="宋体" w:cs="宋体"/>
                <w:color w:val="000000"/>
                <w:kern w:val="0"/>
                <w:sz w:val="18"/>
                <w:szCs w:val="18"/>
              </w:rPr>
              <w:t>分标准</w:t>
            </w:r>
          </w:p>
        </w:tc>
      </w:tr>
      <w:tr w:rsidR="00AF0772" w:rsidRPr="009323F9" w:rsidTr="00AF0772">
        <w:trPr>
          <w:trHeight w:val="2229"/>
        </w:trPr>
        <w:tc>
          <w:tcPr>
            <w:tcW w:w="169" w:type="pct"/>
            <w:vMerge/>
            <w:tcBorders>
              <w:top w:val="nil"/>
              <w:left w:val="single" w:sz="4" w:space="0" w:color="auto"/>
              <w:bottom w:val="single" w:sz="4" w:space="0" w:color="000000"/>
              <w:right w:val="single" w:sz="4" w:space="0" w:color="auto"/>
            </w:tcBorders>
            <w:noWrap/>
            <w:vAlign w:val="center"/>
          </w:tcPr>
          <w:p w:rsidR="00AF0772" w:rsidRPr="009323F9" w:rsidRDefault="00AF0772" w:rsidP="00AF0772">
            <w:pPr>
              <w:widowControl/>
              <w:jc w:val="left"/>
              <w:rPr>
                <w:rFonts w:ascii="宋体" w:hAnsi="宋体" w:cs="宋体"/>
                <w:color w:val="000000"/>
                <w:kern w:val="0"/>
                <w:sz w:val="20"/>
                <w:szCs w:val="20"/>
              </w:rPr>
            </w:pPr>
          </w:p>
        </w:tc>
        <w:tc>
          <w:tcPr>
            <w:tcW w:w="151" w:type="pct"/>
            <w:tcBorders>
              <w:top w:val="nil"/>
              <w:left w:val="nil"/>
              <w:bottom w:val="single" w:sz="4" w:space="0" w:color="auto"/>
              <w:right w:val="single" w:sz="4" w:space="0" w:color="auto"/>
            </w:tcBorders>
            <w:noWrap/>
            <w:vAlign w:val="center"/>
          </w:tcPr>
          <w:p w:rsidR="00AF0772" w:rsidRPr="009323F9" w:rsidRDefault="00AF0772" w:rsidP="00AF0772">
            <w:pPr>
              <w:widowControl/>
              <w:rPr>
                <w:rFonts w:ascii="宋体" w:hAnsi="宋体" w:cs="宋体"/>
                <w:color w:val="000000"/>
                <w:kern w:val="0"/>
                <w:sz w:val="20"/>
                <w:szCs w:val="20"/>
              </w:rPr>
            </w:pPr>
            <w:r w:rsidRPr="009323F9">
              <w:rPr>
                <w:rFonts w:ascii="宋体" w:hAnsi="宋体" w:cs="宋体" w:hint="eastAsia"/>
                <w:color w:val="000000"/>
                <w:kern w:val="0"/>
                <w:sz w:val="20"/>
                <w:szCs w:val="20"/>
              </w:rPr>
              <w:t>结转结余率（4）</w:t>
            </w:r>
          </w:p>
        </w:tc>
        <w:tc>
          <w:tcPr>
            <w:tcW w:w="462" w:type="pct"/>
            <w:gridSpan w:val="2"/>
            <w:tcBorders>
              <w:top w:val="single" w:sz="4" w:space="0" w:color="auto"/>
              <w:left w:val="nil"/>
              <w:bottom w:val="single" w:sz="4" w:space="0" w:color="auto"/>
              <w:right w:val="single" w:sz="4" w:space="0" w:color="000000"/>
            </w:tcBorders>
            <w:noWrap/>
            <w:vAlign w:val="center"/>
          </w:tcPr>
          <w:p w:rsidR="00AF0772" w:rsidRPr="009323F9" w:rsidRDefault="00BA2563" w:rsidP="00AF0772">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r>
              <w:rPr>
                <w:rFonts w:ascii="宋体" w:hAnsi="宋体" w:cs="宋体"/>
                <w:color w:val="000000"/>
                <w:kern w:val="0"/>
                <w:sz w:val="20"/>
                <w:szCs w:val="20"/>
              </w:rPr>
              <w:t>.75</w:t>
            </w:r>
          </w:p>
        </w:tc>
        <w:tc>
          <w:tcPr>
            <w:tcW w:w="1216" w:type="pct"/>
            <w:tcBorders>
              <w:top w:val="nil"/>
              <w:left w:val="nil"/>
              <w:bottom w:val="single" w:sz="4" w:space="0" w:color="auto"/>
              <w:right w:val="single" w:sz="4" w:space="0" w:color="auto"/>
            </w:tcBorders>
            <w:noWrap/>
            <w:vAlign w:val="center"/>
          </w:tcPr>
          <w:p w:rsidR="00AF0772" w:rsidRPr="009323F9" w:rsidRDefault="00BA2563" w:rsidP="00AF0772">
            <w:pPr>
              <w:widowControl/>
              <w:jc w:val="center"/>
              <w:rPr>
                <w:rFonts w:ascii="宋体" w:hAnsi="宋体" w:cs="宋体"/>
                <w:color w:val="000000"/>
                <w:kern w:val="0"/>
                <w:sz w:val="20"/>
                <w:szCs w:val="20"/>
              </w:rPr>
            </w:pPr>
            <w:r>
              <w:rPr>
                <w:rFonts w:ascii="宋体" w:hAnsi="宋体" w:cs="宋体" w:hint="eastAsia"/>
                <w:color w:val="000000"/>
                <w:kern w:val="0"/>
                <w:sz w:val="20"/>
                <w:szCs w:val="20"/>
              </w:rPr>
              <w:t>1.09</w:t>
            </w:r>
          </w:p>
        </w:tc>
        <w:tc>
          <w:tcPr>
            <w:tcW w:w="173" w:type="pct"/>
            <w:tcBorders>
              <w:top w:val="nil"/>
              <w:left w:val="nil"/>
              <w:bottom w:val="single" w:sz="4" w:space="0" w:color="auto"/>
              <w:right w:val="single" w:sz="4" w:space="0" w:color="auto"/>
            </w:tcBorders>
            <w:noWrap/>
            <w:vAlign w:val="center"/>
          </w:tcPr>
          <w:p w:rsidR="00AF0772" w:rsidRPr="009323F9" w:rsidRDefault="00AF0772" w:rsidP="00AF0772">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4</w:t>
            </w:r>
          </w:p>
        </w:tc>
        <w:tc>
          <w:tcPr>
            <w:tcW w:w="198" w:type="pct"/>
            <w:tcBorders>
              <w:top w:val="nil"/>
              <w:left w:val="nil"/>
              <w:bottom w:val="single" w:sz="4" w:space="0" w:color="auto"/>
              <w:right w:val="nil"/>
            </w:tcBorders>
            <w:noWrap/>
            <w:vAlign w:val="center"/>
          </w:tcPr>
          <w:p w:rsidR="00AF0772" w:rsidRPr="009323F9" w:rsidRDefault="00BA2563" w:rsidP="00AF0772">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r w:rsidR="00AF0772" w:rsidRPr="009323F9">
              <w:rPr>
                <w:rFonts w:ascii="宋体" w:hAnsi="宋体" w:cs="宋体" w:hint="eastAsia"/>
                <w:color w:val="000000"/>
                <w:kern w:val="0"/>
                <w:sz w:val="20"/>
                <w:szCs w:val="20"/>
              </w:rPr>
              <w:t xml:space="preserve">　</w:t>
            </w:r>
          </w:p>
        </w:tc>
        <w:tc>
          <w:tcPr>
            <w:tcW w:w="1227" w:type="pct"/>
            <w:gridSpan w:val="4"/>
            <w:tcBorders>
              <w:top w:val="single" w:sz="4" w:space="0" w:color="auto"/>
              <w:left w:val="single" w:sz="4" w:space="0" w:color="auto"/>
              <w:bottom w:val="single" w:sz="4" w:space="0" w:color="auto"/>
              <w:right w:val="single" w:sz="4" w:space="0" w:color="auto"/>
            </w:tcBorders>
            <w:noWrap/>
            <w:vAlign w:val="center"/>
          </w:tcPr>
          <w:p w:rsidR="00AF0772" w:rsidRPr="009323F9" w:rsidRDefault="00AF0772" w:rsidP="00AF0772">
            <w:pPr>
              <w:widowControl/>
              <w:jc w:val="left"/>
              <w:rPr>
                <w:rFonts w:ascii="宋体" w:hAnsi="宋体" w:cs="宋体"/>
                <w:color w:val="000000"/>
                <w:kern w:val="0"/>
                <w:sz w:val="18"/>
                <w:szCs w:val="18"/>
              </w:rPr>
            </w:pPr>
            <w:r w:rsidRPr="009323F9">
              <w:rPr>
                <w:rFonts w:ascii="宋体" w:hAnsi="宋体" w:cs="宋体" w:hint="eastAsia"/>
                <w:color w:val="000000"/>
                <w:kern w:val="0"/>
                <w:sz w:val="18"/>
                <w:szCs w:val="18"/>
              </w:rPr>
              <w:t>结转结余率=结转结余总额/支出预算数×100%。</w:t>
            </w:r>
            <w:r w:rsidRPr="009323F9">
              <w:rPr>
                <w:rFonts w:ascii="宋体" w:hAnsi="宋体" w:cs="宋体" w:hint="eastAsia"/>
                <w:color w:val="000000"/>
                <w:kern w:val="0"/>
                <w:sz w:val="18"/>
                <w:szCs w:val="18"/>
              </w:rPr>
              <w:br/>
              <w:t>结转结余总额：部门（单位）本年度的结转资金与结余资金之和。</w:t>
            </w:r>
          </w:p>
        </w:tc>
        <w:tc>
          <w:tcPr>
            <w:tcW w:w="1404" w:type="pct"/>
            <w:gridSpan w:val="2"/>
            <w:tcBorders>
              <w:top w:val="single" w:sz="4" w:space="0" w:color="auto"/>
              <w:left w:val="nil"/>
              <w:bottom w:val="single" w:sz="4" w:space="0" w:color="auto"/>
              <w:right w:val="single" w:sz="4" w:space="0" w:color="auto"/>
            </w:tcBorders>
            <w:noWrap/>
            <w:vAlign w:val="center"/>
          </w:tcPr>
          <w:p w:rsidR="00AF0772" w:rsidRPr="009323F9" w:rsidRDefault="00AF0772" w:rsidP="00AF0772">
            <w:pPr>
              <w:widowControl/>
              <w:jc w:val="left"/>
              <w:rPr>
                <w:rFonts w:ascii="宋体" w:hAnsi="宋体" w:cs="宋体"/>
                <w:color w:val="000000"/>
                <w:kern w:val="0"/>
                <w:sz w:val="18"/>
                <w:szCs w:val="18"/>
              </w:rPr>
            </w:pPr>
            <w:r w:rsidRPr="009323F9">
              <w:rPr>
                <w:rFonts w:ascii="宋体" w:hAnsi="宋体" w:cs="宋体" w:hint="eastAsia"/>
                <w:color w:val="000000"/>
                <w:kern w:val="0"/>
                <w:sz w:val="18"/>
                <w:szCs w:val="18"/>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rsidR="00AF0772" w:rsidRPr="009323F9" w:rsidTr="00AF0772">
        <w:trPr>
          <w:trHeight w:val="1550"/>
        </w:trPr>
        <w:tc>
          <w:tcPr>
            <w:tcW w:w="169" w:type="pct"/>
            <w:vMerge/>
            <w:tcBorders>
              <w:top w:val="nil"/>
              <w:left w:val="single" w:sz="4" w:space="0" w:color="auto"/>
              <w:bottom w:val="single" w:sz="4" w:space="0" w:color="000000"/>
              <w:right w:val="single" w:sz="4" w:space="0" w:color="auto"/>
            </w:tcBorders>
            <w:noWrap/>
            <w:vAlign w:val="center"/>
          </w:tcPr>
          <w:p w:rsidR="00AF0772" w:rsidRPr="009323F9" w:rsidRDefault="00AF0772" w:rsidP="00AF0772">
            <w:pPr>
              <w:widowControl/>
              <w:jc w:val="left"/>
              <w:rPr>
                <w:rFonts w:ascii="宋体" w:hAnsi="宋体" w:cs="宋体"/>
                <w:color w:val="000000"/>
                <w:kern w:val="0"/>
                <w:sz w:val="20"/>
                <w:szCs w:val="20"/>
              </w:rPr>
            </w:pPr>
          </w:p>
        </w:tc>
        <w:tc>
          <w:tcPr>
            <w:tcW w:w="151" w:type="pct"/>
            <w:tcBorders>
              <w:top w:val="nil"/>
              <w:left w:val="nil"/>
              <w:bottom w:val="single" w:sz="4" w:space="0" w:color="auto"/>
              <w:right w:val="single" w:sz="4" w:space="0" w:color="auto"/>
            </w:tcBorders>
            <w:noWrap/>
            <w:vAlign w:val="center"/>
          </w:tcPr>
          <w:p w:rsidR="00AF0772" w:rsidRPr="009323F9" w:rsidRDefault="00AF0772" w:rsidP="00AF0772">
            <w:pPr>
              <w:widowControl/>
              <w:rPr>
                <w:rFonts w:ascii="宋体" w:hAnsi="宋体" w:cs="宋体"/>
                <w:color w:val="000000"/>
                <w:kern w:val="0"/>
                <w:sz w:val="20"/>
                <w:szCs w:val="20"/>
              </w:rPr>
            </w:pPr>
            <w:r w:rsidRPr="009323F9">
              <w:rPr>
                <w:rFonts w:ascii="宋体" w:hAnsi="宋体" w:cs="宋体" w:hint="eastAsia"/>
                <w:color w:val="000000"/>
                <w:kern w:val="0"/>
                <w:sz w:val="20"/>
                <w:szCs w:val="20"/>
              </w:rPr>
              <w:t>部门预决算差异率（4）</w:t>
            </w:r>
          </w:p>
        </w:tc>
        <w:tc>
          <w:tcPr>
            <w:tcW w:w="462" w:type="pct"/>
            <w:gridSpan w:val="2"/>
            <w:tcBorders>
              <w:top w:val="single" w:sz="4" w:space="0" w:color="auto"/>
              <w:left w:val="nil"/>
              <w:bottom w:val="single" w:sz="4" w:space="0" w:color="auto"/>
              <w:right w:val="nil"/>
            </w:tcBorders>
            <w:noWrap/>
            <w:vAlign w:val="center"/>
          </w:tcPr>
          <w:p w:rsidR="00AF0772" w:rsidRPr="009323F9" w:rsidRDefault="001854EB" w:rsidP="00AF0772">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color w:val="000000"/>
                <w:kern w:val="0"/>
                <w:sz w:val="20"/>
                <w:szCs w:val="20"/>
              </w:rPr>
              <w:t>.35</w:t>
            </w:r>
          </w:p>
        </w:tc>
        <w:tc>
          <w:tcPr>
            <w:tcW w:w="1216" w:type="pct"/>
            <w:tcBorders>
              <w:top w:val="nil"/>
              <w:left w:val="single" w:sz="4" w:space="0" w:color="auto"/>
              <w:bottom w:val="single" w:sz="4" w:space="0" w:color="auto"/>
              <w:right w:val="single" w:sz="4" w:space="0" w:color="auto"/>
            </w:tcBorders>
            <w:noWrap/>
            <w:vAlign w:val="center"/>
          </w:tcPr>
          <w:p w:rsidR="00AF0772" w:rsidRPr="009323F9" w:rsidRDefault="001854EB" w:rsidP="00AF0772">
            <w:pPr>
              <w:widowControl/>
              <w:jc w:val="center"/>
              <w:rPr>
                <w:rFonts w:ascii="宋体" w:hAnsi="宋体" w:cs="宋体"/>
                <w:color w:val="000000"/>
                <w:kern w:val="0"/>
                <w:sz w:val="20"/>
                <w:szCs w:val="20"/>
              </w:rPr>
            </w:pPr>
            <w:r>
              <w:rPr>
                <w:rFonts w:ascii="宋体" w:hAnsi="宋体" w:cs="宋体" w:hint="eastAsia"/>
                <w:color w:val="000000"/>
                <w:kern w:val="0"/>
                <w:sz w:val="20"/>
                <w:szCs w:val="20"/>
              </w:rPr>
              <w:t>1.83</w:t>
            </w:r>
          </w:p>
        </w:tc>
        <w:tc>
          <w:tcPr>
            <w:tcW w:w="173" w:type="pct"/>
            <w:tcBorders>
              <w:top w:val="nil"/>
              <w:left w:val="nil"/>
              <w:bottom w:val="single" w:sz="4" w:space="0" w:color="auto"/>
              <w:right w:val="single" w:sz="4" w:space="0" w:color="auto"/>
            </w:tcBorders>
            <w:noWrap/>
            <w:vAlign w:val="center"/>
          </w:tcPr>
          <w:p w:rsidR="00AF0772" w:rsidRPr="009323F9" w:rsidRDefault="00AF0772" w:rsidP="00AF0772">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4</w:t>
            </w:r>
          </w:p>
        </w:tc>
        <w:tc>
          <w:tcPr>
            <w:tcW w:w="198" w:type="pct"/>
            <w:tcBorders>
              <w:top w:val="nil"/>
              <w:left w:val="nil"/>
              <w:bottom w:val="single" w:sz="4" w:space="0" w:color="auto"/>
              <w:right w:val="nil"/>
            </w:tcBorders>
            <w:noWrap/>
            <w:vAlign w:val="center"/>
          </w:tcPr>
          <w:p w:rsidR="00AF0772" w:rsidRPr="009323F9" w:rsidRDefault="00AF0772" w:rsidP="00AF0772">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r w:rsidRPr="009323F9">
              <w:rPr>
                <w:rFonts w:ascii="宋体" w:hAnsi="宋体" w:cs="宋体" w:hint="eastAsia"/>
                <w:color w:val="000000"/>
                <w:kern w:val="0"/>
                <w:sz w:val="20"/>
                <w:szCs w:val="20"/>
              </w:rPr>
              <w:t xml:space="preserve">　</w:t>
            </w:r>
          </w:p>
        </w:tc>
        <w:tc>
          <w:tcPr>
            <w:tcW w:w="1227" w:type="pct"/>
            <w:gridSpan w:val="4"/>
            <w:tcBorders>
              <w:top w:val="nil"/>
              <w:left w:val="single" w:sz="4" w:space="0" w:color="auto"/>
              <w:bottom w:val="single" w:sz="4" w:space="0" w:color="auto"/>
              <w:right w:val="single" w:sz="4" w:space="0" w:color="auto"/>
            </w:tcBorders>
            <w:noWrap/>
            <w:vAlign w:val="center"/>
          </w:tcPr>
          <w:p w:rsidR="00AF0772" w:rsidRPr="009323F9" w:rsidRDefault="00AF0772" w:rsidP="00AF0772">
            <w:pPr>
              <w:widowControl/>
              <w:jc w:val="left"/>
              <w:rPr>
                <w:rFonts w:ascii="宋体" w:hAnsi="宋体" w:cs="宋体"/>
                <w:color w:val="000000"/>
                <w:kern w:val="0"/>
                <w:sz w:val="18"/>
                <w:szCs w:val="18"/>
              </w:rPr>
            </w:pPr>
            <w:r w:rsidRPr="009323F9">
              <w:rPr>
                <w:rFonts w:ascii="宋体" w:hAnsi="宋体" w:cs="宋体" w:hint="eastAsia"/>
                <w:color w:val="000000"/>
                <w:kern w:val="0"/>
                <w:sz w:val="18"/>
                <w:szCs w:val="18"/>
              </w:rPr>
              <w:t>通过年度部门决算与年初部门预算对比，对部门的年度支出情况进行考核，衡量部门预算的约束力。</w:t>
            </w:r>
          </w:p>
        </w:tc>
        <w:tc>
          <w:tcPr>
            <w:tcW w:w="1404" w:type="pct"/>
            <w:gridSpan w:val="2"/>
            <w:tcBorders>
              <w:top w:val="nil"/>
              <w:left w:val="nil"/>
              <w:bottom w:val="single" w:sz="4" w:space="0" w:color="auto"/>
              <w:right w:val="single" w:sz="4" w:space="0" w:color="auto"/>
            </w:tcBorders>
            <w:noWrap/>
            <w:vAlign w:val="center"/>
          </w:tcPr>
          <w:p w:rsidR="00AF0772" w:rsidRPr="009323F9" w:rsidRDefault="00AF0772" w:rsidP="00AF0772">
            <w:pPr>
              <w:widowControl/>
              <w:jc w:val="left"/>
              <w:rPr>
                <w:rFonts w:ascii="宋体" w:hAnsi="宋体" w:cs="宋体"/>
                <w:color w:val="000000"/>
                <w:kern w:val="0"/>
                <w:sz w:val="18"/>
                <w:szCs w:val="18"/>
              </w:rPr>
            </w:pPr>
            <w:r w:rsidRPr="009323F9">
              <w:rPr>
                <w:rFonts w:ascii="宋体" w:hAnsi="宋体" w:cs="宋体" w:hint="eastAsia"/>
                <w:color w:val="000000"/>
                <w:kern w:val="0"/>
                <w:sz w:val="18"/>
                <w:szCs w:val="18"/>
              </w:rPr>
              <w:t>部门预决算差异率高于市级平均差异率（28.3%）的，每高出10%（含），扣0.4分，扣完为止。</w:t>
            </w:r>
          </w:p>
        </w:tc>
      </w:tr>
      <w:tr w:rsidR="00AF0772" w:rsidRPr="009323F9" w:rsidTr="00AF0772">
        <w:trPr>
          <w:trHeight w:val="484"/>
        </w:trPr>
        <w:tc>
          <w:tcPr>
            <w:tcW w:w="1998" w:type="pct"/>
            <w:gridSpan w:val="5"/>
            <w:tcBorders>
              <w:top w:val="single" w:sz="4" w:space="0" w:color="auto"/>
              <w:left w:val="single" w:sz="4" w:space="0" w:color="auto"/>
              <w:bottom w:val="single" w:sz="4" w:space="0" w:color="auto"/>
              <w:right w:val="single" w:sz="4" w:space="0" w:color="auto"/>
            </w:tcBorders>
            <w:noWrap/>
            <w:vAlign w:val="center"/>
          </w:tcPr>
          <w:p w:rsidR="00AF0772" w:rsidRPr="009323F9" w:rsidRDefault="00AF0772" w:rsidP="00AF0772">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lastRenderedPageBreak/>
              <w:t>合计</w:t>
            </w:r>
          </w:p>
        </w:tc>
        <w:tc>
          <w:tcPr>
            <w:tcW w:w="173" w:type="pct"/>
            <w:tcBorders>
              <w:top w:val="nil"/>
              <w:left w:val="nil"/>
              <w:bottom w:val="single" w:sz="4" w:space="0" w:color="auto"/>
              <w:right w:val="single" w:sz="4" w:space="0" w:color="auto"/>
            </w:tcBorders>
            <w:noWrap/>
            <w:vAlign w:val="center"/>
          </w:tcPr>
          <w:p w:rsidR="00AF0772" w:rsidRPr="009323F9" w:rsidRDefault="00AF0772" w:rsidP="00AF0772">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100</w:t>
            </w:r>
          </w:p>
        </w:tc>
        <w:tc>
          <w:tcPr>
            <w:tcW w:w="198" w:type="pct"/>
            <w:tcBorders>
              <w:top w:val="nil"/>
              <w:left w:val="nil"/>
              <w:bottom w:val="single" w:sz="4" w:space="0" w:color="auto"/>
              <w:right w:val="nil"/>
            </w:tcBorders>
            <w:noWrap/>
            <w:vAlign w:val="center"/>
          </w:tcPr>
          <w:p w:rsidR="00AF0772" w:rsidRPr="009323F9" w:rsidRDefault="001854EB" w:rsidP="00AF0772">
            <w:pPr>
              <w:widowControl/>
              <w:jc w:val="center"/>
              <w:rPr>
                <w:rFonts w:ascii="宋体" w:hAnsi="宋体" w:cs="宋体"/>
                <w:color w:val="000000"/>
                <w:kern w:val="0"/>
                <w:sz w:val="20"/>
                <w:szCs w:val="20"/>
              </w:rPr>
            </w:pPr>
            <w:r>
              <w:rPr>
                <w:rFonts w:ascii="宋体" w:hAnsi="宋体" w:cs="宋体" w:hint="eastAsia"/>
                <w:color w:val="000000"/>
                <w:kern w:val="0"/>
                <w:sz w:val="20"/>
                <w:szCs w:val="20"/>
              </w:rPr>
              <w:t>96.5</w:t>
            </w:r>
            <w:r w:rsidR="00AF0772" w:rsidRPr="009323F9">
              <w:rPr>
                <w:rFonts w:ascii="宋体" w:hAnsi="宋体" w:cs="宋体" w:hint="eastAsia"/>
                <w:color w:val="000000"/>
                <w:kern w:val="0"/>
                <w:sz w:val="20"/>
                <w:szCs w:val="20"/>
              </w:rPr>
              <w:t xml:space="preserve">　</w:t>
            </w:r>
          </w:p>
        </w:tc>
        <w:tc>
          <w:tcPr>
            <w:tcW w:w="2631" w:type="pct"/>
            <w:gridSpan w:val="6"/>
            <w:tcBorders>
              <w:top w:val="single" w:sz="4" w:space="0" w:color="auto"/>
              <w:left w:val="single" w:sz="4" w:space="0" w:color="auto"/>
              <w:bottom w:val="single" w:sz="4" w:space="0" w:color="auto"/>
              <w:right w:val="single" w:sz="4" w:space="0" w:color="000000"/>
            </w:tcBorders>
            <w:noWrap/>
            <w:vAlign w:val="center"/>
          </w:tcPr>
          <w:p w:rsidR="00AF0772" w:rsidRPr="009323F9" w:rsidRDefault="00AF0772" w:rsidP="00AF0772">
            <w:pPr>
              <w:widowControl/>
              <w:jc w:val="center"/>
              <w:rPr>
                <w:rFonts w:ascii="宋体" w:hAnsi="宋体" w:cs="宋体"/>
                <w:color w:val="000000"/>
                <w:kern w:val="0"/>
                <w:sz w:val="18"/>
                <w:szCs w:val="18"/>
              </w:rPr>
            </w:pPr>
            <w:r w:rsidRPr="009323F9">
              <w:rPr>
                <w:rFonts w:ascii="宋体" w:hAnsi="宋体" w:cs="宋体" w:hint="eastAsia"/>
                <w:color w:val="000000"/>
                <w:kern w:val="0"/>
                <w:sz w:val="18"/>
                <w:szCs w:val="18"/>
              </w:rPr>
              <w:t xml:space="preserve">　</w:t>
            </w:r>
          </w:p>
        </w:tc>
      </w:tr>
    </w:tbl>
    <w:p w:rsidR="009323F9" w:rsidRPr="009323F9" w:rsidRDefault="009323F9" w:rsidP="009323F9">
      <w:pPr>
        <w:spacing w:line="20" w:lineRule="exact"/>
        <w:rPr>
          <w:rFonts w:ascii="方正小标宋简体" w:eastAsia="方正小标宋简体"/>
          <w:sz w:val="36"/>
          <w:szCs w:val="36"/>
        </w:rPr>
      </w:pPr>
    </w:p>
    <w:p w:rsidR="009323F9" w:rsidRDefault="009323F9" w:rsidP="009323F9">
      <w:pPr>
        <w:pStyle w:val="a0"/>
        <w:spacing w:line="580" w:lineRule="exact"/>
        <w:ind w:firstLine="560"/>
        <w:rPr>
          <w:rFonts w:ascii="仿宋_GB2312" w:eastAsia="仿宋_GB2312" w:hAnsi="仿宋_GB2312" w:cs="仿宋_GB2312"/>
          <w:color w:val="000000"/>
          <w:kern w:val="0"/>
          <w:sz w:val="28"/>
          <w:szCs w:val="28"/>
        </w:rPr>
      </w:pPr>
    </w:p>
    <w:p w:rsidR="009323F9" w:rsidRPr="009323F9" w:rsidRDefault="009323F9" w:rsidP="009323F9">
      <w:pPr>
        <w:pStyle w:val="a0"/>
        <w:ind w:firstLine="420"/>
      </w:pPr>
    </w:p>
    <w:sectPr w:rsidR="009323F9" w:rsidRPr="009323F9" w:rsidSect="005D6039">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275" w:rsidRDefault="00177275" w:rsidP="00021229">
      <w:r>
        <w:separator/>
      </w:r>
    </w:p>
  </w:endnote>
  <w:endnote w:type="continuationSeparator" w:id="1">
    <w:p w:rsidR="00177275" w:rsidRDefault="00177275" w:rsidP="000212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方正黑体_GBK">
    <w:altName w:val="Arial Unicode MS"/>
    <w:charset w:val="86"/>
    <w:family w:val="auto"/>
    <w:pitch w:val="default"/>
    <w:sig w:usb0="00000000" w:usb1="00000000" w:usb2="00000000" w:usb3="00000000" w:csb0="00040000" w:csb1="00000000"/>
  </w:font>
  <w:font w:name="方正小标宋简体">
    <w:altName w:val="微软雅黑"/>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275" w:rsidRDefault="00177275" w:rsidP="00021229">
      <w:r>
        <w:separator/>
      </w:r>
    </w:p>
  </w:footnote>
  <w:footnote w:type="continuationSeparator" w:id="1">
    <w:p w:rsidR="00177275" w:rsidRDefault="00177275" w:rsidP="0002122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7FFB472"/>
    <w:multiLevelType w:val="singleLevel"/>
    <w:tmpl w:val="D7FFB472"/>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21229"/>
    <w:rsid w:val="00012DCE"/>
    <w:rsid w:val="00021229"/>
    <w:rsid w:val="000773F8"/>
    <w:rsid w:val="00077B14"/>
    <w:rsid w:val="0008330B"/>
    <w:rsid w:val="00093E8E"/>
    <w:rsid w:val="000B5730"/>
    <w:rsid w:val="000E07E0"/>
    <w:rsid w:val="000E63A9"/>
    <w:rsid w:val="00121EC8"/>
    <w:rsid w:val="00141853"/>
    <w:rsid w:val="00151703"/>
    <w:rsid w:val="00177275"/>
    <w:rsid w:val="001854EB"/>
    <w:rsid w:val="00194AA3"/>
    <w:rsid w:val="001E1B0B"/>
    <w:rsid w:val="002014E1"/>
    <w:rsid w:val="002172BF"/>
    <w:rsid w:val="002176E8"/>
    <w:rsid w:val="002936A1"/>
    <w:rsid w:val="002D74EB"/>
    <w:rsid w:val="002E0C99"/>
    <w:rsid w:val="00301C84"/>
    <w:rsid w:val="003107CF"/>
    <w:rsid w:val="00317EFA"/>
    <w:rsid w:val="003416C8"/>
    <w:rsid w:val="00355CDB"/>
    <w:rsid w:val="0039027A"/>
    <w:rsid w:val="00396AAF"/>
    <w:rsid w:val="003B4DC7"/>
    <w:rsid w:val="003C4B20"/>
    <w:rsid w:val="003F7D50"/>
    <w:rsid w:val="00434A9B"/>
    <w:rsid w:val="00483492"/>
    <w:rsid w:val="004B3B6B"/>
    <w:rsid w:val="004C6C5D"/>
    <w:rsid w:val="004E0150"/>
    <w:rsid w:val="00526EC5"/>
    <w:rsid w:val="00553AF2"/>
    <w:rsid w:val="005A7AFF"/>
    <w:rsid w:val="005D6039"/>
    <w:rsid w:val="00612799"/>
    <w:rsid w:val="00633633"/>
    <w:rsid w:val="006475E4"/>
    <w:rsid w:val="006D7F4A"/>
    <w:rsid w:val="0070017C"/>
    <w:rsid w:val="00702BB7"/>
    <w:rsid w:val="00710F2E"/>
    <w:rsid w:val="00730295"/>
    <w:rsid w:val="00734D9A"/>
    <w:rsid w:val="00737048"/>
    <w:rsid w:val="00746A6F"/>
    <w:rsid w:val="007A2F72"/>
    <w:rsid w:val="0083454D"/>
    <w:rsid w:val="008407ED"/>
    <w:rsid w:val="00846BE1"/>
    <w:rsid w:val="008C799D"/>
    <w:rsid w:val="008D5CE6"/>
    <w:rsid w:val="009323F9"/>
    <w:rsid w:val="0097279E"/>
    <w:rsid w:val="00981886"/>
    <w:rsid w:val="009818B8"/>
    <w:rsid w:val="009B4BB2"/>
    <w:rsid w:val="009D629E"/>
    <w:rsid w:val="009E0FC5"/>
    <w:rsid w:val="00A0183E"/>
    <w:rsid w:val="00A018B0"/>
    <w:rsid w:val="00A535EE"/>
    <w:rsid w:val="00AD714C"/>
    <w:rsid w:val="00AF0772"/>
    <w:rsid w:val="00B5005F"/>
    <w:rsid w:val="00B50728"/>
    <w:rsid w:val="00B92A0E"/>
    <w:rsid w:val="00BA2563"/>
    <w:rsid w:val="00BD3C0A"/>
    <w:rsid w:val="00BF6C6D"/>
    <w:rsid w:val="00C07ABC"/>
    <w:rsid w:val="00C23D1D"/>
    <w:rsid w:val="00C26F8D"/>
    <w:rsid w:val="00C37A77"/>
    <w:rsid w:val="00C61304"/>
    <w:rsid w:val="00C71744"/>
    <w:rsid w:val="00C85B33"/>
    <w:rsid w:val="00C86ED6"/>
    <w:rsid w:val="00CB7802"/>
    <w:rsid w:val="00CC6E7A"/>
    <w:rsid w:val="00CD544A"/>
    <w:rsid w:val="00CD5DF5"/>
    <w:rsid w:val="00D26BA4"/>
    <w:rsid w:val="00D51E25"/>
    <w:rsid w:val="00D527B5"/>
    <w:rsid w:val="00DA6FE9"/>
    <w:rsid w:val="00E31B73"/>
    <w:rsid w:val="00E36602"/>
    <w:rsid w:val="00E57E82"/>
    <w:rsid w:val="00E611F0"/>
    <w:rsid w:val="00EC7899"/>
    <w:rsid w:val="00F02E67"/>
    <w:rsid w:val="00F34280"/>
    <w:rsid w:val="00F36928"/>
    <w:rsid w:val="00F618BC"/>
    <w:rsid w:val="00F72483"/>
    <w:rsid w:val="00FD50F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121EC8"/>
    <w:pPr>
      <w:widowControl w:val="0"/>
      <w:jc w:val="both"/>
    </w:pPr>
    <w:rPr>
      <w:rFonts w:ascii="Times New Roman" w:eastAsia="宋体" w:hAnsi="Times New Roman"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02122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021229"/>
    <w:rPr>
      <w:sz w:val="18"/>
      <w:szCs w:val="18"/>
    </w:rPr>
  </w:style>
  <w:style w:type="paragraph" w:styleId="a5">
    <w:name w:val="footer"/>
    <w:basedOn w:val="a"/>
    <w:link w:val="Char0"/>
    <w:uiPriority w:val="99"/>
    <w:unhideWhenUsed/>
    <w:rsid w:val="00021229"/>
    <w:pPr>
      <w:tabs>
        <w:tab w:val="center" w:pos="4153"/>
        <w:tab w:val="right" w:pos="8306"/>
      </w:tabs>
      <w:snapToGrid w:val="0"/>
      <w:jc w:val="left"/>
    </w:pPr>
    <w:rPr>
      <w:sz w:val="18"/>
      <w:szCs w:val="18"/>
    </w:rPr>
  </w:style>
  <w:style w:type="character" w:customStyle="1" w:styleId="Char0">
    <w:name w:val="页脚 Char"/>
    <w:basedOn w:val="a1"/>
    <w:link w:val="a5"/>
    <w:uiPriority w:val="99"/>
    <w:rsid w:val="00021229"/>
    <w:rPr>
      <w:sz w:val="18"/>
      <w:szCs w:val="18"/>
    </w:rPr>
  </w:style>
  <w:style w:type="paragraph" w:styleId="a0">
    <w:name w:val="Normal Indent"/>
    <w:basedOn w:val="a"/>
    <w:qFormat/>
    <w:rsid w:val="00021229"/>
    <w:pPr>
      <w:ind w:firstLineChars="200" w:firstLine="200"/>
    </w:pPr>
  </w:style>
</w:styles>
</file>

<file path=word/webSettings.xml><?xml version="1.0" encoding="utf-8"?>
<w:webSettings xmlns:r="http://schemas.openxmlformats.org/officeDocument/2006/relationships" xmlns:w="http://schemas.openxmlformats.org/wordprocessingml/2006/main">
  <w:divs>
    <w:div w:id="52196757">
      <w:bodyDiv w:val="1"/>
      <w:marLeft w:val="0"/>
      <w:marRight w:val="0"/>
      <w:marTop w:val="0"/>
      <w:marBottom w:val="0"/>
      <w:divBdr>
        <w:top w:val="none" w:sz="0" w:space="0" w:color="auto"/>
        <w:left w:val="none" w:sz="0" w:space="0" w:color="auto"/>
        <w:bottom w:val="none" w:sz="0" w:space="0" w:color="auto"/>
        <w:right w:val="none" w:sz="0" w:space="0" w:color="auto"/>
      </w:divBdr>
    </w:div>
    <w:div w:id="719592234">
      <w:bodyDiv w:val="1"/>
      <w:marLeft w:val="0"/>
      <w:marRight w:val="0"/>
      <w:marTop w:val="0"/>
      <w:marBottom w:val="0"/>
      <w:divBdr>
        <w:top w:val="none" w:sz="0" w:space="0" w:color="auto"/>
        <w:left w:val="none" w:sz="0" w:space="0" w:color="auto"/>
        <w:bottom w:val="none" w:sz="0" w:space="0" w:color="auto"/>
        <w:right w:val="none" w:sz="0" w:space="0" w:color="auto"/>
      </w:divBdr>
    </w:div>
    <w:div w:id="1778519015">
      <w:bodyDiv w:val="1"/>
      <w:marLeft w:val="0"/>
      <w:marRight w:val="0"/>
      <w:marTop w:val="0"/>
      <w:marBottom w:val="0"/>
      <w:divBdr>
        <w:top w:val="none" w:sz="0" w:space="0" w:color="auto"/>
        <w:left w:val="none" w:sz="0" w:space="0" w:color="auto"/>
        <w:bottom w:val="none" w:sz="0" w:space="0" w:color="auto"/>
        <w:right w:val="none" w:sz="0" w:space="0" w:color="auto"/>
      </w:divBdr>
    </w:div>
    <w:div w:id="1945451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463</TotalTime>
  <Pages>23</Pages>
  <Words>1655</Words>
  <Characters>9439</Characters>
  <Application>Microsoft Office Word</Application>
  <DocSecurity>0</DocSecurity>
  <Lines>78</Lines>
  <Paragraphs>22</Paragraphs>
  <ScaleCrop>false</ScaleCrop>
  <Company>Microsoft</Company>
  <LinksUpToDate>false</LinksUpToDate>
  <CharactersWithSpaces>11072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104</cp:revision>
  <dcterms:created xsi:type="dcterms:W3CDTF">2022-08-23T02:39:00Z</dcterms:created>
  <dcterms:modified xsi:type="dcterms:W3CDTF">2024-05-13T05:37:00Z</dcterms:modified>
</cp:coreProperties>
</file>