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722" w:firstLineChars="200"/>
        <w:jc w:val="center"/>
        <w:rPr>
          <w:rFonts w:hint="default" w:ascii="Times New Roman" w:hAnsi="Times New Roman" w:eastAsia="宋体" w:cs="Times New Roman"/>
          <w:b/>
          <w:color w:val="auto"/>
          <w:sz w:val="36"/>
          <w:szCs w:val="44"/>
          <w:highlight w:val="none"/>
        </w:rPr>
      </w:pPr>
    </w:p>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default" w:ascii="Times New Roman" w:hAnsi="Times New Roman" w:eastAsia="方正小标宋_GBK" w:cs="Times New Roman"/>
          <w:b w:val="0"/>
          <w:bCs/>
          <w:color w:val="auto"/>
          <w:sz w:val="44"/>
          <w:szCs w:val="44"/>
          <w:highlight w:val="none"/>
        </w:rPr>
      </w:pPr>
      <w:r>
        <w:rPr>
          <w:rFonts w:hint="default" w:ascii="Times New Roman" w:hAnsi="Times New Roman" w:eastAsia="方正小标宋_GBK" w:cs="Times New Roman"/>
          <w:b w:val="0"/>
          <w:bCs/>
          <w:color w:val="auto"/>
          <w:sz w:val="44"/>
          <w:szCs w:val="44"/>
          <w:highlight w:val="none"/>
        </w:rPr>
        <w:t>北京市国家文物保护资金转移支付</w:t>
      </w:r>
    </w:p>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default" w:ascii="Times New Roman" w:hAnsi="Times New Roman" w:eastAsia="方正小标宋_GBK" w:cs="Times New Roman"/>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20</w:t>
      </w:r>
      <w:r>
        <w:rPr>
          <w:rFonts w:hint="eastAsia" w:ascii="方正小标宋_GBK" w:hAnsi="方正小标宋_GBK" w:eastAsia="方正小标宋_GBK" w:cs="方正小标宋_GBK"/>
          <w:b w:val="0"/>
          <w:bCs/>
          <w:color w:val="auto"/>
          <w:sz w:val="44"/>
          <w:szCs w:val="44"/>
          <w:highlight w:val="none"/>
          <w:lang w:val="en-US" w:eastAsia="zh-CN"/>
        </w:rPr>
        <w:t>23</w:t>
      </w:r>
      <w:r>
        <w:rPr>
          <w:rFonts w:hint="eastAsia" w:ascii="方正小标宋_GBK" w:hAnsi="方正小标宋_GBK" w:eastAsia="方正小标宋_GBK" w:cs="方正小标宋_GBK"/>
          <w:b w:val="0"/>
          <w:bCs/>
          <w:color w:val="auto"/>
          <w:sz w:val="44"/>
          <w:szCs w:val="44"/>
          <w:highlight w:val="none"/>
        </w:rPr>
        <w:t>年度绩效</w:t>
      </w:r>
      <w:r>
        <w:rPr>
          <w:rFonts w:hint="default" w:ascii="Times New Roman" w:hAnsi="Times New Roman" w:eastAsia="方正小标宋_GBK" w:cs="Times New Roman"/>
          <w:b w:val="0"/>
          <w:bCs/>
          <w:color w:val="auto"/>
          <w:sz w:val="44"/>
          <w:szCs w:val="44"/>
          <w:highlight w:val="none"/>
        </w:rPr>
        <w:t>自评报告</w:t>
      </w:r>
    </w:p>
    <w:p>
      <w:pPr>
        <w:keepNext w:val="0"/>
        <w:keepLines w:val="0"/>
        <w:pageBreakBefore w:val="0"/>
        <w:widowControl w:val="0"/>
        <w:kinsoku/>
        <w:wordWrap/>
        <w:overflowPunct/>
        <w:topLinePunct w:val="0"/>
        <w:autoSpaceDE/>
        <w:autoSpaceDN/>
        <w:bidi w:val="0"/>
        <w:adjustRightInd w:val="0"/>
        <w:snapToGrid w:val="0"/>
        <w:spacing w:line="360" w:lineRule="auto"/>
        <w:ind w:firstLine="200" w:firstLineChars="200"/>
        <w:textAlignment w:val="auto"/>
        <w:outlineLvl w:val="9"/>
        <w:rPr>
          <w:rFonts w:hint="default" w:ascii="Times New Roman" w:hAnsi="Times New Roman" w:cs="Times New Roman"/>
          <w:color w:val="auto"/>
          <w:sz w:val="10"/>
          <w:szCs w:val="10"/>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为深入贯彻落实《中共中央国务院关于全面实施预算绩效</w:t>
      </w:r>
      <w:r>
        <w:rPr>
          <w:rFonts w:hint="eastAsia" w:ascii="方正仿宋_GBK" w:hAnsi="方正仿宋_GBK" w:eastAsia="方正仿宋_GBK" w:cs="方正仿宋_GBK"/>
          <w:color w:val="auto"/>
          <w:sz w:val="32"/>
          <w:szCs w:val="32"/>
          <w:highlight w:val="none"/>
        </w:rPr>
        <w:t>管理的意见》文件精神</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根据财政部</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关于开展2023年度中央对地方转移支付预算执行情况绩效自评工作的通知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财</w:t>
      </w:r>
      <w:r>
        <w:rPr>
          <w:rFonts w:hint="eastAsia" w:ascii="方正仿宋_GBK" w:hAnsi="方正仿宋_GBK" w:eastAsia="方正仿宋_GBK" w:cs="方正仿宋_GBK"/>
          <w:color w:val="auto"/>
          <w:sz w:val="32"/>
          <w:szCs w:val="32"/>
          <w:highlight w:val="none"/>
          <w:lang w:eastAsia="zh-CN"/>
        </w:rPr>
        <w:t>监</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2024</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rPr>
        <w:t>3号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国家文物局办公室</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关于积极做好202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年度国家文物保护资金预算执行情况绩效自评工作的通知</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办办函〔202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166</w:t>
      </w:r>
      <w:r>
        <w:rPr>
          <w:rFonts w:hint="eastAsia" w:ascii="方正仿宋_GBK" w:hAnsi="方正仿宋_GBK" w:eastAsia="方正仿宋_GBK" w:cs="方正仿宋_GBK"/>
          <w:color w:val="auto"/>
          <w:sz w:val="32"/>
          <w:szCs w:val="32"/>
          <w:highlight w:val="none"/>
        </w:rPr>
        <w:t>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要求</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我</w:t>
      </w:r>
      <w:r>
        <w:rPr>
          <w:rFonts w:hint="eastAsia" w:ascii="方正仿宋_GBK" w:hAnsi="方正仿宋_GBK" w:eastAsia="方正仿宋_GBK" w:cs="方正仿宋_GBK"/>
          <w:color w:val="auto"/>
          <w:sz w:val="32"/>
          <w:szCs w:val="32"/>
          <w:highlight w:val="none"/>
          <w:lang w:eastAsia="zh-CN"/>
        </w:rPr>
        <w:t>市</w:t>
      </w:r>
      <w:r>
        <w:rPr>
          <w:rFonts w:hint="eastAsia" w:ascii="方正仿宋_GBK" w:hAnsi="方正仿宋_GBK" w:eastAsia="方正仿宋_GBK" w:cs="方正仿宋_GBK"/>
          <w:color w:val="auto"/>
          <w:sz w:val="32"/>
          <w:szCs w:val="32"/>
          <w:highlight w:val="none"/>
        </w:rPr>
        <w:t>对202</w:t>
      </w:r>
      <w:r>
        <w:rPr>
          <w:rFonts w:hint="eastAsia" w:ascii="方正仿宋_GBK" w:hAnsi="方正仿宋_GBK" w:eastAsia="方正仿宋_GBK" w:cs="方正仿宋_GBK"/>
          <w:color w:val="auto"/>
          <w:sz w:val="32"/>
          <w:szCs w:val="32"/>
          <w:highlight w:val="none"/>
          <w:lang w:val="en-US" w:eastAsia="zh-CN"/>
        </w:rPr>
        <w:t>3</w:t>
      </w:r>
      <w:r>
        <w:rPr>
          <w:rFonts w:hint="default" w:ascii="Times New Roman" w:hAnsi="Times New Roman" w:cs="Times New Roman"/>
          <w:color w:val="auto"/>
          <w:sz w:val="32"/>
          <w:szCs w:val="32"/>
          <w:highlight w:val="none"/>
        </w:rPr>
        <w:t>年度国家文物保护资金预算执行情况进行了绩效评价</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最终形成了绩效</w:t>
      </w:r>
      <w:r>
        <w:rPr>
          <w:rFonts w:hint="default" w:ascii="Times New Roman" w:hAnsi="Times New Roman" w:cs="Times New Roman"/>
          <w:color w:val="auto"/>
          <w:sz w:val="32"/>
          <w:szCs w:val="32"/>
          <w:highlight w:val="none"/>
          <w:lang w:val="en-US" w:eastAsia="zh-CN"/>
        </w:rPr>
        <w:t>自评</w:t>
      </w:r>
      <w:r>
        <w:rPr>
          <w:rFonts w:hint="default" w:ascii="Times New Roman" w:hAnsi="Times New Roman" w:cs="Times New Roman"/>
          <w:color w:val="auto"/>
          <w:sz w:val="32"/>
          <w:szCs w:val="32"/>
          <w:highlight w:val="none"/>
        </w:rPr>
        <w:t>报告如下</w:t>
      </w:r>
      <w:r>
        <w:rPr>
          <w:rFonts w:hint="default" w:ascii="Times New Roman" w:hAnsi="Times New Roman" w:cs="Times New Roman"/>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default" w:ascii="Times New Roman" w:hAnsi="Times New Roman" w:eastAsia="黑体" w:cs="Times New Roman"/>
          <w:b/>
          <w:color w:val="auto"/>
          <w:sz w:val="32"/>
          <w:szCs w:val="32"/>
          <w:highlight w:val="none"/>
        </w:rPr>
      </w:pPr>
      <w:r>
        <w:rPr>
          <w:rFonts w:hint="default" w:ascii="Times New Roman" w:hAnsi="Times New Roman" w:eastAsia="黑体" w:cs="Times New Roman"/>
          <w:b/>
          <w:color w:val="auto"/>
          <w:sz w:val="32"/>
          <w:szCs w:val="32"/>
          <w:highlight w:val="none"/>
        </w:rPr>
        <w:t>一、绩效目标分解下达情况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（一）中央下达国家文物保护</w:t>
      </w:r>
      <w:r>
        <w:rPr>
          <w:rFonts w:hint="eastAsia" w:cs="Times New Roman"/>
          <w:b w:val="0"/>
          <w:bCs w:val="0"/>
          <w:color w:val="auto"/>
          <w:sz w:val="32"/>
          <w:szCs w:val="32"/>
          <w:highlight w:val="none"/>
          <w:lang w:eastAsia="zh-CN"/>
        </w:rPr>
        <w:t>资金</w:t>
      </w:r>
      <w:bookmarkStart w:id="0" w:name="_GoBack"/>
      <w:bookmarkEnd w:id="0"/>
      <w:r>
        <w:rPr>
          <w:rFonts w:hint="default" w:ascii="Times New Roman" w:hAnsi="Times New Roman" w:cs="Times New Roman"/>
          <w:b w:val="0"/>
          <w:bCs w:val="0"/>
          <w:color w:val="auto"/>
          <w:sz w:val="32"/>
          <w:szCs w:val="32"/>
          <w:highlight w:val="none"/>
        </w:rPr>
        <w:t>转移支付预算和绩效目标情况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rPr>
        <w:t>根据《财政部关于提前下达2023年国家文物保护资金预算的通知》（财</w:t>
      </w:r>
      <w:r>
        <w:rPr>
          <w:rFonts w:hint="eastAsia" w:ascii="方正仿宋_GBK" w:hAnsi="方正仿宋_GBK" w:eastAsia="方正仿宋_GBK" w:cs="方正仿宋_GBK"/>
          <w:color w:val="auto"/>
          <w:sz w:val="32"/>
          <w:szCs w:val="32"/>
          <w:highlight w:val="none"/>
          <w:lang w:val="en-US" w:eastAsia="zh-CN"/>
        </w:rPr>
        <w:t>教</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219</w:t>
      </w:r>
      <w:r>
        <w:rPr>
          <w:rFonts w:hint="eastAsia" w:ascii="方正仿宋_GBK" w:hAnsi="方正仿宋_GBK" w:eastAsia="方正仿宋_GBK" w:cs="方正仿宋_GBK"/>
          <w:color w:val="auto"/>
          <w:sz w:val="32"/>
          <w:szCs w:val="32"/>
          <w:highlight w:val="none"/>
        </w:rPr>
        <w:t>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《财政部关于下达2023年国家文物保护资金预算的通知》（财</w:t>
      </w:r>
      <w:r>
        <w:rPr>
          <w:rFonts w:hint="eastAsia" w:ascii="方正仿宋_GBK" w:hAnsi="方正仿宋_GBK" w:eastAsia="方正仿宋_GBK" w:cs="方正仿宋_GBK"/>
          <w:color w:val="auto"/>
          <w:sz w:val="32"/>
          <w:szCs w:val="32"/>
          <w:highlight w:val="none"/>
          <w:lang w:val="en-US" w:eastAsia="zh-CN"/>
        </w:rPr>
        <w:t>教</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55</w:t>
      </w:r>
      <w:r>
        <w:rPr>
          <w:rFonts w:hint="eastAsia" w:ascii="方正仿宋_GBK" w:hAnsi="方正仿宋_GBK" w:eastAsia="方正仿宋_GBK" w:cs="方正仿宋_GBK"/>
          <w:color w:val="auto"/>
          <w:sz w:val="32"/>
          <w:szCs w:val="32"/>
          <w:highlight w:val="none"/>
        </w:rPr>
        <w:t>号），202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年</w:t>
      </w:r>
      <w:r>
        <w:rPr>
          <w:rFonts w:hint="default" w:ascii="Times New Roman" w:hAnsi="Times New Roman" w:cs="Times New Roman"/>
          <w:color w:val="auto"/>
          <w:sz w:val="32"/>
          <w:szCs w:val="32"/>
          <w:highlight w:val="none"/>
        </w:rPr>
        <w:t>度</w:t>
      </w:r>
      <w:r>
        <w:rPr>
          <w:rFonts w:hint="eastAsia" w:ascii="方正仿宋_GBK" w:hAnsi="方正仿宋_GBK" w:eastAsia="方正仿宋_GBK" w:cs="方正仿宋_GBK"/>
          <w:color w:val="auto"/>
          <w:sz w:val="32"/>
          <w:szCs w:val="32"/>
          <w:highlight w:val="none"/>
        </w:rPr>
        <w:t>中央</w:t>
      </w:r>
      <w:r>
        <w:rPr>
          <w:rFonts w:hint="eastAsia" w:ascii="方正仿宋_GBK" w:hAnsi="方正仿宋_GBK" w:eastAsia="方正仿宋_GBK" w:cs="方正仿宋_GBK"/>
          <w:color w:val="auto"/>
          <w:sz w:val="32"/>
          <w:szCs w:val="32"/>
          <w:highlight w:val="none"/>
          <w:lang w:val="en-US" w:eastAsia="zh-CN"/>
        </w:rPr>
        <w:t>下达</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rPr>
        <w:t>国家文物保护资金（以下简称</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文保</w:t>
      </w:r>
      <w:r>
        <w:rPr>
          <w:rFonts w:hint="eastAsia" w:ascii="方正仿宋_GBK" w:hAnsi="方正仿宋_GBK" w:eastAsia="方正仿宋_GBK" w:cs="方正仿宋_GBK"/>
          <w:color w:val="auto"/>
          <w:sz w:val="32"/>
          <w:szCs w:val="32"/>
          <w:highlight w:val="none"/>
        </w:rPr>
        <w:t>资金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13,627.00</w:t>
      </w:r>
      <w:r>
        <w:rPr>
          <w:rFonts w:hint="eastAsia" w:ascii="方正仿宋_GBK" w:hAnsi="方正仿宋_GBK" w:eastAsia="方正仿宋_GBK" w:cs="方正仿宋_GBK"/>
          <w:color w:val="auto"/>
          <w:sz w:val="32"/>
          <w:szCs w:val="32"/>
          <w:highlight w:val="none"/>
        </w:rPr>
        <w:t>万元。</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结合北京市实际，设置了</w:t>
      </w:r>
      <w:r>
        <w:rPr>
          <w:rFonts w:hint="eastAsia" w:ascii="方正仿宋_GBK" w:hAnsi="方正仿宋_GBK" w:eastAsia="方正仿宋_GBK" w:cs="方正仿宋_GBK"/>
          <w:color w:val="auto"/>
          <w:sz w:val="32"/>
          <w:szCs w:val="32"/>
          <w:highlight w:val="none"/>
          <w:lang w:val="en-US" w:eastAsia="zh-CN"/>
        </w:rPr>
        <w:t>文保</w:t>
      </w:r>
      <w:r>
        <w:rPr>
          <w:rFonts w:hint="eastAsia" w:ascii="方正仿宋_GBK" w:hAnsi="方正仿宋_GBK" w:eastAsia="方正仿宋_GBK" w:cs="方正仿宋_GBK"/>
          <w:color w:val="auto"/>
          <w:sz w:val="32"/>
          <w:szCs w:val="32"/>
          <w:highlight w:val="none"/>
        </w:rPr>
        <w:t>资金</w:t>
      </w:r>
      <w:r>
        <w:rPr>
          <w:rFonts w:hint="default" w:ascii="Times New Roman" w:hAnsi="Times New Roman" w:cs="Times New Roman"/>
          <w:color w:val="auto"/>
          <w:sz w:val="32"/>
          <w:szCs w:val="32"/>
          <w:highlight w:val="none"/>
          <w:lang w:val="en-US" w:eastAsia="zh-CN"/>
        </w:rPr>
        <w:t>区域绩效目标，总体绩效目标为：加强文物保护利用，提升文物安全水平，传承中华优秀传统文化，促进文物事业与经济社会和谐发展。整体绩效目标随预算一并下达。</w:t>
      </w:r>
    </w:p>
    <w:p>
      <w:pPr>
        <w:keepNext w:val="0"/>
        <w:keepLines w:val="0"/>
        <w:pageBreakBefore w:val="0"/>
        <w:widowControl w:val="0"/>
        <w:numPr>
          <w:ilvl w:val="-1"/>
          <w:numId w:val="0"/>
        </w:numPr>
        <w:kinsoku/>
        <w:wordWrap/>
        <w:overflowPunct/>
        <w:topLinePunct w:val="0"/>
        <w:autoSpaceDE/>
        <w:autoSpaceDN/>
        <w:bidi w:val="0"/>
        <w:adjustRightInd w:val="0"/>
        <w:snapToGrid w:val="0"/>
        <w:spacing w:line="360" w:lineRule="auto"/>
        <w:ind w:firstLine="640" w:firstLineChars="200"/>
        <w:textAlignment w:val="auto"/>
        <w:outlineLvl w:val="1"/>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eastAsia="zh-CN"/>
        </w:rPr>
        <w:t>（二）市</w:t>
      </w:r>
      <w:r>
        <w:rPr>
          <w:rFonts w:hint="default" w:ascii="Times New Roman" w:hAnsi="Times New Roman" w:cs="Times New Roman"/>
          <w:b w:val="0"/>
          <w:bCs w:val="0"/>
          <w:color w:val="auto"/>
          <w:sz w:val="32"/>
          <w:szCs w:val="32"/>
          <w:highlight w:val="none"/>
        </w:rPr>
        <w:t>内资金安排、分解下达预算和绩效目标情况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1.资金安排、分解下达预算情况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default" w:ascii="Times New Roman" w:hAnsi="Times New Roman" w:cs="Times New Roman"/>
          <w:color w:val="auto"/>
          <w:sz w:val="32"/>
          <w:szCs w:val="32"/>
          <w:highlight w:val="none"/>
        </w:rPr>
        <w:t>根据《财政部国家文物局关于印发</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国家文物保护专项资金</w:t>
      </w:r>
      <w:r>
        <w:rPr>
          <w:rFonts w:hint="eastAsia" w:ascii="方正仿宋_GBK" w:hAnsi="方正仿宋_GBK" w:eastAsia="方正仿宋_GBK" w:cs="方正仿宋_GBK"/>
          <w:color w:val="auto"/>
          <w:sz w:val="32"/>
          <w:szCs w:val="32"/>
          <w:highlight w:val="none"/>
        </w:rPr>
        <w:t>管理办法</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的通知》（财文〔2018〕178号）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以下简称“《</w:t>
      </w:r>
      <w:r>
        <w:rPr>
          <w:rFonts w:hint="eastAsia" w:ascii="方正仿宋_GBK" w:hAnsi="方正仿宋_GBK" w:eastAsia="方正仿宋_GBK" w:cs="方正仿宋_GBK"/>
          <w:color w:val="auto"/>
          <w:sz w:val="32"/>
          <w:szCs w:val="32"/>
          <w:highlight w:val="none"/>
        </w:rPr>
        <w:t>国家文物保护专项资金管理办法</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的要求，结合</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rPr>
        <w:t>文物保护工作的实际情况，202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年</w:t>
      </w:r>
      <w:r>
        <w:rPr>
          <w:rFonts w:hint="default" w:ascii="Times New Roman" w:hAnsi="Times New Roman" w:cs="Times New Roman"/>
          <w:color w:val="auto"/>
          <w:sz w:val="32"/>
          <w:szCs w:val="32"/>
          <w:highlight w:val="none"/>
        </w:rPr>
        <w:t>度</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lang w:val="en-US" w:eastAsia="zh-CN"/>
        </w:rPr>
        <w:t>支持</w:t>
      </w:r>
      <w:r>
        <w:rPr>
          <w:rFonts w:hint="eastAsia" w:ascii="方正仿宋_GBK" w:hAnsi="方正仿宋_GBK" w:eastAsia="方正仿宋_GBK" w:cs="方正仿宋_GBK"/>
          <w:color w:val="auto"/>
          <w:sz w:val="32"/>
          <w:szCs w:val="32"/>
          <w:highlight w:val="none"/>
        </w:rPr>
        <w:t>文物保护项目</w:t>
      </w:r>
      <w:r>
        <w:rPr>
          <w:rFonts w:hint="eastAsia" w:ascii="方正仿宋_GBK" w:hAnsi="方正仿宋_GBK" w:eastAsia="方正仿宋_GBK" w:cs="方正仿宋_GBK"/>
          <w:color w:val="auto"/>
          <w:sz w:val="32"/>
          <w:szCs w:val="32"/>
          <w:highlight w:val="none"/>
          <w:lang w:val="en-US" w:eastAsia="zh-CN"/>
        </w:rPr>
        <w:t>24</w:t>
      </w:r>
      <w:r>
        <w:rPr>
          <w:rFonts w:hint="eastAsia" w:ascii="方正仿宋_GBK" w:hAnsi="方正仿宋_GBK" w:eastAsia="方正仿宋_GBK" w:cs="方正仿宋_GBK"/>
          <w:color w:val="auto"/>
          <w:sz w:val="32"/>
          <w:szCs w:val="32"/>
          <w:highlight w:val="none"/>
        </w:rPr>
        <w:t>个，分解下达</w:t>
      </w:r>
      <w:r>
        <w:rPr>
          <w:rFonts w:hint="eastAsia" w:ascii="方正仿宋_GBK" w:hAnsi="方正仿宋_GBK" w:eastAsia="方正仿宋_GBK" w:cs="方正仿宋_GBK"/>
          <w:color w:val="auto"/>
          <w:sz w:val="32"/>
          <w:szCs w:val="32"/>
          <w:highlight w:val="none"/>
          <w:lang w:val="en-US" w:eastAsia="zh-CN"/>
        </w:rPr>
        <w:t>文保资金13,627.00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。其中：</w:t>
      </w:r>
      <w:r>
        <w:rPr>
          <w:rFonts w:hint="eastAsia" w:ascii="方正仿宋_GBK" w:hAnsi="方正仿宋_GBK" w:eastAsia="方正仿宋_GBK" w:cs="方正仿宋_GBK"/>
          <w:color w:val="auto"/>
          <w:sz w:val="32"/>
          <w:szCs w:val="32"/>
          <w:highlight w:val="none"/>
          <w:lang w:val="en-US" w:eastAsia="zh-CN"/>
        </w:rPr>
        <w:t>支持</w:t>
      </w:r>
      <w:r>
        <w:rPr>
          <w:rFonts w:hint="eastAsia" w:ascii="方正仿宋_GBK" w:hAnsi="方正仿宋_GBK" w:eastAsia="方正仿宋_GBK" w:cs="方正仿宋_GBK"/>
          <w:color w:val="auto"/>
          <w:sz w:val="32"/>
          <w:szCs w:val="32"/>
          <w:highlight w:val="none"/>
        </w:rPr>
        <w:t>重点项目</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val="en-US" w:eastAsia="zh-CN"/>
        </w:rPr>
        <w:t>安排</w:t>
      </w:r>
      <w:r>
        <w:rPr>
          <w:rFonts w:hint="eastAsia" w:ascii="方正仿宋_GBK" w:hAnsi="方正仿宋_GBK" w:eastAsia="方正仿宋_GBK" w:cs="方正仿宋_GBK"/>
          <w:color w:val="auto"/>
          <w:sz w:val="32"/>
          <w:szCs w:val="32"/>
          <w:highlight w:val="none"/>
          <w:lang w:eastAsia="zh-CN"/>
        </w:rPr>
        <w:t>资金</w:t>
      </w:r>
      <w:r>
        <w:rPr>
          <w:rFonts w:hint="eastAsia" w:ascii="方正仿宋_GBK" w:hAnsi="方正仿宋_GBK" w:eastAsia="方正仿宋_GBK" w:cs="方正仿宋_GBK"/>
          <w:color w:val="auto"/>
          <w:sz w:val="32"/>
          <w:szCs w:val="32"/>
          <w:highlight w:val="none"/>
          <w:lang w:val="en-US" w:eastAsia="zh-CN"/>
        </w:rPr>
        <w:t>140.00万元；支持</w:t>
      </w:r>
      <w:r>
        <w:rPr>
          <w:rFonts w:hint="eastAsia" w:ascii="方正仿宋_GBK" w:hAnsi="方正仿宋_GBK" w:eastAsia="方正仿宋_GBK" w:cs="方正仿宋_GBK"/>
          <w:color w:val="auto"/>
          <w:sz w:val="32"/>
          <w:szCs w:val="32"/>
          <w:highlight w:val="none"/>
        </w:rPr>
        <w:t>一般项目</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安排</w:t>
      </w:r>
      <w:r>
        <w:rPr>
          <w:rFonts w:hint="eastAsia" w:ascii="方正仿宋_GBK" w:hAnsi="方正仿宋_GBK" w:eastAsia="方正仿宋_GBK" w:cs="方正仿宋_GBK"/>
          <w:color w:val="auto"/>
          <w:sz w:val="32"/>
          <w:szCs w:val="32"/>
          <w:highlight w:val="none"/>
          <w:lang w:eastAsia="zh-CN"/>
        </w:rPr>
        <w:t>资金</w:t>
      </w:r>
      <w:r>
        <w:rPr>
          <w:rFonts w:hint="eastAsia" w:ascii="方正仿宋_GBK" w:hAnsi="方正仿宋_GBK" w:eastAsia="方正仿宋_GBK" w:cs="方正仿宋_GBK"/>
          <w:color w:val="auto"/>
          <w:sz w:val="32"/>
          <w:szCs w:val="32"/>
          <w:highlight w:val="none"/>
          <w:lang w:val="en-US" w:eastAsia="zh-CN"/>
        </w:rPr>
        <w:t>13,487.00万元，具体文保资金安排、分解下达情况见表1。</w:t>
      </w:r>
    </w:p>
    <w:p>
      <w:pPr>
        <w:pStyle w:val="10"/>
        <w:ind w:firstLine="1440" w:firstLineChars="600"/>
        <w:jc w:val="both"/>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表1：2023年文保资金安排、分解下达表</w:t>
      </w:r>
    </w:p>
    <w:p>
      <w:pPr>
        <w:pStyle w:val="10"/>
        <w:jc w:val="right"/>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单位：万元</w:t>
      </w:r>
    </w:p>
    <w:tbl>
      <w:tblPr>
        <w:tblStyle w:val="7"/>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640"/>
        <w:gridCol w:w="2926"/>
        <w:gridCol w:w="3734"/>
        <w:gridCol w:w="1219"/>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0" w:hRule="atLeast"/>
          <w:tblHeader/>
        </w:trPr>
        <w:tc>
          <w:tcPr>
            <w:tcW w:w="37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序号</w:t>
            </w:r>
          </w:p>
        </w:tc>
        <w:tc>
          <w:tcPr>
            <w:tcW w:w="1717"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项目实施单位</w:t>
            </w:r>
          </w:p>
        </w:tc>
        <w:tc>
          <w:tcPr>
            <w:tcW w:w="219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项目名称</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lang w:val="en-US"/>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安排资金</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一、</w:t>
            </w:r>
          </w:p>
        </w:tc>
        <w:tc>
          <w:tcPr>
            <w:tcW w:w="3907" w:type="pct"/>
            <w:gridSpan w:val="2"/>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重点项目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140.00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圆明园管理处</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圆明园遗址西洋楼片区数字化展示工程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二</w:t>
            </w:r>
          </w:p>
        </w:tc>
        <w:tc>
          <w:tcPr>
            <w:tcW w:w="3907" w:type="pct"/>
            <w:gridSpan w:val="2"/>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一般项目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13,487.00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北京市考古研究院</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琉璃河遗址出土文物实验室考古及保护研究（2022年-2024年）专项方案</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206.00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珍贵纸质文物保护修复项目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北京艺术博物馆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北京艺术博物馆馆藏织绣珍贵文物保护修复</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正阳门监测预警试点</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349.00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北京市颐和园管理处</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颐和园养云轩院修缮工程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北京市昌平区明十三陵管理中心</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明十三陵定陵宝顶修整及封土排水系统疏浚前期勘察研究</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北京市延庆区博物馆（北京市延庆区文物管理所）</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延庆长城60-64号敌台及59-64号敌台间边墙保护修缮项目工程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北京湖广会馆防雷升级改造工程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德胜门箭楼消防升级改造项目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北京房山云居寺文物管理处</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云居寺塔及石经安防升级改造工程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北京民俗博物馆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北京东岳庙彩塑保护前期勘察项目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北京民俗博物馆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北京东岳庙彩画保护前期勘察项目</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北京市朝阳区日坛公园</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日坛建筑群修缮工程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北京市石景山区承恩寺文物保管所</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石景山承恩寺修缮工程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北京市东城区人民政府建国门街道办事处</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禄米仓1、2、3号仓廒修缮工程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1,044.00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先农坛庆成宫保护修缮工程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3,504.00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先农坛庆成宫、神厨院及宰牲亭彩画保护工程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698.00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先农坛拜殿、神厨、神仓、庆成宫防雷升级改造工程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先农坛消防二期升级改造工程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233.00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先农坛庆成宫、神仓院、地祈坛、具服殿等增设部分安防设施设备</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396.00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北京市佛教协会</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天宁寺塔砖雕、泥塑造像保护前期研究报告</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750.00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376"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1717"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北京市延庆区八达岭长城管理处</w:t>
            </w:r>
          </w:p>
        </w:tc>
        <w:tc>
          <w:tcPr>
            <w:tcW w:w="2190"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延庆区长城14-23敌台及墙体安防升级改造工程</w:t>
            </w:r>
          </w:p>
        </w:tc>
        <w:tc>
          <w:tcPr>
            <w:tcW w:w="7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499.00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0" w:hRule="atLeast"/>
          <w:tblHeader/>
        </w:trPr>
        <w:tc>
          <w:tcPr>
            <w:tcW w:w="4284" w:type="pct"/>
            <w:gridSpan w:val="3"/>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合计</w:t>
            </w:r>
          </w:p>
        </w:tc>
        <w:tc>
          <w:tcPr>
            <w:tcW w:w="715"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13,627.00</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2" w:firstLineChars="200"/>
        <w:textAlignment w:val="auto"/>
        <w:outlineLvl w:val="1"/>
        <w:rPr>
          <w:rFonts w:hint="default" w:ascii="Times New Roman" w:hAnsi="Times New Roman" w:cs="Times New Roman"/>
          <w:b/>
          <w:bCs/>
          <w:color w:val="auto"/>
          <w:sz w:val="32"/>
          <w:szCs w:val="32"/>
          <w:highlight w:val="none"/>
        </w:rPr>
      </w:pPr>
      <w:r>
        <w:rPr>
          <w:rFonts w:hint="default" w:ascii="Times New Roman" w:hAnsi="Times New Roman" w:cs="Times New Roman"/>
          <w:b/>
          <w:bCs/>
          <w:color w:val="auto"/>
          <w:sz w:val="32"/>
          <w:szCs w:val="32"/>
          <w:highlight w:val="none"/>
        </w:rPr>
        <w:t>2.绩效目标情况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cs="Times New Roman"/>
          <w:color w:val="auto"/>
          <w:sz w:val="32"/>
          <w:szCs w:val="32"/>
          <w:highlight w:val="none"/>
        </w:rPr>
        <w:t>为规范和加强</w:t>
      </w:r>
      <w:r>
        <w:rPr>
          <w:rFonts w:hint="default" w:ascii="Times New Roman" w:hAnsi="Times New Roman" w:cs="Times New Roman"/>
          <w:color w:val="auto"/>
          <w:sz w:val="32"/>
          <w:szCs w:val="32"/>
          <w:highlight w:val="none"/>
          <w:lang w:val="en-US" w:eastAsia="zh-CN"/>
        </w:rPr>
        <w:t>文</w:t>
      </w:r>
      <w:r>
        <w:rPr>
          <w:rFonts w:hint="default" w:ascii="Times New Roman" w:hAnsi="Times New Roman" w:cs="Times New Roman"/>
          <w:color w:val="auto"/>
          <w:sz w:val="32"/>
          <w:szCs w:val="32"/>
          <w:highlight w:val="none"/>
        </w:rPr>
        <w:t>保资金管理，提高资金使用效益</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lang w:val="en-US" w:eastAsia="zh-CN"/>
        </w:rPr>
        <w:t>各</w:t>
      </w:r>
      <w:r>
        <w:rPr>
          <w:rFonts w:hint="default" w:ascii="Times New Roman" w:hAnsi="Times New Roman" w:cs="Times New Roman"/>
          <w:color w:val="auto"/>
          <w:sz w:val="32"/>
          <w:szCs w:val="32"/>
          <w:highlight w:val="none"/>
          <w:lang w:eastAsia="zh-CN"/>
        </w:rPr>
        <w:t>项目申报单位申报</w:t>
      </w:r>
      <w:r>
        <w:rPr>
          <w:rFonts w:hint="default" w:ascii="Times New Roman" w:hAnsi="Times New Roman" w:cs="Times New Roman"/>
          <w:color w:val="auto"/>
          <w:sz w:val="32"/>
          <w:szCs w:val="32"/>
          <w:highlight w:val="none"/>
          <w:lang w:val="en-US" w:eastAsia="zh-CN"/>
        </w:rPr>
        <w:t>预算资金时同步编制了</w:t>
      </w:r>
      <w:r>
        <w:rPr>
          <w:rFonts w:hint="default" w:ascii="Times New Roman" w:hAnsi="Times New Roman" w:cs="Times New Roman"/>
          <w:color w:val="auto"/>
          <w:sz w:val="32"/>
          <w:szCs w:val="32"/>
          <w:highlight w:val="none"/>
          <w:lang w:eastAsia="zh-CN"/>
        </w:rPr>
        <w:t>项目绩效目标，各项指标符合实际，量化清晰，与任务数相对应，与资金量相匹配。</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default" w:ascii="Times New Roman" w:hAnsi="Times New Roman" w:eastAsia="黑体" w:cs="Times New Roman"/>
          <w:b/>
          <w:color w:val="auto"/>
          <w:sz w:val="32"/>
          <w:szCs w:val="32"/>
          <w:highlight w:val="none"/>
        </w:rPr>
      </w:pPr>
      <w:r>
        <w:rPr>
          <w:rFonts w:hint="default" w:ascii="Times New Roman" w:hAnsi="Times New Roman" w:eastAsia="黑体" w:cs="Times New Roman"/>
          <w:b/>
          <w:color w:val="auto"/>
          <w:sz w:val="32"/>
          <w:szCs w:val="32"/>
          <w:highlight w:val="none"/>
        </w:rPr>
        <w:t>二、绩效目标完成情况分析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rPr>
        <w:t>（一）资金投入情况分析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1.资金投入情况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20</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北京市实际投入</w:t>
      </w:r>
      <w:r>
        <w:rPr>
          <w:rFonts w:hint="eastAsia" w:ascii="方正仿宋_GBK" w:hAnsi="方正仿宋_GBK" w:eastAsia="方正仿宋_GBK" w:cs="方正仿宋_GBK"/>
          <w:color w:val="auto"/>
          <w:sz w:val="32"/>
          <w:szCs w:val="32"/>
          <w:highlight w:val="none"/>
          <w:lang w:val="en-US" w:eastAsia="zh-CN"/>
        </w:rPr>
        <w:t>文保</w:t>
      </w:r>
      <w:r>
        <w:rPr>
          <w:rFonts w:hint="eastAsia" w:ascii="方正仿宋_GBK" w:hAnsi="方正仿宋_GBK" w:eastAsia="方正仿宋_GBK" w:cs="方正仿宋_GBK"/>
          <w:color w:val="auto"/>
          <w:sz w:val="32"/>
          <w:szCs w:val="32"/>
          <w:highlight w:val="none"/>
          <w:lang w:eastAsia="zh-CN"/>
        </w:rPr>
        <w:t>资金18,148.91万元（上年</w:t>
      </w:r>
      <w:r>
        <w:rPr>
          <w:rFonts w:hint="eastAsia" w:ascii="方正仿宋_GBK" w:hAnsi="方正仿宋_GBK" w:eastAsia="方正仿宋_GBK" w:cs="方正仿宋_GBK"/>
          <w:color w:val="auto"/>
          <w:sz w:val="32"/>
          <w:szCs w:val="32"/>
          <w:highlight w:val="none"/>
        </w:rPr>
        <w:t>结转资金4,521.91</w:t>
      </w:r>
      <w:r>
        <w:rPr>
          <w:rFonts w:hint="eastAsia" w:ascii="方正仿宋_GBK" w:hAnsi="方正仿宋_GBK" w:eastAsia="方正仿宋_GBK" w:cs="方正仿宋_GBK"/>
          <w:color w:val="auto"/>
          <w:sz w:val="32"/>
          <w:szCs w:val="32"/>
          <w:highlight w:val="none"/>
          <w:lang w:eastAsia="zh-CN"/>
        </w:rPr>
        <w:t>万元，</w:t>
      </w:r>
      <w:r>
        <w:rPr>
          <w:rFonts w:hint="eastAsia" w:ascii="方正仿宋_GBK" w:hAnsi="方正仿宋_GBK" w:eastAsia="方正仿宋_GBK" w:cs="方正仿宋_GBK"/>
          <w:color w:val="auto"/>
          <w:sz w:val="32"/>
          <w:szCs w:val="32"/>
          <w:highlight w:val="none"/>
          <w:lang w:val="en-US" w:eastAsia="zh-CN"/>
        </w:rPr>
        <w:t>2023年下达资金13,627.00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），共安排项目</w:t>
      </w:r>
      <w:r>
        <w:rPr>
          <w:rFonts w:hint="eastAsia" w:ascii="方正仿宋_GBK" w:hAnsi="方正仿宋_GBK" w:eastAsia="方正仿宋_GBK" w:cs="方正仿宋_GBK"/>
          <w:color w:val="auto"/>
          <w:sz w:val="32"/>
          <w:szCs w:val="32"/>
          <w:highlight w:val="none"/>
          <w:lang w:val="en-US" w:eastAsia="zh-CN"/>
        </w:rPr>
        <w:t>35个（上年结转项目11个，2023年当年支持项目24个）。</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2.资金执行情况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rPr>
        <w:t>截</w:t>
      </w:r>
      <w:r>
        <w:rPr>
          <w:rFonts w:hint="eastAsia" w:ascii="方正仿宋_GBK" w:hAnsi="方正仿宋_GBK" w:eastAsia="方正仿宋_GBK" w:cs="方正仿宋_GBK"/>
          <w:color w:val="auto"/>
          <w:sz w:val="32"/>
          <w:szCs w:val="32"/>
          <w:highlight w:val="none"/>
          <w:lang w:eastAsia="zh-CN"/>
        </w:rPr>
        <w:t>至</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年12月31日，</w:t>
      </w:r>
      <w:r>
        <w:rPr>
          <w:rFonts w:hint="eastAsia" w:ascii="方正仿宋_GBK" w:hAnsi="方正仿宋_GBK" w:eastAsia="方正仿宋_GBK" w:cs="方正仿宋_GBK"/>
          <w:color w:val="auto"/>
          <w:sz w:val="32"/>
          <w:szCs w:val="32"/>
          <w:highlight w:val="none"/>
          <w:lang w:val="en-US" w:eastAsia="zh-CN"/>
        </w:rPr>
        <w:t>文保资金</w:t>
      </w:r>
      <w:r>
        <w:rPr>
          <w:rFonts w:hint="eastAsia" w:ascii="方正仿宋_GBK" w:hAnsi="方正仿宋_GBK" w:eastAsia="方正仿宋_GBK" w:cs="方正仿宋_GBK"/>
          <w:color w:val="auto"/>
          <w:sz w:val="32"/>
          <w:szCs w:val="32"/>
          <w:highlight w:val="none"/>
        </w:rPr>
        <w:t>实际支出</w:t>
      </w:r>
      <w:r>
        <w:rPr>
          <w:rFonts w:hint="eastAsia" w:ascii="方正仿宋_GBK" w:hAnsi="方正仿宋_GBK" w:eastAsia="方正仿宋_GBK" w:cs="方正仿宋_GBK"/>
          <w:color w:val="auto"/>
          <w:sz w:val="32"/>
          <w:szCs w:val="32"/>
          <w:highlight w:val="none"/>
          <w:lang w:val="en-US" w:eastAsia="zh-CN"/>
        </w:rPr>
        <w:t xml:space="preserve">13,674.94 </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预算执行率</w:t>
      </w:r>
      <w:r>
        <w:rPr>
          <w:rFonts w:hint="eastAsia" w:ascii="方正仿宋_GBK" w:hAnsi="方正仿宋_GBK" w:eastAsia="方正仿宋_GBK" w:cs="方正仿宋_GBK"/>
          <w:color w:val="auto"/>
          <w:sz w:val="32"/>
          <w:szCs w:val="32"/>
          <w:highlight w:val="none"/>
          <w:lang w:val="en-US" w:eastAsia="zh-CN"/>
        </w:rPr>
        <w:t>75.35</w:t>
      </w:r>
      <w:r>
        <w:rPr>
          <w:rFonts w:hint="eastAsia" w:ascii="方正仿宋_GBK" w:hAnsi="方正仿宋_GBK" w:eastAsia="方正仿宋_GBK" w:cs="方正仿宋_GBK"/>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 xml:space="preserve">结转结余资金4,473.97 </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结转结余率24.65%。其中：结转资金3,901.84</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val="en-US" w:eastAsia="zh-CN"/>
        </w:rPr>
        <w:t xml:space="preserve">，结余资金572.13 </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（二）资金管理情况分析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sz w:val="32"/>
          <w:szCs w:val="32"/>
          <w:highlight w:val="none"/>
          <w:lang w:val="en-US"/>
        </w:rPr>
      </w:pPr>
      <w:r>
        <w:rPr>
          <w:rFonts w:hint="eastAsia" w:ascii="方正仿宋_GBK" w:hAnsi="方正仿宋_GBK" w:eastAsia="方正仿宋_GBK" w:cs="方正仿宋_GBK"/>
          <w:b/>
          <w:bCs/>
          <w:sz w:val="32"/>
          <w:szCs w:val="32"/>
          <w:highlight w:val="none"/>
        </w:rPr>
        <w:t>1.资金分配科学性。</w:t>
      </w:r>
      <w:r>
        <w:rPr>
          <w:rFonts w:hint="eastAsia" w:ascii="方正仿宋_GBK" w:hAnsi="方正仿宋_GBK" w:eastAsia="方正仿宋_GBK" w:cs="方正仿宋_GBK"/>
          <w:sz w:val="32"/>
          <w:szCs w:val="32"/>
          <w:highlight w:val="none"/>
        </w:rPr>
        <w:t>北京市严格按照《国家文物保护专项资金管理办法》规定的范围和标准，</w:t>
      </w:r>
      <w:r>
        <w:rPr>
          <w:rFonts w:hint="eastAsia" w:ascii="方正仿宋_GBK" w:hAnsi="方正仿宋_GBK" w:eastAsia="方正仿宋_GBK" w:cs="方正仿宋_GBK"/>
          <w:sz w:val="32"/>
          <w:szCs w:val="32"/>
          <w:highlight w:val="none"/>
          <w:lang w:eastAsia="zh-CN"/>
        </w:rPr>
        <w:t>对文保资金进行</w:t>
      </w:r>
      <w:r>
        <w:rPr>
          <w:rFonts w:hint="eastAsia" w:ascii="方正仿宋_GBK" w:hAnsi="方正仿宋_GBK" w:eastAsia="方正仿宋_GBK" w:cs="方正仿宋_GBK"/>
          <w:sz w:val="32"/>
          <w:szCs w:val="32"/>
          <w:highlight w:val="none"/>
        </w:rPr>
        <w:t>分配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2023年当年支持项目24个，其中：支持重点项目1个，安排资金140.00万元，占比1.03%；支持一般项目23个，安排资金13,487.00万元，占比98.97%。</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bCs/>
          <w:sz w:val="32"/>
          <w:szCs w:val="32"/>
          <w:highlight w:val="none"/>
        </w:rPr>
        <w:t>2.资金下达及时性。</w:t>
      </w:r>
      <w:r>
        <w:rPr>
          <w:rFonts w:hint="eastAsia" w:ascii="方正仿宋_GBK" w:hAnsi="方正仿宋_GBK" w:eastAsia="方正仿宋_GBK" w:cs="方正仿宋_GBK"/>
          <w:sz w:val="32"/>
          <w:szCs w:val="32"/>
          <w:highlight w:val="none"/>
        </w:rPr>
        <w:t>严格按照预算法及其实施条例、转移支付管理制度规定以及资金管理办法规定的时限要求分解下达</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lang w:val="en-US" w:eastAsia="zh-CN"/>
        </w:rPr>
        <w:t>2023年实际下达资金13,627.00万元，资金下达率100%</w:t>
      </w:r>
      <w:r>
        <w:rPr>
          <w:rFonts w:hint="eastAsia" w:ascii="方正仿宋_GBK" w:hAnsi="方正仿宋_GBK" w:eastAsia="方正仿宋_GBK" w:cs="方正仿宋_GBK"/>
          <w:sz w:val="32"/>
          <w:szCs w:val="32"/>
          <w:highlight w:val="none"/>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bCs/>
          <w:sz w:val="32"/>
          <w:szCs w:val="32"/>
          <w:highlight w:val="none"/>
        </w:rPr>
        <w:t>3.资金拨付合规性。</w:t>
      </w:r>
      <w:r>
        <w:rPr>
          <w:rFonts w:hint="eastAsia" w:ascii="方正仿宋_GBK" w:hAnsi="方正仿宋_GBK" w:eastAsia="方正仿宋_GBK" w:cs="方正仿宋_GBK"/>
          <w:sz w:val="32"/>
          <w:szCs w:val="32"/>
          <w:highlight w:val="none"/>
          <w:lang w:val="en-US" w:eastAsia="zh-CN"/>
        </w:rPr>
        <w:t>文保资金支付严格</w:t>
      </w:r>
      <w:r>
        <w:rPr>
          <w:rFonts w:hint="eastAsia" w:ascii="方正仿宋_GBK" w:hAnsi="方正仿宋_GBK" w:eastAsia="方正仿宋_GBK" w:cs="方正仿宋_GBK"/>
          <w:sz w:val="32"/>
          <w:szCs w:val="32"/>
          <w:highlight w:val="none"/>
        </w:rPr>
        <w:t>按照国库集中支付有关规定执行，未发现将资金从国库转入财政专户或支付到预算单位实有资金账户等问题。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w:t>
      </w:r>
      <w:r>
        <w:rPr>
          <w:rFonts w:hint="eastAsia" w:ascii="方正仿宋_GBK" w:hAnsi="方正仿宋_GBK" w:eastAsia="方正仿宋_GBK" w:cs="方正仿宋_GBK"/>
          <w:b/>
          <w:bCs/>
          <w:sz w:val="32"/>
          <w:szCs w:val="32"/>
          <w:highlight w:val="none"/>
        </w:rPr>
        <w:t>资金使用规范性。</w:t>
      </w:r>
      <w:r>
        <w:rPr>
          <w:rFonts w:hint="eastAsia" w:ascii="方正仿宋_GBK" w:hAnsi="方正仿宋_GBK" w:eastAsia="方正仿宋_GBK" w:cs="方正仿宋_GBK"/>
          <w:sz w:val="32"/>
          <w:szCs w:val="32"/>
          <w:highlight w:val="none"/>
        </w:rPr>
        <w:t>北京市严格按照下达预算的科目和项目执行，补助资金专款专用，按支出方向单独记账，分别核算，未发现擅自扩大支出范围，或以任何形式截留、挤占、挪用或擅自调整等问题。</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bCs/>
          <w:color w:val="333333"/>
          <w:sz w:val="32"/>
          <w:szCs w:val="32"/>
          <w:highlight w:val="none"/>
        </w:rPr>
        <w:t>5.</w:t>
      </w:r>
      <w:r>
        <w:rPr>
          <w:rFonts w:hint="eastAsia" w:ascii="方正仿宋_GBK" w:hAnsi="方正仿宋_GBK" w:eastAsia="方正仿宋_GBK" w:cs="方正仿宋_GBK"/>
          <w:b/>
          <w:bCs/>
          <w:sz w:val="32"/>
          <w:szCs w:val="32"/>
          <w:highlight w:val="none"/>
        </w:rPr>
        <w:t>资金执行准确性。</w:t>
      </w:r>
      <w:r>
        <w:rPr>
          <w:rFonts w:hint="eastAsia" w:ascii="方正仿宋_GBK" w:hAnsi="方正仿宋_GBK" w:eastAsia="方正仿宋_GBK" w:cs="方正仿宋_GBK"/>
          <w:sz w:val="32"/>
          <w:szCs w:val="32"/>
          <w:highlight w:val="none"/>
        </w:rPr>
        <w:t>截至202</w:t>
      </w:r>
      <w:r>
        <w:rPr>
          <w:rFonts w:hint="eastAsia" w:ascii="方正仿宋_GBK" w:hAnsi="方正仿宋_GBK" w:eastAsia="方正仿宋_GBK" w:cs="方正仿宋_GBK"/>
          <w:sz w:val="32"/>
          <w:szCs w:val="32"/>
          <w:highlight w:val="none"/>
          <w:lang w:val="en-US" w:eastAsia="zh-CN"/>
        </w:rPr>
        <w:t>3</w:t>
      </w:r>
      <w:r>
        <w:rPr>
          <w:rFonts w:hint="eastAsia" w:ascii="方正仿宋_GBK" w:hAnsi="方正仿宋_GBK" w:eastAsia="方正仿宋_GBK" w:cs="方正仿宋_GBK"/>
          <w:sz w:val="32"/>
          <w:szCs w:val="32"/>
          <w:highlight w:val="none"/>
        </w:rPr>
        <w:t>年12月，</w:t>
      </w:r>
      <w:r>
        <w:rPr>
          <w:rFonts w:hint="eastAsia" w:ascii="方正仿宋_GBK" w:hAnsi="方正仿宋_GBK" w:eastAsia="方正仿宋_GBK" w:cs="方正仿宋_GBK"/>
          <w:sz w:val="32"/>
          <w:szCs w:val="32"/>
          <w:highlight w:val="none"/>
          <w:lang w:val="en-US" w:eastAsia="zh-CN"/>
        </w:rPr>
        <w:t>文保资金</w:t>
      </w:r>
      <w:r>
        <w:rPr>
          <w:rFonts w:hint="eastAsia" w:ascii="方正仿宋_GBK" w:hAnsi="方正仿宋_GBK" w:eastAsia="方正仿宋_GBK" w:cs="方正仿宋_GBK"/>
          <w:sz w:val="32"/>
          <w:szCs w:val="32"/>
          <w:highlight w:val="none"/>
        </w:rPr>
        <w:t>支出</w:t>
      </w:r>
      <w:r>
        <w:rPr>
          <w:rFonts w:hint="eastAsia" w:ascii="方正仿宋_GBK" w:hAnsi="方正仿宋_GBK" w:eastAsia="方正仿宋_GBK" w:cs="方正仿宋_GBK"/>
          <w:bCs/>
          <w:sz w:val="32"/>
          <w:szCs w:val="32"/>
          <w:highlight w:val="none"/>
        </w:rPr>
        <w:t>13,674.94 万元，预算执行率75.3</w:t>
      </w:r>
      <w:r>
        <w:rPr>
          <w:rFonts w:hint="eastAsia" w:ascii="方正仿宋_GBK" w:hAnsi="方正仿宋_GBK" w:eastAsia="方正仿宋_GBK" w:cs="方正仿宋_GBK"/>
          <w:bCs/>
          <w:sz w:val="32"/>
          <w:szCs w:val="32"/>
          <w:highlight w:val="none"/>
          <w:lang w:val="en-US" w:eastAsia="zh-CN"/>
        </w:rPr>
        <w:t>5</w:t>
      </w:r>
      <w:r>
        <w:rPr>
          <w:rFonts w:hint="eastAsia" w:ascii="方正仿宋_GBK" w:hAnsi="方正仿宋_GBK" w:eastAsia="方正仿宋_GBK" w:cs="方正仿宋_GBK"/>
          <w:bCs/>
          <w:sz w:val="32"/>
          <w:szCs w:val="32"/>
          <w:highlight w:val="none"/>
        </w:rPr>
        <w:t>%</w:t>
      </w:r>
      <w:r>
        <w:rPr>
          <w:rFonts w:hint="eastAsia" w:ascii="方正仿宋_GBK" w:hAnsi="方正仿宋_GBK" w:eastAsia="方正仿宋_GBK" w:cs="方正仿宋_GBK"/>
          <w:sz w:val="32"/>
          <w:szCs w:val="32"/>
          <w:highlight w:val="none"/>
        </w:rPr>
        <w:t>，严格按照上级下达和本级预算安排的金额执行，不存在执行数偏离预算数较多的问题。</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6.</w:t>
      </w:r>
      <w:r>
        <w:rPr>
          <w:rFonts w:hint="eastAsia" w:ascii="方正仿宋_GBK" w:hAnsi="方正仿宋_GBK" w:eastAsia="方正仿宋_GBK" w:cs="方正仿宋_GBK"/>
          <w:b/>
          <w:bCs/>
          <w:sz w:val="32"/>
          <w:szCs w:val="32"/>
          <w:highlight w:val="none"/>
        </w:rPr>
        <w:t>预算绩效管理情况。</w:t>
      </w:r>
      <w:r>
        <w:rPr>
          <w:rFonts w:hint="eastAsia" w:ascii="方正仿宋_GBK" w:hAnsi="方正仿宋_GBK" w:eastAsia="方正仿宋_GBK" w:cs="方正仿宋_GBK"/>
          <w:sz w:val="32"/>
          <w:szCs w:val="32"/>
          <w:highlight w:val="none"/>
        </w:rPr>
        <w:t>落实全面实施预算绩效管理的要求，</w:t>
      </w:r>
      <w:r>
        <w:rPr>
          <w:rFonts w:hint="eastAsia" w:ascii="方正仿宋_GBK" w:hAnsi="方正仿宋_GBK" w:eastAsia="方正仿宋_GBK" w:cs="方正仿宋_GBK"/>
          <w:sz w:val="32"/>
          <w:szCs w:val="32"/>
          <w:highlight w:val="none"/>
          <w:lang w:val="en-US" w:eastAsia="zh-CN"/>
        </w:rPr>
        <w:t>北京市逐年</w:t>
      </w:r>
      <w:r>
        <w:rPr>
          <w:rFonts w:hint="eastAsia" w:ascii="方正仿宋_GBK" w:hAnsi="方正仿宋_GBK" w:eastAsia="方正仿宋_GBK" w:cs="方正仿宋_GBK"/>
          <w:sz w:val="32"/>
          <w:szCs w:val="32"/>
          <w:highlight w:val="none"/>
        </w:rPr>
        <w:t>对中央转移支付资金开展绩效自评，强化项目单位及各级管理部门责任意识、绩效意识，切实提高财政资金使用效益，确保资金安全规范使用，确保年度绩效目标如期实现。</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b/>
          <w:bCs/>
          <w:sz w:val="32"/>
          <w:szCs w:val="32"/>
          <w:highlight w:val="none"/>
        </w:rPr>
        <w:t>7.支出责任履行情况。</w:t>
      </w:r>
      <w:r>
        <w:rPr>
          <w:rFonts w:hint="eastAsia" w:ascii="方正仿宋_GBK" w:hAnsi="方正仿宋_GBK" w:eastAsia="方正仿宋_GBK" w:cs="方正仿宋_GBK"/>
          <w:sz w:val="32"/>
          <w:szCs w:val="32"/>
          <w:highlight w:val="none"/>
        </w:rPr>
        <w:t>202</w:t>
      </w:r>
      <w:r>
        <w:rPr>
          <w:rFonts w:hint="eastAsia" w:ascii="方正仿宋_GBK" w:hAnsi="方正仿宋_GBK" w:eastAsia="方正仿宋_GBK" w:cs="方正仿宋_GBK"/>
          <w:sz w:val="32"/>
          <w:szCs w:val="32"/>
          <w:highlight w:val="none"/>
          <w:lang w:val="en-US" w:eastAsia="zh-CN"/>
        </w:rPr>
        <w:t>3年</w:t>
      </w:r>
      <w:r>
        <w:rPr>
          <w:rFonts w:hint="eastAsia" w:ascii="方正仿宋_GBK" w:hAnsi="方正仿宋_GBK" w:eastAsia="方正仿宋_GBK" w:cs="方正仿宋_GBK"/>
          <w:sz w:val="32"/>
          <w:szCs w:val="32"/>
          <w:highlight w:val="none"/>
        </w:rPr>
        <w:t>北京市</w:t>
      </w:r>
      <w:r>
        <w:rPr>
          <w:rFonts w:hint="eastAsia" w:ascii="方正仿宋_GBK" w:hAnsi="方正仿宋_GBK" w:eastAsia="方正仿宋_GBK" w:cs="方正仿宋_GBK"/>
          <w:sz w:val="32"/>
          <w:szCs w:val="32"/>
          <w:highlight w:val="none"/>
          <w:lang w:val="en-US" w:eastAsia="zh-CN"/>
        </w:rPr>
        <w:t>按照</w:t>
      </w:r>
      <w:r>
        <w:rPr>
          <w:rFonts w:hint="eastAsia" w:ascii="方正仿宋_GBK" w:hAnsi="方正仿宋_GBK" w:eastAsia="方正仿宋_GBK" w:cs="方正仿宋_GBK"/>
          <w:sz w:val="32"/>
          <w:szCs w:val="32"/>
          <w:highlight w:val="none"/>
        </w:rPr>
        <w:t>财政事权与支出责任划分相关规定</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足额安排资金履行了本级支出责任。</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2" w:firstLineChars="200"/>
        <w:jc w:val="both"/>
        <w:textAlignment w:val="auto"/>
        <w:rPr>
          <w:rFonts w:hint="eastAsia" w:ascii="方正仿宋_GBK" w:hAnsi="方正仿宋_GBK" w:eastAsia="方正仿宋_GBK" w:cs="方正仿宋_GBK"/>
          <w:b w:val="0"/>
          <w:bCs w:val="0"/>
          <w:sz w:val="32"/>
          <w:szCs w:val="32"/>
          <w:highlight w:val="none"/>
          <w:lang w:val="en-US" w:eastAsia="zh-CN"/>
        </w:rPr>
      </w:pPr>
      <w:r>
        <w:rPr>
          <w:rFonts w:hint="eastAsia" w:ascii="方正仿宋_GBK" w:hAnsi="方正仿宋_GBK" w:eastAsia="方正仿宋_GBK" w:cs="方正仿宋_GBK"/>
          <w:b/>
          <w:bCs/>
          <w:sz w:val="32"/>
          <w:szCs w:val="32"/>
          <w:highlight w:val="none"/>
          <w:lang w:val="en-US" w:eastAsia="zh-CN"/>
        </w:rPr>
        <w:t>8.政策目标实现情况。</w:t>
      </w:r>
      <w:r>
        <w:rPr>
          <w:rFonts w:hint="eastAsia" w:ascii="方正仿宋_GBK" w:hAnsi="方正仿宋_GBK" w:eastAsia="方正仿宋_GBK" w:cs="方正仿宋_GBK"/>
          <w:b w:val="0"/>
          <w:bCs w:val="0"/>
          <w:sz w:val="32"/>
          <w:szCs w:val="32"/>
          <w:highlight w:val="none"/>
          <w:lang w:val="en-US" w:eastAsia="zh-CN"/>
        </w:rPr>
        <w:t>2023年，北京市总体绩效目标完成情况基本达标，整体完成情况较好，强化了文物保护利用，提升了文物安全水平，进一步促进了文物事业与经济社会和谐发展，完成年初设定的政策目标。</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w:t>
      </w:r>
      <w:r>
        <w:rPr>
          <w:rFonts w:hint="eastAsia" w:ascii="方正仿宋_GBK" w:hAnsi="方正仿宋_GBK" w:eastAsia="方正仿宋_GBK" w:cs="方正仿宋_GBK"/>
          <w:b/>
          <w:bCs/>
          <w:color w:val="auto"/>
          <w:sz w:val="32"/>
          <w:szCs w:val="32"/>
          <w:highlight w:val="none"/>
          <w:lang w:val="en-US" w:eastAsia="zh-CN"/>
        </w:rPr>
        <w:t>三</w:t>
      </w:r>
      <w:r>
        <w:rPr>
          <w:rFonts w:hint="eastAsia" w:ascii="方正仿宋_GBK" w:hAnsi="方正仿宋_GBK" w:eastAsia="方正仿宋_GBK" w:cs="方正仿宋_GBK"/>
          <w:b/>
          <w:bCs/>
          <w:color w:val="auto"/>
          <w:sz w:val="32"/>
          <w:szCs w:val="32"/>
          <w:highlight w:val="none"/>
        </w:rPr>
        <w:t>）总体绩效目标完成情况分析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eastAsia="zh-CN"/>
        </w:rPr>
        <w:t>截至202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lang w:eastAsia="zh-CN"/>
        </w:rPr>
        <w:t>年</w:t>
      </w:r>
      <w:r>
        <w:rPr>
          <w:rFonts w:hint="eastAsia" w:ascii="方正仿宋_GBK" w:hAnsi="方正仿宋_GBK" w:eastAsia="方正仿宋_GBK" w:cs="方正仿宋_GBK"/>
          <w:color w:val="auto"/>
          <w:sz w:val="32"/>
          <w:szCs w:val="32"/>
          <w:highlight w:val="none"/>
          <w:lang w:val="en-US" w:eastAsia="zh-CN"/>
        </w:rPr>
        <w:t>12月31日，文保资金</w:t>
      </w:r>
      <w:r>
        <w:rPr>
          <w:rFonts w:hint="eastAsia" w:ascii="方正仿宋_GBK" w:hAnsi="方正仿宋_GBK" w:eastAsia="方正仿宋_GBK" w:cs="方正仿宋_GBK"/>
          <w:color w:val="auto"/>
          <w:sz w:val="32"/>
          <w:szCs w:val="32"/>
          <w:highlight w:val="none"/>
          <w:u w:val="none"/>
          <w:lang w:eastAsia="zh-CN"/>
        </w:rPr>
        <w:t>预算</w:t>
      </w:r>
      <w:r>
        <w:rPr>
          <w:rFonts w:hint="eastAsia" w:ascii="方正仿宋_GBK" w:hAnsi="方正仿宋_GBK" w:eastAsia="方正仿宋_GBK" w:cs="方正仿宋_GBK"/>
          <w:color w:val="auto"/>
          <w:sz w:val="32"/>
          <w:szCs w:val="32"/>
          <w:highlight w:val="none"/>
          <w:lang w:eastAsia="zh-CN"/>
        </w:rPr>
        <w:t>执行率</w:t>
      </w:r>
      <w:r>
        <w:rPr>
          <w:rFonts w:hint="eastAsia" w:ascii="方正仿宋_GBK" w:hAnsi="方正仿宋_GBK" w:eastAsia="方正仿宋_GBK" w:cs="方正仿宋_GBK"/>
          <w:color w:val="auto"/>
          <w:sz w:val="32"/>
          <w:szCs w:val="32"/>
          <w:highlight w:val="none"/>
          <w:lang w:val="en-US" w:eastAsia="zh-CN"/>
        </w:rPr>
        <w:t>75.35%</w:t>
      </w:r>
      <w:r>
        <w:rPr>
          <w:rFonts w:hint="eastAsia" w:ascii="方正仿宋_GBK" w:hAnsi="方正仿宋_GBK" w:eastAsia="方正仿宋_GBK" w:cs="方正仿宋_GBK"/>
          <w:color w:val="auto"/>
          <w:sz w:val="32"/>
          <w:szCs w:val="32"/>
          <w:highlight w:val="none"/>
          <w:lang w:eastAsia="zh-CN"/>
        </w:rPr>
        <w:t>（含上年</w:t>
      </w:r>
      <w:r>
        <w:rPr>
          <w:rFonts w:hint="eastAsia" w:ascii="方正仿宋_GBK" w:hAnsi="方正仿宋_GBK" w:eastAsia="方正仿宋_GBK" w:cs="方正仿宋_GBK"/>
          <w:color w:val="auto"/>
          <w:sz w:val="32"/>
          <w:szCs w:val="32"/>
          <w:highlight w:val="none"/>
        </w:rPr>
        <w:t>结转资金</w:t>
      </w:r>
      <w:r>
        <w:rPr>
          <w:rFonts w:hint="eastAsia" w:ascii="方正仿宋_GBK" w:hAnsi="方正仿宋_GBK" w:eastAsia="方正仿宋_GBK" w:cs="方正仿宋_GBK"/>
          <w:color w:val="auto"/>
          <w:sz w:val="32"/>
          <w:szCs w:val="32"/>
          <w:highlight w:val="none"/>
          <w:lang w:eastAsia="zh-CN"/>
        </w:rPr>
        <w:t>），较上年</w:t>
      </w:r>
      <w:r>
        <w:rPr>
          <w:rFonts w:hint="eastAsia" w:ascii="方正仿宋_GBK" w:hAnsi="方正仿宋_GBK" w:eastAsia="方正仿宋_GBK" w:cs="方正仿宋_GBK"/>
          <w:color w:val="auto"/>
          <w:sz w:val="32"/>
          <w:szCs w:val="32"/>
          <w:highlight w:val="none"/>
          <w:lang w:val="en-US" w:eastAsia="zh-CN"/>
        </w:rPr>
        <w:t>提升2个百分点，</w:t>
      </w:r>
      <w:r>
        <w:rPr>
          <w:rFonts w:hint="eastAsia" w:ascii="方正仿宋_GBK" w:hAnsi="方正仿宋_GBK" w:eastAsia="方正仿宋_GBK" w:cs="方正仿宋_GBK"/>
          <w:color w:val="auto"/>
          <w:sz w:val="32"/>
          <w:szCs w:val="32"/>
          <w:highlight w:val="none"/>
          <w:lang w:eastAsia="zh-CN"/>
        </w:rPr>
        <w:t>结合当年项目资金到位时间和进度分析，总体绩效目标完成情况基本达标，整体完成情况较好，</w:t>
      </w:r>
      <w:r>
        <w:rPr>
          <w:rFonts w:hint="eastAsia" w:ascii="方正仿宋_GBK" w:hAnsi="方正仿宋_GBK" w:eastAsia="方正仿宋_GBK" w:cs="方正仿宋_GBK"/>
          <w:color w:val="auto"/>
          <w:sz w:val="32"/>
          <w:szCs w:val="32"/>
          <w:highlight w:val="none"/>
          <w:lang w:val="en-US" w:eastAsia="zh-CN"/>
        </w:rPr>
        <w:t>强化了文物保护利用，提升了文物安全水平，进一步促进了文物事业与经济社会和谐发展。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2023年度文物保护项目的实施，有效推进了文物的保护利用。北京市完成情况为：</w:t>
      </w:r>
      <w:r>
        <w:rPr>
          <w:rFonts w:hint="eastAsia" w:ascii="方正仿宋_GBK" w:hAnsi="方正仿宋_GBK" w:eastAsia="方正仿宋_GBK" w:cs="方正仿宋_GBK"/>
          <w:sz w:val="32"/>
          <w:szCs w:val="32"/>
          <w:highlight w:val="none"/>
          <w:lang w:val="en-US" w:eastAsia="zh-CN"/>
        </w:rPr>
        <w:t>2023年度实施的35个（含上年结转项目11个）项目中，已完工项目20个，正在实施项目15个。具体情况为：支持文物保护单位保护项目32个（含上年结转项目11个）；支持考古等保护项目1个；支持可移动文物保护项目2个。</w:t>
      </w:r>
    </w:p>
    <w:p>
      <w:pPr>
        <w:pStyle w:val="10"/>
        <w:ind w:firstLine="1440" w:firstLineChars="600"/>
        <w:jc w:val="both"/>
        <w:rPr>
          <w:rFonts w:hint="default" w:ascii="Times New Roman" w:hAnsi="Times New Roman" w:eastAsia="黑体" w:cs="Times New Roman"/>
          <w:color w:val="auto"/>
          <w:sz w:val="24"/>
          <w:szCs w:val="24"/>
          <w:highlight w:val="none"/>
          <w:lang w:val="en-US" w:eastAsia="zh-CN"/>
        </w:rPr>
      </w:pPr>
      <w:r>
        <w:rPr>
          <w:rFonts w:hint="eastAsia" w:ascii="方正黑体_GBK" w:hAnsi="方正黑体_GBK" w:eastAsia="方正黑体_GBK" w:cs="方正黑体_GBK"/>
          <w:color w:val="auto"/>
          <w:sz w:val="24"/>
          <w:szCs w:val="24"/>
          <w:highlight w:val="none"/>
          <w:lang w:val="en-US" w:eastAsia="zh-CN"/>
        </w:rPr>
        <w:t>表2：2023</w:t>
      </w:r>
      <w:r>
        <w:rPr>
          <w:rFonts w:hint="default" w:ascii="Times New Roman" w:hAnsi="Times New Roman" w:eastAsia="黑体" w:cs="Times New Roman"/>
          <w:color w:val="auto"/>
          <w:sz w:val="24"/>
          <w:szCs w:val="24"/>
          <w:highlight w:val="none"/>
          <w:lang w:val="en-US" w:eastAsia="zh-CN"/>
        </w:rPr>
        <w:t>年文保资金安排项目实施进度表</w:t>
      </w:r>
    </w:p>
    <w:p>
      <w:pPr>
        <w:pStyle w:val="10"/>
        <w:ind w:firstLine="1440" w:firstLineChars="600"/>
        <w:jc w:val="right"/>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单位：个</w:t>
      </w:r>
    </w:p>
    <w:tbl>
      <w:tblPr>
        <w:tblStyle w:val="7"/>
        <w:tblW w:w="4998"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3990"/>
        <w:gridCol w:w="1367"/>
        <w:gridCol w:w="1619"/>
        <w:gridCol w:w="1543"/>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913" w:hRule="atLeast"/>
          <w:tblHeader/>
        </w:trPr>
        <w:tc>
          <w:tcPr>
            <w:tcW w:w="2341"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类别</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合计</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0"/>
                <w:szCs w:val="20"/>
                <w:u w:val="none"/>
                <w:lang w:val="en-US" w:eastAsia="zh-CN" w:bidi="ar"/>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2023年当年</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lang w:val="en-US"/>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安排项目数</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20"/>
                <w:szCs w:val="20"/>
                <w:u w:val="none"/>
                <w:lang w:val="en-US" w:eastAsia="zh-CN" w:bidi="ar"/>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上年结转</w:t>
            </w:r>
          </w:p>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lang w:val="en-US"/>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项目数</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2023年安排项目总数</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35</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24</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一、已完工项目数量</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10</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实施文物保护单位保护项目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实施考古等保护项目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0"/>
                <w:szCs w:val="20"/>
                <w:u w:val="none"/>
                <w:lang w:val="en-US" w:eastAsia="zh-CN" w:bidi="ar"/>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950" w:type="pct"/>
            <w:tcBorders>
              <w:tl2br w:val="nil"/>
              <w:tr2bl w:val="nil"/>
            </w:tcBorders>
            <w:shd w:val="clear" w:color="auto" w:fill="auto"/>
            <w:vAlign w:val="center"/>
          </w:tcPr>
          <w:p>
            <w:pPr>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905" w:type="pct"/>
            <w:tcBorders>
              <w:tl2br w:val="nil"/>
              <w:tr2bl w:val="nil"/>
            </w:tcBorders>
            <w:shd w:val="clear" w:color="auto" w:fill="auto"/>
            <w:vAlign w:val="center"/>
          </w:tcPr>
          <w:p>
            <w:pPr>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实施可移动文物保护项目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05" w:type="pct"/>
            <w:tcBorders>
              <w:tl2br w:val="nil"/>
              <w:tr2bl w:val="nil"/>
            </w:tcBorders>
            <w:shd w:val="clear" w:color="auto" w:fill="auto"/>
            <w:vAlign w:val="center"/>
          </w:tcPr>
          <w:p>
            <w:pPr>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二、正在执行中项目数量</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15</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14</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实施文物保护单位保护项目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90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46"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实施考古等保护项目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05" w:type="pct"/>
            <w:tcBorders>
              <w:tl2br w:val="nil"/>
              <w:tr2bl w:val="nil"/>
            </w:tcBorders>
            <w:shd w:val="clear" w:color="auto" w:fill="auto"/>
            <w:vAlign w:val="center"/>
          </w:tcPr>
          <w:p>
            <w:pPr>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357" w:hRule="atLeast"/>
        </w:trPr>
        <w:tc>
          <w:tcPr>
            <w:tcW w:w="2341"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实施可移动文物保护项目</w:t>
            </w:r>
          </w:p>
        </w:tc>
        <w:tc>
          <w:tcPr>
            <w:tcW w:w="80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5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905" w:type="pct"/>
            <w:tcBorders>
              <w:tl2br w:val="nil"/>
              <w:tr2bl w:val="nil"/>
            </w:tcBorders>
            <w:shd w:val="clear" w:color="auto" w:fill="auto"/>
            <w:vAlign w:val="center"/>
          </w:tcPr>
          <w:p>
            <w:pPr>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bl>
    <w:p>
      <w:pPr>
        <w:keepNext w:val="0"/>
        <w:keepLines w:val="0"/>
        <w:pageBreakBefore w:val="0"/>
        <w:widowControl w:val="0"/>
        <w:numPr>
          <w:ilvl w:val="-1"/>
          <w:numId w:val="0"/>
        </w:numPr>
        <w:kinsoku/>
        <w:wordWrap/>
        <w:overflowPunct/>
        <w:topLinePunct w:val="0"/>
        <w:autoSpaceDE/>
        <w:autoSpaceDN/>
        <w:bidi w:val="0"/>
        <w:adjustRightInd w:val="0"/>
        <w:snapToGrid w:val="0"/>
        <w:spacing w:before="157" w:beforeLines="50" w:beforeAutospacing="0" w:afterAutospacing="0" w:line="360" w:lineRule="auto"/>
        <w:ind w:left="0" w:leftChars="0" w:firstLine="640" w:firstLineChars="200"/>
        <w:textAlignment w:val="auto"/>
        <w:outlineLvl w:val="1"/>
        <w:rPr>
          <w:rFonts w:hint="default" w:ascii="Times New Roman" w:hAnsi="Times New Roman" w:cs="Times New Roman"/>
          <w:b w:val="0"/>
          <w:bCs w:val="0"/>
          <w:color w:val="auto"/>
          <w:sz w:val="32"/>
          <w:szCs w:val="32"/>
          <w:highlight w:val="none"/>
        </w:rPr>
      </w:pPr>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cs="Times New Roman"/>
          <w:b w:val="0"/>
          <w:bCs w:val="0"/>
          <w:color w:val="auto"/>
          <w:sz w:val="32"/>
          <w:szCs w:val="32"/>
          <w:highlight w:val="none"/>
          <w:lang w:val="en-US" w:eastAsia="zh-CN"/>
        </w:rPr>
        <w:t>四</w:t>
      </w:r>
      <w:r>
        <w:rPr>
          <w:rFonts w:hint="default" w:ascii="Times New Roman" w:hAnsi="Times New Roman" w:cs="Times New Roman"/>
          <w:b w:val="0"/>
          <w:bCs w:val="0"/>
          <w:color w:val="auto"/>
          <w:sz w:val="32"/>
          <w:szCs w:val="32"/>
          <w:highlight w:val="none"/>
          <w:lang w:eastAsia="zh-CN"/>
        </w:rPr>
        <w:t>）绩</w:t>
      </w:r>
      <w:r>
        <w:rPr>
          <w:rFonts w:hint="default" w:ascii="Times New Roman" w:hAnsi="Times New Roman" w:cs="Times New Roman"/>
          <w:b w:val="0"/>
          <w:bCs w:val="0"/>
          <w:color w:val="auto"/>
          <w:sz w:val="32"/>
          <w:szCs w:val="32"/>
          <w:highlight w:val="none"/>
        </w:rPr>
        <w:t>效指标完成情况分析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kern w:val="2"/>
          <w:sz w:val="32"/>
          <w:szCs w:val="32"/>
          <w:lang w:val="en-US" w:eastAsia="zh-CN" w:bidi="ar-SA"/>
        </w:rPr>
        <w:t>（1）</w:t>
      </w:r>
      <w:r>
        <w:rPr>
          <w:rFonts w:hint="eastAsia" w:ascii="方正仿宋_GBK" w:hAnsi="方正仿宋_GBK" w:eastAsia="方正仿宋_GBK" w:cs="方正仿宋_GBK"/>
          <w:color w:val="auto"/>
          <w:sz w:val="32"/>
          <w:szCs w:val="32"/>
          <w:highlight w:val="none"/>
        </w:rPr>
        <w:t>产出数量指标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指标1：支持全国重点文物保护单位文物保护项目重点项目指标值为1个，全年实际完成值1个，即：圆明园管理处“圆明园遗址西洋楼片区数字化展示工程”项目，按计划完成年初目标设定。具体完成情况如下：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该项目为跨年实施项目，实施周期为：2021年12月-2023年11月，实际拨付资金总额698万元，其中：2022年拨付558.00万元，2023年拨付140.00万元。截至2023年12月31日，该项目实际支出690.76万元，结余资金7.24万元，结余原因为：履行招标程序节约项目资金。该项目2023年度已完成项目建设，于2023年11月28日通过专家评审验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指标2：当年确认列入支持范围的国保单位保护利用规划实现率指标值为≥98%，实际完成值为100%，按计划完成年初目标设定。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指标3：省级及省级以下文物保护单位保护项目预算占一般项目补助的比重指标值为≤15%，实际完成值为7.74%，按计划完成年初目标设定。具体情况为：2023年当年支持的一般项目23个，项目预算13,487.00 万元，其中：省级文物保护单位1个，项目预算1,044.00万元，占比7.74%。</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指标4：数字化保护支出预算占一般项目补助的比重指标值为≤10%，</w:t>
      </w:r>
      <w:r>
        <w:rPr>
          <w:rFonts w:hint="eastAsia" w:ascii="方正仿宋_GBK" w:hAnsi="方正仿宋_GBK" w:eastAsia="方正仿宋_GBK" w:cs="方正仿宋_GBK"/>
          <w:color w:val="auto"/>
          <w:sz w:val="32"/>
          <w:szCs w:val="32"/>
          <w:highlight w:val="none"/>
          <w:lang w:val="en-US" w:eastAsia="zh-CN"/>
        </w:rPr>
        <w:tab/>
      </w:r>
      <w:r>
        <w:rPr>
          <w:rFonts w:hint="eastAsia" w:ascii="方正仿宋_GBK" w:hAnsi="方正仿宋_GBK" w:eastAsia="方正仿宋_GBK" w:cs="方正仿宋_GBK"/>
          <w:color w:val="auto"/>
          <w:sz w:val="32"/>
          <w:szCs w:val="32"/>
          <w:highlight w:val="none"/>
          <w:lang w:val="en-US" w:eastAsia="zh-CN"/>
        </w:rPr>
        <w:t>实际完成值为</w:t>
      </w:r>
      <w:r>
        <w:rPr>
          <w:rFonts w:hint="eastAsia" w:ascii="方正仿宋_GBK" w:hAnsi="方正仿宋_GBK" w:eastAsia="方正仿宋_GBK" w:cs="方正仿宋_GBK"/>
          <w:sz w:val="32"/>
          <w:szCs w:val="32"/>
          <w:highlight w:val="none"/>
          <w:lang w:val="en-US" w:eastAsia="zh-CN"/>
        </w:rPr>
        <w:t>0，</w:t>
      </w:r>
      <w:r>
        <w:rPr>
          <w:rFonts w:hint="eastAsia" w:ascii="方正仿宋_GBK" w:hAnsi="方正仿宋_GBK" w:eastAsia="方正仿宋_GBK" w:cs="方正仿宋_GBK"/>
          <w:color w:val="auto"/>
          <w:sz w:val="32"/>
          <w:szCs w:val="32"/>
          <w:highlight w:val="none"/>
          <w:lang w:val="en-US" w:eastAsia="zh-CN"/>
        </w:rPr>
        <w:t>按计划完成年初目标设定</w:t>
      </w:r>
      <w:r>
        <w:rPr>
          <w:rFonts w:hint="eastAsia" w:ascii="方正仿宋_GBK" w:hAnsi="方正仿宋_GBK" w:eastAsia="方正仿宋_GBK" w:cs="方正仿宋_GBK"/>
          <w:sz w:val="32"/>
          <w:szCs w:val="32"/>
          <w:highlight w:val="none"/>
          <w:lang w:val="en-US" w:eastAsia="zh-CN"/>
        </w:rPr>
        <w:t>。具体情况为：2023年支持一般项目23个，未安排</w:t>
      </w:r>
      <w:r>
        <w:rPr>
          <w:rFonts w:hint="eastAsia" w:ascii="方正仿宋_GBK" w:hAnsi="方正仿宋_GBK" w:eastAsia="方正仿宋_GBK" w:cs="方正仿宋_GBK"/>
          <w:color w:val="auto"/>
          <w:sz w:val="32"/>
          <w:szCs w:val="32"/>
          <w:highlight w:val="none"/>
          <w:lang w:val="en-US" w:eastAsia="zh-CN"/>
        </w:rPr>
        <w:t>数字化保护项目。</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kern w:val="2"/>
          <w:sz w:val="32"/>
          <w:szCs w:val="32"/>
          <w:lang w:val="en-US" w:eastAsia="zh-CN" w:bidi="ar-SA"/>
        </w:rPr>
        <w:t>（2）</w:t>
      </w:r>
      <w:r>
        <w:rPr>
          <w:rFonts w:hint="eastAsia" w:ascii="方正仿宋_GBK" w:hAnsi="方正仿宋_GBK" w:eastAsia="方正仿宋_GBK" w:cs="方正仿宋_GBK"/>
          <w:color w:val="auto"/>
          <w:sz w:val="32"/>
          <w:szCs w:val="32"/>
          <w:highlight w:val="none"/>
          <w:lang w:eastAsia="zh-CN"/>
        </w:rPr>
        <w:t>产出质量指标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指标1：当年确认列入支持范围的国保单位“四有”工作实现率指标值为≥98%，实际完成值为100%，按计划完成年初目标设定。</w:t>
      </w:r>
      <w:r>
        <w:rPr>
          <w:rFonts w:hint="eastAsia" w:ascii="方正仿宋_GBK" w:hAnsi="方正仿宋_GBK" w:eastAsia="方正仿宋_GBK" w:cs="方正仿宋_GBK"/>
          <w:sz w:val="32"/>
          <w:szCs w:val="32"/>
          <w:highlight w:val="none"/>
          <w:lang w:val="en-US" w:eastAsia="zh-CN"/>
        </w:rPr>
        <w:t>具体情况为：北京市2023年</w:t>
      </w:r>
      <w:r>
        <w:rPr>
          <w:rFonts w:hint="eastAsia" w:ascii="方正仿宋_GBK" w:hAnsi="方正仿宋_GBK" w:eastAsia="方正仿宋_GBK" w:cs="方正仿宋_GBK"/>
          <w:color w:val="auto"/>
          <w:sz w:val="32"/>
          <w:szCs w:val="32"/>
          <w:highlight w:val="none"/>
          <w:lang w:val="en-US" w:eastAsia="zh-CN"/>
        </w:rPr>
        <w:t>扎实做好文物“四有”工作（有保护范围、有保护标志、有记录档案、有保管机构）。北京市全国重点文物保护单位和省级文物保护单位“四有”工作完成率100%。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指标2：项目验收合格率指标值为≥98%，实际完成值为100%，按计划完成年初目标设定。具体情况为：2023年北京市支持的20个已完工项目均已完成验收且验收合格，详见表3。</w:t>
      </w:r>
    </w:p>
    <w:p>
      <w:pPr>
        <w:pStyle w:val="10"/>
        <w:keepNext w:val="0"/>
        <w:keepLines w:val="0"/>
        <w:pageBreakBefore w:val="0"/>
        <w:widowControl w:val="0"/>
        <w:kinsoku/>
        <w:wordWrap/>
        <w:overflowPunct/>
        <w:topLinePunct w:val="0"/>
        <w:autoSpaceDE/>
        <w:autoSpaceDN/>
        <w:bidi w:val="0"/>
        <w:adjustRightInd w:val="0"/>
        <w:snapToGrid w:val="0"/>
        <w:spacing w:before="157" w:beforeLines="50" w:after="157" w:afterLines="50" w:line="360" w:lineRule="auto"/>
        <w:ind w:left="0" w:leftChars="0" w:firstLine="0" w:firstLineChars="0"/>
        <w:jc w:val="center"/>
        <w:textAlignment w:val="auto"/>
        <w:rPr>
          <w:rFonts w:hint="default" w:ascii="Times New Roman" w:hAnsi="Times New Roman" w:eastAsia="黑体" w:cs="Times New Roman"/>
          <w:color w:val="auto"/>
          <w:sz w:val="24"/>
          <w:szCs w:val="24"/>
          <w:highlight w:val="none"/>
          <w:lang w:val="en-US" w:eastAsia="zh-CN"/>
        </w:rPr>
      </w:pPr>
      <w:r>
        <w:rPr>
          <w:rFonts w:hint="eastAsia" w:ascii="方正黑体_GBK" w:hAnsi="方正黑体_GBK" w:eastAsia="方正黑体_GBK" w:cs="方正黑体_GBK"/>
          <w:color w:val="auto"/>
          <w:sz w:val="24"/>
          <w:szCs w:val="24"/>
          <w:highlight w:val="none"/>
          <w:lang w:val="en-US" w:eastAsia="zh-CN"/>
        </w:rPr>
        <w:t>表3：2023年</w:t>
      </w:r>
      <w:r>
        <w:rPr>
          <w:rFonts w:hint="default" w:ascii="Times New Roman" w:hAnsi="Times New Roman" w:eastAsia="黑体" w:cs="Times New Roman"/>
          <w:color w:val="auto"/>
          <w:sz w:val="24"/>
          <w:szCs w:val="24"/>
          <w:highlight w:val="none"/>
          <w:lang w:val="en-US" w:eastAsia="zh-CN"/>
        </w:rPr>
        <w:t>文保资金安排项目验收情况表</w:t>
      </w:r>
    </w:p>
    <w:tbl>
      <w:tblPr>
        <w:tblStyle w:val="7"/>
        <w:tblW w:w="0" w:type="auto"/>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fixed"/>
        <w:tblCellMar>
          <w:top w:w="0" w:type="dxa"/>
          <w:left w:w="108" w:type="dxa"/>
          <w:bottom w:w="0" w:type="dxa"/>
          <w:right w:w="108" w:type="dxa"/>
        </w:tblCellMar>
      </w:tblPr>
      <w:tblGrid>
        <w:gridCol w:w="477"/>
        <w:gridCol w:w="1942"/>
        <w:gridCol w:w="2332"/>
        <w:gridCol w:w="931"/>
        <w:gridCol w:w="2840"/>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680" w:hRule="atLeast"/>
          <w:tblHeader/>
        </w:trPr>
        <w:tc>
          <w:tcPr>
            <w:tcW w:w="477"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序号</w:t>
            </w:r>
          </w:p>
        </w:tc>
        <w:tc>
          <w:tcPr>
            <w:tcW w:w="1942"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项目实施单位</w:t>
            </w:r>
          </w:p>
        </w:tc>
        <w:tc>
          <w:tcPr>
            <w:tcW w:w="2332"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项目名称</w:t>
            </w:r>
          </w:p>
        </w:tc>
        <w:tc>
          <w:tcPr>
            <w:tcW w:w="931"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完成情况</w:t>
            </w:r>
          </w:p>
        </w:tc>
        <w:tc>
          <w:tcPr>
            <w:tcW w:w="2840"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lang w:val="en-US"/>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验收情况</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b/>
                <w:bCs/>
                <w:i w:val="0"/>
                <w:iCs w:val="0"/>
                <w:color w:val="000000"/>
                <w:sz w:val="20"/>
                <w:szCs w:val="20"/>
                <w:u w:val="none"/>
              </w:rPr>
            </w:pPr>
          </w:p>
        </w:tc>
        <w:tc>
          <w:tcPr>
            <w:tcW w:w="1942"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b/>
                <w:bCs/>
                <w:i w:val="0"/>
                <w:iCs w:val="0"/>
                <w:color w:val="000000"/>
                <w:sz w:val="20"/>
                <w:szCs w:val="20"/>
                <w:u w:val="none"/>
              </w:rPr>
            </w:pPr>
          </w:p>
        </w:tc>
        <w:tc>
          <w:tcPr>
            <w:tcW w:w="2332"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b/>
                <w:bCs/>
                <w:i w:val="0"/>
                <w:iCs w:val="0"/>
                <w:color w:val="000000"/>
                <w:sz w:val="20"/>
                <w:szCs w:val="20"/>
                <w:u w:val="none"/>
              </w:rPr>
            </w:pPr>
          </w:p>
        </w:tc>
        <w:tc>
          <w:tcPr>
            <w:tcW w:w="931"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b/>
                <w:bCs/>
                <w:i w:val="0"/>
                <w:iCs w:val="0"/>
                <w:color w:val="000000"/>
                <w:sz w:val="20"/>
                <w:szCs w:val="20"/>
                <w:u w:val="none"/>
              </w:rPr>
            </w:pPr>
          </w:p>
        </w:tc>
        <w:tc>
          <w:tcPr>
            <w:tcW w:w="2840"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b/>
                <w:bCs/>
                <w:i w:val="0"/>
                <w:iCs w:val="0"/>
                <w:color w:val="000000"/>
                <w:sz w:val="20"/>
                <w:szCs w:val="20"/>
                <w:u w:val="none"/>
              </w:rPr>
            </w:pP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圆明园管理处</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圆明园遗址西洋楼片区数字化展示工程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2023年11月28日通过专家评审验收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北京市文物局综合事务中心珍贵纸质文物保护修复项目</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2023年12月7日通过专家评审验收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北京湖广会馆修缮工程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2023年3月24日竣工验收，2023年4月4日完成竣工验收备案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北京市颐和园管理处</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颐和园养云轩院修缮工程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2023年12月26日通过四方竣工验收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北京市昌平区明十三陵管理中心</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明十三陵定陵宝顶修整及封土排水系统疏浚前期勘察研究</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2022年2月15日获得北京市文物局京文物【2022】130号核准批复文件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北京市延庆区博物馆（北京市延庆区文物管理所）</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延庆长城60-64号敌台及59-64号敌台间边墙保护修缮项目工程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2023年11月15日通过四方竣工验收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北京湖广会馆防雷升级改造工程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2023年9月7日通过四方竣工验收，2023年12月11日通过北京市气象局验收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先农坛庆成宫、神厨院及宰牲亭彩画保护工程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2023年12月7日竣工验收，2023年12月8日完成竣工验收备案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先农坛消防二期升级改造工程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2023年11月28日通过四方竣工验收，2023年12月1日通过消防机构检查合格</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先农坛庆成宫、神仓院、地祈坛、具服殿等增设部分安防设施设备</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2023年12月15日通过四方竣工验收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通州区文化和旅游局</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大运河张家湾遗址及通运桥文物保护与修缮工程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2022年11月18日通过国家专家组预验收，2023年3月30日竣工备案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通州区文化和旅游局</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通州近代学校建筑群——潞河中学解放楼、红楼、教士楼保护修缮</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2022年11月18日通过国家专家组预验收，2023年3月30日竣工备案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北京老年医院</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辛亥滦州起义纪念园文物保护工程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2023年3月9日竣工验收，2023年3月16日完成竣工验收备案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北京市天主教爱国会</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南堂修缮工程（延续）</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2023年12月8日完成竣工验收备案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正阳门（城楼）防雷升级改造工程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2023年11月20日通过四方竣工验收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北京湖广会馆安防升级改造工程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2023年8月31日完成竣工验收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北京湖广会馆消防升级改造工程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2023年1月16日通过四方竣工验收，消防通过专家验收</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北京市朝阳区文物管理所</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大运河-永通桥修缮工程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2023年10月24日通过验收，完成北京市水务局水环境保护备案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北京市昌平区十三陵特区办事处</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明十三陵泰陵方城墙面与地面加固及防渗工程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2023年2月15日完成竣工验收，3月7日完成竣工备案</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0" w:hRule="atLeast"/>
        </w:trPr>
        <w:tc>
          <w:tcPr>
            <w:tcW w:w="47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19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北京雍和宫管理处</w:t>
            </w:r>
          </w:p>
        </w:tc>
        <w:tc>
          <w:tcPr>
            <w:tcW w:w="233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雍和宫文物建筑群前期勘察及监测</w:t>
            </w:r>
          </w:p>
        </w:tc>
        <w:tc>
          <w:tcPr>
            <w:tcW w:w="931" w:type="dxa"/>
            <w:tcBorders>
              <w:tl2br w:val="nil"/>
              <w:tr2bl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已完工</w:t>
            </w:r>
          </w:p>
        </w:tc>
        <w:tc>
          <w:tcPr>
            <w:tcW w:w="2840"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2023年9月15日通过专家评审验收</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指标3：</w:t>
      </w:r>
      <w:r>
        <w:rPr>
          <w:rFonts w:hint="eastAsia" w:ascii="方正仿宋_GBK" w:hAnsi="方正仿宋_GBK" w:eastAsia="方正仿宋_GBK" w:cs="方正仿宋_GBK"/>
          <w:color w:val="auto"/>
          <w:sz w:val="32"/>
          <w:szCs w:val="32"/>
          <w:highlight w:val="none"/>
          <w:lang w:eastAsia="zh-CN"/>
        </w:rPr>
        <w:t>安全事故发生率</w:t>
      </w:r>
      <w:r>
        <w:rPr>
          <w:rFonts w:hint="eastAsia" w:ascii="方正仿宋_GBK" w:hAnsi="方正仿宋_GBK" w:eastAsia="方正仿宋_GBK" w:cs="方正仿宋_GBK"/>
          <w:color w:val="auto"/>
          <w:sz w:val="32"/>
          <w:szCs w:val="32"/>
          <w:highlight w:val="none"/>
          <w:lang w:val="en-US" w:eastAsia="zh-CN"/>
        </w:rPr>
        <w:t>指标值为</w:t>
      </w:r>
      <w:r>
        <w:rPr>
          <w:rFonts w:hint="eastAsia" w:ascii="方正仿宋_GBK" w:hAnsi="方正仿宋_GBK" w:eastAsia="方正仿宋_GBK" w:cs="方正仿宋_GBK"/>
          <w:color w:val="auto"/>
          <w:sz w:val="32"/>
          <w:szCs w:val="32"/>
          <w:highlight w:val="none"/>
          <w:lang w:eastAsia="zh-CN"/>
        </w:rPr>
        <w:t>≤0.5‰，</w:t>
      </w:r>
      <w:r>
        <w:rPr>
          <w:rFonts w:hint="eastAsia" w:ascii="方正仿宋_GBK" w:hAnsi="方正仿宋_GBK" w:eastAsia="方正仿宋_GBK" w:cs="方正仿宋_GBK"/>
          <w:color w:val="auto"/>
          <w:sz w:val="32"/>
          <w:szCs w:val="32"/>
          <w:highlight w:val="none"/>
          <w:lang w:val="en-US" w:eastAsia="zh-CN"/>
        </w:rPr>
        <w:t>实际完成值为0，按计划完成年初目标设定。2023年北京市高度重视文物安全工作，始终把文物安全摆在首位，狠抓责任落实，完善制度机制，强化安全措施，从根本上消除事故隐患，有效遏制重特大事故发生，本次评价时未发生安全事故。</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指标4：国保单位的重大险情排除率指标值为≥90%，实际完成值为100%，按计划完成年初目标设定。2023年北京市加强管理，做好修缮后相关文物的日常养护工作，及时发现和排除隐患，确保文物安全。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指标5：馆藏珍贵文物和重要出土文物的抢救性保护修复率指标值为≥90%，实际完成值为100%，按计划完成年初目标设定。2023年北京市支持馆藏珍贵文物保护项目2个，具体情况如下：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1）北京市文物局综合事务中心珍贵纸质文物保护修复项目，该项目实际拨付资金总额59.00万元，实施周期为：2023年6月-2023年12月，截至2023年12月31日，该项目实际支出58.80万元，结余资金0.20万元，结余原因为：履行比选程序节约项目资金。该项目2023年度已完成全部修复工作，完成了30种48册4118页的珍贵纸质文物保护修复任务，达到了恢复文物原貌、维持文物稳定状态的目的，于2023年12月7日通过专家评审验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北京艺术博物馆馆藏织绣珍贵文物保护修复该项目为跨年实施项目，该项目总预算70.51万元，资金实施周期为：2023年6月-2025年12月30日，2023年实际拨付资金总额50万元，截至2023年12月31日，该项目实际支出45.21万元，结转资金4.79万元。该项目计划2年内完成12件馆藏织绣珍贵织绣文物的修复，2023年度已完成6件馆藏织绣珍贵织绣文物的修复，去除了对文物有害及可能诱发病害的因素，使文物老化速度减缓，寿命得到延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指标6：文物损毁、违规修复发生率指标值为</w:t>
      </w:r>
      <w:r>
        <w:rPr>
          <w:rFonts w:hint="eastAsia" w:ascii="方正仿宋_GBK" w:hAnsi="方正仿宋_GBK" w:eastAsia="方正仿宋_GBK" w:cs="方正仿宋_GBK"/>
          <w:color w:val="auto"/>
          <w:sz w:val="32"/>
          <w:szCs w:val="32"/>
          <w:highlight w:val="none"/>
          <w:lang w:val="en-US" w:eastAsia="zh-CN"/>
        </w:rPr>
        <w:tab/>
      </w:r>
      <w:r>
        <w:rPr>
          <w:rFonts w:hint="eastAsia" w:ascii="方正仿宋_GBK" w:hAnsi="方正仿宋_GBK" w:eastAsia="方正仿宋_GBK" w:cs="方正仿宋_GBK"/>
          <w:color w:val="auto"/>
          <w:sz w:val="32"/>
          <w:szCs w:val="32"/>
          <w:highlight w:val="none"/>
          <w:lang w:val="en-US" w:eastAsia="zh-CN"/>
        </w:rPr>
        <w:t>≤0.5‰，实际完成值为0，本次评价时，北京市未发现文物损毁、违规修复的情况，按计划完成年初目标设定。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kern w:val="2"/>
          <w:sz w:val="32"/>
          <w:szCs w:val="32"/>
          <w:lang w:val="en-US" w:eastAsia="zh-CN" w:bidi="ar-SA"/>
        </w:rPr>
        <w:t>（3）</w:t>
      </w:r>
      <w:r>
        <w:rPr>
          <w:rFonts w:hint="eastAsia" w:ascii="方正仿宋_GBK" w:hAnsi="方正仿宋_GBK" w:eastAsia="方正仿宋_GBK" w:cs="方正仿宋_GBK"/>
          <w:color w:val="auto"/>
          <w:sz w:val="32"/>
          <w:szCs w:val="32"/>
          <w:highlight w:val="none"/>
          <w:lang w:eastAsia="zh-CN"/>
        </w:rPr>
        <w:t>时效指标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财政部下达的绩效目标未设定时效指标。</w:t>
      </w:r>
      <w:r>
        <w:rPr>
          <w:rFonts w:hint="eastAsia" w:ascii="方正仿宋_GBK" w:hAnsi="方正仿宋_GBK" w:eastAsia="方正仿宋_GBK" w:cs="方正仿宋_GBK"/>
          <w:color w:val="auto"/>
          <w:sz w:val="32"/>
          <w:szCs w:val="32"/>
          <w:highlight w:val="none"/>
          <w:lang w:val="en-US" w:eastAsia="zh-CN"/>
        </w:rPr>
        <w:t>但</w:t>
      </w:r>
      <w:r>
        <w:rPr>
          <w:rFonts w:hint="eastAsia" w:ascii="方正仿宋_GBK" w:hAnsi="方正仿宋_GBK" w:eastAsia="方正仿宋_GBK" w:cs="方正仿宋_GBK"/>
          <w:color w:val="auto"/>
          <w:sz w:val="32"/>
          <w:szCs w:val="32"/>
          <w:highlight w:val="none"/>
          <w:lang w:eastAsia="zh-CN"/>
        </w:rPr>
        <w:t>结合项目执行状态来看，</w:t>
      </w:r>
      <w:r>
        <w:rPr>
          <w:rFonts w:hint="eastAsia" w:ascii="方正仿宋_GBK" w:hAnsi="方正仿宋_GBK" w:eastAsia="方正仿宋_GBK" w:cs="方正仿宋_GBK"/>
          <w:color w:val="auto"/>
          <w:sz w:val="32"/>
          <w:szCs w:val="32"/>
          <w:highlight w:val="none"/>
          <w:lang w:val="en-US" w:eastAsia="zh-CN"/>
        </w:rPr>
        <w:t>2023年度文保资金支持的35个项目中，已完成项目20个，正在实施项目15个，其中7个项目进度较计划进度略滞后。</w:t>
      </w:r>
      <w:r>
        <w:rPr>
          <w:rFonts w:hint="eastAsia" w:ascii="方正仿宋_GBK" w:hAnsi="方正仿宋_GBK" w:eastAsia="方正仿宋_GBK" w:cs="方正仿宋_GBK"/>
          <w:color w:val="auto"/>
          <w:sz w:val="32"/>
          <w:szCs w:val="32"/>
          <w:highlight w:val="none"/>
          <w:lang w:eastAsia="zh-CN"/>
        </w:rPr>
        <w:t>具体见图</w:t>
      </w:r>
      <w:r>
        <w:rPr>
          <w:rFonts w:hint="eastAsia" w:ascii="方正仿宋_GBK" w:hAnsi="方正仿宋_GBK" w:eastAsia="方正仿宋_GBK" w:cs="方正仿宋_GBK"/>
          <w:color w:val="auto"/>
          <w:sz w:val="32"/>
          <w:szCs w:val="32"/>
          <w:highlight w:val="none"/>
          <w:lang w:val="en-US" w:eastAsia="zh-CN"/>
        </w:rPr>
        <w:t>1。</w:t>
      </w:r>
    </w:p>
    <w:p>
      <w:pPr>
        <w:pStyle w:val="10"/>
        <w:jc w:val="center"/>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图1：项目实施进度分布图</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outlineLvl w:val="9"/>
        <w:rPr>
          <w:rFonts w:hint="default" w:ascii="Times New Roman" w:hAnsi="Times New Roman" w:cs="Times New Roman"/>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方正仿宋_GBK" w:hAnsi="方正仿宋_GBK" w:eastAsia="方正仿宋_GBK" w:cs="方正仿宋_GBK"/>
          <w:color w:val="auto"/>
          <w:sz w:val="32"/>
          <w:szCs w:val="32"/>
          <w:highlight w:val="none"/>
          <w:lang w:eastAsia="zh-CN"/>
        </w:rPr>
      </w:pPr>
      <w:r>
        <w:rPr>
          <w:rFonts w:hint="default" w:ascii="Times New Roman" w:hAnsi="Times New Roman" w:cs="Times New Roman"/>
        </w:rPr>
        <w:drawing>
          <wp:anchor distT="0" distB="0" distL="114300" distR="114300" simplePos="0" relativeHeight="251660288" behindDoc="0" locked="0" layoutInCell="1" allowOverlap="1">
            <wp:simplePos x="0" y="0"/>
            <wp:positionH relativeFrom="column">
              <wp:posOffset>167640</wp:posOffset>
            </wp:positionH>
            <wp:positionV relativeFrom="paragraph">
              <wp:posOffset>161925</wp:posOffset>
            </wp:positionV>
            <wp:extent cx="4803140" cy="2799080"/>
            <wp:effectExtent l="4445" t="5080" r="5715" b="40640"/>
            <wp:wrapNone/>
            <wp:docPr id="3" name="图表 1" descr="7b0a202020202263686172745265734964223a20223230343736303839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方正仿宋_GBK" w:hAnsi="方正仿宋_GBK" w:eastAsia="方正仿宋_GBK" w:cs="方正仿宋_GBK"/>
          <w:color w:val="auto"/>
          <w:sz w:val="32"/>
          <w:szCs w:val="32"/>
          <w:highlight w:val="none"/>
          <w:lang w:eastAsia="zh-CN"/>
        </w:rPr>
        <w:t>财政部下达的绩效目标未设定成本指标。</w:t>
      </w:r>
      <w:r>
        <w:rPr>
          <w:rFonts w:hint="eastAsia" w:ascii="方正仿宋_GBK" w:hAnsi="方正仿宋_GBK" w:eastAsia="方正仿宋_GBK" w:cs="方正仿宋_GBK"/>
          <w:color w:val="auto"/>
          <w:sz w:val="32"/>
          <w:szCs w:val="32"/>
          <w:highlight w:val="none"/>
          <w:lang w:val="en-US" w:eastAsia="zh-CN"/>
        </w:rPr>
        <w:t>但</w:t>
      </w:r>
      <w:r>
        <w:rPr>
          <w:rFonts w:hint="eastAsia" w:ascii="方正仿宋_GBK" w:hAnsi="方正仿宋_GBK" w:eastAsia="方正仿宋_GBK" w:cs="方正仿宋_GBK"/>
          <w:color w:val="auto"/>
          <w:sz w:val="32"/>
          <w:szCs w:val="32"/>
          <w:highlight w:val="none"/>
          <w:lang w:eastAsia="zh-CN"/>
        </w:rPr>
        <w:t>结合项目成本支出情况来看，</w:t>
      </w:r>
      <w:r>
        <w:rPr>
          <w:rFonts w:hint="eastAsia" w:ascii="方正仿宋_GBK" w:hAnsi="方正仿宋_GBK" w:eastAsia="方正仿宋_GBK" w:cs="方正仿宋_GBK"/>
          <w:color w:val="auto"/>
          <w:sz w:val="32"/>
          <w:szCs w:val="32"/>
          <w:highlight w:val="none"/>
          <w:lang w:val="en-US" w:eastAsia="zh-CN"/>
        </w:rPr>
        <w:t>2023年度文保资金支持的35个项目中，17</w:t>
      </w:r>
      <w:r>
        <w:rPr>
          <w:rFonts w:hint="eastAsia" w:ascii="方正仿宋_GBK" w:hAnsi="方正仿宋_GBK" w:eastAsia="方正仿宋_GBK" w:cs="方正仿宋_GBK"/>
          <w:color w:val="auto"/>
          <w:sz w:val="32"/>
          <w:szCs w:val="32"/>
          <w:highlight w:val="none"/>
          <w:lang w:eastAsia="zh-CN"/>
        </w:rPr>
        <w:t>个已完工项目产生了结余，结余主要原因为：因履行政府采购程序、项目结项评审等</w:t>
      </w:r>
      <w:r>
        <w:rPr>
          <w:rFonts w:hint="eastAsia" w:ascii="方正仿宋_GBK" w:hAnsi="方正仿宋_GBK" w:eastAsia="方正仿宋_GBK" w:cs="方正仿宋_GBK"/>
          <w:color w:val="auto"/>
          <w:sz w:val="32"/>
          <w:szCs w:val="32"/>
          <w:highlight w:val="none"/>
          <w:lang w:val="en-US" w:eastAsia="zh-CN"/>
        </w:rPr>
        <w:t>程序节约</w:t>
      </w:r>
      <w:r>
        <w:rPr>
          <w:rFonts w:hint="eastAsia" w:ascii="方正仿宋_GBK" w:hAnsi="方正仿宋_GBK" w:eastAsia="方正仿宋_GBK" w:cs="方正仿宋_GBK"/>
          <w:color w:val="auto"/>
          <w:sz w:val="32"/>
          <w:szCs w:val="32"/>
          <w:highlight w:val="none"/>
          <w:lang w:eastAsia="zh-CN"/>
        </w:rPr>
        <w:t>项目成本，</w:t>
      </w:r>
      <w:r>
        <w:rPr>
          <w:rFonts w:hint="eastAsia" w:ascii="方正仿宋_GBK" w:hAnsi="方正仿宋_GBK" w:eastAsia="方正仿宋_GBK" w:cs="方正仿宋_GBK"/>
          <w:color w:val="auto"/>
          <w:sz w:val="32"/>
          <w:szCs w:val="32"/>
          <w:highlight w:val="none"/>
          <w:lang w:val="en-US" w:eastAsia="zh-CN"/>
        </w:rPr>
        <w:t>共</w:t>
      </w:r>
      <w:r>
        <w:rPr>
          <w:rFonts w:hint="eastAsia" w:ascii="方正仿宋_GBK" w:hAnsi="方正仿宋_GBK" w:eastAsia="方正仿宋_GBK" w:cs="方正仿宋_GBK"/>
          <w:color w:val="auto"/>
          <w:sz w:val="32"/>
          <w:szCs w:val="32"/>
          <w:highlight w:val="none"/>
          <w:lang w:eastAsia="zh-CN"/>
        </w:rPr>
        <w:t>节约资金总额为572.13 万元。</w:t>
      </w:r>
      <w:r>
        <w:rPr>
          <w:rFonts w:hint="eastAsia" w:ascii="方正仿宋_GBK" w:hAnsi="方正仿宋_GBK" w:eastAsia="方正仿宋_GBK" w:cs="方正仿宋_GBK"/>
          <w:color w:val="auto"/>
          <w:sz w:val="32"/>
          <w:szCs w:val="32"/>
          <w:highlight w:val="none"/>
          <w:lang w:val="en-US" w:eastAsia="zh-CN"/>
        </w:rPr>
        <w:t>具体项目投入及执行情况见表4。</w:t>
      </w:r>
    </w:p>
    <w:p>
      <w:pPr>
        <w:pStyle w:val="10"/>
        <w:keepNext w:val="0"/>
        <w:keepLines w:val="0"/>
        <w:pageBreakBefore w:val="0"/>
        <w:kinsoku/>
        <w:wordWrap/>
        <w:overflowPunct/>
        <w:topLinePunct w:val="0"/>
        <w:autoSpaceDE/>
        <w:autoSpaceDN/>
        <w:bidi w:val="0"/>
        <w:adjustRightInd w:val="0"/>
        <w:snapToGrid w:val="0"/>
        <w:spacing w:line="240" w:lineRule="atLeast"/>
        <w:ind w:left="0"/>
        <w:jc w:val="center"/>
        <w:rPr>
          <w:rFonts w:hint="default" w:ascii="Times New Roman" w:hAnsi="Times New Roman" w:eastAsia="黑体" w:cs="Times New Roman"/>
          <w:color w:val="auto"/>
          <w:sz w:val="24"/>
          <w:szCs w:val="24"/>
          <w:highlight w:val="none"/>
          <w:lang w:val="en-US" w:eastAsia="zh-CN"/>
        </w:rPr>
      </w:pPr>
      <w:r>
        <w:rPr>
          <w:rFonts w:hint="eastAsia" w:ascii="方正黑体_GBK" w:hAnsi="方正黑体_GBK" w:eastAsia="方正黑体_GBK" w:cs="方正黑体_GBK"/>
          <w:color w:val="auto"/>
          <w:sz w:val="24"/>
          <w:szCs w:val="24"/>
          <w:highlight w:val="none"/>
          <w:lang w:val="en-US" w:eastAsia="zh-CN"/>
        </w:rPr>
        <w:t>表4：2023年各项</w:t>
      </w:r>
      <w:r>
        <w:rPr>
          <w:rFonts w:hint="default" w:ascii="Times New Roman" w:hAnsi="Times New Roman" w:eastAsia="黑体" w:cs="Times New Roman"/>
          <w:color w:val="auto"/>
          <w:sz w:val="24"/>
          <w:szCs w:val="24"/>
          <w:highlight w:val="none"/>
          <w:lang w:val="en-US" w:eastAsia="zh-CN"/>
        </w:rPr>
        <w:t>目资金执行情况表</w:t>
      </w:r>
    </w:p>
    <w:p>
      <w:pPr>
        <w:pStyle w:val="10"/>
        <w:keepNext w:val="0"/>
        <w:keepLines w:val="0"/>
        <w:pageBreakBefore w:val="0"/>
        <w:kinsoku/>
        <w:wordWrap/>
        <w:overflowPunct/>
        <w:topLinePunct w:val="0"/>
        <w:autoSpaceDE/>
        <w:autoSpaceDN/>
        <w:bidi w:val="0"/>
        <w:adjustRightInd w:val="0"/>
        <w:snapToGrid w:val="0"/>
        <w:spacing w:line="240" w:lineRule="atLeast"/>
        <w:ind w:left="0"/>
        <w:jc w:val="right"/>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单位：万元</w:t>
      </w:r>
    </w:p>
    <w:tbl>
      <w:tblPr>
        <w:tblStyle w:val="7"/>
        <w:tblW w:w="4985" w:type="pct"/>
        <w:tblInd w:w="0" w:type="dxa"/>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481"/>
        <w:gridCol w:w="2491"/>
        <w:gridCol w:w="3554"/>
        <w:gridCol w:w="876"/>
        <w:gridCol w:w="1196"/>
        <w:gridCol w:w="1190"/>
        <w:gridCol w:w="1363"/>
        <w:gridCol w:w="1046"/>
        <w:gridCol w:w="908"/>
        <w:gridCol w:w="1026"/>
      </w:tblGrid>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556" w:hRule="atLeast"/>
          <w:tblHeader/>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序号</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项目实施单位</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项目名称</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项目实施状态</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上年结转金额</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2023年下达金额</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2023年支出金额</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预算执行率</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结余资金</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结转资金</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2618" w:type="pct"/>
            <w:gridSpan w:val="4"/>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一、2023年当年安排项目</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1,759.42</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13,627.00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11,426.37</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74.26%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207.72</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3,752.33</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圆明园管理处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圆明园遗址西洋楼片区数字化展示工程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222.50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355.26</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7.24</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北京市考古研究院</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琉璃河遗址出土文物实验室考古及保护研究（2022年-2024年）专项方案</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206.00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201.79</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97.96%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北京市文物局综合事务中心</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珍贵纸质文物保护修复项目</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58.80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99.66%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0.20</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北京艺术博物馆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北京艺术博物馆馆藏织绣珍贵文物保护修复</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45.21</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90.41%</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4.79</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358.46</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433.76</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85.31%</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74.70</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正阳门监测预警试点</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349.00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249.67</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71.54%</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99.33</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北京市颐和园管理处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颐和园养云轩院修缮工程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1.99</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473.00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437.13</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92.03%</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37.86</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北京市昌平区明十三陵管理中心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明十三陵定陵宝顶修整及封土排水系统疏浚前期勘察研究</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173.00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北京市延庆区博物馆（北京市延庆区文物管理所）</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延庆长城60-64号敌台及59-64号敌台间边墙保护修缮项目工程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1,176.47</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1,384.00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2,546.61</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99.46%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13.86</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北京天桥盛世投资集团有限责任公司（本级）</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北京湖广会馆防雷升级改造工程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132.00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123.01</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93.19%</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8.99</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德胜门箭楼消防升级改造项目</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263.00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113.49</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43.15%</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149.51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北京房山云居寺文物管理处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云居寺塔及石经安防升级改造工程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416.33</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77.10%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123.67</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北京民俗博物馆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北京东岳庙彩塑保护前期勘察项目</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59.20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98.67%</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0.80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北京民俗博物馆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北京东岳庙彩画保护前期勘察项目</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151.00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149.90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99.27%</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北京市朝阳区日坛公园</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日坛建筑群修缮工程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1,220.00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北京市石景山区承恩寺文物保管所</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石景山承恩寺修缮工程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710.00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416.32</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58.64%</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293.68</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北京市东城区人民政府建国门街道办事处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禄米仓1、2、3号仓廒修缮工程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1,044.00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624.69</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59.84%</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419.31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1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先农坛庆成宫保护修缮工程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3,504.00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1,795.05</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51.23%</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1,708.95</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19</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先农坛庆成宫、神厨院及宰牲亭彩画保护工程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698.00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648.78</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92.95%</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49.22</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先农坛拜殿、神厨、神仓、庆成宫防雷升级改造工程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443.00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324.80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73.32%</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118.20</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先农坛消防二期升级改造工程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233.00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223.81</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96.06%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9.19</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22</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北京古代建筑博物馆</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先农坛庆成宫、神仓院、地祈坛、具服殿等增设部分安防设施设备</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396.00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389.53</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98.37%</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6.47</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23</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北京市佛教协会</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天宁寺塔砖雕、泥塑造像保护前期研究报告</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206.44</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27.53%</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543.56</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24</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北京市延庆区八达岭长城管理处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延庆区长城14-23敌台及墙体安防升级改造工程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499.00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213.77</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42.84%</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285.23</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2618" w:type="pct"/>
            <w:gridSpan w:val="4"/>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二、上年结转安排项目</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2,762.49</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Theme="minorEastAsia" w:hAnsiTheme="minorEastAsia" w:eastAsiaTheme="minorEastAsia" w:cstheme="minorEastAsia"/>
                <w:b/>
                <w:bCs/>
                <w:i w:val="0"/>
                <w:iCs w:val="0"/>
                <w:color w:val="000000"/>
                <w:kern w:val="0"/>
                <w:sz w:val="20"/>
                <w:szCs w:val="20"/>
                <w:highlight w:val="none"/>
                <w:u w:val="none"/>
                <w:lang w:val="en-US" w:eastAsia="zh-CN" w:bidi="ar"/>
              </w:rPr>
              <w:t>0.00</w:t>
            </w:r>
          </w:p>
        </w:tc>
        <w:tc>
          <w:tcPr>
            <w:tcW w:w="48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 xml:space="preserve">2,248.57 </w:t>
            </w:r>
          </w:p>
        </w:tc>
        <w:tc>
          <w:tcPr>
            <w:tcW w:w="370" w:type="pct"/>
            <w:tcBorders>
              <w:tl2br w:val="nil"/>
              <w:tr2bl w:val="nil"/>
            </w:tcBorders>
            <w:shd w:val="clear" w:color="auto" w:fill="auto"/>
            <w:vAlign w:val="center"/>
          </w:tcPr>
          <w:p>
            <w:pPr>
              <w:keepNext w:val="0"/>
              <w:keepLines w:val="0"/>
              <w:widowControl/>
              <w:suppressLineNumbers w:val="0"/>
              <w:jc w:val="right"/>
              <w:textAlignment w:val="center"/>
              <w:rPr>
                <w:rFonts w:hint="eastAsia" w:asciiTheme="minorEastAsia" w:hAnsiTheme="minorEastAsia" w:eastAsiaTheme="minorEastAsia" w:cstheme="minorEastAsia"/>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81.40%</w:t>
            </w:r>
          </w:p>
        </w:tc>
        <w:tc>
          <w:tcPr>
            <w:tcW w:w="321" w:type="pct"/>
            <w:tcBorders>
              <w:tl2br w:val="nil"/>
              <w:tr2bl w:val="nil"/>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000000"/>
                <w:sz w:val="20"/>
                <w:szCs w:val="20"/>
                <w:highlight w:val="none"/>
                <w:u w:val="none"/>
                <w:lang w:val="en-US"/>
              </w:rPr>
            </w:pPr>
            <w:r>
              <w:rPr>
                <w:rFonts w:hint="eastAsia" w:ascii="宋体" w:hAnsi="宋体" w:eastAsia="宋体" w:cs="宋体"/>
                <w:b/>
                <w:bCs/>
                <w:i w:val="0"/>
                <w:iCs w:val="0"/>
                <w:color w:val="000000"/>
                <w:kern w:val="0"/>
                <w:sz w:val="20"/>
                <w:szCs w:val="20"/>
                <w:highlight w:val="none"/>
                <w:u w:val="none"/>
                <w:lang w:val="en-US" w:eastAsia="zh-CN" w:bidi="ar"/>
              </w:rPr>
              <w:t xml:space="preserve">364.41 </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149.51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通州区文化和旅游局</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大运河张家湾遗址及通运桥文物保护与修缮工程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160.46</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154.48</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96.27%</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5.98</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5"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通州区文化和旅游局</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通州近代学校建筑群——潞河中学解放楼、红楼、教士楼保护修缮</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147.32</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135.60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92.04%</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11.72</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1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北京老年医院</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辛亥滦州起义纪念园文物保护工程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2.13</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北京市天主教爱国会</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南堂修缮工程（延续）</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611.47</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457.91</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74.89%</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153.56</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正阳门城楼修缮工程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实施中</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996.98</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996.98</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82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北京中轴线遗产保护中心（北京世界文化遗产监测中心）</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正阳门（城楼）防雷升级改造工程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185.59</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164.64</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88.71%</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20.94</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北京湖广会馆安防升级改造工程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141.32</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130.52</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92.36%</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10.80</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8</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北京天桥盛世投资集团有限责任公司</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北京湖广会馆消防升级改造工程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63.49</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60.62</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95.49%</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2.86</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82"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北京市朝阳区文物管理所</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大运河-永通桥修缮工程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153.50</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153.50</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553"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北京市昌平区十三陵特区办事处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明十三陵泰陵方城墙面与地面加固及防渗工程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149.51</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149.51</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321" w:hRule="atLeast"/>
        </w:trPr>
        <w:tc>
          <w:tcPr>
            <w:tcW w:w="1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11</w:t>
            </w:r>
          </w:p>
        </w:tc>
        <w:tc>
          <w:tcPr>
            <w:tcW w:w="88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北京雍和宫管理处</w:t>
            </w:r>
          </w:p>
        </w:tc>
        <w:tc>
          <w:tcPr>
            <w:tcW w:w="1257"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雍和宫文物建筑群前期勘察及监测</w:t>
            </w:r>
          </w:p>
        </w:tc>
        <w:tc>
          <w:tcPr>
            <w:tcW w:w="309"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已完成</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150.73</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147.82 </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98.07%</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2.91 </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r>
      <w:tr>
        <w:tblPrEx>
          <w:tblBorders>
            <w:top w:val="single" w:color="000000" w:sz="4" w:space="0"/>
            <w:left w:val="none" w:color="auto" w:sz="0" w:space="0"/>
            <w:bottom w:val="single" w:color="000000" w:sz="4" w:space="0"/>
            <w:right w:val="none" w:color="auto" w:sz="0"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292" w:hRule="atLeast"/>
        </w:trPr>
        <w:tc>
          <w:tcPr>
            <w:tcW w:w="2618" w:type="pct"/>
            <w:gridSpan w:val="4"/>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合计</w:t>
            </w:r>
          </w:p>
        </w:tc>
        <w:tc>
          <w:tcPr>
            <w:tcW w:w="42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4,521.91</w:t>
            </w:r>
          </w:p>
        </w:tc>
        <w:tc>
          <w:tcPr>
            <w:tcW w:w="4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13,627.00</w:t>
            </w:r>
          </w:p>
        </w:tc>
        <w:tc>
          <w:tcPr>
            <w:tcW w:w="482"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 xml:space="preserve">13,674.94 </w:t>
            </w:r>
          </w:p>
        </w:tc>
        <w:tc>
          <w:tcPr>
            <w:tcW w:w="370"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75.35%</w:t>
            </w:r>
          </w:p>
        </w:tc>
        <w:tc>
          <w:tcPr>
            <w:tcW w:w="3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 xml:space="preserve">572.13 </w:t>
            </w:r>
          </w:p>
        </w:tc>
        <w:tc>
          <w:tcPr>
            <w:tcW w:w="363"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b/>
                <w:bCs/>
                <w:i w:val="0"/>
                <w:iCs w:val="0"/>
                <w:color w:val="000000"/>
                <w:sz w:val="20"/>
                <w:szCs w:val="20"/>
                <w:u w:val="none"/>
              </w:rPr>
            </w:pPr>
            <w:r>
              <w:rPr>
                <w:rFonts w:hint="eastAsia" w:asciiTheme="minorEastAsia" w:hAnsiTheme="minorEastAsia" w:eastAsiaTheme="minorEastAsia" w:cstheme="minorEastAsia"/>
                <w:b/>
                <w:bCs/>
                <w:i w:val="0"/>
                <w:iCs w:val="0"/>
                <w:color w:val="000000"/>
                <w:kern w:val="0"/>
                <w:sz w:val="20"/>
                <w:szCs w:val="20"/>
                <w:u w:val="none"/>
                <w:lang w:val="en-US" w:eastAsia="zh-CN" w:bidi="ar"/>
              </w:rPr>
              <w:t>3,901.84</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rPr>
          <w:rFonts w:hint="default" w:ascii="Times New Roman" w:hAnsi="Times New Roman" w:cs="Times New Roman"/>
          <w:color w:val="auto"/>
          <w:sz w:val="32"/>
          <w:szCs w:val="32"/>
          <w:highlight w:val="none"/>
          <w:lang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eastAsia="zh-CN"/>
        </w:rPr>
        <w:t>结合</w:t>
      </w:r>
      <w:r>
        <w:rPr>
          <w:rFonts w:hint="eastAsia" w:ascii="方正仿宋_GBK" w:hAnsi="方正仿宋_GBK" w:eastAsia="方正仿宋_GBK" w:cs="方正仿宋_GBK"/>
          <w:color w:val="auto"/>
          <w:sz w:val="32"/>
          <w:szCs w:val="32"/>
          <w:highlight w:val="none"/>
          <w:lang w:val="en-US" w:eastAsia="zh-CN"/>
        </w:rPr>
        <w:t>上表来看，</w:t>
      </w:r>
      <w:r>
        <w:rPr>
          <w:rFonts w:hint="eastAsia" w:ascii="方正仿宋_GBK" w:hAnsi="方正仿宋_GBK" w:eastAsia="方正仿宋_GBK" w:cs="方正仿宋_GBK"/>
          <w:color w:val="auto"/>
          <w:sz w:val="32"/>
          <w:szCs w:val="32"/>
          <w:highlight w:val="none"/>
        </w:rPr>
        <w:t>20</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年预算项目中预算执行率在80%（含）-100%的项目</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eastAsia="zh-CN"/>
        </w:rPr>
        <w:t>，占比</w:t>
      </w:r>
      <w:r>
        <w:rPr>
          <w:rFonts w:hint="eastAsia" w:ascii="方正仿宋_GBK" w:hAnsi="方正仿宋_GBK" w:eastAsia="方正仿宋_GBK" w:cs="方正仿宋_GBK"/>
          <w:color w:val="auto"/>
          <w:sz w:val="32"/>
          <w:szCs w:val="32"/>
          <w:highlight w:val="none"/>
          <w:lang w:val="en-US" w:eastAsia="zh-CN"/>
        </w:rPr>
        <w:t>63%</w:t>
      </w:r>
      <w:r>
        <w:rPr>
          <w:rFonts w:hint="eastAsia" w:ascii="方正仿宋_GBK" w:hAnsi="方正仿宋_GBK" w:eastAsia="方正仿宋_GBK" w:cs="方正仿宋_GBK"/>
          <w:color w:val="auto"/>
          <w:sz w:val="32"/>
          <w:szCs w:val="32"/>
          <w:highlight w:val="none"/>
        </w:rPr>
        <w:t>；预算执行率在60%（含）-80%的项目</w:t>
      </w:r>
      <w:r>
        <w:rPr>
          <w:rFonts w:hint="eastAsia" w:ascii="方正仿宋_GBK" w:hAnsi="方正仿宋_GBK" w:eastAsia="方正仿宋_GBK" w:cs="方正仿宋_GBK"/>
          <w:color w:val="auto"/>
          <w:sz w:val="32"/>
          <w:szCs w:val="32"/>
          <w:highlight w:val="none"/>
          <w:lang w:val="en-US" w:eastAsia="zh-CN"/>
        </w:rPr>
        <w:t>6</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eastAsia="zh-CN"/>
        </w:rPr>
        <w:t>，占比</w:t>
      </w:r>
      <w:r>
        <w:rPr>
          <w:rFonts w:hint="eastAsia" w:ascii="方正仿宋_GBK" w:hAnsi="方正仿宋_GBK" w:eastAsia="方正仿宋_GBK" w:cs="方正仿宋_GBK"/>
          <w:color w:val="auto"/>
          <w:sz w:val="32"/>
          <w:szCs w:val="32"/>
          <w:highlight w:val="none"/>
          <w:lang w:val="en-US" w:eastAsia="zh-CN"/>
        </w:rPr>
        <w:t>20%</w:t>
      </w:r>
      <w:r>
        <w:rPr>
          <w:rFonts w:hint="eastAsia" w:ascii="方正仿宋_GBK" w:hAnsi="方正仿宋_GBK" w:eastAsia="方正仿宋_GBK" w:cs="方正仿宋_GBK"/>
          <w:color w:val="auto"/>
          <w:sz w:val="32"/>
          <w:szCs w:val="32"/>
          <w:highlight w:val="none"/>
        </w:rPr>
        <w:t>，预算执行率在60%以下的项目</w:t>
      </w:r>
      <w:r>
        <w:rPr>
          <w:rFonts w:hint="eastAsia" w:ascii="方正仿宋_GBK" w:hAnsi="方正仿宋_GBK" w:eastAsia="方正仿宋_GBK" w:cs="方正仿宋_GBK"/>
          <w:color w:val="auto"/>
          <w:sz w:val="32"/>
          <w:szCs w:val="32"/>
          <w:highlight w:val="none"/>
          <w:lang w:val="en-US" w:eastAsia="zh-CN"/>
        </w:rPr>
        <w:t>7</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eastAsia="zh-CN"/>
        </w:rPr>
        <w:t>，占比</w:t>
      </w:r>
      <w:r>
        <w:rPr>
          <w:rFonts w:hint="eastAsia" w:ascii="方正仿宋_GBK" w:hAnsi="方正仿宋_GBK" w:eastAsia="方正仿宋_GBK" w:cs="方正仿宋_GBK"/>
          <w:color w:val="auto"/>
          <w:sz w:val="32"/>
          <w:szCs w:val="32"/>
          <w:highlight w:val="none"/>
          <w:lang w:val="en-US" w:eastAsia="zh-CN"/>
        </w:rPr>
        <w:t>17%</w:t>
      </w:r>
      <w:r>
        <w:rPr>
          <w:rFonts w:hint="eastAsia" w:ascii="方正仿宋_GBK" w:hAnsi="方正仿宋_GBK" w:eastAsia="方正仿宋_GBK" w:cs="方正仿宋_GBK"/>
          <w:color w:val="auto"/>
          <w:sz w:val="32"/>
          <w:szCs w:val="32"/>
          <w:highlight w:val="none"/>
        </w:rPr>
        <w:t>。具体</w:t>
      </w:r>
      <w:r>
        <w:rPr>
          <w:rFonts w:hint="eastAsia" w:ascii="方正仿宋_GBK" w:hAnsi="方正仿宋_GBK" w:eastAsia="方正仿宋_GBK" w:cs="方正仿宋_GBK"/>
          <w:color w:val="auto"/>
          <w:sz w:val="32"/>
          <w:szCs w:val="32"/>
          <w:highlight w:val="none"/>
          <w:lang w:eastAsia="zh-CN"/>
        </w:rPr>
        <w:t>见图</w:t>
      </w:r>
      <w:r>
        <w:rPr>
          <w:rFonts w:hint="eastAsia" w:ascii="方正仿宋_GBK" w:hAnsi="方正仿宋_GBK" w:eastAsia="方正仿宋_GBK" w:cs="方正仿宋_GBK"/>
          <w:color w:val="auto"/>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图2：项目资金执行进度分布图</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600" w:firstLineChars="200"/>
        <w:jc w:val="center"/>
        <w:textAlignment w:val="auto"/>
        <w:rPr>
          <w:rFonts w:hint="default" w:ascii="Times New Roman" w:hAnsi="Times New Roman" w:eastAsia="黑体" w:cs="Times New Roman"/>
          <w:color w:val="auto"/>
          <w:sz w:val="24"/>
          <w:szCs w:val="24"/>
          <w:highlight w:val="none"/>
          <w:lang w:val="en-US" w:eastAsia="zh-CN"/>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135255</wp:posOffset>
            </wp:positionH>
            <wp:positionV relativeFrom="paragraph">
              <wp:posOffset>90170</wp:posOffset>
            </wp:positionV>
            <wp:extent cx="4926330" cy="2828290"/>
            <wp:effectExtent l="4445" t="4445" r="9525" b="37465"/>
            <wp:wrapNone/>
            <wp:docPr id="2" name="图表 1" descr="7b0a202020202263686172745265734964223a20223230343736303839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480" w:firstLineChars="200"/>
        <w:jc w:val="center"/>
        <w:textAlignment w:val="auto"/>
        <w:rPr>
          <w:rFonts w:hint="default" w:ascii="Times New Roman" w:hAnsi="Times New Roman" w:eastAsia="黑体" w:cs="Times New Roman"/>
          <w:color w:val="auto"/>
          <w:sz w:val="24"/>
          <w:szCs w:val="24"/>
          <w:highlight w:val="none"/>
          <w:lang w:val="en-US" w:eastAsia="zh-CN"/>
        </w:rPr>
      </w:pPr>
    </w:p>
    <w:p>
      <w:pPr>
        <w:pStyle w:val="10"/>
        <w:jc w:val="center"/>
        <w:rPr>
          <w:rFonts w:hint="default" w:ascii="Times New Roman" w:hAnsi="Times New Roman" w:eastAsia="黑体" w:cs="Times New Roman"/>
          <w:color w:val="auto"/>
          <w:sz w:val="24"/>
          <w:szCs w:val="24"/>
          <w:highlight w:val="none"/>
          <w:lang w:val="en-US" w:eastAsia="zh-CN"/>
        </w:rPr>
      </w:pPr>
    </w:p>
    <w:p>
      <w:pPr>
        <w:ind w:firstLine="643"/>
        <w:outlineLvl w:val="1"/>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（1）社会效益指标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szCs w:val="32"/>
          <w:highlight w:val="none"/>
        </w:rPr>
      </w:pPr>
      <w:r>
        <w:rPr>
          <w:rFonts w:hint="eastAsia" w:ascii="方正仿宋_GBK" w:hAnsi="方正仿宋_GBK" w:eastAsia="方正仿宋_GBK" w:cs="方正仿宋_GBK"/>
          <w:color w:val="auto"/>
          <w:sz w:val="32"/>
          <w:szCs w:val="32"/>
          <w:highlight w:val="none"/>
          <w:lang w:val="en-US" w:eastAsia="zh-CN"/>
        </w:rPr>
        <w:t>取得国家文保资金支持，各级文物保护单位积极组织开展文物保护工作，包括：璧画彩塑保护、文物本体维修保护、安防、消防、防雷等项目；出土文物实验室考古及保护研究工作；可移动文物保护，包括：实施珍贵文物保护等项目，不断加强文物保护与利用，加大传统文化的传承弘扬，增强公众文物保护意识，不断满足广大人民群众日益增长的精神文化需求，国家文物保护水平与全民文物保护意识比上一年度有所提升。比如北京湖广会馆修缮、安防、消防、防雷工程完工后，于2024年1月5日正式亮相，修缮后保持了北京湖广会馆文物建筑的历史风貌，同时将中国会馆文化、戏曲文化、旅游文化、饮食文化、茶文化有机地融合在一起</w:t>
      </w:r>
      <w:r>
        <w:rPr>
          <w:rFonts w:hint="eastAsia" w:ascii="方正仿宋_GBK" w:hAnsi="方正仿宋_GBK" w:eastAsia="方正仿宋_GBK" w:cs="方正仿宋_GBK"/>
          <w:szCs w:val="32"/>
          <w:highlight w:val="none"/>
          <w:lang w:eastAsia="zh-CN"/>
        </w:rPr>
        <w:t>，</w:t>
      </w:r>
      <w:r>
        <w:rPr>
          <w:rFonts w:hint="eastAsia" w:ascii="方正仿宋_GBK" w:hAnsi="方正仿宋_GBK" w:eastAsia="方正仿宋_GBK" w:cs="方正仿宋_GBK"/>
          <w:szCs w:val="32"/>
          <w:highlight w:val="none"/>
        </w:rPr>
        <w:t>200余年的湖广会馆霎时重焕光辉</w:t>
      </w:r>
      <w:r>
        <w:rPr>
          <w:rFonts w:hint="eastAsia" w:ascii="方正仿宋_GBK" w:hAnsi="方正仿宋_GBK" w:eastAsia="方正仿宋_GBK" w:cs="方正仿宋_GBK"/>
          <w:szCs w:val="32"/>
          <w:highlight w:val="none"/>
          <w:lang w:eastAsia="zh-CN"/>
        </w:rPr>
        <w:t>，</w:t>
      </w:r>
      <w:r>
        <w:rPr>
          <w:rFonts w:hint="eastAsia" w:ascii="方正仿宋_GBK" w:hAnsi="方正仿宋_GBK" w:eastAsia="方正仿宋_GBK" w:cs="方正仿宋_GBK"/>
          <w:szCs w:val="32"/>
          <w:highlight w:val="none"/>
        </w:rPr>
        <w:t>使文物得到合理的开发、利用和保护，助力北京传统文化的传承。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2"/>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（2）可持续影响指标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通过文保资金的持续投入，使得古建筑、古遗址等不可移动文物以及馆藏珍贵文物等可移动文物等得到更好的保护（存），对于中华优秀传统文化的传承具有深远的影响。如：圆明园遗址西洋楼片区数字化展示工程项目</w:t>
      </w:r>
      <w:r>
        <w:rPr>
          <w:rFonts w:hint="eastAsia" w:ascii="方正仿宋_GBK" w:hAnsi="方正仿宋_GBK" w:eastAsia="方正仿宋_GBK" w:cs="方正仿宋_GBK"/>
          <w:sz w:val="32"/>
          <w:szCs w:val="32"/>
        </w:rPr>
        <w:t>投入运营开放后</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持续向公众深入展示西洋楼深厚的文化内涵和多维度价值特征</w:t>
      </w:r>
      <w:r>
        <w:rPr>
          <w:rFonts w:hint="eastAsia" w:ascii="方正仿宋_GBK" w:hAnsi="方正仿宋_GBK" w:eastAsia="方正仿宋_GBK" w:cs="方正仿宋_GBK"/>
          <w:sz w:val="32"/>
          <w:szCs w:val="32"/>
          <w:lang w:eastAsia="zh-CN"/>
        </w:rPr>
        <w:t>，提升了游客对于遗址的认知和理解，推动圆明园遗址文化推广，提升圆明园遗址爱国主义教育基地的展示水平，加强对青少年及多层次公众的优秀文化传播。</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default" w:ascii="Times New Roman" w:hAnsi="Times New Roman" w:eastAsia="黑体" w:cs="Times New Roman"/>
          <w:b/>
          <w:color w:val="auto"/>
          <w:sz w:val="32"/>
          <w:szCs w:val="32"/>
          <w:highlight w:val="none"/>
        </w:rPr>
      </w:pPr>
      <w:r>
        <w:rPr>
          <w:rFonts w:hint="default" w:ascii="Times New Roman" w:hAnsi="Times New Roman" w:eastAsia="黑体" w:cs="Times New Roman"/>
          <w:b/>
          <w:color w:val="auto"/>
          <w:sz w:val="32"/>
          <w:szCs w:val="32"/>
          <w:highlight w:val="none"/>
        </w:rPr>
        <w:t>三、偏离绩效目标的原因和下一步改进措施</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outlineLvl w:val="1"/>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（一）偏离绩效目标的原因</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1"/>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1.资金管理存在</w:t>
      </w:r>
      <w:r>
        <w:rPr>
          <w:rFonts w:hint="eastAsia" w:cs="Times New Roman"/>
          <w:b/>
          <w:bCs/>
          <w:color w:val="auto"/>
          <w:sz w:val="32"/>
          <w:szCs w:val="32"/>
          <w:highlight w:val="none"/>
          <w:lang w:val="en-US" w:eastAsia="zh-CN"/>
        </w:rPr>
        <w:t>的</w:t>
      </w:r>
      <w:r>
        <w:rPr>
          <w:rFonts w:hint="default" w:ascii="Times New Roman" w:hAnsi="Times New Roman" w:eastAsia="仿宋_GB2312" w:cs="Times New Roman"/>
          <w:b/>
          <w:bCs/>
          <w:color w:val="auto"/>
          <w:sz w:val="32"/>
          <w:szCs w:val="32"/>
          <w:highlight w:val="none"/>
          <w:lang w:val="en-US" w:eastAsia="zh-CN"/>
        </w:rPr>
        <w:t>问题分析</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cs="Times New Roman"/>
          <w:b/>
          <w:bCs/>
          <w:color w:val="auto"/>
          <w:sz w:val="32"/>
          <w:szCs w:val="32"/>
          <w:highlight w:val="none"/>
          <w:lang w:val="en-US" w:eastAsia="zh-CN"/>
        </w:rPr>
      </w:pPr>
      <w:r>
        <w:rPr>
          <w:rFonts w:hint="eastAsia" w:cs="Times New Roman"/>
          <w:b/>
          <w:bCs/>
          <w:color w:val="auto"/>
          <w:sz w:val="32"/>
          <w:szCs w:val="32"/>
          <w:highlight w:val="none"/>
          <w:lang w:val="en-US" w:eastAsia="zh-CN"/>
        </w:rPr>
        <w:t>（1）存在个别项目资金管理不够规范，转移支付资金到期后延期使用的情况</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一是</w:t>
      </w:r>
      <w:r>
        <w:rPr>
          <w:rFonts w:hint="eastAsia" w:ascii="方正仿宋_GBK" w:hAnsi="方正仿宋_GBK" w:eastAsia="方正仿宋_GBK" w:cs="方正仿宋_GBK"/>
          <w:b w:val="0"/>
          <w:bCs w:val="0"/>
          <w:color w:val="auto"/>
          <w:sz w:val="32"/>
          <w:szCs w:val="32"/>
          <w:highlight w:val="none"/>
          <w:lang w:val="en-US" w:eastAsia="zh-CN"/>
        </w:rPr>
        <w:t>明十三陵泰陵方城墙面与地面加固及防渗工程项目因体制改革转移支付资金已到期未支付。具体情况为：该项目申报单位为北京市昌平区十三陵特区办事处，总预算213.42万元，已于2021年全额拨付到位。2021年-2022年期间支付63.91万元，剩余149.51万元未支付。主要因该单位于2022年1月进行事业单位体制改革（改制</w:t>
      </w:r>
      <w:r>
        <w:rPr>
          <w:rFonts w:hint="eastAsia" w:ascii="方正仿宋_GBK" w:hAnsi="方正仿宋_GBK" w:eastAsia="方正仿宋_GBK" w:cs="方正仿宋_GBK"/>
          <w:sz w:val="32"/>
          <w:szCs w:val="32"/>
        </w:rPr>
        <w:t>为区政府直属公益一类事业单位</w:t>
      </w:r>
      <w:r>
        <w:rPr>
          <w:rFonts w:hint="eastAsia" w:ascii="方正仿宋_GBK" w:hAnsi="方正仿宋_GBK" w:eastAsia="方正仿宋_GBK" w:cs="方正仿宋_GBK"/>
          <w:b w:val="0"/>
          <w:bCs w:val="0"/>
          <w:color w:val="auto"/>
          <w:sz w:val="32"/>
          <w:szCs w:val="32"/>
          <w:highlight w:val="none"/>
          <w:lang w:val="en-US" w:eastAsia="zh-CN"/>
        </w:rPr>
        <w:t>）</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将本</w:t>
      </w:r>
      <w:r>
        <w:rPr>
          <w:rFonts w:hint="eastAsia" w:ascii="方正仿宋_GBK" w:hAnsi="方正仿宋_GBK" w:eastAsia="方正仿宋_GBK" w:cs="方正仿宋_GBK"/>
          <w:sz w:val="32"/>
          <w:szCs w:val="32"/>
        </w:rPr>
        <w:t>项目列入历史遗留项目（2021年度以前资金未完全支付项目），待区政府研究同意后分年度、分批次予以解决遗留项目资金问</w:t>
      </w:r>
      <w:r>
        <w:rPr>
          <w:rFonts w:hint="eastAsia" w:ascii="方正仿宋_GBK" w:hAnsi="方正仿宋_GBK" w:eastAsia="方正仿宋_GBK" w:cs="方正仿宋_GBK"/>
          <w:sz w:val="32"/>
          <w:szCs w:val="32"/>
          <w:highlight w:val="none"/>
        </w:rPr>
        <w:t>题</w:t>
      </w:r>
      <w:r>
        <w:rPr>
          <w:rFonts w:hint="eastAsia"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cs="Times New Roman"/>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二是</w:t>
      </w:r>
      <w:r>
        <w:rPr>
          <w:rFonts w:hint="eastAsia" w:ascii="方正仿宋_GBK" w:hAnsi="方正仿宋_GBK" w:eastAsia="方正仿宋_GBK" w:cs="方正仿宋_GBK"/>
          <w:color w:val="auto"/>
          <w:sz w:val="32"/>
          <w:szCs w:val="32"/>
          <w:highlight w:val="none"/>
          <w:lang w:val="en-US" w:eastAsia="zh-CN"/>
        </w:rPr>
        <w:t xml:space="preserve">雍和宫文物建筑群前期勘察及监测项目存在以拨代支、文保资金使用到期后继续使用未交回的情况。具体情况为：该项目申报单位为北京雍和宫管理处，总预算476.73 万元，已于2021年全额拨付到位。因该单位为非预算单位，故该项目预算申请、采购程序均由其主管部门北京市民族宗教事务委员会代其履行，2021年资金到位后北京市民族宗教事务委员会全额拨付至北京雍和宫管理处，北京雍和宫管理处分别于2021年-2022年形成支出326.00 万元，2022年底结转资金150.73 万元转移支付资金超期未交回财政，2023尚结余2.91万元未交回，且实际资金支付管理中存在将应支付给监理单位的监理费用16.772万元，由被监理单位（监测单位）代为支付的情况，存在管理风险。 </w:t>
      </w:r>
      <w:r>
        <w:rPr>
          <w:rFonts w:hint="eastAsia" w:cs="Times New Roman"/>
          <w:color w:val="auto"/>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（2）存在个别项目预算执行率较低。</w:t>
      </w:r>
      <w:r>
        <w:rPr>
          <w:rFonts w:hint="eastAsia" w:ascii="方正仿宋_GBK" w:hAnsi="方正仿宋_GBK" w:eastAsia="方正仿宋_GBK" w:cs="方正仿宋_GBK"/>
          <w:color w:val="auto"/>
          <w:sz w:val="32"/>
          <w:szCs w:val="32"/>
          <w:highlight w:val="none"/>
          <w:lang w:val="en-US" w:eastAsia="zh-CN"/>
        </w:rPr>
        <w:t>如：天宁寺塔砖雕、泥塑造像保护前期研究报告项目批复到位资金750.00万元，支付206.44万元，预算执行率仅为27.53%；延庆区长城14-23敌台及墙体安防升级改造工程项目批复到位资金499.00万元，支付213.77万元，预算执行率仅为42.84%；德胜门箭楼消防升级改造项目批复到位资金263.00万元，支付113.49万元，预算执行率仅为43.15%。</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（3）存在个别项目结余资金较大。</w:t>
      </w:r>
      <w:r>
        <w:rPr>
          <w:rFonts w:hint="eastAsia" w:ascii="方正仿宋_GBK" w:hAnsi="方正仿宋_GBK" w:eastAsia="方正仿宋_GBK" w:cs="方正仿宋_GBK"/>
          <w:color w:val="auto"/>
          <w:sz w:val="32"/>
          <w:szCs w:val="32"/>
          <w:highlight w:val="none"/>
          <w:lang w:val="en-US" w:eastAsia="zh-CN"/>
        </w:rPr>
        <w:t>南堂修缮工程该项目总预算金额1,371.00万元，实际支付总额1,217.44万元，结余资金153.56万元，结余率为11.20%。</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2" w:firstLineChars="200"/>
        <w:textAlignment w:val="auto"/>
        <w:rPr>
          <w:rFonts w:hint="eastAsia" w:ascii="方正仿宋_GBK" w:hAnsi="方正仿宋_GBK" w:eastAsia="方正仿宋_GBK" w:cs="方正仿宋_GBK"/>
          <w:b/>
          <w:bCs/>
          <w:color w:val="auto"/>
          <w:sz w:val="32"/>
          <w:szCs w:val="32"/>
          <w:highlight w:val="none"/>
          <w:lang w:val="en-US" w:eastAsia="zh-CN"/>
        </w:rPr>
      </w:pPr>
      <w:r>
        <w:rPr>
          <w:rFonts w:hint="eastAsia" w:ascii="方正仿宋_GBK" w:hAnsi="方正仿宋_GBK" w:eastAsia="方正仿宋_GBK" w:cs="方正仿宋_GBK"/>
          <w:b/>
          <w:bCs/>
          <w:color w:val="auto"/>
          <w:sz w:val="32"/>
          <w:szCs w:val="32"/>
          <w:highlight w:val="none"/>
          <w:lang w:val="en-US" w:eastAsia="zh-CN"/>
        </w:rPr>
        <w:t>2.偏离绩效目标原因分析</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方正仿宋_GBK" w:hAnsi="方正仿宋_GBK" w:eastAsia="方正仿宋_GBK" w:cs="方正仿宋_GBK"/>
          <w:color w:val="auto"/>
          <w:sz w:val="32"/>
          <w:szCs w:val="32"/>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r>
        <w:rPr>
          <w:rFonts w:hint="eastAsia" w:ascii="方正仿宋_GBK" w:hAnsi="方正仿宋_GBK" w:eastAsia="方正仿宋_GBK" w:cs="方正仿宋_GBK"/>
          <w:color w:val="auto"/>
          <w:sz w:val="32"/>
          <w:szCs w:val="32"/>
          <w:highlight w:val="none"/>
          <w:lang w:val="en-US" w:eastAsia="zh-CN"/>
        </w:rPr>
        <w:t>2023年项目执行中存在部分项目产出时效、产出数量、产出成本指标存在一定的偏离情况，偏离原因主要为：一是部分项目实施过程</w:t>
      </w:r>
      <w:r>
        <w:rPr>
          <w:rFonts w:hint="eastAsia" w:ascii="方正仿宋_GBK" w:hAnsi="方正仿宋_GBK" w:eastAsia="方正仿宋_GBK" w:cs="方正仿宋_GBK"/>
          <w:color w:val="auto"/>
          <w:sz w:val="32"/>
          <w:szCs w:val="32"/>
          <w:highlight w:val="none"/>
          <w:lang w:eastAsia="zh-CN"/>
        </w:rPr>
        <w:t>中</w:t>
      </w:r>
      <w:r>
        <w:rPr>
          <w:rFonts w:hint="eastAsia" w:ascii="方正仿宋_GBK" w:hAnsi="方正仿宋_GBK" w:eastAsia="方正仿宋_GBK" w:cs="方正仿宋_GBK"/>
          <w:color w:val="auto"/>
          <w:sz w:val="32"/>
          <w:szCs w:val="32"/>
          <w:highlight w:val="none"/>
          <w:lang w:val="en-US" w:eastAsia="zh-CN"/>
        </w:rPr>
        <w:t>受外部因素影响，如：因中轴线申遗迎检导致项目停工、因居民拆迁工作未按计划完成导致项目进度滞后等，不同程度影响了实施进度。二是因项目履行相应管理程序，如采购程序、结算评审程序等，一定程度迟滞了工程项目进度开展。三是因资金支付程序等原因造成资金无法及时支付，影响项目成本指标。具体偏离情况见表5。</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center"/>
        <w:textAlignment w:val="auto"/>
        <w:rPr>
          <w:rFonts w:hint="default" w:ascii="Times New Roman" w:hAnsi="Times New Roman" w:eastAsia="黑体" w:cs="Times New Roman"/>
          <w:color w:val="auto"/>
          <w:sz w:val="24"/>
          <w:szCs w:val="24"/>
          <w:highlight w:val="none"/>
          <w:lang w:val="en-US" w:eastAsia="zh-CN"/>
        </w:rPr>
      </w:pPr>
      <w:r>
        <w:rPr>
          <w:rFonts w:hint="eastAsia" w:ascii="方正黑体_GBK" w:hAnsi="方正黑体_GBK" w:eastAsia="方正黑体_GBK" w:cs="方正黑体_GBK"/>
          <w:color w:val="auto"/>
          <w:sz w:val="24"/>
          <w:szCs w:val="24"/>
          <w:highlight w:val="none"/>
          <w:lang w:val="en-US" w:eastAsia="zh-CN"/>
        </w:rPr>
        <w:t>表5：项目偏</w:t>
      </w:r>
      <w:r>
        <w:rPr>
          <w:rFonts w:hint="default" w:ascii="Times New Roman" w:hAnsi="Times New Roman" w:eastAsia="黑体" w:cs="Times New Roman"/>
          <w:color w:val="auto"/>
          <w:sz w:val="24"/>
          <w:szCs w:val="24"/>
          <w:highlight w:val="none"/>
          <w:lang w:val="en-US" w:eastAsia="zh-CN"/>
        </w:rPr>
        <w:t>离绩效目标情况及原因分析</w:t>
      </w:r>
    </w:p>
    <w:tbl>
      <w:tblPr>
        <w:tblStyle w:val="7"/>
        <w:tblW w:w="5000" w:type="pct"/>
        <w:tblInd w:w="0" w:type="dxa"/>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Layout w:type="autofit"/>
        <w:tblCellMar>
          <w:top w:w="0" w:type="dxa"/>
          <w:left w:w="108" w:type="dxa"/>
          <w:bottom w:w="0" w:type="dxa"/>
          <w:right w:w="108" w:type="dxa"/>
        </w:tblCellMar>
      </w:tblPr>
      <w:tblGrid>
        <w:gridCol w:w="742"/>
        <w:gridCol w:w="1459"/>
        <w:gridCol w:w="1656"/>
        <w:gridCol w:w="2359"/>
        <w:gridCol w:w="1908"/>
        <w:gridCol w:w="3561"/>
        <w:gridCol w:w="2489"/>
      </w:tblGrid>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278" w:hRule="atLeast"/>
          <w:tblHeader/>
        </w:trPr>
        <w:tc>
          <w:tcPr>
            <w:tcW w:w="2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项目实施单位</w:t>
            </w:r>
          </w:p>
        </w:tc>
        <w:tc>
          <w:tcPr>
            <w:tcW w:w="58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项目名称</w:t>
            </w:r>
          </w:p>
        </w:tc>
        <w:tc>
          <w:tcPr>
            <w:tcW w:w="83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原计划内容</w:t>
            </w:r>
          </w:p>
        </w:tc>
        <w:tc>
          <w:tcPr>
            <w:tcW w:w="67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实际执行情况</w:t>
            </w:r>
          </w:p>
        </w:tc>
        <w:tc>
          <w:tcPr>
            <w:tcW w:w="125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偏差原因及分析</w:t>
            </w:r>
          </w:p>
        </w:tc>
        <w:tc>
          <w:tcPr>
            <w:tcW w:w="87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改进措施</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280" w:hRule="atLeast"/>
        </w:trPr>
        <w:tc>
          <w:tcPr>
            <w:tcW w:w="5000" w:type="pct"/>
            <w:gridSpan w:val="7"/>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一、数量、进度指标偏离的情况（共涉及7个项目）</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CellMar>
            <w:top w:w="0" w:type="dxa"/>
            <w:left w:w="108" w:type="dxa"/>
            <w:bottom w:w="0" w:type="dxa"/>
            <w:right w:w="108" w:type="dxa"/>
          </w:tblCellMar>
        </w:tblPrEx>
        <w:trPr>
          <w:trHeight w:val="1300" w:hRule="atLeast"/>
        </w:trPr>
        <w:tc>
          <w:tcPr>
            <w:tcW w:w="2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北京中轴线遗产保护中心（北京世界文化遗产监测中心）</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正阳门监测预警试点</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计划2023年底前完成监测设备采购、安装调试及网络扩容工作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监测点位44处、遗产健康状况评估半年报告1份</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实际2023年底前暂未开展相关工作</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因城楼修缮及申遗迎检工作，上半年不具备实施条件，并因本项目与北京中轴线遗产监测平台有衔接关系，进行补充调研后开展项目</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加强项目前期可行论证，现已完成项目方案调整正在组织专家论证，待论证通过后积极推进项目实施，计划2024年下半年完成设备采购及安装工作</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1300" w:hRule="atLeast"/>
        </w:trPr>
        <w:tc>
          <w:tcPr>
            <w:tcW w:w="26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北京中轴线遗产保护中心（北京世界文化遗产监测中心）</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德胜门箭楼消防升级改造项目</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计划2023年12月前完成验收并支付</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实际截止2023年12月底暂未完成验收，资金支付进度43%</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因项目竣工后未能通过竣工验收，经后期整改后通过竣工验收，导致项目支付进度滞后</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2"/>
                <w:sz w:val="20"/>
                <w:szCs w:val="20"/>
                <w:highlight w:val="none"/>
                <w:u w:val="none"/>
                <w:lang w:val="en-US" w:eastAsia="zh-CN" w:bidi="ar-SA"/>
              </w:rPr>
            </w:pP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加强项目实施质量控制，严格整改落实，计划2024年4月10日前完成资金支付</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1040" w:hRule="atLeast"/>
        </w:trPr>
        <w:tc>
          <w:tcPr>
            <w:tcW w:w="2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北京房山云居寺文物管理处</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云居寺塔及石经安防升级改造工程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计划：招标采购阶段2022年9月-11月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施工时间2022年12月至2023年8月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验收时间2023年9月-12月</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实际：招标采购阶段2023年6月-7月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施工时间2023年8月至2024年1月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验收时间2024年1月</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因疫情防控、天气及国庆期间客流量大的原因，导致项目整体进度滞后</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后续加快项目实施进度，保障项目预期效益如期实现</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CellMar>
            <w:top w:w="0" w:type="dxa"/>
            <w:left w:w="108" w:type="dxa"/>
            <w:bottom w:w="0" w:type="dxa"/>
            <w:right w:w="108" w:type="dxa"/>
          </w:tblCellMar>
        </w:tblPrEx>
        <w:trPr>
          <w:trHeight w:val="1040" w:hRule="atLeast"/>
        </w:trPr>
        <w:tc>
          <w:tcPr>
            <w:tcW w:w="26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北京市石景山区承恩寺文物保管所</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石景山承恩寺修缮工程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计划施工时间2023年3月至10月</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实际项目尚未完成实施</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因西墙外居民拆迁工作未按计划完成，导致西墙加固没有施工作业面，无法正常施工项目尚未完成</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后续加快项目实施进度，计划2024年11月完成，保障项目预期效益如期实现</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780" w:hRule="atLeast"/>
        </w:trPr>
        <w:tc>
          <w:tcPr>
            <w:tcW w:w="26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北京古代建筑博物馆</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先农坛庆成宫保护修缮工程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计划2023年完成率100%</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实际完成率为56%</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因申遗迎检造成停工导致修缮工作未按计划开展，进度滞后</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后续加快项目实施进度，保障项目预期效益如期实现</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CellMar>
            <w:top w:w="0" w:type="dxa"/>
            <w:left w:w="108" w:type="dxa"/>
            <w:bottom w:w="0" w:type="dxa"/>
            <w:right w:w="108" w:type="dxa"/>
          </w:tblCellMar>
        </w:tblPrEx>
        <w:trPr>
          <w:trHeight w:val="1040" w:hRule="atLeast"/>
        </w:trPr>
        <w:tc>
          <w:tcPr>
            <w:tcW w:w="2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51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北京古代建筑博物馆</w:t>
            </w:r>
          </w:p>
        </w:tc>
        <w:tc>
          <w:tcPr>
            <w:tcW w:w="584"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先农坛拜殿、神厨、神仓、庆成宫防雷升级改造工程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高效防腐离子接地极135个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项目按计划完成率95%</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高效防腐离子接地极100个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实际完成率90%</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因庆成宫修缮项目未按时完成，防雷工程因此受影响，导致进度滞后</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none"/>
                <w:u w:val="none"/>
              </w:rPr>
            </w:pPr>
            <w:r>
              <w:rPr>
                <w:rFonts w:hint="eastAsia" w:asciiTheme="minorEastAsia" w:hAnsiTheme="minorEastAsia" w:eastAsiaTheme="minorEastAsia" w:cstheme="minorEastAsia"/>
                <w:color w:val="000000"/>
                <w:kern w:val="0"/>
                <w:sz w:val="20"/>
                <w:szCs w:val="20"/>
                <w:highlight w:val="none"/>
                <w:u w:val="none"/>
                <w:lang w:val="en-US" w:eastAsia="zh-CN" w:bidi="ar"/>
              </w:rPr>
              <w:t>已于2024年3月25日完成工程进度交流会，积极推进项目实施，计划</w:t>
            </w:r>
            <w:r>
              <w:rPr>
                <w:rFonts w:hint="eastAsia" w:asciiTheme="minorEastAsia" w:hAnsiTheme="minorEastAsia" w:eastAsiaTheme="minorEastAsia" w:cstheme="minorEastAsia"/>
                <w:i w:val="0"/>
                <w:iCs w:val="0"/>
                <w:color w:val="000000"/>
                <w:kern w:val="0"/>
                <w:sz w:val="20"/>
                <w:szCs w:val="20"/>
                <w:highlight w:val="none"/>
                <w:u w:val="none"/>
                <w:lang w:val="en-US" w:eastAsia="zh-CN" w:bidi="ar"/>
              </w:rPr>
              <w:t>2024年4月10日启动施工，后续加快项目实施进度，保障项目预期效益实现</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1300" w:hRule="atLeast"/>
        </w:trPr>
        <w:tc>
          <w:tcPr>
            <w:tcW w:w="26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北京市正阳门管理处</w:t>
            </w:r>
          </w:p>
        </w:tc>
        <w:tc>
          <w:tcPr>
            <w:tcW w:w="58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正阳门城楼修缮工程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1.城台墙面剔补打点≥100%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2.计划截止2023年12月31日资金支付进度≥100%</w:t>
            </w:r>
          </w:p>
        </w:tc>
        <w:tc>
          <w:tcPr>
            <w:tcW w:w="673"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1.城台墙面剔补打点完成0%</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2.实际截止2023年12月31日资金支付进度为98%</w:t>
            </w:r>
          </w:p>
        </w:tc>
        <w:tc>
          <w:tcPr>
            <w:tcW w:w="1256"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根据中轴线申遗工作要求，部分工程未开展，目前项目处于停工状态，工程整体延期至2025年，故部分资金未支出</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后续加快项目实施进度，预计2025年项目预期效益如期实现</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tblCellMar>
            <w:top w:w="0" w:type="dxa"/>
            <w:left w:w="108" w:type="dxa"/>
            <w:bottom w:w="0" w:type="dxa"/>
            <w:right w:w="108" w:type="dxa"/>
          </w:tblCellMar>
        </w:tblPrEx>
        <w:trPr>
          <w:trHeight w:val="280" w:hRule="atLeast"/>
        </w:trPr>
        <w:tc>
          <w:tcPr>
            <w:tcW w:w="5000" w:type="pct"/>
            <w:gridSpan w:val="7"/>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二、产出成本指标偏离的情况（共涉及2个项目）</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CellMar>
            <w:top w:w="0" w:type="dxa"/>
            <w:left w:w="108" w:type="dxa"/>
            <w:bottom w:w="0" w:type="dxa"/>
            <w:right w:w="108" w:type="dxa"/>
          </w:tblCellMar>
        </w:tblPrEx>
        <w:trPr>
          <w:trHeight w:val="1120" w:hRule="atLeast"/>
        </w:trPr>
        <w:tc>
          <w:tcPr>
            <w:tcW w:w="262"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北京市朝阳区文物管理所</w:t>
            </w:r>
          </w:p>
        </w:tc>
        <w:tc>
          <w:tcPr>
            <w:tcW w:w="58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大运河-永通桥修缮工程</w:t>
            </w:r>
          </w:p>
        </w:tc>
        <w:tc>
          <w:tcPr>
            <w:tcW w:w="83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计划资金投入≤153.50万元按期、进度支付</w:t>
            </w:r>
          </w:p>
        </w:tc>
        <w:tc>
          <w:tcPr>
            <w:tcW w:w="67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实际未支付</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项目施工的北京怀建集团有限公司因账户问题，无法进行收款，国家文保资金已被收回</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积极协调区级财政资金，待施工方条件允许时及时支付</w:t>
            </w:r>
          </w:p>
        </w:tc>
      </w:tr>
      <w:tr>
        <w:tblPrEx>
          <w:tblBorders>
            <w:top w:val="single" w:color="000000" w:sz="4" w:space="0"/>
            <w:left w:val="none" w:color="auto" w:sz="0" w:space="0"/>
            <w:bottom w:val="single" w:color="000000" w:sz="4" w:space="0"/>
            <w:right w:val="none" w:color="auto" w:sz="0" w:space="0"/>
            <w:insideH w:val="dotted" w:color="000000" w:sz="4" w:space="0"/>
            <w:insideV w:val="none" w:color="auto" w:sz="0" w:space="0"/>
          </w:tblBorders>
          <w:shd w:val="clear" w:color="auto" w:fill="auto"/>
          <w:tblCellMar>
            <w:top w:w="0" w:type="dxa"/>
            <w:left w:w="108" w:type="dxa"/>
            <w:bottom w:w="0" w:type="dxa"/>
            <w:right w:w="108" w:type="dxa"/>
          </w:tblCellMar>
        </w:tblPrEx>
        <w:trPr>
          <w:trHeight w:val="1120" w:hRule="atLeast"/>
        </w:trPr>
        <w:tc>
          <w:tcPr>
            <w:tcW w:w="262" w:type="pct"/>
            <w:tcBorders>
              <w:tl2br w:val="nil"/>
              <w:tr2bl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51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北京市昌平区十三陵特区办事处</w:t>
            </w:r>
          </w:p>
        </w:tc>
        <w:tc>
          <w:tcPr>
            <w:tcW w:w="58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明十三陵泰陵方城墙面与地面加固及防渗工程</w:t>
            </w:r>
          </w:p>
        </w:tc>
        <w:tc>
          <w:tcPr>
            <w:tcW w:w="832"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计划项目预算审定费用金额≤213.42万元按期、进度支付</w:t>
            </w:r>
          </w:p>
        </w:tc>
        <w:tc>
          <w:tcPr>
            <w:tcW w:w="673"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实际仅完成首款63.91万元，中期款、尾款均未支付</w:t>
            </w:r>
          </w:p>
        </w:tc>
        <w:tc>
          <w:tcPr>
            <w:tcW w:w="1256"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因该单位2022年事业单位体制改革，2022年以前项目资金均列为遗留项目资金，暂无法支付</w:t>
            </w:r>
          </w:p>
        </w:tc>
        <w:tc>
          <w:tcPr>
            <w:tcW w:w="875" w:type="pct"/>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积极协调财政，待上报昌平区政府审批后方可结算拨付</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rPr>
          <w:rFonts w:hint="default" w:ascii="Times New Roman" w:hAnsi="Times New Roman" w:cs="Times New Roman"/>
          <w:color w:val="auto"/>
          <w:sz w:val="32"/>
          <w:szCs w:val="32"/>
          <w:highlight w:val="none"/>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outlineLvl w:val="1"/>
        <w:rPr>
          <w:rFonts w:hint="default" w:ascii="Times New Roman" w:hAnsi="Times New Roman" w:cs="Times New Roman"/>
          <w:b w:val="0"/>
          <w:bCs w:val="0"/>
          <w:color w:val="auto"/>
          <w:sz w:val="32"/>
          <w:szCs w:val="32"/>
          <w:highlight w:val="none"/>
          <w:lang w:val="en-US" w:eastAsia="zh-CN"/>
        </w:rPr>
      </w:pPr>
      <w:r>
        <w:rPr>
          <w:rFonts w:hint="default" w:ascii="Times New Roman" w:hAnsi="Times New Roman" w:cs="Times New Roman"/>
          <w:b w:val="0"/>
          <w:bCs w:val="0"/>
          <w:color w:val="auto"/>
          <w:sz w:val="32"/>
          <w:szCs w:val="32"/>
          <w:highlight w:val="none"/>
          <w:lang w:val="en-US" w:eastAsia="zh-CN"/>
        </w:rPr>
        <w:t>（二）下一步改进措施</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针对上述情况，我们将主要抓好以下工作：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一是切实抓好项目执行工作。对实施</w:t>
      </w:r>
      <w:r>
        <w:rPr>
          <w:rFonts w:hint="eastAsia" w:cs="Times New Roman"/>
          <w:color w:val="auto"/>
          <w:sz w:val="32"/>
          <w:szCs w:val="32"/>
          <w:highlight w:val="none"/>
          <w:lang w:val="en-US" w:eastAsia="zh-CN"/>
        </w:rPr>
        <w:t>进度</w:t>
      </w:r>
      <w:r>
        <w:rPr>
          <w:rFonts w:hint="default" w:ascii="Times New Roman" w:hAnsi="Times New Roman" w:cs="Times New Roman"/>
          <w:color w:val="auto"/>
          <w:sz w:val="32"/>
          <w:szCs w:val="32"/>
          <w:highlight w:val="none"/>
          <w:lang w:val="en-US" w:eastAsia="zh-CN"/>
        </w:rPr>
        <w:t>缓慢的项目，责成项目实施单位制定切实可行的项目实施方案，由属地文物主管部门督促实施。对受客观原因影响实施的，由文物主管部门提请当地政府协调相关部门加以支持。对未能如期完成的项目，严格按照专项资金管理办法规定，及时收回资金。</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二是按照全面实施预算绩效管理的要求，督促各级财政部门、文物部门做好绩效监控和绩效评价，在确保完成文物保护项目实施计划的基础上，防止专项资金被挤占、挪用，确保财政资金安全有效，切实提高财政资金使用效率。</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default" w:ascii="Times New Roman" w:hAnsi="Times New Roman" w:eastAsia="黑体" w:cs="Times New Roman"/>
          <w:b/>
          <w:color w:val="auto"/>
          <w:sz w:val="32"/>
          <w:szCs w:val="32"/>
          <w:highlight w:val="none"/>
        </w:rPr>
      </w:pPr>
      <w:r>
        <w:rPr>
          <w:rFonts w:hint="default" w:ascii="Times New Roman" w:hAnsi="Times New Roman" w:eastAsia="黑体" w:cs="Times New Roman"/>
          <w:b/>
          <w:color w:val="auto"/>
          <w:sz w:val="32"/>
          <w:szCs w:val="32"/>
          <w:highlight w:val="none"/>
        </w:rPr>
        <w:t>四、绩效自评结果拟应用和公开情况</w:t>
      </w:r>
    </w:p>
    <w:p>
      <w:pPr>
        <w:adjustRightInd w:val="0"/>
        <w:snapToGrid w:val="0"/>
        <w:spacing w:line="360" w:lineRule="auto"/>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本项目的自评结果将按照相关要求进行公开，接受社会公众监督</w:t>
      </w:r>
      <w:r>
        <w:rPr>
          <w:rFonts w:hint="default" w:ascii="Times New Roman" w:hAnsi="Times New Roman" w:cs="Times New Roman"/>
          <w:color w:val="auto"/>
          <w:sz w:val="32"/>
          <w:szCs w:val="32"/>
          <w:highlight w:val="none"/>
          <w:lang w:eastAsia="zh-CN"/>
        </w:rPr>
        <w:t>。同时将</w:t>
      </w:r>
      <w:r>
        <w:rPr>
          <w:rFonts w:hint="default" w:ascii="Times New Roman" w:hAnsi="Times New Roman" w:cs="Times New Roman"/>
          <w:color w:val="auto"/>
          <w:sz w:val="32"/>
          <w:szCs w:val="32"/>
          <w:highlight w:val="none"/>
        </w:rPr>
        <w:t>按照预算绩效和财政资金管理规定</w:t>
      </w:r>
      <w:r>
        <w:rPr>
          <w:rFonts w:hint="default" w:ascii="Times New Roman" w:hAnsi="Times New Roman" w:cs="Times New Roman"/>
          <w:color w:val="auto"/>
          <w:sz w:val="32"/>
          <w:szCs w:val="32"/>
          <w:highlight w:val="none"/>
          <w:lang w:eastAsia="zh-CN"/>
        </w:rPr>
        <w:t>，</w:t>
      </w:r>
      <w:r>
        <w:rPr>
          <w:rFonts w:hint="default" w:ascii="Times New Roman" w:hAnsi="Times New Roman" w:cs="Times New Roman"/>
          <w:color w:val="auto"/>
          <w:sz w:val="32"/>
          <w:szCs w:val="32"/>
          <w:highlight w:val="none"/>
        </w:rPr>
        <w:t>将自评结果作为以后年度资金分配的重要参考。</w:t>
      </w:r>
    </w:p>
    <w:p>
      <w:pPr>
        <w:keepNext w:val="0"/>
        <w:keepLines w:val="0"/>
        <w:pageBreakBefore w:val="0"/>
        <w:widowControl w:val="0"/>
        <w:kinsoku/>
        <w:wordWrap/>
        <w:overflowPunct/>
        <w:topLinePunct w:val="0"/>
        <w:autoSpaceDE/>
        <w:autoSpaceDN/>
        <w:bidi w:val="0"/>
        <w:adjustRightInd w:val="0"/>
        <w:snapToGrid w:val="0"/>
        <w:spacing w:line="360" w:lineRule="auto"/>
        <w:ind w:firstLine="642" w:firstLineChars="200"/>
        <w:textAlignment w:val="auto"/>
        <w:outlineLvl w:val="0"/>
        <w:rPr>
          <w:rFonts w:hint="default" w:ascii="Times New Roman" w:hAnsi="Times New Roman" w:eastAsia="黑体" w:cs="Times New Roman"/>
          <w:b/>
          <w:color w:val="auto"/>
          <w:sz w:val="32"/>
          <w:szCs w:val="32"/>
          <w:highlight w:val="none"/>
        </w:rPr>
      </w:pPr>
      <w:r>
        <w:rPr>
          <w:rFonts w:hint="default" w:ascii="Times New Roman" w:hAnsi="Times New Roman" w:eastAsia="黑体" w:cs="Times New Roman"/>
          <w:b/>
          <w:color w:val="auto"/>
          <w:sz w:val="32"/>
          <w:szCs w:val="32"/>
          <w:highlight w:val="none"/>
        </w:rPr>
        <w:t>五、其他需要说明的问题</w:t>
      </w:r>
    </w:p>
    <w:p>
      <w:pPr>
        <w:adjustRightInd w:val="0"/>
        <w:snapToGrid w:val="0"/>
        <w:spacing w:line="360" w:lineRule="auto"/>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无。</w:t>
      </w:r>
    </w:p>
    <w:p>
      <w:pPr>
        <w:pStyle w:val="4"/>
        <w:adjustRightInd w:val="0"/>
        <w:snapToGrid w:val="0"/>
        <w:spacing w:after="0" w:line="360" w:lineRule="auto"/>
        <w:ind w:firstLine="640" w:firstLineChars="200"/>
        <w:rPr>
          <w:rFonts w:hint="default" w:ascii="Times New Roman" w:hAnsi="Times New Roman" w:cs="Times New Roman"/>
          <w:color w:val="auto"/>
          <w:sz w:val="32"/>
          <w:szCs w:val="32"/>
          <w:highlight w:val="none"/>
        </w:rPr>
      </w:pPr>
    </w:p>
    <w:p>
      <w:pPr>
        <w:adjustRightInd w:val="0"/>
        <w:snapToGrid w:val="0"/>
        <w:spacing w:line="360" w:lineRule="auto"/>
        <w:ind w:firstLine="640" w:firstLineChars="200"/>
        <w:rPr>
          <w:rFonts w:hint="default" w:ascii="Times New Roman" w:hAnsi="Times New Roman" w:cs="Times New Roman"/>
          <w:color w:val="auto"/>
          <w:sz w:val="32"/>
          <w:szCs w:val="32"/>
          <w:highlight w:val="none"/>
        </w:rPr>
      </w:pPr>
      <w:r>
        <w:rPr>
          <w:rFonts w:hint="default" w:ascii="Times New Roman" w:hAnsi="Times New Roman" w:cs="Times New Roman"/>
          <w:color w:val="auto"/>
          <w:sz w:val="32"/>
          <w:szCs w:val="32"/>
          <w:highlight w:val="none"/>
        </w:rPr>
        <w:t>附件：转移支付区域（项目）绩效目标自评表</w:t>
      </w: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附件：</w:t>
      </w:r>
    </w:p>
    <w:p>
      <w:pPr>
        <w:keepNext w:val="0"/>
        <w:keepLines w:val="0"/>
        <w:pageBreakBefore w:val="0"/>
        <w:kinsoku/>
        <w:wordWrap/>
        <w:overflowPunct/>
        <w:topLinePunct w:val="0"/>
        <w:autoSpaceDE/>
        <w:autoSpaceDN/>
        <w:bidi w:val="0"/>
        <w:adjustRightInd w:val="0"/>
        <w:snapToGrid w:val="0"/>
        <w:spacing w:before="0" w:beforeAutospacing="0" w:after="0" w:afterAutospacing="0" w:line="240" w:lineRule="atLeast"/>
        <w:ind w:firstLine="562" w:firstLineChars="200"/>
        <w:jc w:val="center"/>
        <w:outlineLvl w:val="9"/>
        <w:rPr>
          <w:rFonts w:hint="default" w:ascii="Times New Roman" w:hAnsi="Times New Roman" w:cs="Times New Roman"/>
          <w:color w:val="auto"/>
          <w:sz w:val="32"/>
          <w:szCs w:val="32"/>
          <w:highlight w:val="none"/>
          <w:lang w:val="en-US" w:eastAsia="zh-CN"/>
        </w:rPr>
      </w:pPr>
      <w:r>
        <w:rPr>
          <w:rFonts w:hint="default" w:ascii="Times New Roman" w:hAnsi="Times New Roman" w:eastAsia="宋体" w:cs="Times New Roman"/>
          <w:b/>
          <w:bCs/>
          <w:i w:val="0"/>
          <w:iCs w:val="0"/>
          <w:color w:val="000000"/>
          <w:kern w:val="0"/>
          <w:sz w:val="28"/>
          <w:szCs w:val="28"/>
          <w:u w:val="none"/>
          <w:lang w:val="en-US" w:eastAsia="zh-CN" w:bidi="ar"/>
        </w:rPr>
        <w:t>国家文物保护资金转移支付整体绩效目标自评表</w:t>
      </w:r>
      <w:r>
        <w:rPr>
          <w:rFonts w:hint="default" w:ascii="Times New Roman" w:hAnsi="Times New Roman" w:eastAsia="宋体" w:cs="Times New Roman"/>
          <w:b/>
          <w:bCs/>
          <w:i w:val="0"/>
          <w:iCs w:val="0"/>
          <w:color w:val="000000"/>
          <w:kern w:val="0"/>
          <w:sz w:val="28"/>
          <w:szCs w:val="28"/>
          <w:u w:val="none"/>
          <w:lang w:val="en-US" w:eastAsia="zh-CN" w:bidi="ar"/>
        </w:rPr>
        <w:br w:type="textWrapping"/>
      </w:r>
      <w:r>
        <w:rPr>
          <w:rStyle w:val="13"/>
          <w:rFonts w:hint="eastAsia" w:asciiTheme="minorEastAsia" w:hAnsiTheme="minorEastAsia" w:eastAsiaTheme="minorEastAsia" w:cstheme="minorEastAsia"/>
          <w:lang w:val="en-US" w:eastAsia="zh-CN" w:bidi="ar"/>
        </w:rPr>
        <w:t>（2023年度）</w:t>
      </w:r>
    </w:p>
    <w:tbl>
      <w:tblPr>
        <w:tblStyle w:val="7"/>
        <w:tblW w:w="1420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0"/>
        <w:gridCol w:w="735"/>
        <w:gridCol w:w="1133"/>
        <w:gridCol w:w="1942"/>
        <w:gridCol w:w="1065"/>
        <w:gridCol w:w="3221"/>
        <w:gridCol w:w="1204"/>
        <w:gridCol w:w="1323"/>
        <w:gridCol w:w="29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转移支付名称</w:t>
            </w:r>
          </w:p>
        </w:tc>
        <w:tc>
          <w:tcPr>
            <w:tcW w:w="1286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国家文物保护资金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中央主管部门</w:t>
            </w:r>
          </w:p>
        </w:tc>
        <w:tc>
          <w:tcPr>
            <w:tcW w:w="1286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地方主管部门</w:t>
            </w:r>
          </w:p>
        </w:tc>
        <w:tc>
          <w:tcPr>
            <w:tcW w:w="1286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lang w:val="en-US" w:eastAsia="zh-CN"/>
              </w:rPr>
            </w:pPr>
            <w:r>
              <w:rPr>
                <w:rFonts w:hint="default" w:ascii="Times New Roman" w:hAnsi="Times New Roman" w:eastAsia="宋体" w:cs="Times New Roman"/>
                <w:i w:val="0"/>
                <w:iCs w:val="0"/>
                <w:color w:val="000000"/>
                <w:sz w:val="20"/>
                <w:szCs w:val="20"/>
                <w:u w:val="none"/>
                <w:lang w:val="en-US" w:eastAsia="zh-CN"/>
              </w:rPr>
              <w:t>北京市文物局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资金投入情况（万元）</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年初预算数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全年预算数（A）</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全年执行数（B）</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分值（10）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执行率（B/A×100%）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年度资金总额：</w:t>
            </w: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18,148.91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18,148.91</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13,674.94 </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lang w:val="en-US"/>
              </w:rPr>
            </w:pPr>
            <w:r>
              <w:rPr>
                <w:rFonts w:hint="eastAsia" w:asciiTheme="minorEastAsia" w:hAnsiTheme="minorEastAsia" w:eastAsiaTheme="minorEastAsia" w:cstheme="minorEastAsia"/>
                <w:i w:val="0"/>
                <w:iCs w:val="0"/>
                <w:color w:val="000000"/>
                <w:kern w:val="0"/>
                <w:sz w:val="20"/>
                <w:szCs w:val="20"/>
                <w:u w:val="none"/>
                <w:lang w:val="en-US" w:eastAsia="zh-CN" w:bidi="ar"/>
              </w:rPr>
              <w:t>10.00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7.53</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其他：中央补助</w:t>
            </w: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13,627.00</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13,627.00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9,666.95 </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地方资金</w:t>
            </w: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其他资金</w:t>
            </w: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4,521.91</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4,521.91</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 xml:space="preserve">4,007.99 </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restart"/>
            <w:tcBorders>
              <w:top w:val="single" w:color="000000" w:sz="4" w:space="0"/>
              <w:left w:val="single" w:color="000000" w:sz="4" w:space="0"/>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资金管理情况</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情况说明</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分值（40）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得分</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存在问题和改进措施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分配科学性</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严格按照转移支付管理制度以及资金管理办法规定的范围和标准分配资金。</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下达及时性</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严格按照预算法及其实施条例、转移支付管理制度规定以及资金管理办法规定的时限要求分解下达。</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拨付合规性</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严格按照国库集中支付制度有关规定支付资金，未出现违规将资金从国库转入财政专户或支付到预算单位实有资金账户等问题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使用规范性</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严格按照下达预算的科目和项目执行，未出现截留、挤占、挪用或擅自调整等问题。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存在个别项目资金管理不够规范的情况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6"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执行准确性</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按照上级下达和本级预算安排的金额执行，不存在执行数偏离预算数较多的问题。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存在个别项目预算执行率较低、结余资金较大的情况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预算绩效管理情况</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本项目将有关资金纳入对下转移支付绩效管理。</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支出责任履行情况</w:t>
            </w:r>
          </w:p>
        </w:tc>
        <w:tc>
          <w:tcPr>
            <w:tcW w:w="62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对共同财政事权转移支付，按照财政事权和支出责任划分有关规定，足额安排资金履行本级支出责任。</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113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政策目标实现情况</w:t>
            </w:r>
          </w:p>
        </w:tc>
        <w:tc>
          <w:tcPr>
            <w:tcW w:w="6228" w:type="dxa"/>
            <w:gridSpan w:val="3"/>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完成年初设定的政策目标，</w:t>
            </w:r>
          </w:p>
        </w:tc>
        <w:tc>
          <w:tcPr>
            <w:tcW w:w="120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5.00</w:t>
            </w:r>
          </w:p>
        </w:tc>
        <w:tc>
          <w:tcPr>
            <w:tcW w:w="297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完成情况总体目标</w:t>
            </w:r>
          </w:p>
        </w:tc>
        <w:tc>
          <w:tcPr>
            <w:tcW w:w="487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总体目标</w:t>
            </w:r>
          </w:p>
        </w:tc>
        <w:tc>
          <w:tcPr>
            <w:tcW w:w="872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487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加强文物保护利用，提升文物安全水平，传承中华优秀传统文化，促进文物事业与经济社会和谐发展。</w:t>
            </w:r>
          </w:p>
        </w:tc>
        <w:tc>
          <w:tcPr>
            <w:tcW w:w="872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2023年分配实施项目35个（含上年结转项目11个）中已完工项目20个，正在实施项目15个。具体情况为：</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1.文物保护单位保护项目32个（含上年结转项目11个）；</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2.分配实施考古等保护项目1个；</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3.分配实施可移动文物保护项目2个。</w:t>
            </w:r>
            <w:r>
              <w:rPr>
                <w:rFonts w:hint="eastAsia" w:asciiTheme="minorEastAsia" w:hAnsiTheme="minorEastAsia" w:eastAsiaTheme="minorEastAsia" w:cstheme="minorEastAsia"/>
                <w:i w:val="0"/>
                <w:iCs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iCs w:val="0"/>
                <w:color w:val="000000"/>
                <w:kern w:val="0"/>
                <w:sz w:val="20"/>
                <w:szCs w:val="20"/>
                <w:u w:val="none"/>
                <w:lang w:val="en-US" w:eastAsia="zh-CN" w:bidi="ar"/>
              </w:rPr>
              <w:t>综合上述，总体绩效目标完成情况基本达标，整体完成情况较好，通过文保资金的持续投入，强化了文物保护利用，提升了文物安全水平，进一步促进了文物事业与经济社会和谐发展。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487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left"/>
              <w:rPr>
                <w:rFonts w:hint="default" w:ascii="Times New Roman" w:hAnsi="Times New Roman" w:eastAsia="宋体" w:cs="Times New Roman"/>
                <w:i w:val="0"/>
                <w:iCs w:val="0"/>
                <w:color w:val="000000"/>
                <w:sz w:val="20"/>
                <w:szCs w:val="20"/>
                <w:u w:val="none"/>
              </w:rPr>
            </w:pPr>
          </w:p>
        </w:tc>
        <w:tc>
          <w:tcPr>
            <w:tcW w:w="872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8" w:hRule="atLeast"/>
        </w:trPr>
        <w:tc>
          <w:tcPr>
            <w:tcW w:w="610"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绩效指标</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一级指标</w:t>
            </w:r>
          </w:p>
        </w:tc>
        <w:tc>
          <w:tcPr>
            <w:tcW w:w="11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二级指标</w:t>
            </w:r>
          </w:p>
        </w:tc>
        <w:tc>
          <w:tcPr>
            <w:tcW w:w="19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三级指标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指标值</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全年实际完成值</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分值</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得分</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产出指标（30分）</w:t>
            </w:r>
          </w:p>
        </w:tc>
        <w:tc>
          <w:tcPr>
            <w:tcW w:w="1133" w:type="dxa"/>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数量指标（12分）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全国重点文物保护单位文物保护项目（重点项目）</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1个</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1个</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当年确认列入支持范围的国保单位保护利用规划实现率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8"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省级及省级以下文物保护单位保护项目预算占一般项目补助的比重</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≤15%</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数字化保护支出预算占一般项目补助的比重</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1.04%</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质量指标（18分）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当年确认列入支持范围的国保单位“四有”工作实现率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项目验收合格率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≥98%</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2.70</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20个已完工项目均已完成验收且验收合格；其他15个项目按计划推进中，暂未验收。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安全事故发生率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国保单位的重大险情排除率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馆藏珍贵文物和重要出土文物的抢救性保护修复率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文物损毁、违规修复发生率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≤0.5‰</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效益指标（8分）</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社会效益指标（4分）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提升国家文物保护水平与全民文物保护意识</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比上一年度提升</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过文保资金支持，各级文物保护单位积极组织开展文物保护单位保护，不断加强文物保护与利用，加大传统文化的传承弘扬，增强公众文物保护意识，提高科学文化素质，不断满足广大人民群众日益增长的精神文化需求，国家文物保护水平与全民文物保护意识比上一年提升</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3.60</w:t>
            </w:r>
          </w:p>
        </w:tc>
        <w:tc>
          <w:tcPr>
            <w:tcW w:w="2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文物和文化遗产承载着中华民族的基因和血脉，是不可再生、不可替代的中华优秀文明资源，文物保护工作是长期而艰巨的任务，需要持续投入，以保障效益持续发挥。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7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可持续影响指标（4分）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对中华优秀传统文化传承影响</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长期</w:t>
            </w:r>
          </w:p>
        </w:tc>
        <w:tc>
          <w:tcPr>
            <w:tcW w:w="32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通过文保资金的持续投入，使得古建筑、古遗址等不可移动文物以及馆藏珍贵文物等可移动文物等得到更好的保护（存），对于中华优秀传统文化的传承具有深远的影响</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满意度指标（12分）</w:t>
            </w:r>
          </w:p>
        </w:tc>
        <w:tc>
          <w:tcPr>
            <w:tcW w:w="11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服务对象满意度指标（12分）</w:t>
            </w: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博物馆参观人员满意度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3.60</w:t>
            </w:r>
          </w:p>
        </w:tc>
        <w:tc>
          <w:tcPr>
            <w:tcW w:w="2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满意度调查，相应支撑材料不够充分，今后将加强收集和留存相关绩效支撑材料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保护单位对文物保护满意度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10"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1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c>
          <w:tcPr>
            <w:tcW w:w="19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社会公众对文物保护满意度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≥90%</w:t>
            </w:r>
          </w:p>
        </w:tc>
        <w:tc>
          <w:tcPr>
            <w:tcW w:w="32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3.60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706"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总分</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100.00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93.23</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说明</w:t>
            </w:r>
          </w:p>
        </w:tc>
        <w:tc>
          <w:tcPr>
            <w:tcW w:w="13596"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iCs w:val="0"/>
                <w:color w:val="000000"/>
                <w:kern w:val="0"/>
                <w:sz w:val="20"/>
                <w:szCs w:val="20"/>
                <w:u w:val="none"/>
                <w:lang w:val="en-US" w:eastAsia="zh-CN" w:bidi="ar"/>
              </w:rPr>
              <w:t>无。</w:t>
            </w:r>
          </w:p>
        </w:tc>
      </w:tr>
    </w:tbl>
    <w:p>
      <w:pPr>
        <w:keepNext w:val="0"/>
        <w:keepLines w:val="0"/>
        <w:pageBreakBefore w:val="0"/>
        <w:kinsoku/>
        <w:wordWrap/>
        <w:overflowPunct/>
        <w:topLinePunct w:val="0"/>
        <w:autoSpaceDE/>
        <w:autoSpaceDN/>
        <w:bidi w:val="0"/>
        <w:adjustRightInd w:val="0"/>
        <w:snapToGrid w:val="0"/>
        <w:spacing w:before="0" w:beforeAutospacing="0" w:after="0" w:afterAutospacing="0" w:line="240" w:lineRule="atLeast"/>
        <w:ind w:firstLine="640" w:firstLineChars="200"/>
        <w:outlineLvl w:val="9"/>
        <w:rPr>
          <w:rFonts w:hint="default" w:ascii="Times New Roman" w:hAnsi="Times New Roman" w:cs="Times New Roman"/>
          <w:color w:val="auto"/>
          <w:sz w:val="32"/>
          <w:szCs w:val="32"/>
          <w:highlight w:val="none"/>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posOffset>161925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93.9pt;margin-top:782.65pt;height:144pt;width:144pt;mso-position-horizontal-relative:page;mso-position-vertical-relative:page;mso-wrap-style:none;z-index:251660288;mso-width-relative:page;mso-height-relative:page;" filled="f" stroked="f" coordsize="21600,21600" o:gfxdata="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">
              <v:fill on="f" focussize="0,0"/>
              <v:stroke on="f" weight="0.5pt"/>
              <v:imagedata o:title=""/>
              <o:lock v:ext="edit" aspectratio="f"/>
              <v:textbox inset="0mm,0mm,0mm,0mm" style="mso-fit-shape-to-text:t;">
                <w:txbxContent>
                  <w:p>
                    <w:pPr>
                      <w:pStyle w:val="5"/>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19"/>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mUzYTZjZDcwYmIyZGIxZDI2MmZlNWMwMTg1YjEifQ=="/>
  </w:docVars>
  <w:rsids>
    <w:rsidRoot w:val="03E274D9"/>
    <w:rsid w:val="032A23ED"/>
    <w:rsid w:val="03E274D9"/>
    <w:rsid w:val="07B11FAD"/>
    <w:rsid w:val="09B71CEF"/>
    <w:rsid w:val="0B030AF2"/>
    <w:rsid w:val="0B1608D7"/>
    <w:rsid w:val="0B4023B3"/>
    <w:rsid w:val="1EDE21C0"/>
    <w:rsid w:val="1FE564F4"/>
    <w:rsid w:val="1FEF06DB"/>
    <w:rsid w:val="1FF7705B"/>
    <w:rsid w:val="273B8C08"/>
    <w:rsid w:val="27EF55F8"/>
    <w:rsid w:val="2AB3D7F6"/>
    <w:rsid w:val="2EBEFDF0"/>
    <w:rsid w:val="2F7E1938"/>
    <w:rsid w:val="33EC715A"/>
    <w:rsid w:val="34F3DB8B"/>
    <w:rsid w:val="37E19F78"/>
    <w:rsid w:val="37EDA50D"/>
    <w:rsid w:val="387F43E3"/>
    <w:rsid w:val="3A7F8FFB"/>
    <w:rsid w:val="3AFB2EBF"/>
    <w:rsid w:val="3B7F601D"/>
    <w:rsid w:val="3E7FC70B"/>
    <w:rsid w:val="3F4F4397"/>
    <w:rsid w:val="3F6D8DF4"/>
    <w:rsid w:val="3FFF1E46"/>
    <w:rsid w:val="40AF228E"/>
    <w:rsid w:val="41F61F01"/>
    <w:rsid w:val="43875A44"/>
    <w:rsid w:val="43BEFD8D"/>
    <w:rsid w:val="47EBDDCD"/>
    <w:rsid w:val="47F50D0E"/>
    <w:rsid w:val="486F1C41"/>
    <w:rsid w:val="49027EF9"/>
    <w:rsid w:val="4FDBE082"/>
    <w:rsid w:val="53EE2BB1"/>
    <w:rsid w:val="54481375"/>
    <w:rsid w:val="55A07114"/>
    <w:rsid w:val="56B3152A"/>
    <w:rsid w:val="57D76BD4"/>
    <w:rsid w:val="59BD088E"/>
    <w:rsid w:val="5BFF3CCA"/>
    <w:rsid w:val="5DFD5CC7"/>
    <w:rsid w:val="5FA2FC8E"/>
    <w:rsid w:val="5FFD6CD2"/>
    <w:rsid w:val="65FB1DA0"/>
    <w:rsid w:val="6AD3682B"/>
    <w:rsid w:val="6BB29082"/>
    <w:rsid w:val="6DFF5C03"/>
    <w:rsid w:val="6E8C5DEC"/>
    <w:rsid w:val="6F5AB000"/>
    <w:rsid w:val="6F7F0D0E"/>
    <w:rsid w:val="6FD1BC8C"/>
    <w:rsid w:val="6FD72C90"/>
    <w:rsid w:val="6FF2AE0A"/>
    <w:rsid w:val="6FFF2394"/>
    <w:rsid w:val="71A27AE2"/>
    <w:rsid w:val="73BF38F1"/>
    <w:rsid w:val="764B7E68"/>
    <w:rsid w:val="76EE909E"/>
    <w:rsid w:val="76F971C0"/>
    <w:rsid w:val="77F2502F"/>
    <w:rsid w:val="77FDC9E7"/>
    <w:rsid w:val="77FFB325"/>
    <w:rsid w:val="791FFDA3"/>
    <w:rsid w:val="79F39A94"/>
    <w:rsid w:val="7ACD8204"/>
    <w:rsid w:val="7B047FF9"/>
    <w:rsid w:val="7B774988"/>
    <w:rsid w:val="7BB6739F"/>
    <w:rsid w:val="7BBB26F5"/>
    <w:rsid w:val="7BF77555"/>
    <w:rsid w:val="7D7FDD5D"/>
    <w:rsid w:val="7DD33A15"/>
    <w:rsid w:val="7DEDFCDD"/>
    <w:rsid w:val="7DF760F8"/>
    <w:rsid w:val="7DF7F46E"/>
    <w:rsid w:val="7EBC5A84"/>
    <w:rsid w:val="7EDF2A19"/>
    <w:rsid w:val="7EE7EA6D"/>
    <w:rsid w:val="7EF76F7F"/>
    <w:rsid w:val="7F3FD252"/>
    <w:rsid w:val="7F638DD7"/>
    <w:rsid w:val="7F7EB95C"/>
    <w:rsid w:val="7FAF1CFC"/>
    <w:rsid w:val="7FB7315B"/>
    <w:rsid w:val="7FBC2946"/>
    <w:rsid w:val="7FEFDADF"/>
    <w:rsid w:val="7FFD2E47"/>
    <w:rsid w:val="7FFFDC17"/>
    <w:rsid w:val="8FEFFF60"/>
    <w:rsid w:val="9CFF3DEE"/>
    <w:rsid w:val="9F368295"/>
    <w:rsid w:val="A75F72DE"/>
    <w:rsid w:val="A96FF051"/>
    <w:rsid w:val="AE9EB6AE"/>
    <w:rsid w:val="B3FA47C5"/>
    <w:rsid w:val="B59F9B38"/>
    <w:rsid w:val="B6BFA843"/>
    <w:rsid w:val="B7D57983"/>
    <w:rsid w:val="BD5E699E"/>
    <w:rsid w:val="BF6D9897"/>
    <w:rsid w:val="BFF6A66B"/>
    <w:rsid w:val="BFFFCCF5"/>
    <w:rsid w:val="C7DF6FC6"/>
    <w:rsid w:val="C8F7D65A"/>
    <w:rsid w:val="CEEFF410"/>
    <w:rsid w:val="CFF99F4A"/>
    <w:rsid w:val="DA9D46B3"/>
    <w:rsid w:val="DAAB8CAF"/>
    <w:rsid w:val="DECFF543"/>
    <w:rsid w:val="DEF4DB90"/>
    <w:rsid w:val="DF6DC1ED"/>
    <w:rsid w:val="DF7EC7C9"/>
    <w:rsid w:val="DFBFE6F4"/>
    <w:rsid w:val="DFCE51D1"/>
    <w:rsid w:val="DFDDFC72"/>
    <w:rsid w:val="DFF9BAF4"/>
    <w:rsid w:val="DFFFD75C"/>
    <w:rsid w:val="E7FF332B"/>
    <w:rsid w:val="E7FF7B86"/>
    <w:rsid w:val="EA5BB540"/>
    <w:rsid w:val="EA624442"/>
    <w:rsid w:val="EADFB577"/>
    <w:rsid w:val="EAFC1393"/>
    <w:rsid w:val="EB5EAE1C"/>
    <w:rsid w:val="EDB346B8"/>
    <w:rsid w:val="EFBF31F2"/>
    <w:rsid w:val="F33F8182"/>
    <w:rsid w:val="F3D3F294"/>
    <w:rsid w:val="F3FD4BBA"/>
    <w:rsid w:val="F3FEA340"/>
    <w:rsid w:val="F69FB8D8"/>
    <w:rsid w:val="F77A3633"/>
    <w:rsid w:val="F7EB4088"/>
    <w:rsid w:val="F7F9F086"/>
    <w:rsid w:val="F7FB60FF"/>
    <w:rsid w:val="F7FD5199"/>
    <w:rsid w:val="F7FEA2EE"/>
    <w:rsid w:val="F837B465"/>
    <w:rsid w:val="FADBBDEB"/>
    <w:rsid w:val="FB7CBBA9"/>
    <w:rsid w:val="FBCB30BB"/>
    <w:rsid w:val="FBFB92BD"/>
    <w:rsid w:val="FBFF5CBE"/>
    <w:rsid w:val="FD7DBF2B"/>
    <w:rsid w:val="FDAE520F"/>
    <w:rsid w:val="FE7BAE21"/>
    <w:rsid w:val="FEBDB86F"/>
    <w:rsid w:val="FEEFA668"/>
    <w:rsid w:val="FEFBF0E0"/>
    <w:rsid w:val="FEFE900E"/>
    <w:rsid w:val="FF1F1684"/>
    <w:rsid w:val="FF1F7FF8"/>
    <w:rsid w:val="FF5FB0D7"/>
    <w:rsid w:val="FF6F06FB"/>
    <w:rsid w:val="FF7D1ABF"/>
    <w:rsid w:val="FF9ECB2A"/>
    <w:rsid w:val="FF9F320B"/>
    <w:rsid w:val="FFA7B890"/>
    <w:rsid w:val="FFB7F3D2"/>
    <w:rsid w:val="FFC7743C"/>
    <w:rsid w:val="FFCFBE67"/>
    <w:rsid w:val="FFD6489E"/>
    <w:rsid w:val="FFDB1095"/>
    <w:rsid w:val="FFDFE231"/>
    <w:rsid w:val="FFE74701"/>
    <w:rsid w:val="FFF75CD4"/>
    <w:rsid w:val="FFFADAF8"/>
    <w:rsid w:val="FFFF0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after="120"/>
    </w:pPr>
    <w:rPr>
      <w:rFonts w:ascii="Calibri" w:hAnsi="Calibri"/>
      <w:sz w:val="21"/>
    </w:rPr>
  </w:style>
  <w:style w:type="paragraph" w:styleId="5">
    <w:name w:val="footer"/>
    <w:basedOn w:val="1"/>
    <w:next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Emphasis"/>
    <w:basedOn w:val="8"/>
    <w:qFormat/>
    <w:uiPriority w:val="0"/>
    <w:rPr>
      <w:i/>
    </w:rPr>
  </w:style>
  <w:style w:type="paragraph" w:customStyle="1" w:styleId="10">
    <w:name w:val="样式 样式 左侧:  2 字符 + 左侧:  0.85 厘米 首行缩进:  2 字符1"/>
    <w:basedOn w:val="1"/>
    <w:qFormat/>
    <w:uiPriority w:val="0"/>
    <w:pPr>
      <w:tabs>
        <w:tab w:val="left" w:pos="0"/>
      </w:tabs>
      <w:ind w:left="482" w:firstLine="200" w:firstLineChars="200"/>
    </w:pPr>
    <w:rPr>
      <w:rFonts w:ascii="Times New Roman" w:hAnsi="Times New Roman" w:eastAsia="宋体" w:cs="宋体"/>
      <w:szCs w:val="20"/>
    </w:rPr>
  </w:style>
  <w:style w:type="character" w:customStyle="1" w:styleId="11">
    <w:name w:val="font21"/>
    <w:basedOn w:val="8"/>
    <w:qFormat/>
    <w:uiPriority w:val="0"/>
    <w:rPr>
      <w:rFonts w:hint="eastAsia" w:ascii="宋体" w:hAnsi="宋体" w:eastAsia="宋体" w:cs="宋体"/>
      <w:b/>
      <w:bCs/>
      <w:color w:val="000000"/>
      <w:sz w:val="21"/>
      <w:szCs w:val="21"/>
      <w:u w:val="none"/>
    </w:rPr>
  </w:style>
  <w:style w:type="character" w:customStyle="1" w:styleId="12">
    <w:name w:val="font11"/>
    <w:basedOn w:val="8"/>
    <w:qFormat/>
    <w:uiPriority w:val="0"/>
    <w:rPr>
      <w:rFonts w:hint="eastAsia" w:ascii="宋体" w:hAnsi="宋体" w:eastAsia="宋体" w:cs="宋体"/>
      <w:color w:val="000000"/>
      <w:sz w:val="20"/>
      <w:szCs w:val="20"/>
      <w:u w:val="none"/>
    </w:rPr>
  </w:style>
  <w:style w:type="character" w:customStyle="1" w:styleId="13">
    <w:name w:val="font41"/>
    <w:basedOn w:val="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oleObject" Target="file:///C:\Users\86156\Desktop\&#25991;&#20445;&#36164;&#26009;\&#25253;&#21578;&#21462;&#25968;.xlsx"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C:\Users\86156\Desktop\&#25991;&#20445;&#36164;&#26009;\&#25253;&#21578;&#21462;&#2596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floor>
    <c:sideWall>
      <c:thickness val="0"/>
    </c:sideWall>
    <c:backWall>
      <c:thickness val="0"/>
    </c:backWall>
    <c:plotArea>
      <c:layout/>
      <c:pie3DChart>
        <c:varyColors val="1"/>
        <c:ser>
          <c:idx val="0"/>
          <c:order val="0"/>
          <c:tx>
            <c:strRef>
              <c:f>[报告取数.xlsx]偏离表!$G$22</c:f>
              <c:strCache>
                <c:ptCount val="1"/>
                <c:pt idx="0">
                  <c:v>项目数量</c:v>
                </c:pt>
              </c:strCache>
            </c:strRef>
          </c:tx>
          <c:explosion val="0"/>
          <c:dPt>
            <c:idx val="0"/>
            <c:bubble3D val="0"/>
            <c:spPr>
              <a:solidFill>
                <a:schemeClr val="accent1"/>
              </a:solidFill>
              <a:ln w="25400">
                <a:solidFill>
                  <a:schemeClr val="lt1"/>
                </a:solidFill>
              </a:ln>
              <a:effectLst/>
            </c:spPr>
          </c:dPt>
          <c:dPt>
            <c:idx val="1"/>
            <c:bubble3D val="0"/>
            <c:spPr>
              <a:solidFill>
                <a:schemeClr val="accent2"/>
              </a:solidFill>
              <a:ln w="2540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1" i="0" u="none" strike="noStrike" kern="1200" baseline="0">
                    <a:solidFill>
                      <a:schemeClr val="bg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[报告取数.xlsx]偏离表!$F$23:$F$24</c:f>
              <c:strCache>
                <c:ptCount val="2"/>
                <c:pt idx="0">
                  <c:v>已完工项目</c:v>
                </c:pt>
                <c:pt idx="1">
                  <c:v>实施中项目</c:v>
                </c:pt>
              </c:strCache>
            </c:strRef>
          </c:cat>
          <c:val>
            <c:numRef>
              <c:f>[报告取数.xlsx]偏离表!$G$23:$G$24</c:f>
              <c:numCache>
                <c:formatCode>#,##0.00_ </c:formatCode>
                <c:ptCount val="2"/>
                <c:pt idx="0">
                  <c:v>20</c:v>
                </c:pt>
                <c:pt idx="1">
                  <c:v>15</c:v>
                </c:pt>
              </c:numCache>
            </c:numRef>
          </c:val>
        </c:ser>
        <c:dLbls>
          <c:showLegendKey val="0"/>
          <c:showVal val="0"/>
          <c:showCatName val="0"/>
          <c:showSerName val="0"/>
          <c:showPercent val="1"/>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a:outerShdw blurRad="63500" dist="37357" dir="2700000" sx="0" sy="0" rotWithShape="0">
        <a:scrgbClr r="0" g="0" b="0"/>
      </a:outerShdw>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floor>
    <c:sideWall>
      <c:thickness val="0"/>
    </c:sideWall>
    <c:backWall>
      <c:thickness val="0"/>
    </c:backWall>
    <c:plotArea>
      <c:layout/>
      <c:pie3DChart>
        <c:varyColors val="1"/>
        <c:ser>
          <c:idx val="0"/>
          <c:order val="0"/>
          <c:tx>
            <c:strRef>
              <c:f>[报告取数.xlsx]资金情况表!$G$51</c:f>
              <c:strCache>
                <c:ptCount val="1"/>
                <c:pt idx="0">
                  <c:v>项目数量</c:v>
                </c:pt>
              </c:strCache>
            </c:strRef>
          </c:tx>
          <c:explosion val="0"/>
          <c:dPt>
            <c:idx val="0"/>
            <c:bubble3D val="0"/>
            <c:spPr>
              <a:solidFill>
                <a:schemeClr val="accent1"/>
              </a:solidFill>
              <a:ln w="25400">
                <a:solidFill>
                  <a:schemeClr val="lt1"/>
                </a:solidFill>
              </a:ln>
              <a:effectLst/>
            </c:spPr>
          </c:dPt>
          <c:dPt>
            <c:idx val="1"/>
            <c:bubble3D val="0"/>
            <c:spPr>
              <a:solidFill>
                <a:schemeClr val="accent2"/>
              </a:solidFill>
              <a:ln w="25400">
                <a:solidFill>
                  <a:schemeClr val="lt1"/>
                </a:solidFill>
              </a:ln>
              <a:effectLst/>
            </c:spPr>
          </c:dPt>
          <c:dPt>
            <c:idx val="2"/>
            <c:bubble3D val="0"/>
            <c:spPr>
              <a:solidFill>
                <a:schemeClr val="accent3"/>
              </a:solidFill>
              <a:ln w="2540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forceAA="0"/>
              <a:lstStyle/>
              <a:p>
                <a:pPr>
                  <a:defRPr lang="zh-CN" sz="1000" b="1" i="0" u="none" strike="noStrike" kern="1200" baseline="0">
                    <a:solidFill>
                      <a:schemeClr val="bg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[报告取数.xlsx]资金情况表!$F$52:$F$54</c:f>
              <c:strCache>
                <c:ptCount val="3"/>
                <c:pt idx="0">
                  <c:v>预算执行率在80%（含）-100%的项目</c:v>
                </c:pt>
                <c:pt idx="1">
                  <c:v>预算执行率在60%（含）-80%的项目</c:v>
                </c:pt>
                <c:pt idx="2">
                  <c:v>预算执行率在60%以下的项目</c:v>
                </c:pt>
              </c:strCache>
            </c:strRef>
          </c:cat>
          <c:val>
            <c:numRef>
              <c:f>[报告取数.xlsx]资金情况表!$G$52:$G$54</c:f>
              <c:numCache>
                <c:formatCode>#,##0.00_ </c:formatCode>
                <c:ptCount val="3"/>
                <c:pt idx="0">
                  <c:v>22</c:v>
                </c:pt>
                <c:pt idx="1">
                  <c:v>6</c:v>
                </c:pt>
                <c:pt idx="2">
                  <c:v>7</c:v>
                </c:pt>
              </c:numCache>
            </c:numRef>
          </c:val>
        </c:ser>
        <c:dLbls>
          <c:showLegendKey val="0"/>
          <c:showVal val="0"/>
          <c:showCatName val="0"/>
          <c:showSerName val="0"/>
          <c:showPercent val="1"/>
          <c:showBubbleSize val="0"/>
        </c:dLbls>
      </c:pie3DChart>
      <c:spPr>
        <a:noFill/>
        <a:ln>
          <a:noFill/>
        </a:ln>
        <a:effectLst/>
      </c:spPr>
    </c:plotArea>
    <c:legend>
      <c:legendPos val="b"/>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a:outerShdw blurRad="63500" dist="37357" dir="2700000" sx="0" sy="0" rotWithShape="0">
        <a:scrgbClr r="0" g="0" b="0"/>
      </a:outerShdw>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word/theme/themeOverride1.xml><?xml version="1.0" encoding="utf-8"?>
<a:themeOverride xmlns:a="http://schemas.openxmlformats.org/drawingml/2006/main">
  <a:clrScheme name="【1】">
    <a:dk1>
      <a:srgbClr val="000000"/>
    </a:dk1>
    <a:lt1>
      <a:srgbClr val="FFFFFF"/>
    </a:lt1>
    <a:dk2>
      <a:srgbClr val="0C0E1F"/>
    </a:dk2>
    <a:lt2>
      <a:srgbClr val="FEFFFF"/>
    </a:lt2>
    <a:accent1>
      <a:srgbClr val="4F81FF"/>
    </a:accent1>
    <a:accent2>
      <a:srgbClr val="16CC8A"/>
    </a:accent2>
    <a:accent3>
      <a:srgbClr val="FFC619"/>
    </a:accent3>
    <a:accent4>
      <a:srgbClr val="FF8041"/>
    </a:accent4>
    <a:accent5>
      <a:srgbClr val="F95F5F"/>
    </a:accent5>
    <a:accent6>
      <a:srgbClr val="A15CFF"/>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1】">
    <a:dk1>
      <a:srgbClr val="000000"/>
    </a:dk1>
    <a:lt1>
      <a:srgbClr val="FFFFFF"/>
    </a:lt1>
    <a:dk2>
      <a:srgbClr val="0C0E1F"/>
    </a:dk2>
    <a:lt2>
      <a:srgbClr val="FEFFFF"/>
    </a:lt2>
    <a:accent1>
      <a:srgbClr val="4F81FF"/>
    </a:accent1>
    <a:accent2>
      <a:srgbClr val="16CC8A"/>
    </a:accent2>
    <a:accent3>
      <a:srgbClr val="FFC619"/>
    </a:accent3>
    <a:accent4>
      <a:srgbClr val="FF8041"/>
    </a:accent4>
    <a:accent5>
      <a:srgbClr val="F95F5F"/>
    </a:accent5>
    <a:accent6>
      <a:srgbClr val="A15CFF"/>
    </a:accent6>
    <a:hlink>
      <a:srgbClr val="304FFE"/>
    </a:hlink>
    <a:folHlink>
      <a:srgbClr val="492067"/>
    </a:folHlink>
  </a:clrScheme>
  <a:fontScheme name="自定义 2">
    <a:majorFont>
      <a:latin typeface="微软雅黑"/>
      <a:ea typeface="微软雅黑"/>
      <a:cs typeface=""/>
    </a:majorFont>
    <a:minorFont>
      <a:latin typeface="微软雅黑"/>
      <a:ea typeface="微软雅黑"/>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7545</Words>
  <Characters>9035</Characters>
  <Lines>0</Lines>
  <Paragraphs>0</Paragraphs>
  <TotalTime>28</TotalTime>
  <ScaleCrop>false</ScaleCrop>
  <LinksUpToDate>false</LinksUpToDate>
  <CharactersWithSpaces>9039</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2023-04-30T10:58:00Z</dcterms:created>
  <dc:creator>新晓，奇</dc:creator>
  <cp:lastModifiedBy>zhangling</cp:lastModifiedBy>
  <cp:lastPrinted>2024-03-30T18:32:00Z</cp:lastPrinted>
  <dcterms:modified xsi:type="dcterms:W3CDTF">2024-04-02T10:34:54Z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795595D210E74C8CA05E02D62FF97E8B_13</vt:lpwstr>
  </property>
</Properties>
</file>