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b/>
          <w:sz w:val="48"/>
          <w:szCs w:val="21"/>
        </w:rPr>
      </w:pPr>
    </w:p>
    <w:p>
      <w:pPr>
        <w:adjustRightInd w:val="0"/>
        <w:snapToGrid w:val="0"/>
        <w:spacing w:line="360" w:lineRule="auto"/>
        <w:jc w:val="center"/>
        <w:rPr>
          <w:rFonts w:ascii="宋体" w:hAnsi="宋体"/>
          <w:b/>
          <w:sz w:val="48"/>
          <w:szCs w:val="21"/>
        </w:rPr>
      </w:pPr>
    </w:p>
    <w:p>
      <w:pPr>
        <w:adjustRightInd w:val="0"/>
        <w:snapToGrid w:val="0"/>
        <w:spacing w:line="360" w:lineRule="auto"/>
        <w:jc w:val="center"/>
        <w:rPr>
          <w:rFonts w:ascii="宋体" w:hAnsi="宋体"/>
          <w:b/>
          <w:sz w:val="48"/>
          <w:szCs w:val="21"/>
        </w:rPr>
      </w:pPr>
    </w:p>
    <w:p>
      <w:pPr>
        <w:adjustRightInd w:val="0"/>
        <w:snapToGrid w:val="0"/>
        <w:spacing w:line="360" w:lineRule="auto"/>
        <w:jc w:val="center"/>
        <w:rPr>
          <w:rFonts w:ascii="宋体" w:hAnsi="宋体"/>
          <w:b/>
          <w:bCs/>
          <w:spacing w:val="-20"/>
          <w:sz w:val="48"/>
          <w:szCs w:val="48"/>
        </w:rPr>
      </w:pPr>
      <w:r>
        <w:rPr>
          <w:rFonts w:hint="eastAsia" w:ascii="宋体" w:hAnsi="宋体"/>
          <w:b/>
          <w:sz w:val="48"/>
          <w:szCs w:val="21"/>
        </w:rPr>
        <w:t>202</w:t>
      </w:r>
      <w:r>
        <w:rPr>
          <w:rFonts w:hint="eastAsia" w:ascii="宋体" w:hAnsi="宋体"/>
          <w:b/>
          <w:sz w:val="48"/>
          <w:szCs w:val="21"/>
          <w:lang w:val="en-US" w:eastAsia="zh-CN"/>
        </w:rPr>
        <w:t>3</w:t>
      </w:r>
      <w:r>
        <w:rPr>
          <w:rFonts w:hint="eastAsia" w:ascii="宋体" w:hAnsi="宋体"/>
          <w:b/>
          <w:sz w:val="48"/>
          <w:szCs w:val="21"/>
        </w:rPr>
        <w:t>年度</w:t>
      </w:r>
      <w:r>
        <w:rPr>
          <w:rFonts w:hint="eastAsia" w:ascii="宋体" w:hAnsi="宋体"/>
          <w:b/>
          <w:bCs/>
          <w:spacing w:val="-20"/>
          <w:sz w:val="48"/>
          <w:szCs w:val="48"/>
        </w:rPr>
        <w:t>北京市石景山区人民法院</w:t>
      </w:r>
    </w:p>
    <w:p>
      <w:pPr>
        <w:adjustRightInd w:val="0"/>
        <w:snapToGrid w:val="0"/>
        <w:spacing w:line="360" w:lineRule="auto"/>
        <w:jc w:val="center"/>
        <w:rPr>
          <w:rFonts w:ascii="宋体" w:hAnsi="宋体"/>
          <w:b/>
          <w:bCs/>
          <w:sz w:val="48"/>
          <w:szCs w:val="48"/>
        </w:rPr>
      </w:pPr>
      <w:r>
        <w:rPr>
          <w:rFonts w:hint="eastAsia" w:ascii="宋体" w:hAnsi="宋体"/>
          <w:b/>
          <w:bCs/>
          <w:sz w:val="48"/>
          <w:szCs w:val="48"/>
        </w:rPr>
        <w:t>部门整体绩效评价报告</w:t>
      </w:r>
    </w:p>
    <w:p>
      <w:pPr>
        <w:adjustRightInd w:val="0"/>
        <w:snapToGrid w:val="0"/>
        <w:spacing w:line="360" w:lineRule="auto"/>
        <w:ind w:firstLine="1044" w:firstLineChars="200"/>
        <w:jc w:val="center"/>
        <w:rPr>
          <w:rFonts w:ascii="宋体" w:hAnsi="宋体"/>
          <w:b/>
          <w:sz w:val="52"/>
        </w:rPr>
      </w:pPr>
    </w:p>
    <w:p>
      <w:pPr>
        <w:adjustRightInd w:val="0"/>
        <w:snapToGrid w:val="0"/>
        <w:spacing w:line="360" w:lineRule="auto"/>
        <w:ind w:firstLine="600" w:firstLineChars="200"/>
        <w:jc w:val="center"/>
        <w:rPr>
          <w:rFonts w:ascii="仿宋_GB2312" w:eastAsia="仿宋_GB2312"/>
          <w:sz w:val="30"/>
        </w:rPr>
      </w:pPr>
    </w:p>
    <w:p>
      <w:pPr>
        <w:adjustRightInd w:val="0"/>
        <w:snapToGrid w:val="0"/>
        <w:spacing w:line="360" w:lineRule="auto"/>
        <w:ind w:firstLine="600" w:firstLineChars="200"/>
        <w:jc w:val="center"/>
        <w:rPr>
          <w:rFonts w:ascii="仿宋_GB2312" w:eastAsia="仿宋_GB2312"/>
          <w:sz w:val="30"/>
        </w:rPr>
      </w:pPr>
    </w:p>
    <w:p>
      <w:pPr>
        <w:adjustRightInd w:val="0"/>
        <w:snapToGrid w:val="0"/>
        <w:spacing w:line="360" w:lineRule="auto"/>
        <w:ind w:firstLine="600" w:firstLineChars="200"/>
        <w:jc w:val="center"/>
        <w:rPr>
          <w:rFonts w:ascii="仿宋_GB2312" w:eastAsia="仿宋_GB2312"/>
          <w:sz w:val="30"/>
        </w:rPr>
      </w:pPr>
    </w:p>
    <w:p>
      <w:pPr>
        <w:adjustRightInd w:val="0"/>
        <w:snapToGrid w:val="0"/>
        <w:spacing w:line="360" w:lineRule="auto"/>
        <w:ind w:firstLine="600" w:firstLineChars="200"/>
        <w:jc w:val="center"/>
        <w:rPr>
          <w:rFonts w:ascii="仿宋_GB2312" w:eastAsia="仿宋_GB2312"/>
          <w:sz w:val="30"/>
        </w:rPr>
      </w:pPr>
    </w:p>
    <w:p>
      <w:pPr>
        <w:pStyle w:val="7"/>
      </w:pPr>
    </w:p>
    <w:p>
      <w:pPr>
        <w:adjustRightInd w:val="0"/>
        <w:snapToGrid w:val="0"/>
        <w:spacing w:line="360" w:lineRule="auto"/>
        <w:ind w:firstLine="600" w:firstLineChars="200"/>
        <w:rPr>
          <w:rFonts w:ascii="仿宋_GB2312" w:eastAsia="仿宋_GB2312"/>
          <w:sz w:val="30"/>
        </w:rPr>
      </w:pPr>
    </w:p>
    <w:p>
      <w:pPr>
        <w:adjustRightInd w:val="0"/>
        <w:snapToGrid w:val="0"/>
        <w:spacing w:line="360" w:lineRule="auto"/>
        <w:ind w:firstLine="640" w:firstLineChars="200"/>
        <w:jc w:val="left"/>
        <w:rPr>
          <w:rFonts w:ascii="宋体" w:hAnsi="宋体"/>
          <w:sz w:val="32"/>
        </w:rPr>
      </w:pPr>
    </w:p>
    <w:p>
      <w:pPr>
        <w:adjustRightInd w:val="0"/>
        <w:snapToGrid w:val="0"/>
        <w:spacing w:line="360" w:lineRule="auto"/>
        <w:ind w:firstLine="640" w:firstLineChars="200"/>
        <w:rPr>
          <w:rFonts w:ascii="仿宋_GB2312" w:hAnsi="宋体" w:eastAsia="仿宋_GB2312"/>
          <w:sz w:val="32"/>
          <w:szCs w:val="32"/>
        </w:rPr>
      </w:pPr>
    </w:p>
    <w:p>
      <w:pPr>
        <w:adjustRightInd w:val="0"/>
        <w:snapToGrid w:val="0"/>
        <w:spacing w:line="360" w:lineRule="auto"/>
        <w:jc w:val="center"/>
        <w:rPr>
          <w:rFonts w:ascii="仿宋_GB2312" w:hAnsi="宋体" w:eastAsia="仿宋_GB2312"/>
          <w:sz w:val="32"/>
          <w:szCs w:val="32"/>
        </w:rPr>
      </w:pPr>
    </w:p>
    <w:p>
      <w:pPr>
        <w:adjustRightInd w:val="0"/>
        <w:snapToGrid w:val="0"/>
        <w:spacing w:line="360" w:lineRule="auto"/>
        <w:jc w:val="center"/>
        <w:rPr>
          <w:rFonts w:ascii="黑体" w:eastAsia="黑体"/>
          <w:sz w:val="36"/>
          <w:szCs w:val="36"/>
        </w:rPr>
      </w:pPr>
    </w:p>
    <w:p>
      <w:pPr>
        <w:adjustRightInd w:val="0"/>
        <w:snapToGrid w:val="0"/>
        <w:spacing w:line="360" w:lineRule="auto"/>
        <w:jc w:val="center"/>
        <w:rPr>
          <w:rFonts w:ascii="黑体" w:eastAsia="黑体"/>
          <w:sz w:val="36"/>
          <w:szCs w:val="36"/>
        </w:rPr>
      </w:pPr>
    </w:p>
    <w:p>
      <w:pPr>
        <w:adjustRightInd w:val="0"/>
        <w:snapToGrid w:val="0"/>
        <w:spacing w:line="360" w:lineRule="auto"/>
        <w:jc w:val="center"/>
        <w:rPr>
          <w:b/>
          <w:bCs/>
          <w:sz w:val="52"/>
          <w:szCs w:val="52"/>
        </w:rPr>
      </w:pPr>
      <w:r>
        <w:rPr>
          <w:rFonts w:hint="eastAsia" w:ascii="黑体" w:eastAsia="黑体"/>
          <w:sz w:val="36"/>
          <w:szCs w:val="36"/>
        </w:rPr>
        <w:t>二〇二</w:t>
      </w:r>
      <w:r>
        <w:rPr>
          <w:rFonts w:hint="eastAsia" w:ascii="黑体" w:eastAsia="黑体"/>
          <w:sz w:val="36"/>
          <w:szCs w:val="36"/>
          <w:lang w:eastAsia="zh-CN"/>
        </w:rPr>
        <w:t>四</w:t>
      </w:r>
      <w:r>
        <w:rPr>
          <w:rFonts w:hint="eastAsia" w:ascii="黑体" w:eastAsia="黑体"/>
          <w:sz w:val="36"/>
          <w:szCs w:val="36"/>
        </w:rPr>
        <w:t>年五月</w:t>
      </w:r>
    </w:p>
    <w:p>
      <w:pPr>
        <w:adjustRightInd w:val="0"/>
        <w:snapToGrid w:val="0"/>
        <w:spacing w:line="360" w:lineRule="auto"/>
        <w:jc w:val="center"/>
        <w:rPr>
          <w:rFonts w:ascii="方正小标宋简体" w:eastAsia="方正小标宋简体"/>
          <w:sz w:val="36"/>
          <w:szCs w:val="36"/>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sdt>
      <w:sdtPr>
        <w:rPr>
          <w:rFonts w:hint="eastAsia" w:ascii="黑体" w:hAnsi="黑体" w:eastAsia="黑体" w:cs="黑体"/>
          <w:b/>
          <w:bCs/>
          <w:sz w:val="32"/>
          <w:szCs w:val="32"/>
        </w:rPr>
        <w:id w:val="147456552"/>
        <w:docPartObj>
          <w:docPartGallery w:val="Table of Contents"/>
          <w:docPartUnique/>
        </w:docPartObj>
      </w:sdtPr>
      <w:sdtEndPr>
        <w:rPr>
          <w:rFonts w:hint="default" w:ascii="Times New Roman" w:hAnsi="Times New Roman" w:eastAsia="宋体" w:cs="Times New Roman"/>
          <w:b/>
          <w:bCs/>
          <w:sz w:val="21"/>
          <w:szCs w:val="24"/>
        </w:rPr>
      </w:sdtEndPr>
      <w:sdtContent>
        <w:p>
          <w:pPr>
            <w:adjustRightInd w:val="0"/>
            <w:snapToGrid w:val="0"/>
            <w:spacing w:line="360" w:lineRule="auto"/>
            <w:ind w:firstLine="643" w:firstLineChars="200"/>
            <w:jc w:val="center"/>
            <w:rPr>
              <w:rFonts w:ascii="黑体" w:hAnsi="黑体" w:eastAsia="黑体" w:cs="黑体"/>
              <w:sz w:val="32"/>
              <w:szCs w:val="32"/>
            </w:rPr>
          </w:pPr>
          <w:r>
            <w:rPr>
              <w:rFonts w:hint="eastAsia" w:ascii="黑体" w:hAnsi="黑体" w:eastAsia="黑体" w:cs="黑体"/>
              <w:b/>
              <w:bCs/>
              <w:sz w:val="32"/>
              <w:szCs w:val="32"/>
            </w:rPr>
            <w:t>目 录</w:t>
          </w:r>
        </w:p>
        <w:p>
          <w:pPr>
            <w:pStyle w:val="11"/>
            <w:tabs>
              <w:tab w:val="right" w:leader="dot" w:pos="8306"/>
              <w:tab w:val="clear" w:pos="8296"/>
            </w:tabs>
            <w:rPr>
              <w:rFonts w:cs="黑体"/>
            </w:rPr>
          </w:pPr>
          <w:r>
            <w:rPr>
              <w:rFonts w:hint="eastAsia" w:cs="黑体"/>
            </w:rPr>
            <w:fldChar w:fldCharType="begin"/>
          </w:r>
          <w:r>
            <w:rPr>
              <w:rFonts w:hint="eastAsia" w:cs="黑体"/>
            </w:rPr>
            <w:instrText xml:space="preserve">TOC \o "1-3" \h \u </w:instrText>
          </w:r>
          <w:r>
            <w:rPr>
              <w:rFonts w:hint="eastAsia" w:cs="黑体"/>
            </w:rPr>
            <w:fldChar w:fldCharType="separate"/>
          </w:r>
          <w:r>
            <w:fldChar w:fldCharType="begin"/>
          </w:r>
          <w:r>
            <w:instrText xml:space="preserve"> HYPERLINK \l "_Toc22386" </w:instrText>
          </w:r>
          <w:r>
            <w:fldChar w:fldCharType="separate"/>
          </w:r>
          <w:r>
            <w:rPr>
              <w:rFonts w:hint="eastAsia" w:cs="黑体"/>
              <w:kern w:val="0"/>
              <w:szCs w:val="32"/>
            </w:rPr>
            <w:t>一、部门概况</w:t>
          </w:r>
          <w:r>
            <w:rPr>
              <w:rFonts w:hint="eastAsia" w:cs="黑体"/>
            </w:rPr>
            <w:tab/>
          </w:r>
          <w:r>
            <w:rPr>
              <w:rFonts w:hint="eastAsia" w:cs="黑体"/>
            </w:rPr>
            <w:fldChar w:fldCharType="begin"/>
          </w:r>
          <w:r>
            <w:rPr>
              <w:rFonts w:hint="eastAsia" w:cs="黑体"/>
            </w:rPr>
            <w:instrText xml:space="preserve"> PAGEREF _Toc22386 \h </w:instrText>
          </w:r>
          <w:r>
            <w:rPr>
              <w:rFonts w:hint="eastAsia" w:cs="黑体"/>
            </w:rPr>
            <w:fldChar w:fldCharType="separate"/>
          </w:r>
          <w:r>
            <w:rPr>
              <w:rFonts w:hint="eastAsia" w:cs="黑体"/>
            </w:rPr>
            <w:t>1</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"_Toc24732" </w:instrText>
          </w:r>
          <w:r>
            <w:fldChar w:fldCharType="separate"/>
          </w:r>
          <w:r>
            <w:rPr>
              <w:rFonts w:hint="eastAsia" w:cs="黑体"/>
              <w:szCs w:val="32"/>
            </w:rPr>
            <w:t>（一）机构设置及职责工作任务情况</w:t>
          </w:r>
          <w:r>
            <w:rPr>
              <w:rFonts w:hint="eastAsia" w:cs="黑体"/>
            </w:rPr>
            <w:tab/>
          </w:r>
          <w:r>
            <w:rPr>
              <w:rFonts w:hint="eastAsia" w:cs="黑体"/>
            </w:rPr>
            <w:fldChar w:fldCharType="begin"/>
          </w:r>
          <w:r>
            <w:rPr>
              <w:rFonts w:hint="eastAsia" w:cs="黑体"/>
            </w:rPr>
            <w:instrText xml:space="preserve"> PAGEREF _Toc24732 \h </w:instrText>
          </w:r>
          <w:r>
            <w:rPr>
              <w:rFonts w:hint="eastAsia" w:cs="黑体"/>
            </w:rPr>
            <w:fldChar w:fldCharType="separate"/>
          </w:r>
          <w:r>
            <w:rPr>
              <w:rFonts w:hint="eastAsia" w:cs="黑体"/>
            </w:rPr>
            <w:t>1</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"_Toc763" </w:instrText>
          </w:r>
          <w:r>
            <w:fldChar w:fldCharType="separate"/>
          </w:r>
          <w:r>
            <w:rPr>
              <w:rFonts w:hint="eastAsia" w:cs="黑体"/>
              <w:szCs w:val="32"/>
            </w:rPr>
            <w:t>（二）部门整体绩效目标设立情况</w:t>
          </w:r>
          <w:r>
            <w:rPr>
              <w:rFonts w:hint="eastAsia" w:cs="黑体"/>
            </w:rPr>
            <w:tab/>
          </w:r>
          <w:r>
            <w:rPr>
              <w:rFonts w:hint="eastAsia" w:cs="黑体"/>
            </w:rPr>
            <w:fldChar w:fldCharType="begin"/>
          </w:r>
          <w:r>
            <w:rPr>
              <w:rFonts w:hint="eastAsia" w:cs="黑体"/>
            </w:rPr>
            <w:instrText xml:space="preserve"> PAGEREF _Toc763 \h </w:instrText>
          </w:r>
          <w:r>
            <w:rPr>
              <w:rFonts w:hint="eastAsia" w:cs="黑体"/>
            </w:rPr>
            <w:fldChar w:fldCharType="separate"/>
          </w:r>
          <w:r>
            <w:rPr>
              <w:rFonts w:hint="eastAsia" w:cs="黑体"/>
            </w:rPr>
            <w:t>2</w:t>
          </w:r>
          <w:r>
            <w:rPr>
              <w:rFonts w:hint="eastAsia" w:cs="黑体"/>
            </w:rPr>
            <w:fldChar w:fldCharType="end"/>
          </w:r>
          <w:r>
            <w:rPr>
              <w:rFonts w:hint="eastAsia" w:cs="黑体"/>
            </w:rPr>
            <w:fldChar w:fldCharType="end"/>
          </w:r>
        </w:p>
        <w:p>
          <w:pPr>
            <w:pStyle w:val="11"/>
            <w:tabs>
              <w:tab w:val="right" w:leader="dot" w:pos="8306"/>
              <w:tab w:val="clear" w:pos="8296"/>
            </w:tabs>
            <w:rPr>
              <w:rFonts w:cs="黑体"/>
            </w:rPr>
          </w:pPr>
          <w:r>
            <w:fldChar w:fldCharType="begin"/>
          </w:r>
          <w:r>
            <w:instrText xml:space="preserve"> HYPERLINK \l "_Toc25080" </w:instrText>
          </w:r>
          <w:r>
            <w:fldChar w:fldCharType="separate"/>
          </w:r>
          <w:r>
            <w:rPr>
              <w:rFonts w:hint="eastAsia" w:cs="黑体"/>
              <w:kern w:val="0"/>
              <w:szCs w:val="32"/>
            </w:rPr>
            <w:t>二、当年预算执行情况</w:t>
          </w:r>
          <w:r>
            <w:rPr>
              <w:rFonts w:hint="eastAsia" w:cs="黑体"/>
            </w:rPr>
            <w:tab/>
          </w:r>
          <w:r>
            <w:rPr>
              <w:rFonts w:hint="eastAsia" w:cs="黑体"/>
            </w:rPr>
            <w:fldChar w:fldCharType="begin"/>
          </w:r>
          <w:r>
            <w:rPr>
              <w:rFonts w:hint="eastAsia" w:cs="黑体"/>
            </w:rPr>
            <w:instrText xml:space="preserve"> PAGEREF _Toc25080 \h </w:instrText>
          </w:r>
          <w:r>
            <w:rPr>
              <w:rFonts w:hint="eastAsia" w:cs="黑体"/>
            </w:rPr>
            <w:fldChar w:fldCharType="separate"/>
          </w:r>
          <w:r>
            <w:rPr>
              <w:rFonts w:hint="eastAsia" w:cs="黑体"/>
            </w:rPr>
            <w:t>4</w:t>
          </w:r>
          <w:r>
            <w:rPr>
              <w:rFonts w:hint="eastAsia" w:cs="黑体"/>
            </w:rPr>
            <w:fldChar w:fldCharType="end"/>
          </w:r>
          <w:r>
            <w:rPr>
              <w:rFonts w:hint="eastAsia" w:cs="黑体"/>
            </w:rPr>
            <w:fldChar w:fldCharType="end"/>
          </w:r>
        </w:p>
        <w:p>
          <w:pPr>
            <w:pStyle w:val="11"/>
            <w:tabs>
              <w:tab w:val="right" w:leader="dot" w:pos="8306"/>
              <w:tab w:val="clear" w:pos="8296"/>
            </w:tabs>
            <w:rPr>
              <w:rFonts w:cs="黑体"/>
            </w:rPr>
          </w:pPr>
          <w:r>
            <w:fldChar w:fldCharType="begin"/>
          </w:r>
          <w:r>
            <w:instrText xml:space="preserve"> HYPERLINK \l "_Toc13215" </w:instrText>
          </w:r>
          <w:r>
            <w:fldChar w:fldCharType="separate"/>
          </w:r>
          <w:r>
            <w:rPr>
              <w:rFonts w:hint="eastAsia" w:cs="黑体"/>
              <w:kern w:val="0"/>
              <w:szCs w:val="32"/>
            </w:rPr>
            <w:t>三、整体绩效目标实现情况</w:t>
          </w:r>
          <w:r>
            <w:rPr>
              <w:rFonts w:hint="eastAsia" w:cs="黑体"/>
            </w:rPr>
            <w:tab/>
          </w:r>
          <w:r>
            <w:rPr>
              <w:rFonts w:hint="eastAsia" w:cs="黑体"/>
            </w:rPr>
            <w:fldChar w:fldCharType="begin"/>
          </w:r>
          <w:r>
            <w:rPr>
              <w:rFonts w:hint="eastAsia" w:cs="黑体"/>
            </w:rPr>
            <w:instrText xml:space="preserve"> PAGEREF _Toc13215 \h </w:instrText>
          </w:r>
          <w:r>
            <w:rPr>
              <w:rFonts w:hint="eastAsia" w:cs="黑体"/>
            </w:rPr>
            <w:fldChar w:fldCharType="separate"/>
          </w:r>
          <w:r>
            <w:rPr>
              <w:rFonts w:hint="eastAsia" w:cs="黑体"/>
            </w:rPr>
            <w:t>4</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"_Toc28675" </w:instrText>
          </w:r>
          <w:r>
            <w:fldChar w:fldCharType="separate"/>
          </w:r>
          <w:r>
            <w:rPr>
              <w:rFonts w:hint="eastAsia" w:cs="黑体"/>
              <w:szCs w:val="32"/>
            </w:rPr>
            <w:t>（一）产出完成情况分析</w:t>
          </w:r>
          <w:r>
            <w:rPr>
              <w:rFonts w:hint="eastAsia" w:cs="黑体"/>
            </w:rPr>
            <w:tab/>
          </w:r>
          <w:r>
            <w:rPr>
              <w:rFonts w:hint="eastAsia" w:cs="黑体"/>
            </w:rPr>
            <w:fldChar w:fldCharType="begin"/>
          </w:r>
          <w:r>
            <w:rPr>
              <w:rFonts w:hint="eastAsia" w:cs="黑体"/>
            </w:rPr>
            <w:instrText xml:space="preserve"> PAGEREF _Toc28675 \h </w:instrText>
          </w:r>
          <w:r>
            <w:rPr>
              <w:rFonts w:hint="eastAsia" w:cs="黑体"/>
            </w:rPr>
            <w:fldChar w:fldCharType="separate"/>
          </w:r>
          <w:r>
            <w:rPr>
              <w:rFonts w:hint="eastAsia" w:cs="黑体"/>
            </w:rPr>
            <w:t>4</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"_Toc28480" </w:instrText>
          </w:r>
          <w:r>
            <w:fldChar w:fldCharType="separate"/>
          </w:r>
          <w:r>
            <w:rPr>
              <w:rFonts w:hint="eastAsia" w:cs="黑体"/>
              <w:szCs w:val="32"/>
            </w:rPr>
            <w:t>（二）效果实现情况分析</w:t>
          </w:r>
          <w:r>
            <w:rPr>
              <w:rFonts w:hint="eastAsia" w:cs="黑体"/>
            </w:rPr>
            <w:tab/>
          </w:r>
          <w:r>
            <w:rPr>
              <w:rFonts w:hint="eastAsia" w:cs="黑体"/>
            </w:rPr>
            <w:fldChar w:fldCharType="begin"/>
          </w:r>
          <w:r>
            <w:rPr>
              <w:rFonts w:hint="eastAsia" w:cs="黑体"/>
            </w:rPr>
            <w:instrText xml:space="preserve"> PAGEREF _Toc28480 \h </w:instrText>
          </w:r>
          <w:r>
            <w:rPr>
              <w:rFonts w:hint="eastAsia" w:cs="黑体"/>
            </w:rPr>
            <w:fldChar w:fldCharType="separate"/>
          </w:r>
          <w:r>
            <w:rPr>
              <w:rFonts w:hint="eastAsia" w:cs="黑体"/>
            </w:rPr>
            <w:t>8</w:t>
          </w:r>
          <w:r>
            <w:rPr>
              <w:rFonts w:hint="eastAsia" w:cs="黑体"/>
            </w:rPr>
            <w:fldChar w:fldCharType="end"/>
          </w:r>
          <w:r>
            <w:rPr>
              <w:rFonts w:hint="eastAsia" w:cs="黑体"/>
            </w:rPr>
            <w:fldChar w:fldCharType="end"/>
          </w:r>
        </w:p>
        <w:p>
          <w:pPr>
            <w:pStyle w:val="11"/>
            <w:tabs>
              <w:tab w:val="right" w:leader="dot" w:pos="8306"/>
              <w:tab w:val="clear" w:pos="8296"/>
            </w:tabs>
            <w:rPr>
              <w:rFonts w:cs="黑体"/>
            </w:rPr>
          </w:pPr>
          <w:r>
            <w:fldChar w:fldCharType="begin"/>
          </w:r>
          <w:r>
            <w:instrText xml:space="preserve"> HYPERLINK \l "_Toc15100" </w:instrText>
          </w:r>
          <w:r>
            <w:fldChar w:fldCharType="separate"/>
          </w:r>
          <w:r>
            <w:rPr>
              <w:rFonts w:hint="eastAsia" w:cs="黑体"/>
              <w:kern w:val="0"/>
              <w:szCs w:val="32"/>
            </w:rPr>
            <w:t>四、预算管理情况分析</w:t>
          </w:r>
          <w:r>
            <w:rPr>
              <w:rFonts w:hint="eastAsia" w:cs="黑体"/>
            </w:rPr>
            <w:tab/>
          </w:r>
          <w:r>
            <w:rPr>
              <w:rFonts w:hint="eastAsia" w:cs="黑体"/>
            </w:rPr>
            <w:fldChar w:fldCharType="begin"/>
          </w:r>
          <w:r>
            <w:rPr>
              <w:rFonts w:hint="eastAsia" w:cs="黑体"/>
            </w:rPr>
            <w:instrText xml:space="preserve"> PAGEREF _Toc15100 \h </w:instrText>
          </w:r>
          <w:r>
            <w:rPr>
              <w:rFonts w:hint="eastAsia" w:cs="黑体"/>
            </w:rPr>
            <w:fldChar w:fldCharType="separate"/>
          </w:r>
          <w:r>
            <w:rPr>
              <w:rFonts w:hint="eastAsia" w:cs="黑体"/>
            </w:rPr>
            <w:t>1</w:t>
          </w:r>
          <w:r>
            <w:rPr>
              <w:rFonts w:hint="eastAsia" w:cs="黑体"/>
              <w:lang w:val="en-US" w:eastAsia="zh-CN"/>
            </w:rPr>
            <w:t>3</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"_Toc1890" </w:instrText>
          </w:r>
          <w:r>
            <w:fldChar w:fldCharType="separate"/>
          </w:r>
          <w:r>
            <w:rPr>
              <w:rFonts w:hint="eastAsia" w:cs="黑体"/>
              <w:szCs w:val="32"/>
            </w:rPr>
            <w:t>（一）财务管理</w:t>
          </w:r>
          <w:r>
            <w:rPr>
              <w:rFonts w:hint="eastAsia" w:cs="黑体"/>
            </w:rPr>
            <w:tab/>
          </w:r>
          <w:r>
            <w:rPr>
              <w:rFonts w:hint="eastAsia" w:cs="黑体"/>
            </w:rPr>
            <w:fldChar w:fldCharType="begin"/>
          </w:r>
          <w:r>
            <w:rPr>
              <w:rFonts w:hint="eastAsia" w:cs="黑体"/>
            </w:rPr>
            <w:instrText xml:space="preserve"> PAGEREF _Toc1890 \h </w:instrText>
          </w:r>
          <w:r>
            <w:rPr>
              <w:rFonts w:hint="eastAsia" w:cs="黑体"/>
            </w:rPr>
            <w:fldChar w:fldCharType="separate"/>
          </w:r>
          <w:r>
            <w:rPr>
              <w:rFonts w:hint="eastAsia" w:cs="黑体"/>
            </w:rPr>
            <w:t>1</w:t>
          </w:r>
          <w:r>
            <w:rPr>
              <w:rFonts w:hint="eastAsia" w:cs="黑体"/>
              <w:lang w:val="en-US" w:eastAsia="zh-CN"/>
            </w:rPr>
            <w:t>3</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"_Toc12179" </w:instrText>
          </w:r>
          <w:r>
            <w:fldChar w:fldCharType="separate"/>
          </w:r>
          <w:r>
            <w:rPr>
              <w:rFonts w:hint="eastAsia" w:cs="黑体"/>
              <w:szCs w:val="32"/>
            </w:rPr>
            <w:t>（二）资产管理</w:t>
          </w:r>
          <w:r>
            <w:rPr>
              <w:rFonts w:hint="eastAsia" w:cs="黑体"/>
            </w:rPr>
            <w:tab/>
          </w:r>
          <w:r>
            <w:rPr>
              <w:rFonts w:hint="eastAsia" w:cs="黑体"/>
            </w:rPr>
            <w:fldChar w:fldCharType="begin"/>
          </w:r>
          <w:r>
            <w:rPr>
              <w:rFonts w:hint="eastAsia" w:cs="黑体"/>
            </w:rPr>
            <w:instrText xml:space="preserve"> PAGEREF _Toc12179 \h </w:instrText>
          </w:r>
          <w:r>
            <w:rPr>
              <w:rFonts w:hint="eastAsia" w:cs="黑体"/>
            </w:rPr>
            <w:fldChar w:fldCharType="separate"/>
          </w:r>
          <w:r>
            <w:rPr>
              <w:rFonts w:hint="eastAsia" w:cs="黑体"/>
            </w:rPr>
            <w:t>1</w:t>
          </w:r>
          <w:r>
            <w:rPr>
              <w:rFonts w:hint="eastAsia" w:cs="黑体"/>
              <w:lang w:val="en-US" w:eastAsia="zh-CN"/>
            </w:rPr>
            <w:t>5</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"_Toc31300" </w:instrText>
          </w:r>
          <w:r>
            <w:fldChar w:fldCharType="separate"/>
          </w:r>
          <w:r>
            <w:rPr>
              <w:rFonts w:hint="eastAsia" w:cs="黑体"/>
              <w:szCs w:val="32"/>
            </w:rPr>
            <w:t>（三）绩效管理</w:t>
          </w:r>
          <w:r>
            <w:rPr>
              <w:rFonts w:hint="eastAsia" w:cs="黑体"/>
            </w:rPr>
            <w:tab/>
          </w:r>
          <w:r>
            <w:rPr>
              <w:rFonts w:hint="eastAsia" w:cs="黑体"/>
            </w:rPr>
            <w:fldChar w:fldCharType="begin"/>
          </w:r>
          <w:r>
            <w:rPr>
              <w:rFonts w:hint="eastAsia" w:cs="黑体"/>
            </w:rPr>
            <w:instrText xml:space="preserve"> PAGEREF _Toc31300 \h </w:instrText>
          </w:r>
          <w:r>
            <w:rPr>
              <w:rFonts w:hint="eastAsia" w:cs="黑体"/>
            </w:rPr>
            <w:fldChar w:fldCharType="separate"/>
          </w:r>
          <w:r>
            <w:rPr>
              <w:rFonts w:hint="eastAsia" w:cs="黑体"/>
            </w:rPr>
            <w:t>1</w:t>
          </w:r>
          <w:r>
            <w:rPr>
              <w:rFonts w:hint="eastAsia" w:cs="黑体"/>
              <w:lang w:val="en-US" w:eastAsia="zh-CN"/>
            </w:rPr>
            <w:t>6</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"_Toc19989" </w:instrText>
          </w:r>
          <w:r>
            <w:fldChar w:fldCharType="separate"/>
          </w:r>
          <w:r>
            <w:rPr>
              <w:rFonts w:hint="eastAsia" w:cs="黑体"/>
              <w:szCs w:val="32"/>
            </w:rPr>
            <w:t>（四）结转结余率</w:t>
          </w:r>
          <w:r>
            <w:rPr>
              <w:rFonts w:hint="eastAsia" w:cs="黑体"/>
            </w:rPr>
            <w:tab/>
          </w:r>
          <w:r>
            <w:rPr>
              <w:rFonts w:hint="eastAsia" w:cs="黑体"/>
            </w:rPr>
            <w:fldChar w:fldCharType="begin"/>
          </w:r>
          <w:r>
            <w:rPr>
              <w:rFonts w:hint="eastAsia" w:cs="黑体"/>
            </w:rPr>
            <w:instrText xml:space="preserve"> PAGEREF _Toc19989 \h </w:instrText>
          </w:r>
          <w:r>
            <w:rPr>
              <w:rFonts w:hint="eastAsia" w:cs="黑体"/>
            </w:rPr>
            <w:fldChar w:fldCharType="separate"/>
          </w:r>
          <w:r>
            <w:rPr>
              <w:rFonts w:hint="eastAsia" w:cs="黑体"/>
            </w:rPr>
            <w:t>1</w:t>
          </w:r>
          <w:r>
            <w:rPr>
              <w:rFonts w:hint="eastAsia" w:cs="黑体"/>
              <w:lang w:val="en-US" w:eastAsia="zh-CN"/>
            </w:rPr>
            <w:t>7</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"_Toc32227" </w:instrText>
          </w:r>
          <w:r>
            <w:fldChar w:fldCharType="separate"/>
          </w:r>
          <w:r>
            <w:rPr>
              <w:rFonts w:hint="eastAsia" w:cs="黑体"/>
              <w:szCs w:val="32"/>
            </w:rPr>
            <w:t>（五）部门预决算差异率</w:t>
          </w:r>
          <w:r>
            <w:rPr>
              <w:rFonts w:hint="eastAsia" w:cs="黑体"/>
            </w:rPr>
            <w:tab/>
          </w:r>
          <w:r>
            <w:rPr>
              <w:rFonts w:hint="eastAsia" w:cs="黑体"/>
            </w:rPr>
            <w:fldChar w:fldCharType="begin"/>
          </w:r>
          <w:r>
            <w:rPr>
              <w:rFonts w:hint="eastAsia" w:cs="黑体"/>
            </w:rPr>
            <w:instrText xml:space="preserve"> PAGEREF _Toc32227 \h </w:instrText>
          </w:r>
          <w:r>
            <w:rPr>
              <w:rFonts w:hint="eastAsia" w:cs="黑体"/>
            </w:rPr>
            <w:fldChar w:fldCharType="separate"/>
          </w:r>
          <w:r>
            <w:rPr>
              <w:rFonts w:hint="eastAsia" w:cs="黑体"/>
            </w:rPr>
            <w:t>1</w:t>
          </w:r>
          <w:r>
            <w:rPr>
              <w:rFonts w:hint="eastAsia" w:cs="黑体"/>
              <w:lang w:val="en-US" w:eastAsia="zh-CN"/>
            </w:rPr>
            <w:t>7</w:t>
          </w:r>
          <w:r>
            <w:rPr>
              <w:rFonts w:hint="eastAsia" w:cs="黑体"/>
            </w:rPr>
            <w:fldChar w:fldCharType="end"/>
          </w:r>
          <w:r>
            <w:rPr>
              <w:rFonts w:hint="eastAsia" w:cs="黑体"/>
            </w:rPr>
            <w:fldChar w:fldCharType="end"/>
          </w:r>
        </w:p>
        <w:p>
          <w:pPr>
            <w:pStyle w:val="11"/>
            <w:tabs>
              <w:tab w:val="right" w:leader="dot" w:pos="8306"/>
              <w:tab w:val="clear" w:pos="8296"/>
            </w:tabs>
            <w:rPr>
              <w:rFonts w:cs="黑体"/>
            </w:rPr>
          </w:pPr>
          <w:r>
            <w:fldChar w:fldCharType="begin"/>
          </w:r>
          <w:r>
            <w:instrText xml:space="preserve"> HYPERLINK \l "_Toc22501" </w:instrText>
          </w:r>
          <w:r>
            <w:fldChar w:fldCharType="separate"/>
          </w:r>
          <w:r>
            <w:rPr>
              <w:rFonts w:hint="eastAsia" w:cs="黑体"/>
              <w:kern w:val="0"/>
              <w:szCs w:val="32"/>
            </w:rPr>
            <w:t>五、总体评价结论</w:t>
          </w:r>
          <w:r>
            <w:rPr>
              <w:rFonts w:hint="eastAsia" w:cs="黑体"/>
            </w:rPr>
            <w:tab/>
          </w:r>
          <w:r>
            <w:rPr>
              <w:rFonts w:hint="eastAsia" w:cs="黑体"/>
            </w:rPr>
            <w:fldChar w:fldCharType="begin"/>
          </w:r>
          <w:r>
            <w:rPr>
              <w:rFonts w:hint="eastAsia" w:cs="黑体"/>
            </w:rPr>
            <w:instrText xml:space="preserve"> PAGEREF _Toc22501 \h </w:instrText>
          </w:r>
          <w:r>
            <w:rPr>
              <w:rFonts w:hint="eastAsia" w:cs="黑体"/>
            </w:rPr>
            <w:fldChar w:fldCharType="separate"/>
          </w:r>
          <w:r>
            <w:rPr>
              <w:rFonts w:hint="eastAsia" w:cs="黑体"/>
            </w:rPr>
            <w:t>1</w:t>
          </w:r>
          <w:r>
            <w:rPr>
              <w:rFonts w:hint="eastAsia" w:cs="黑体"/>
              <w:lang w:val="en-US" w:eastAsia="zh-CN"/>
            </w:rPr>
            <w:t>8</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"_Toc3081" </w:instrText>
          </w:r>
          <w:r>
            <w:fldChar w:fldCharType="separate"/>
          </w:r>
          <w:r>
            <w:rPr>
              <w:rFonts w:hint="eastAsia" w:cs="黑体"/>
              <w:szCs w:val="32"/>
            </w:rPr>
            <w:t>（一）评价得分情况</w:t>
          </w:r>
          <w:r>
            <w:rPr>
              <w:rFonts w:hint="eastAsia" w:cs="黑体"/>
            </w:rPr>
            <w:tab/>
          </w:r>
          <w:r>
            <w:rPr>
              <w:rFonts w:hint="eastAsia" w:cs="黑体"/>
            </w:rPr>
            <w:fldChar w:fldCharType="begin"/>
          </w:r>
          <w:r>
            <w:rPr>
              <w:rFonts w:hint="eastAsia" w:cs="黑体"/>
            </w:rPr>
            <w:instrText xml:space="preserve"> PAGEREF _Toc3081 \h </w:instrText>
          </w:r>
          <w:r>
            <w:rPr>
              <w:rFonts w:hint="eastAsia" w:cs="黑体"/>
            </w:rPr>
            <w:fldChar w:fldCharType="separate"/>
          </w:r>
          <w:r>
            <w:rPr>
              <w:rFonts w:hint="eastAsia" w:cs="黑体"/>
            </w:rPr>
            <w:t>1</w:t>
          </w:r>
          <w:r>
            <w:rPr>
              <w:rFonts w:hint="eastAsia" w:cs="黑体"/>
              <w:lang w:val="en-US" w:eastAsia="zh-CN"/>
            </w:rPr>
            <w:t>8</w:t>
          </w:r>
          <w:r>
            <w:rPr>
              <w:rFonts w:hint="eastAsia" w:cs="黑体"/>
            </w:rPr>
            <w:fldChar w:fldCharType="end"/>
          </w:r>
          <w:r>
            <w:rPr>
              <w:rFonts w:hint="eastAsia" w:cs="黑体"/>
            </w:rPr>
            <w:fldChar w:fldCharType="end"/>
          </w:r>
        </w:p>
        <w:p>
          <w:pPr>
            <w:pStyle w:val="14"/>
            <w:tabs>
              <w:tab w:val="right" w:leader="dot" w:pos="8306"/>
              <w:tab w:val="clear" w:pos="8296"/>
            </w:tabs>
            <w:rPr>
              <w:rFonts w:cs="黑体"/>
            </w:rPr>
          </w:pPr>
          <w:r>
            <w:fldChar w:fldCharType="begin"/>
          </w:r>
          <w:r>
            <w:instrText xml:space="preserve"> HYPERLINK \l "_Toc28113" </w:instrText>
          </w:r>
          <w:r>
            <w:fldChar w:fldCharType="separate"/>
          </w:r>
          <w:r>
            <w:rPr>
              <w:rFonts w:hint="eastAsia" w:cs="黑体"/>
              <w:szCs w:val="32"/>
            </w:rPr>
            <w:t>（二）存在的问题及原因分析</w:t>
          </w:r>
          <w:r>
            <w:rPr>
              <w:rFonts w:hint="eastAsia" w:cs="黑体"/>
            </w:rPr>
            <w:tab/>
          </w:r>
          <w:r>
            <w:rPr>
              <w:rFonts w:hint="eastAsia" w:cs="黑体"/>
            </w:rPr>
            <w:fldChar w:fldCharType="begin"/>
          </w:r>
          <w:r>
            <w:rPr>
              <w:rFonts w:hint="eastAsia" w:cs="黑体"/>
            </w:rPr>
            <w:instrText xml:space="preserve"> PAGEREF _Toc28113 \h </w:instrText>
          </w:r>
          <w:r>
            <w:rPr>
              <w:rFonts w:hint="eastAsia" w:cs="黑体"/>
            </w:rPr>
            <w:fldChar w:fldCharType="separate"/>
          </w:r>
          <w:r>
            <w:rPr>
              <w:rFonts w:hint="eastAsia" w:cs="黑体"/>
            </w:rPr>
            <w:t>1</w:t>
          </w:r>
          <w:r>
            <w:rPr>
              <w:rFonts w:hint="eastAsia" w:cs="黑体"/>
              <w:lang w:val="en-US" w:eastAsia="zh-CN"/>
            </w:rPr>
            <w:t>8</w:t>
          </w:r>
          <w:r>
            <w:rPr>
              <w:rFonts w:hint="eastAsia" w:cs="黑体"/>
            </w:rPr>
            <w:fldChar w:fldCharType="end"/>
          </w:r>
          <w:r>
            <w:rPr>
              <w:rFonts w:hint="eastAsia" w:cs="黑体"/>
            </w:rPr>
            <w:fldChar w:fldCharType="end"/>
          </w:r>
        </w:p>
        <w:p>
          <w:pPr>
            <w:pStyle w:val="11"/>
            <w:tabs>
              <w:tab w:val="right" w:leader="dot" w:pos="8306"/>
              <w:tab w:val="clear" w:pos="8296"/>
            </w:tabs>
            <w:rPr>
              <w:rFonts w:hint="eastAsia" w:eastAsia="黑体" w:cs="黑体"/>
              <w:lang w:val="en-US" w:eastAsia="zh-CN"/>
            </w:rPr>
          </w:pPr>
          <w:r>
            <w:fldChar w:fldCharType="begin"/>
          </w:r>
          <w:r>
            <w:instrText xml:space="preserve"> HYPERLINK \l "_Toc16335" </w:instrText>
          </w:r>
          <w:r>
            <w:fldChar w:fldCharType="separate"/>
          </w:r>
          <w:r>
            <w:rPr>
              <w:rFonts w:hint="eastAsia" w:cs="黑体"/>
              <w:kern w:val="0"/>
              <w:szCs w:val="32"/>
            </w:rPr>
            <w:t>六、措施建议</w:t>
          </w:r>
          <w:r>
            <w:rPr>
              <w:rFonts w:hint="eastAsia" w:cs="黑体"/>
            </w:rPr>
            <w:tab/>
          </w:r>
          <w:r>
            <w:rPr>
              <w:rFonts w:hint="eastAsia" w:cs="黑体"/>
              <w:lang w:val="en-US" w:eastAsia="zh-CN"/>
            </w:rPr>
            <w:t>1</w:t>
          </w:r>
          <w:r>
            <w:rPr>
              <w:rFonts w:hint="eastAsia" w:cs="黑体"/>
            </w:rPr>
            <w:fldChar w:fldCharType="end"/>
          </w:r>
          <w:r>
            <w:rPr>
              <w:rFonts w:hint="eastAsia" w:cs="黑体"/>
              <w:lang w:val="en-US" w:eastAsia="zh-CN"/>
            </w:rPr>
            <w:t>9</w:t>
          </w:r>
        </w:p>
        <w:p>
          <w:pPr>
            <w:pStyle w:val="11"/>
            <w:tabs>
              <w:tab w:val="right" w:leader="dot" w:pos="8306"/>
              <w:tab w:val="clear" w:pos="8296"/>
            </w:tabs>
            <w:rPr>
              <w:rFonts w:hint="eastAsia" w:eastAsia="黑体"/>
              <w:lang w:val="en-US" w:eastAsia="zh-CN"/>
            </w:rPr>
          </w:pPr>
          <w:r>
            <w:fldChar w:fldCharType="begin"/>
          </w:r>
          <w:r>
            <w:instrText xml:space="preserve"> HYPERLINK \l "_Toc19973" </w:instrText>
          </w:r>
          <w:r>
            <w:fldChar w:fldCharType="separate"/>
          </w:r>
          <w:r>
            <w:rPr>
              <w:rFonts w:hint="eastAsia" w:cs="黑体"/>
              <w:kern w:val="0"/>
              <w:szCs w:val="32"/>
            </w:rPr>
            <w:t>七、附件</w:t>
          </w:r>
          <w:r>
            <w:rPr>
              <w:rFonts w:hint="eastAsia" w:cs="黑体"/>
            </w:rPr>
            <w:tab/>
          </w:r>
          <w:r>
            <w:rPr>
              <w:rFonts w:hint="eastAsia" w:cs="黑体"/>
              <w:lang w:val="en-US" w:eastAsia="zh-CN"/>
            </w:rPr>
            <w:t>2</w:t>
          </w:r>
          <w:r>
            <w:rPr>
              <w:rFonts w:hint="eastAsia" w:cs="黑体"/>
            </w:rPr>
            <w:fldChar w:fldCharType="end"/>
          </w:r>
          <w:r>
            <w:rPr>
              <w:rFonts w:hint="eastAsia" w:cs="黑体"/>
              <w:lang w:val="en-US" w:eastAsia="zh-CN"/>
            </w:rPr>
            <w:t>1</w:t>
          </w:r>
        </w:p>
        <w:p>
          <w:pPr>
            <w:adjustRightInd w:val="0"/>
            <w:snapToGrid w:val="0"/>
            <w:spacing w:line="540" w:lineRule="exact"/>
            <w:ind w:left="420" w:leftChars="200" w:firstLine="420" w:firstLineChars="200"/>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黑体" w:hAnsi="黑体" w:eastAsia="黑体" w:cs="黑体"/>
              <w:szCs w:val="28"/>
            </w:rPr>
            <w:fldChar w:fldCharType="end"/>
          </w:r>
        </w:p>
      </w:sdtContent>
    </w:sdt>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202</w:t>
      </w:r>
      <w:r>
        <w:rPr>
          <w:rFonts w:hint="eastAsia" w:ascii="方正小标宋简体" w:eastAsia="方正小标宋简体"/>
          <w:sz w:val="36"/>
          <w:szCs w:val="36"/>
          <w:lang w:val="en-US" w:eastAsia="zh-CN"/>
        </w:rPr>
        <w:t>3</w:t>
      </w:r>
      <w:r>
        <w:rPr>
          <w:rFonts w:hint="eastAsia" w:ascii="方正小标宋简体" w:eastAsia="方正小标宋简体"/>
          <w:sz w:val="36"/>
          <w:szCs w:val="36"/>
        </w:rPr>
        <w:t>年度北京石景山区人民法院</w:t>
      </w:r>
    </w:p>
    <w:p>
      <w:pPr>
        <w:spacing w:line="560" w:lineRule="exact"/>
        <w:jc w:val="center"/>
        <w:rPr>
          <w:rFonts w:ascii="仿宋_GB2312"/>
          <w:szCs w:val="30"/>
        </w:rPr>
      </w:pPr>
      <w:r>
        <w:rPr>
          <w:rFonts w:hint="eastAsia" w:ascii="方正小标宋简体" w:eastAsia="方正小标宋简体"/>
          <w:sz w:val="36"/>
          <w:szCs w:val="36"/>
        </w:rPr>
        <w:t>部门整体绩效评价报告</w:t>
      </w:r>
    </w:p>
    <w:p>
      <w:pPr>
        <w:spacing w:line="600" w:lineRule="exact"/>
        <w:ind w:firstLine="640" w:firstLineChars="200"/>
        <w:outlineLvl w:val="0"/>
        <w:rPr>
          <w:rFonts w:ascii="黑体" w:hAnsi="黑体" w:eastAsia="黑体" w:cs="宋体"/>
          <w:color w:val="000000"/>
          <w:kern w:val="0"/>
          <w:sz w:val="32"/>
          <w:szCs w:val="32"/>
        </w:rPr>
      </w:pPr>
      <w:bookmarkStart w:id="0" w:name="_Toc22386"/>
      <w:r>
        <w:rPr>
          <w:rFonts w:hint="eastAsia" w:ascii="黑体" w:hAnsi="黑体" w:eastAsia="黑体" w:cs="宋体"/>
          <w:color w:val="000000"/>
          <w:kern w:val="0"/>
          <w:sz w:val="32"/>
          <w:szCs w:val="32"/>
        </w:rPr>
        <w:t>一、部门概况</w:t>
      </w:r>
      <w:bookmarkEnd w:id="0"/>
    </w:p>
    <w:p>
      <w:pPr>
        <w:spacing w:line="600" w:lineRule="exact"/>
        <w:ind w:firstLine="640" w:firstLineChars="200"/>
        <w:outlineLvl w:val="1"/>
        <w:rPr>
          <w:rFonts w:ascii="楷体_GB2312" w:eastAsia="楷体_GB2312"/>
          <w:sz w:val="32"/>
          <w:szCs w:val="32"/>
        </w:rPr>
      </w:pPr>
      <w:bookmarkStart w:id="1" w:name="_Toc25937"/>
      <w:bookmarkStart w:id="2" w:name="_Toc24732"/>
      <w:r>
        <w:rPr>
          <w:rFonts w:hint="eastAsia" w:ascii="楷体_GB2312" w:eastAsia="楷体_GB2312"/>
          <w:sz w:val="32"/>
          <w:szCs w:val="32"/>
        </w:rPr>
        <w:t>（一）机构设置及职责工作任务情况</w:t>
      </w:r>
      <w:bookmarkEnd w:id="1"/>
      <w:bookmarkEnd w:id="2"/>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市石景山区人民法院（以下简称“石景山区人民法院”）包括北京市石景山区人民法院本级、北京市石景山区人民法院综合事务中心，北京市石景山区人民法院本级单位性质为行政单位，北京市石景山区人民法院综合事务中心为公益一类事业单位。北京市石景山区人民法院本级共含内设机构数量12个，分别为政治部（机关党委、机关纪委）、综合办公室、立案庭（诉讼服务中心）、刑事审判庭、民事审判一庭、民事审判二庭、行政审判庭</w:t>
      </w:r>
      <w:r>
        <w:rPr>
          <w:rFonts w:hint="eastAsia" w:ascii="仿宋_GB2312" w:hAnsi="宋体" w:eastAsia="仿宋_GB2312" w:cs="宋体"/>
          <w:kern w:val="0"/>
          <w:sz w:val="32"/>
          <w:szCs w:val="32"/>
          <w:lang w:eastAsia="zh-CN"/>
        </w:rPr>
        <w:t>（知识产权审判庭）</w:t>
      </w:r>
      <w:r>
        <w:rPr>
          <w:rFonts w:hint="eastAsia" w:ascii="仿宋_GB2312" w:hAnsi="宋体" w:eastAsia="仿宋_GB2312" w:cs="宋体"/>
          <w:kern w:val="0"/>
          <w:sz w:val="32"/>
          <w:szCs w:val="32"/>
        </w:rPr>
        <w:t>、综合审判庭、执行局、审判管理办公室（研究室）、司法警察大队、五里坨人民法庭。</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石景山区人民法院作为国家审判机关，在本辖区内依法独立行使审判权，审判工作受北京市高级人民法院、北京市第一中级人民法院的监督、指导，并对石景山区人民代表大会及其常务委员会负责并报告工作。其主要职责如下：依照法律规定，审判本辖区内由石景山区人民法院管辖的刑事、民事、行政等第一审案件；受理和审查各类告诉、申诉案件，处理来信来访，对其中确有错误的已发生法律效力的判决、裁定根据审判监督程序进行再审；依法行使司法执行权和司法决定权；按照干部管理权限管理石景山区人民法院的法官、执行员、书记员、司法警察及司法行政人员；负责石景山区人民法院党的思想、组织、作风建设工作，负责石景山区人民法院群团工作；负责石景山区人民法院的监察工作；承办其他应由石景山区人民法院负责的工作。</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石景山区人民法院坚持以习近平新时代中国特色社会主义思想为指导，深入贯彻落实党的十九大和十九届二中、三中、四中全会精神，紧紧围绕中央、市区委决策部署，全力维护区域安全稳定，全力服务保障中心大局，加快推进审判质效提升，加快推进司法体制改革，加快推进队伍“四化”建设，为满足人民群众司法需求、落实新版北京城市规划、实现“三区”功能定位提供更加有力的司法保障。</w:t>
      </w:r>
    </w:p>
    <w:p>
      <w:pPr>
        <w:spacing w:line="600" w:lineRule="exact"/>
        <w:ind w:firstLine="640" w:firstLineChars="200"/>
        <w:outlineLvl w:val="1"/>
        <w:rPr>
          <w:rFonts w:ascii="楷体_GB2312" w:eastAsia="楷体_GB2312"/>
          <w:sz w:val="32"/>
          <w:szCs w:val="32"/>
        </w:rPr>
      </w:pPr>
      <w:bookmarkStart w:id="3" w:name="_Toc763"/>
      <w:bookmarkStart w:id="4" w:name="_Toc20769"/>
      <w:r>
        <w:rPr>
          <w:rFonts w:hint="eastAsia" w:ascii="楷体_GB2312" w:eastAsia="楷体_GB2312"/>
          <w:sz w:val="32"/>
          <w:szCs w:val="32"/>
        </w:rPr>
        <w:t>（二）部门整体绩效目标设立情况</w:t>
      </w:r>
      <w:bookmarkEnd w:id="3"/>
      <w:bookmarkEnd w:id="4"/>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石景山区人民法院依据部门职能、年度工作任务和工作重点设置了部门绩效目标，主要内容如下：北京市石景山区人民法院的职责是依照法律规定，审判本辖区内由区人民法院管辖的刑事、民事、行政等第一审案件；受理和审查各类告诉、申诉案件，处理来信来访，对其中确有错误的已发生法律效力的判决、裁定根据审判监督程序进行再审；依法行使司法执行权和司法决定权；按照干部管理权限管理本院的法官、执行员、书记员、司法警察及司法行政人员；承办其他应由本院负责的工作等，确保在本辖区内依法独立行使审判权，为人民群众提供优质高效的司法服务，促进石景山区司法事业科学发展。</w:t>
      </w:r>
    </w:p>
    <w:p>
      <w:pPr>
        <w:spacing w:after="156" w:afterLines="50"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石景山区人民法院在对202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年度部门绩效目标分解细化的基础上，进一步设置了部门绩效指标，具体如下:</w:t>
      </w:r>
    </w:p>
    <w:p>
      <w:pPr>
        <w:adjustRightInd w:val="0"/>
        <w:snapToGrid w:val="0"/>
        <w:spacing w:after="156" w:afterLines="50"/>
        <w:jc w:val="center"/>
        <w:rPr>
          <w:rFonts w:ascii="宋体" w:hAnsi="宋体"/>
          <w:b/>
          <w:sz w:val="24"/>
        </w:rPr>
      </w:pPr>
      <w:r>
        <w:rPr>
          <w:rFonts w:hint="eastAsia" w:ascii="宋体" w:hAnsi="宋体"/>
          <w:b/>
          <w:sz w:val="24"/>
        </w:rPr>
        <w:t>表1</w:t>
      </w:r>
      <w:r>
        <w:rPr>
          <w:rFonts w:ascii="宋体" w:hAnsi="宋体"/>
          <w:b/>
          <w:sz w:val="24"/>
        </w:rPr>
        <w:t xml:space="preserve"> 202</w:t>
      </w:r>
      <w:r>
        <w:rPr>
          <w:rFonts w:hint="eastAsia" w:ascii="宋体" w:hAnsi="宋体"/>
          <w:b/>
          <w:sz w:val="24"/>
          <w:lang w:val="en-US" w:eastAsia="zh-CN"/>
        </w:rPr>
        <w:t>3</w:t>
      </w:r>
      <w:r>
        <w:rPr>
          <w:rFonts w:ascii="宋体" w:hAnsi="宋体"/>
          <w:b/>
          <w:sz w:val="24"/>
        </w:rPr>
        <w:t>年度</w:t>
      </w:r>
      <w:r>
        <w:rPr>
          <w:rFonts w:hint="eastAsia" w:ascii="宋体" w:hAnsi="宋体"/>
          <w:b/>
          <w:sz w:val="24"/>
        </w:rPr>
        <w:t>石景山区人民法院</w:t>
      </w:r>
      <w:r>
        <w:rPr>
          <w:rFonts w:ascii="宋体" w:hAnsi="宋体"/>
          <w:b/>
          <w:sz w:val="24"/>
        </w:rPr>
        <w:t>部门绩效指标设置情况</w:t>
      </w:r>
    </w:p>
    <w:tbl>
      <w:tblPr>
        <w:tblStyle w:val="16"/>
        <w:tblW w:w="787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60"/>
        <w:gridCol w:w="3156"/>
        <w:gridCol w:w="948"/>
        <w:gridCol w:w="960"/>
        <w:gridCol w:w="9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60"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活动</w:t>
            </w:r>
          </w:p>
        </w:tc>
        <w:tc>
          <w:tcPr>
            <w:tcW w:w="3156"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绩效指标</w:t>
            </w:r>
          </w:p>
        </w:tc>
        <w:tc>
          <w:tcPr>
            <w:tcW w:w="948"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指标性质</w:t>
            </w:r>
          </w:p>
        </w:tc>
        <w:tc>
          <w:tcPr>
            <w:tcW w:w="960"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948" w:type="dxa"/>
            <w:tcBorders>
              <w:top w:val="single" w:color="C0C0C0" w:sz="4" w:space="0"/>
              <w:left w:val="single" w:color="C0C0C0" w:sz="4" w:space="0"/>
              <w:bottom w:val="single" w:color="C0C0C0" w:sz="4" w:space="0"/>
              <w:right w:val="single" w:color="C0C0C0"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度量单位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restart"/>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“两庭”建设</w:t>
            </w: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产出指标时效指标工作完成时间</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产出指标数量指标设备及设施维修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产出指标数量指标购置业务装备</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产出指标数量指标诉调对接中心租赁</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产出指标数量指标审判区办公用房租赁</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产出指标质量指标符合相关租赁合同</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好坏</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产出指标质量指标符合相关规定标准</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好坏</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效益指标可持续影响指标提升公共服务能力</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restart"/>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案件审判</w:t>
            </w: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产出指标时效指标工作完成时间</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满意度指标服务对象满意度指标办公人员满意度</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产出指标数量指标购买知网数据库</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产出指标质量指标符合相关规定标准</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好坏</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效益指标社会效益指标为审判工作提供便利</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效益指标社会效益指标保障案件审判工作顺利开展</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效益指标可持续影响指标为人民群众提供优质高效的司法服务</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w:t>
            </w: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产出指标数量指标专业咨询工作</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restart"/>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信息化系统建设和运维</w:t>
            </w: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产出指标数量指标信息化运维项目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产出指标数量指标电路及网络租赁</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效益指标社会效益指标为干警办公办案提供便利</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效益指标社会效益指标保障法院网络信息安全和数据安全</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860" w:type="dxa"/>
            <w:vMerge w:val="continue"/>
            <w:tcBorders>
              <w:top w:val="single" w:color="C0C0C0" w:sz="4" w:space="0"/>
              <w:left w:val="single" w:color="C0C0C0" w:sz="4" w:space="0"/>
              <w:bottom w:val="single" w:color="C0C0C0" w:sz="4" w:space="0"/>
              <w:right w:val="single" w:color="C0C0C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3156"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效益指标社会效益指标保障办公办案平台正常运转</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pPr>
              <w:rPr>
                <w:rFonts w:hint="eastAsia" w:ascii="宋体" w:hAnsi="宋体" w:eastAsia="宋体" w:cs="宋体"/>
                <w:i w:val="0"/>
                <w:iCs w:val="0"/>
                <w:color w:val="000000"/>
                <w:sz w:val="18"/>
                <w:szCs w:val="18"/>
                <w:u w:val="none"/>
              </w:rPr>
            </w:pPr>
          </w:p>
        </w:tc>
      </w:tr>
    </w:tbl>
    <w:p>
      <w:pPr>
        <w:spacing w:before="156" w:beforeLines="50" w:line="600" w:lineRule="exact"/>
        <w:ind w:firstLine="640" w:firstLineChars="200"/>
        <w:rPr>
          <w:rFonts w:hint="eastAsia" w:ascii="仿宋_GB2312" w:hAnsi="宋体" w:eastAsia="仿宋_GB2312" w:cs="宋体"/>
          <w:kern w:val="0"/>
          <w:sz w:val="32"/>
          <w:szCs w:val="32"/>
        </w:rPr>
      </w:pPr>
    </w:p>
    <w:p>
      <w:pPr>
        <w:spacing w:before="156" w:beforeLines="50"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石景山区人民法院202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度依据部门职责、年度工作和工作重点设置了部门绩效目标，绩效目标设立依据充分，目标与职责任务相匹配；同时，对总体目标进行分解和细化，设置了部门绩效指标，绩效指标完整、合理。但部门绩效目标填报的科学性、合理性有待提高，如：年度重点任务目标不够清晰；绩效指标和指标值细化、量化不足，难以体现部门履职效率、效能等。此外，个别项目编制的绩效目标存在细化程度不足、涵盖内容不全面、可衡量性不足等问题。</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建议从以下几个方面完善：①部门总体目标指部门在本年度内履职预期达到的总体产出和效果，应以定量和定性相结合的方式进行设定。②绩效指标是对总体目标的分解和细化，依据部门职责、年度重点任务和重点项目设定。③指标内容和指标值应包括产出目标和效果指标，产出目标应对绩效指标进行具体描述，并阐述预期达到的可量化或可衡量的数值，效果指标应体现相应产出所带来的明确的效果。</w:t>
      </w:r>
    </w:p>
    <w:p>
      <w:pPr>
        <w:spacing w:line="600" w:lineRule="exact"/>
        <w:ind w:firstLine="640" w:firstLineChars="200"/>
        <w:outlineLvl w:val="0"/>
        <w:rPr>
          <w:rFonts w:ascii="黑体" w:hAnsi="黑体" w:eastAsia="黑体" w:cs="宋体"/>
          <w:color w:val="000000"/>
          <w:kern w:val="0"/>
          <w:sz w:val="32"/>
          <w:szCs w:val="32"/>
        </w:rPr>
      </w:pPr>
      <w:bookmarkStart w:id="5" w:name="_Toc25080"/>
      <w:r>
        <w:rPr>
          <w:rFonts w:hint="eastAsia" w:ascii="黑体" w:hAnsi="黑体" w:eastAsia="黑体" w:cs="宋体"/>
          <w:color w:val="000000"/>
          <w:kern w:val="0"/>
          <w:sz w:val="32"/>
          <w:szCs w:val="32"/>
        </w:rPr>
        <w:t>二、当年预算执行情况</w:t>
      </w:r>
      <w:bookmarkEnd w:id="5"/>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年全年预算数</w:t>
      </w:r>
      <w:r>
        <w:rPr>
          <w:rFonts w:hint="eastAsia" w:ascii="仿宋_GB2312" w:hAnsi="宋体" w:eastAsia="仿宋_GB2312" w:cs="宋体"/>
          <w:kern w:val="0"/>
          <w:sz w:val="32"/>
          <w:szCs w:val="32"/>
          <w:lang w:val="en-US" w:eastAsia="zh-CN"/>
        </w:rPr>
        <w:t>16570.90</w:t>
      </w:r>
      <w:r>
        <w:rPr>
          <w:rFonts w:hint="eastAsia" w:ascii="仿宋_GB2312" w:hAnsi="宋体" w:eastAsia="仿宋_GB2312" w:cs="宋体"/>
          <w:kern w:val="0"/>
          <w:sz w:val="32"/>
          <w:szCs w:val="32"/>
        </w:rPr>
        <w:t>万元，其中，基本支出预算数111</w:t>
      </w:r>
      <w:r>
        <w:rPr>
          <w:rFonts w:hint="eastAsia" w:ascii="仿宋_GB2312" w:hAnsi="宋体" w:eastAsia="仿宋_GB2312" w:cs="宋体"/>
          <w:kern w:val="0"/>
          <w:sz w:val="32"/>
          <w:szCs w:val="32"/>
          <w:lang w:val="en-US" w:eastAsia="zh-CN"/>
        </w:rPr>
        <w:t>50.05</w:t>
      </w:r>
      <w:r>
        <w:rPr>
          <w:rFonts w:hint="eastAsia" w:ascii="仿宋_GB2312" w:hAnsi="宋体" w:eastAsia="仿宋_GB2312" w:cs="宋体"/>
          <w:kern w:val="0"/>
          <w:sz w:val="32"/>
          <w:szCs w:val="32"/>
        </w:rPr>
        <w:t>万元，项目支出预算数</w:t>
      </w:r>
      <w:r>
        <w:rPr>
          <w:rFonts w:hint="eastAsia" w:ascii="仿宋_GB2312" w:hAnsi="宋体" w:eastAsia="仿宋_GB2312" w:cs="宋体"/>
          <w:kern w:val="0"/>
          <w:sz w:val="32"/>
          <w:szCs w:val="32"/>
          <w:lang w:val="en-US" w:eastAsia="zh-CN"/>
        </w:rPr>
        <w:t>5420.85</w:t>
      </w:r>
      <w:r>
        <w:rPr>
          <w:rFonts w:hint="eastAsia" w:ascii="仿宋_GB2312" w:hAnsi="宋体" w:eastAsia="仿宋_GB2312" w:cs="宋体"/>
          <w:kern w:val="0"/>
          <w:sz w:val="32"/>
          <w:szCs w:val="32"/>
        </w:rPr>
        <w:t>万元，其他支出预算数0万元。资金总体支出</w:t>
      </w:r>
      <w:r>
        <w:rPr>
          <w:rFonts w:hint="eastAsia" w:ascii="仿宋_GB2312" w:hAnsi="宋体" w:eastAsia="仿宋_GB2312" w:cs="宋体"/>
          <w:kern w:val="0"/>
          <w:sz w:val="32"/>
          <w:szCs w:val="32"/>
          <w:lang w:val="en-US" w:eastAsia="zh-CN"/>
        </w:rPr>
        <w:t>14722.29</w:t>
      </w:r>
      <w:r>
        <w:rPr>
          <w:rFonts w:hint="eastAsia" w:ascii="仿宋_GB2312" w:hAnsi="宋体" w:eastAsia="仿宋_GB2312" w:cs="宋体"/>
          <w:kern w:val="0"/>
          <w:sz w:val="32"/>
          <w:szCs w:val="32"/>
        </w:rPr>
        <w:t>万元，其中，基本支出</w:t>
      </w:r>
      <w:r>
        <w:rPr>
          <w:rFonts w:hint="eastAsia" w:ascii="仿宋_GB2312" w:hAnsi="宋体" w:eastAsia="仿宋_GB2312" w:cs="宋体"/>
          <w:kern w:val="0"/>
          <w:sz w:val="32"/>
          <w:szCs w:val="32"/>
          <w:lang w:val="en-US" w:eastAsia="zh-CN"/>
        </w:rPr>
        <w:t>11121.74</w:t>
      </w:r>
      <w:r>
        <w:rPr>
          <w:rFonts w:hint="eastAsia" w:ascii="仿宋_GB2312" w:hAnsi="宋体" w:eastAsia="仿宋_GB2312" w:cs="宋体"/>
          <w:kern w:val="0"/>
          <w:sz w:val="32"/>
          <w:szCs w:val="32"/>
        </w:rPr>
        <w:t>万元，项目支出</w:t>
      </w:r>
      <w:r>
        <w:rPr>
          <w:rFonts w:hint="eastAsia" w:ascii="仿宋_GB2312" w:hAnsi="宋体" w:eastAsia="仿宋_GB2312" w:cs="宋体"/>
          <w:kern w:val="0"/>
          <w:sz w:val="32"/>
          <w:szCs w:val="32"/>
          <w:lang w:val="en-US" w:eastAsia="zh-CN"/>
        </w:rPr>
        <w:t>3600.55</w:t>
      </w:r>
      <w:r>
        <w:rPr>
          <w:rFonts w:hint="eastAsia" w:ascii="仿宋_GB2312" w:hAnsi="宋体" w:eastAsia="仿宋_GB2312" w:cs="宋体"/>
          <w:kern w:val="0"/>
          <w:sz w:val="32"/>
          <w:szCs w:val="32"/>
        </w:rPr>
        <w:t>万元，其他支出0万元。预算执行率为</w:t>
      </w:r>
      <w:r>
        <w:rPr>
          <w:rFonts w:hint="eastAsia" w:ascii="仿宋_GB2312" w:hAnsi="宋体" w:eastAsia="仿宋_GB2312" w:cs="宋体"/>
          <w:kern w:val="0"/>
          <w:sz w:val="32"/>
          <w:szCs w:val="32"/>
          <w:lang w:val="en-US" w:eastAsia="zh-CN"/>
        </w:rPr>
        <w:t>88.84</w:t>
      </w:r>
      <w:r>
        <w:rPr>
          <w:rFonts w:hint="eastAsia" w:ascii="仿宋_GB2312" w:hAnsi="宋体" w:eastAsia="仿宋_GB2312" w:cs="宋体"/>
          <w:kern w:val="0"/>
          <w:sz w:val="32"/>
          <w:szCs w:val="32"/>
        </w:rPr>
        <w:t>%。</w:t>
      </w:r>
    </w:p>
    <w:p>
      <w:pPr>
        <w:spacing w:line="600" w:lineRule="exact"/>
        <w:ind w:firstLine="640" w:firstLineChars="200"/>
        <w:outlineLvl w:val="0"/>
        <w:rPr>
          <w:rFonts w:ascii="黑体" w:hAnsi="黑体" w:eastAsia="黑体" w:cs="宋体"/>
          <w:color w:val="000000"/>
          <w:kern w:val="0"/>
          <w:sz w:val="32"/>
          <w:szCs w:val="32"/>
        </w:rPr>
      </w:pPr>
      <w:bookmarkStart w:id="6" w:name="_Toc13215"/>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6"/>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textAlignment w:val="auto"/>
        <w:outlineLvl w:val="1"/>
        <w:rPr>
          <w:rFonts w:ascii="楷体_GB2312" w:eastAsia="楷体_GB2312"/>
          <w:sz w:val="32"/>
          <w:szCs w:val="32"/>
        </w:rPr>
      </w:pPr>
      <w:bookmarkStart w:id="7" w:name="_Toc28675"/>
      <w:r>
        <w:rPr>
          <w:rFonts w:hint="eastAsia" w:ascii="楷体_GB2312" w:eastAsia="楷体_GB2312"/>
          <w:sz w:val="32"/>
          <w:szCs w:val="32"/>
        </w:rPr>
        <w:t>（一）产出完成情况分析</w:t>
      </w:r>
      <w:bookmarkEnd w:id="7"/>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1.案件审判工作产出</w:t>
      </w:r>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textAlignment w:val="auto"/>
        <w:rPr>
          <w:rFonts w:hint="eastAsia" w:ascii="仿宋_GB2312" w:hAnsi="仿宋" w:eastAsia="仿宋_GB2312"/>
          <w:sz w:val="32"/>
          <w:szCs w:val="32"/>
        </w:rPr>
      </w:pPr>
      <w:r>
        <w:rPr>
          <w:rFonts w:hint="eastAsia" w:ascii="仿宋_GB2312" w:hAnsi="宋体" w:eastAsia="仿宋_GB2312" w:cs="宋体"/>
          <w:kern w:val="0"/>
          <w:sz w:val="32"/>
          <w:szCs w:val="32"/>
        </w:rPr>
        <w:t>①</w:t>
      </w:r>
      <w:r>
        <w:rPr>
          <w:rFonts w:hint="eastAsia" w:ascii="仿宋_GB2312" w:hAnsi="仿宋" w:eastAsia="仿宋_GB2312"/>
          <w:sz w:val="32"/>
          <w:szCs w:val="32"/>
        </w:rPr>
        <w:t>新收各类案件30741 件，结案29235件，结收比</w:t>
      </w:r>
      <w:r>
        <w:rPr>
          <w:rFonts w:hint="eastAsia" w:ascii="仿宋_GB2312" w:hAnsi="仿宋" w:eastAsia="仿宋_GB2312"/>
          <w:sz w:val="32"/>
          <w:szCs w:val="32"/>
          <w:lang w:val="en-US" w:eastAsia="zh-CN"/>
        </w:rPr>
        <w:t>95.10</w:t>
      </w:r>
      <w:r>
        <w:rPr>
          <w:rFonts w:hint="eastAsia" w:ascii="仿宋_GB2312" w:hAnsi="仿宋" w:eastAsia="仿宋_GB2312"/>
          <w:sz w:val="32"/>
          <w:szCs w:val="32"/>
        </w:rPr>
        <w:t>%，，法官人均结案456.8件，2022年未结案清理率达99%以上</w:t>
      </w:r>
      <w:r>
        <w:rPr>
          <w:rFonts w:hint="eastAsia" w:ascii="仿宋_GB2312" w:hAnsi="仿宋" w:eastAsia="仿宋_GB2312"/>
          <w:sz w:val="32"/>
          <w:szCs w:val="32"/>
          <w:lang w:eastAsia="zh-CN"/>
        </w:rPr>
        <w:t>，</w:t>
      </w:r>
      <w:r>
        <w:rPr>
          <w:rFonts w:hint="eastAsia" w:ascii="仿宋_GB2312" w:hAnsi="仿宋" w:eastAsia="仿宋_GB2312"/>
          <w:sz w:val="32"/>
          <w:szCs w:val="32"/>
        </w:rPr>
        <w:t>一审服判息诉率88.77%,办案综合质效居全市法院前列。</w:t>
      </w:r>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textAlignment w:val="auto"/>
        <w:rPr>
          <w:rFonts w:hint="eastAsia" w:ascii="仿宋_GB2312" w:hAnsi="宋体" w:eastAsia="仿宋_GB2312" w:cs="宋体"/>
          <w:kern w:val="0"/>
          <w:sz w:val="32"/>
          <w:szCs w:val="32"/>
        </w:rPr>
      </w:pPr>
      <w:r>
        <w:rPr>
          <w:rFonts w:hint="eastAsia" w:ascii="仿宋_GB2312" w:hAnsi="仿宋" w:eastAsia="仿宋_GB2312"/>
          <w:sz w:val="32"/>
          <w:szCs w:val="32"/>
        </w:rPr>
        <w:t>②</w:t>
      </w:r>
      <w:r>
        <w:rPr>
          <w:rFonts w:hint="eastAsia" w:ascii="仿宋_GB2312" w:hAnsi="宋体" w:eastAsia="仿宋_GB2312" w:cs="宋体"/>
          <w:kern w:val="0"/>
          <w:sz w:val="32"/>
          <w:szCs w:val="32"/>
        </w:rPr>
        <w:t>坚持大力推进综合治理执行难大格局，贯彻善意文明执行理念，分类破解难题，执结案件11261件</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充分发挥财产线索转接中心作用，落实备勤机制，登记接收财产线索201 条，有效提升财产查控效果。运用“司法+媒体+互联网”执行思路，在电视媒体及社交媒体上发布悬赏令</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保持对“老赖”的舆论高压态势。强化现场查控、异地执行</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用好用尽强制措施，执行到位12.84 亿元。</w:t>
      </w:r>
    </w:p>
    <w:p>
      <w:pPr>
        <w:pStyle w:val="5"/>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③审结民商事案件17425件，民商事法官人均结案484.03 件。一是加强民生司法保障。公正高效审结教育、医疗、养老、住房、就业等民生案件2338件，依法维护群众切身利益。实质化解一批预售商品房纠纷，有力保障“住有所居”。在离婚、继承、赡养、析产等家事案件中，坚持融合“法理情”定分止争，解决案件“法结”、解开群众“心结”。二是用心传递司法温度。 召开“涉女性劳动者权 益保护案件情况”新闻通报会，邀请区妇联干部旁听庭审，积极参与反家暴工作多部门合作会商，共织妇女权益维护网。强化裁审衔接，诉前高效化解一批环卫工人劳动争议纠纷，妥善审结追索劳动报酬、劳务报酬等案件257件，依法保障劳动者合法权益。三是提升巡回审判效能。将迁安巡回法庭设为主题教育调研首站，第32年赴迁安矿区季度巡回审判，与河北迁安法院建立协作机制，联合开展跨域立案、就地调解、法治宣传，打造“京冀联动·点线结合”巡回审判新模式，获评“2023年北京法院贯彻落实习近平法治思想优秀实践案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2.“两庭”建设产出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bidi="ar-SA"/>
        </w:rPr>
        <w:t>石景山区人民法院为充分发挥审判职能，为区域发展稳定提供坚实司法保障，开展了一系列“两庭”建设工作，主要包括：①按照实际</w:t>
      </w:r>
      <w:r>
        <w:rPr>
          <w:rFonts w:hint="eastAsia" w:ascii="仿宋_GB2312" w:hAnsi="宋体" w:eastAsia="仿宋_GB2312" w:cs="宋体"/>
          <w:kern w:val="0"/>
          <w:sz w:val="32"/>
          <w:szCs w:val="32"/>
        </w:rPr>
        <w:t>办公用房需要，完成了审判区及诉调对接中心办公用房租赁工作，租赁面积共计4833平方米。②完成了少年法庭信息化设备、庭审主机、存储及硬盘设备、指纹门禁设备、档案备份存储设备、笔记本电脑、无线AP、电话录音设备、法庭法椅、警用遮挡围栏、警用专用设备、警用服装、X光机等设备购置工作。③完成了日常监控，办公、办案区域等重点场所的安全检查、卫生防护工作，落实每日消杀工作责任机制和疫情防控期间应急管理机制，定期发放个人防疫用品和消毒用品，核发审判及办公用品，全年共发</w:t>
      </w:r>
      <w:r>
        <w:rPr>
          <w:rFonts w:hint="eastAsia" w:ascii="仿宋_GB2312" w:hAnsi="宋体" w:eastAsia="仿宋_GB2312" w:cs="宋体"/>
          <w:kern w:val="0"/>
          <w:sz w:val="32"/>
          <w:szCs w:val="32"/>
          <w:lang w:eastAsia="zh-CN"/>
        </w:rPr>
        <w:t>放</w:t>
      </w:r>
      <w:r>
        <w:rPr>
          <w:rFonts w:hint="eastAsia" w:ascii="仿宋_GB2312" w:hAnsi="宋体" w:eastAsia="仿宋_GB2312" w:cs="宋体"/>
          <w:kern w:val="0"/>
          <w:sz w:val="32"/>
          <w:szCs w:val="32"/>
        </w:rPr>
        <w:t>办公用品逾百余次。④完成了</w:t>
      </w:r>
      <w:r>
        <w:rPr>
          <w:rFonts w:hint="eastAsia" w:ascii="仿宋_GB2312" w:hAnsi="宋体" w:eastAsia="仿宋_GB2312" w:cs="宋体"/>
          <w:kern w:val="0"/>
          <w:sz w:val="32"/>
          <w:szCs w:val="32"/>
          <w:lang w:eastAsia="zh-CN"/>
        </w:rPr>
        <w:t>新租用第二审判区办公业务用房开办家具购置工作</w:t>
      </w:r>
      <w:r>
        <w:rPr>
          <w:rFonts w:hint="eastAsia" w:ascii="仿宋_GB2312" w:hAnsi="宋体" w:eastAsia="仿宋_GB2312" w:cs="宋体"/>
          <w:kern w:val="0"/>
          <w:sz w:val="32"/>
          <w:szCs w:val="32"/>
        </w:rPr>
        <w:t>。⑤注重消防安全，加强隐患排查，开展日常消防检查1489次、消防安全演习14次；加强日常巡检维护，在院内路面、南广场地面、重装电梯施工期间重点巡视，确保设备平稳安全运行；全年物业共完成派工单维修1300余次，搬运、安装干警办公家具及用品300余次。</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3.信息化系统建设和运维产出</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完成了日常网络运维工作及信息化业务租赁等工作，具体内容如下：①提高日常和专项巡检频次，全年开展系统优化升级10余次，确保审执业务、安防监控、网络电话等系统稳定运行。②通过电话、微信群、现场保障等方式保障线上开庭25000余次，刻录庭审光盘2500余张，保障新闻发布会6次，保障驻看守所科技法庭开庭27次。③积极与市经信局等部门沟通，将互联网接入速率由400兆提升至500兆。④进行信创设备更换和配套系统建设，并根据工作需求建设与信创系统配套的电话录音系统和电子签章系统，完成执行局大型打印机与信创设备的适配升级。⑤根据实际情况，更换服务年限较长、故障隐患较大的视频会议系统设备、电子卷宗存储设备、法庭显示屏、网络机房不间断电源、部分法庭主机等设备。⑥开展第二办公区、车管所和石景山区人民法院本院专线电路租赁工作，保障第二办公区，车管所与石景山区人民法院本院在视频会议、远程培训、办公办案方面得到网络支持等。</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4.纪检监察产出</w:t>
      </w:r>
    </w:p>
    <w:p>
      <w:pPr>
        <w:spacing w:line="600" w:lineRule="exact"/>
        <w:ind w:firstLine="640" w:firstLineChars="200"/>
      </w:pPr>
      <w:r>
        <w:rPr>
          <w:rFonts w:hint="eastAsia" w:ascii="仿宋_GB2312" w:hAnsi="宋体" w:eastAsia="仿宋_GB2312" w:cs="宋体"/>
          <w:color w:val="000000"/>
          <w:kern w:val="0"/>
          <w:sz w:val="32"/>
          <w:szCs w:val="32"/>
        </w:rPr>
        <w:t>①严格落实《中国共产党重大事项请示报告条例》，向上级请示报告16件次。②严格落实党内监督要求，以季度为单位从严开展支部书记述职述廉、党支部全面从严治党专项检查。③履行全面从严治党工作和业务工作“双一百”考核机制，形成“一把手负总责、分管领导直接抓、部门负责人具体抓、机关纪委强化监督、每名干警具体落实”的党风廉政建设责任制体系。④组织干警学习石景山区人民法院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党风廉政建设和反腐败工作会议精神、《新时代政法干警“十个严禁”》等内容，采取观看警示教育片，参观警示教育基地、首都政法队伍教育整顿主题展等方式不断丰富学习教育形式；开展“算好廉政四本账”专项警示教育活动，组织干警认真学习违纪违法案例，组织召开青年干警专题交流研讨会。⑤出台关于巩固北京法院政法队伍教育整顿成果推进全面从严管党治警的实施细则，明确6方面19个总体任务、68项具体任务及举措。⑥建立干警家属担任亲情廉政监督员制度，召开亲情廉政监督员聘任会，定时发送廉洁提醒和警示教育案例，提高家庭成员廉洁司法意识。⑦制定《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廉政风险点排查清单》，坚持问题导向，分级分岗、分人分类查找个性化廉政风险点299条，针对性制定廉政风险点防控措施308条。⑧建立重大敏感案事件专报机制，形成18期《重大敏感案（事）件专报》，健全完善重大敏感案事件台账，选择典型案例开展“三同步”实战演练，落实“7×24”小时舆情监测要求，未出现负面舆情事件及意识形态事故。⑨完成年度决算、预算申报和预算一体化改革工作。</w:t>
      </w:r>
    </w:p>
    <w:p>
      <w:pPr>
        <w:spacing w:line="600" w:lineRule="exact"/>
        <w:ind w:firstLine="640" w:firstLineChars="200"/>
        <w:outlineLvl w:val="1"/>
        <w:rPr>
          <w:rFonts w:ascii="楷体_GB2312" w:eastAsia="楷体_GB2312"/>
          <w:sz w:val="32"/>
          <w:szCs w:val="32"/>
        </w:rPr>
      </w:pPr>
      <w:bookmarkStart w:id="8" w:name="_Toc28480"/>
      <w:r>
        <w:rPr>
          <w:rFonts w:hint="eastAsia" w:ascii="楷体_GB2312" w:eastAsia="楷体_GB2312"/>
          <w:sz w:val="32"/>
          <w:szCs w:val="32"/>
        </w:rPr>
        <w:t>（二）效果实现情况分析</w:t>
      </w:r>
      <w:bookmarkEnd w:id="8"/>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1.保障案件审判工作顺利开展，为审判工作提供便利，为人民群众提供优质高效的司法服务</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制定《2023 年服务营商环境建设工作实 施方案》,加强优化营商环境重点指标督导，着力推进诉讼网上办理、纠纷快速解决，网上立案率40.91% ,电子送达覆盖率75.37% ,在线庭审率56.25% ,商事案件平均实际审理时间83.94天。二是协同推进商事纠纷诉源治理。深化民营企业产权保护体系，联合区工商联、区检察院定期开展矛盾联调，与区市场监管局、区投资促进服务中心协同破解公司变更登记及内 部治理难题，共促民营企业合规经营。将治理触角延伸至中关村石景山园、首钢园，构建“园区+法院”商事纠纷预防化解协作机制。三是主动回应商事主体司法需求。国有企业联合开展党建法治共建，推动企业发展与司法保障同频共振。</w:t>
      </w:r>
    </w:p>
    <w:p>
      <w:pPr>
        <w:spacing w:line="600" w:lineRule="exact"/>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此外，审结刑事案件360件，判处刑罚434 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一是依法维护安全稳定大局。妥善审理网络政治谣言、集资诈骗等重大敏感案件12件，从严打击严重暴力、黄赌毒、袭警犯罪55起，严惩6起针对未成年人犯罪，依法审结我区首例高空抛物犯罪案件，保障平安石景山建设。保持惩治腐败高压态势，依法惩处职务犯罪6人，面向国有企业领导干部开展“以案为鉴”普法警示教育。持续推进扫黑除恶常态化，依法严厉打击恶势力团伙敲诈勒索犯罪，制发司法建议积极参与“行业清源”,获得市委政法委肯定。二是加大多发犯罪打击力度。主动回应群众安全关切，对实施电信网络诈骗及其关联犯罪的44名被告人定罪量刑，开展“帮助信息网络犯罪活动罪治理”专题调研并召开新闻通报会，积极推进犯罪协同预防。妥善审理“帮打官司”“转租小客车指标”等多类型诈骗案件，公开审理宣判“免费领菜免费聚餐”养老诈骗案件，为受害老人挽回全部损失，被央视等多家媒体宣传报道。聚焦养老行业涉诈乱象制发司法建议，推动海南省卫健委开展专项整治行动，有效实现“审理一案、治理一片”,获评北京法院优秀司法 建议一等奖。 三是深入推进刑事诉讼改革。加快推进执法办 案管理中心速裁法庭建设，坚持以庭审为中心，规范落实“48 小时全流程速裁”,依法快速办理轻罪案件 10 件。深入推进北 京政法办案智能管理系统全面应用，加强内外沟通协调及节点 实时监控，实现“案件 100% 上线运行”。我院刑庭获评第十一 届北京市“人民满意的政法单位”争创奖、北京市未成年人保护工作先进</w:t>
      </w:r>
      <w:r>
        <w:rPr>
          <w:rFonts w:hint="eastAsia" w:ascii="仿宋_GB2312" w:hAnsi="宋体" w:eastAsia="仿宋_GB2312" w:cs="宋体"/>
          <w:color w:val="000000"/>
          <w:kern w:val="0"/>
          <w:sz w:val="32"/>
          <w:szCs w:val="32"/>
          <w:lang w:eastAsia="zh-CN"/>
        </w:rPr>
        <w:t>集体。</w:t>
      </w:r>
    </w:p>
    <w:p>
      <w:pPr>
        <w:spacing w:line="600" w:lineRule="exact"/>
        <w:ind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另</w:t>
      </w:r>
      <w:r>
        <w:rPr>
          <w:rFonts w:hint="eastAsia" w:ascii="仿宋_GB2312" w:hAnsi="宋体" w:eastAsia="仿宋_GB2312" w:cs="宋体"/>
          <w:color w:val="000000"/>
          <w:kern w:val="0"/>
          <w:sz w:val="32"/>
          <w:szCs w:val="32"/>
        </w:rPr>
        <w:t>一方面，通过日常申诉案件、信访案件复查等方式，逐案梳理石景山区人民法院已结案件中确实存在的审判问题，及时进行案件纠错、纳入再审程序，既维护了当事人合法权益，又切实维护了司法权威；加强调解平台“三进”工作机制、12368“一号响应”工作机制与诉源治理工作衔接融合，对街道社区在预防化解矛盾纠纷过程中提出的司法需求进行了快速精准的回应，为群众提供了更加优质高效的司法服务</w:t>
      </w:r>
      <w:r>
        <w:rPr>
          <w:rFonts w:hint="eastAsia" w:ascii="仿宋_GB2312" w:hAnsi="宋体" w:eastAsia="仿宋_GB2312" w:cs="宋体"/>
          <w:color w:val="000000"/>
          <w:kern w:val="0"/>
          <w:sz w:val="32"/>
          <w:szCs w:val="32"/>
          <w:lang w:eastAsia="zh-CN"/>
        </w:rPr>
        <w:t>。</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2.保障审判执行活动正常开展，为办公办案提供便利，提高审判执行工作水平</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采购了庭审主机、存储及硬盘设备、指纹门禁设备、档案备份存储设备、笔记本电脑、无线AP、电话录音设备、法庭法椅、警用遮挡围栏等审判执行相关的业务设备，保障了审判执行活动正常开展，为办公办案提供了便利。同时，圆满完成网络安全攻防演练、软件正版化、新闻发布会、大要案庭审等重大活动保障工作</w:t>
      </w:r>
      <w:r>
        <w:rPr>
          <w:rFonts w:hint="eastAsia" w:ascii="仿宋_GB2312" w:hAnsi="宋体" w:eastAsia="仿宋_GB2312" w:cs="宋体"/>
          <w:color w:val="000000"/>
          <w:kern w:val="0"/>
          <w:sz w:val="32"/>
          <w:szCs w:val="32"/>
          <w:lang w:eastAsia="zh-CN"/>
        </w:rPr>
        <w:t>。采购天眼查服务账号，为干警审判执行工作提供便利。程序性文书自动生成率98.64%，全市法院第19位，失分0.05。裁判文书自动生成率81.51%，全市法院第6位。</w:t>
      </w:r>
      <w:r>
        <w:rPr>
          <w:rFonts w:hint="eastAsia" w:ascii="仿宋_GB2312" w:hAnsi="宋体" w:eastAsia="仿宋_GB2312" w:cs="宋体"/>
          <w:color w:val="000000"/>
          <w:kern w:val="0"/>
          <w:sz w:val="32"/>
          <w:szCs w:val="32"/>
        </w:rPr>
        <w:t xml:space="preserve">此外，运用法官会议等形式进行疑难复杂案件中的问题研讨，在提升干警业务水平的基础上有效减少了类似问题的出现，提高了审判执行工作水平。 </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3.保障日常办公顺利开展，满足“两庭”建设需求，提升公共服务能力</w:t>
      </w:r>
    </w:p>
    <w:p>
      <w:pPr>
        <w:spacing w:line="600" w:lineRule="exact"/>
        <w:ind w:firstLine="640" w:firstLineChars="200"/>
      </w:pPr>
      <w:r>
        <w:rPr>
          <w:rFonts w:hint="eastAsia" w:ascii="仿宋_GB2312" w:hAnsi="宋体" w:eastAsia="仿宋_GB2312" w:cs="宋体"/>
          <w:color w:val="000000"/>
          <w:kern w:val="0"/>
          <w:sz w:val="32"/>
          <w:szCs w:val="32"/>
        </w:rPr>
        <w:t>通过办公用房租赁、业务装备购置、审判楼电梯更新、审判楼消防改造等工作的开展，为石景山区人民法院一线审执工作人员及安全保卫工作人员提供了完备的工作平台，对案件管理、庭审记录、证据展示、笔录整理、数据储存、庭审监督等环节实现了信息化管理。同时，满足了法庭审判及诉讼服务、诉调对接等工作需求，为相关单位及社会公众在庭审期间提供了稳定、便捷的庭审条件和良好的司法服务工作环境，促进了公共服务能力的提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4.保障办公办案平台正常运转，提升法院网络信息安全和数据安全，为干警办公办案提供便利</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石景山区人民法院加强日常网络运维工作，保障了目前在用的审判业务系统、网上办公系统、智汇云系统、云开庭、执行办案系统、12368语音诉讼服务系统、文书校对系统、视频会议系统等30余个系统以及安防监控、电话语音等弱电设备能够平稳运行，保障了裁判文书制作的规范化和准确性，保障了网络信息安全和数据安全，提升了网络安全工作水平。其中，业务系统运维团队处理线上开庭、业务系统等工单5800余件，弱电设备运维团队保障各类视频会议253次、内部会议162次，满足了日常办公需求。</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此外，为及时回应不同的信息化需求，满足各项工作要求，石景山区人民法院更换少年法庭信息化设备以适应新时代少年审判工作的发展需求，采购蓝光光驱以满足刑事审判工作的证据审查需求，根据12368热线电话工作量变化来采购新的专用接听耳机并协助完成办公室迁移和设备增配工作，采购视频采集卡提升线上与线下结合开庭的效果。</w:t>
      </w:r>
    </w:p>
    <w:p>
      <w:pPr>
        <w:pStyle w:val="7"/>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5.保障区人民法院各项经费开展合理合规合法，为开展经济业务提供相关支撑材料</w:t>
      </w:r>
    </w:p>
    <w:p>
      <w:pPr>
        <w:spacing w:line="600" w:lineRule="exact"/>
        <w:ind w:firstLine="640" w:firstLineChars="200"/>
      </w:pPr>
      <w:r>
        <w:rPr>
          <w:rFonts w:hint="eastAsia" w:ascii="仿宋_GB2312" w:eastAsia="仿宋_GB2312"/>
          <w:bCs/>
          <w:color w:val="000000"/>
          <w:sz w:val="32"/>
          <w:szCs w:val="32"/>
        </w:rPr>
        <w:t>202</w:t>
      </w:r>
      <w:r>
        <w:rPr>
          <w:rFonts w:hint="eastAsia" w:ascii="仿宋_GB2312" w:eastAsia="仿宋_GB2312"/>
          <w:bCs/>
          <w:color w:val="000000"/>
          <w:sz w:val="32"/>
          <w:szCs w:val="32"/>
          <w:lang w:val="en-US" w:eastAsia="zh-CN"/>
        </w:rPr>
        <w:t>3</w:t>
      </w:r>
      <w:r>
        <w:rPr>
          <w:rFonts w:hint="eastAsia" w:ascii="仿宋_GB2312" w:eastAsia="仿宋_GB2312"/>
          <w:bCs/>
          <w:color w:val="000000"/>
          <w:sz w:val="32"/>
          <w:szCs w:val="32"/>
        </w:rPr>
        <w:t>年，石景山区人民法院完成了</w:t>
      </w:r>
      <w:r>
        <w:rPr>
          <w:rFonts w:hint="eastAsia" w:ascii="仿宋_GB2312" w:eastAsia="仿宋_GB2312"/>
          <w:bCs/>
          <w:color w:val="000000"/>
          <w:sz w:val="32"/>
          <w:szCs w:val="32"/>
          <w:lang w:eastAsia="zh-CN"/>
        </w:rPr>
        <w:t>司法巡查</w:t>
      </w:r>
      <w:r>
        <w:rPr>
          <w:rFonts w:hint="eastAsia" w:ascii="仿宋_GB2312" w:eastAsia="仿宋_GB2312"/>
          <w:bCs/>
          <w:color w:val="000000"/>
          <w:sz w:val="32"/>
          <w:szCs w:val="32"/>
        </w:rPr>
        <w:t>迎</w:t>
      </w:r>
      <w:r>
        <w:rPr>
          <w:rFonts w:hint="eastAsia" w:ascii="仿宋_GB2312" w:eastAsia="仿宋_GB2312"/>
          <w:bCs/>
          <w:color w:val="000000"/>
          <w:sz w:val="32"/>
          <w:szCs w:val="32"/>
          <w:lang w:eastAsia="zh-CN"/>
        </w:rPr>
        <w:t>检</w:t>
      </w:r>
      <w:r>
        <w:rPr>
          <w:rFonts w:hint="eastAsia" w:ascii="仿宋_GB2312" w:eastAsia="仿宋_GB2312"/>
          <w:bCs/>
          <w:color w:val="000000"/>
          <w:sz w:val="32"/>
          <w:szCs w:val="32"/>
        </w:rPr>
        <w:t>工作并配合审计整改工作落实落地，严格执行重大项目评审制度，对138项经济活动做出决议，有效加强了内审内控，为各项经济业务合理合规合法开展提供了支撑。</w:t>
      </w:r>
      <w:r>
        <w:rPr>
          <w:rFonts w:hint="eastAsia" w:ascii="仿宋_GB2312" w:eastAsia="仿宋_GB2312"/>
          <w:bCs/>
          <w:color w:val="000000"/>
          <w:sz w:val="32"/>
          <w:szCs w:val="32"/>
          <w:lang w:eastAsia="zh-CN"/>
        </w:rPr>
        <w:t>同时，</w:t>
      </w:r>
      <w:r>
        <w:rPr>
          <w:rFonts w:hint="eastAsia" w:ascii="仿宋_GB2312" w:eastAsia="仿宋_GB2312"/>
          <w:bCs/>
          <w:color w:val="000000"/>
          <w:sz w:val="32"/>
          <w:szCs w:val="32"/>
        </w:rPr>
        <w:t>对全院笔记本电脑台账进行核查，并根据核查发现的问题有针对性的走访部分干警，确保台账真实准确；加强设备采购、项目招标等工作的规范化、程序化管理，严格遵守了内控和财务等工作规定，保障了各项经费的合理使用。</w:t>
      </w:r>
    </w:p>
    <w:p>
      <w:pPr>
        <w:spacing w:line="600" w:lineRule="exact"/>
        <w:ind w:firstLine="640" w:firstLineChars="200"/>
        <w:outlineLvl w:val="0"/>
        <w:rPr>
          <w:rFonts w:ascii="黑体" w:hAnsi="黑体" w:eastAsia="黑体" w:cs="宋体"/>
          <w:color w:val="000000"/>
          <w:kern w:val="0"/>
          <w:sz w:val="32"/>
          <w:szCs w:val="32"/>
        </w:rPr>
      </w:pPr>
      <w:bookmarkStart w:id="9" w:name="_Toc8907"/>
      <w:bookmarkStart w:id="10" w:name="_Toc15100"/>
      <w:bookmarkStart w:id="11" w:name="_Toc79495668"/>
      <w:r>
        <w:rPr>
          <w:rFonts w:hint="eastAsia" w:ascii="黑体" w:hAnsi="黑体" w:eastAsia="黑体" w:cs="宋体"/>
          <w:color w:val="000000"/>
          <w:kern w:val="0"/>
          <w:sz w:val="32"/>
          <w:szCs w:val="32"/>
        </w:rPr>
        <w:t>四、预算管理情况分析</w:t>
      </w:r>
      <w:bookmarkEnd w:id="9"/>
      <w:bookmarkEnd w:id="10"/>
    </w:p>
    <w:p>
      <w:pPr>
        <w:spacing w:line="600" w:lineRule="exact"/>
        <w:ind w:firstLine="640" w:firstLineChars="200"/>
        <w:outlineLvl w:val="1"/>
        <w:rPr>
          <w:rFonts w:ascii="楷体_GB2312" w:eastAsia="楷体_GB2312"/>
          <w:sz w:val="32"/>
          <w:szCs w:val="32"/>
        </w:rPr>
      </w:pPr>
      <w:bookmarkStart w:id="12" w:name="_Toc10081"/>
      <w:bookmarkStart w:id="13" w:name="_Toc1890"/>
      <w:r>
        <w:rPr>
          <w:rFonts w:hint="eastAsia" w:ascii="楷体_GB2312" w:eastAsia="楷体_GB2312"/>
          <w:sz w:val="32"/>
          <w:szCs w:val="32"/>
        </w:rPr>
        <w:t>（一）财务管理</w:t>
      </w:r>
      <w:bookmarkEnd w:id="12"/>
      <w:bookmarkEnd w:id="13"/>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始终贯彻执行党和国家的财经方针、政策，执行北京市、石景山区及石景山区人民法院的各项财经法规和制度，严格落实“三重一大”决策程序，健全完善内部控制管理机制。石景山区人民法院为加强财务管理，根据有关法律、法规的规定，结合实际情况建立了《内控控制手册》，包括《案款财务管理规定》《诉讼费退费管理办法(试行)》《差旅费报销实施办法》《固定资产管理制度》《财务管理审批权限制度》《发票、收据管理制度》《基建财务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库存现金管理制度</w:t>
      </w:r>
      <w:r>
        <w:rPr>
          <w:rFonts w:ascii="仿宋_GB2312" w:hAnsi="宋体" w:eastAsia="仿宋_GB2312" w:cs="宋体"/>
          <w:color w:val="000000"/>
          <w:kern w:val="0"/>
          <w:sz w:val="32"/>
          <w:szCs w:val="32"/>
        </w:rPr>
        <w:t>》《会计档案管理制度》</w:t>
      </w:r>
      <w:r>
        <w:rPr>
          <w:rFonts w:hint="eastAsia" w:ascii="仿宋_GB2312" w:hAnsi="宋体" w:eastAsia="仿宋_GB2312" w:cs="宋体"/>
          <w:color w:val="000000"/>
          <w:kern w:val="0"/>
          <w:sz w:val="32"/>
          <w:szCs w:val="32"/>
        </w:rPr>
        <w:t>《单位会议费管理办法》</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采购管理制度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财务管理制度，管理制度较为完善；此外，严格按照中央八项规定安排“三公”经费支出，加大各类资金统筹力度，出台《重大项目内控评审小组工作办法》，强化预算管理和经费使用审批，规范财务行为，建立了责权较为清晰、相互牵制为架构的财务管理模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2.资金使用合规性和安全性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支付资金严格按照国家财经法规、财务管理制度、有关专项资金管理办法以及《石景山区人民法院财务管理制度》《石景山区人民法院单位经费审批制度》《石景山区人民法院财务管理审批权限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库存现金管理制度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等相关制度执行。</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在资金审批方面，石景山区人民法院各部门使用资金需拟定书面计划，注明所需费用事项、金额等，并报综合办公室主任</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主管财务院领导及主管院长审批批准后，方可执行。在财务管理审批权限中，凡属“三重一大”的决策事项，都要以会议形式集体讨论决定，如遇重大突发事件和紧急情况临时做出的决策，事后向院党组会会议及时报告。</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金监管方面，石景山区人民法院严格规范经费支出内容及其用途，明确经费支出标准，且不同的资金支付事项使用不同的资金支付单据，现金随时存放保险柜中，保险柜钥匙和密码分开保管，存放地点安装防护设施</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提取大额现金提前预约，双人提款，专车接送，人不离款，款不离车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保障资金支付</w:t>
      </w:r>
      <w:r>
        <w:rPr>
          <w:rFonts w:ascii="仿宋_GB2312" w:hAnsi="宋体" w:eastAsia="仿宋_GB2312" w:cs="宋体"/>
          <w:color w:val="000000"/>
          <w:kern w:val="0"/>
          <w:sz w:val="32"/>
          <w:szCs w:val="32"/>
        </w:rPr>
        <w:t>及提取</w:t>
      </w:r>
      <w:r>
        <w:rPr>
          <w:rFonts w:hint="eastAsia" w:ascii="仿宋_GB2312" w:hAnsi="宋体" w:eastAsia="仿宋_GB2312" w:cs="宋体"/>
          <w:color w:val="000000"/>
          <w:kern w:val="0"/>
          <w:sz w:val="32"/>
          <w:szCs w:val="32"/>
        </w:rPr>
        <w:t>的安全性。此外，加强对内部专项资金的监督管理，相关领导、财务人员等对专项资金的支出进行审核把关，确保票据来源合法，内容真实完整、合规。对未经批准、不按规定开支人员进行严肃处理。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3.会计基础信息完善性</w:t>
      </w:r>
    </w:p>
    <w:p>
      <w:pPr>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石景山区人民法院始终贯彻执行党和国家的财经方针、政策，参照《事业单位会计制度》</w:t>
      </w:r>
      <w:r>
        <w:rPr>
          <w:rFonts w:ascii="仿宋_GB2312" w:hAnsi="宋体" w:eastAsia="仿宋_GB2312" w:cs="宋体"/>
          <w:color w:val="000000"/>
          <w:kern w:val="0"/>
          <w:sz w:val="32"/>
          <w:szCs w:val="32"/>
        </w:rPr>
        <w:t>《</w:t>
      </w:r>
      <w:bookmarkStart w:id="14" w:name="_Toc11742"/>
      <w:bookmarkStart w:id="15" w:name="_Toc25563"/>
      <w:bookmarkStart w:id="16" w:name="_Toc26606"/>
      <w:bookmarkStart w:id="17" w:name="_Toc22744"/>
      <w:bookmarkStart w:id="18" w:name="_Toc31961"/>
      <w:bookmarkStart w:id="19" w:name="_Toc13449"/>
      <w:bookmarkStart w:id="20" w:name="_Toc5083"/>
      <w:bookmarkStart w:id="21" w:name="_Toc93395163"/>
      <w:bookmarkStart w:id="22" w:name="_Toc2025"/>
      <w:bookmarkStart w:id="23" w:name="_Toc23925"/>
      <w:bookmarkStart w:id="24" w:name="_Toc32345"/>
      <w:bookmarkStart w:id="25" w:name="_Toc20498"/>
      <w:bookmarkStart w:id="26" w:name="_Toc19314"/>
      <w:bookmarkStart w:id="27" w:name="_Toc9842"/>
      <w:bookmarkStart w:id="28" w:name="_Toc32760"/>
      <w:bookmarkStart w:id="29" w:name="_Toc27216"/>
      <w:bookmarkStart w:id="30" w:name="_Toc467432349"/>
      <w:bookmarkStart w:id="31" w:name="_Toc24911"/>
      <w:bookmarkStart w:id="32" w:name="_Toc17993"/>
      <w:bookmarkStart w:id="33" w:name="_Toc80968474"/>
      <w:bookmarkStart w:id="34" w:name="_Toc28123842"/>
      <w:bookmarkStart w:id="35" w:name="_Toc81221855"/>
      <w:r>
        <w:rPr>
          <w:rFonts w:hint="eastAsia" w:ascii="仿宋_GB2312" w:hAnsi="宋体" w:eastAsia="仿宋_GB2312" w:cs="宋体"/>
          <w:color w:val="000000"/>
          <w:kern w:val="0"/>
          <w:sz w:val="32"/>
          <w:szCs w:val="32"/>
        </w:rPr>
        <w:t>财务工作岗位责任制</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会计档案管理制度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法律法规进行资金管理和核算，严格实施财会监督，及时反馈真实、准确、完整、全面的基础数据信息和会计信息。具体如下：①经费实行专项管理，专款专用，未发现出现截留、挪用和违反合同约定支付等现象，资金使用规范，会计核算真实、完整、准确、及时。②在使用政府收支分类规定的科目的基础上，对专项资金的不同来源渠道性质予以区分，各类明细分类账记载、结账及时准确，资金支付安全、透明、规范，提高财政资金的支付效率。③科目发生余额表及账簿按月复核，财务核算原始凭证、记账凭证、账簿、报表等均</w:t>
      </w:r>
      <w:r>
        <w:rPr>
          <w:rFonts w:ascii="仿宋_GB2312" w:hAnsi="宋体" w:eastAsia="仿宋_GB2312" w:cs="宋体"/>
          <w:color w:val="000000"/>
          <w:kern w:val="0"/>
          <w:sz w:val="32"/>
          <w:szCs w:val="32"/>
        </w:rPr>
        <w:t>按要求</w:t>
      </w:r>
      <w:r>
        <w:rPr>
          <w:rFonts w:hint="eastAsia" w:ascii="仿宋_GB2312" w:hAnsi="宋体" w:eastAsia="仿宋_GB2312" w:cs="宋体"/>
          <w:color w:val="000000"/>
          <w:kern w:val="0"/>
          <w:sz w:val="32"/>
          <w:szCs w:val="32"/>
        </w:rPr>
        <w:t>整理立卷，装订成册，编制会计档案保管清册</w:t>
      </w:r>
      <w:r>
        <w:rPr>
          <w:rFonts w:ascii="仿宋_GB2312" w:hAnsi="宋体" w:eastAsia="仿宋_GB2312" w:cs="宋体"/>
          <w:color w:val="000000"/>
          <w:kern w:val="0"/>
          <w:sz w:val="32"/>
          <w:szCs w:val="32"/>
        </w:rPr>
        <w:t>后</w:t>
      </w:r>
      <w:r>
        <w:rPr>
          <w:rFonts w:hint="eastAsia" w:ascii="仿宋_GB2312" w:hAnsi="宋体" w:eastAsia="仿宋_GB2312" w:cs="宋体"/>
          <w:color w:val="000000"/>
          <w:kern w:val="0"/>
          <w:sz w:val="32"/>
          <w:szCs w:val="32"/>
        </w:rPr>
        <w:t>移交档案室</w:t>
      </w:r>
      <w:r>
        <w:rPr>
          <w:rFonts w:ascii="仿宋_GB2312" w:hAnsi="宋体" w:eastAsia="仿宋_GB2312" w:cs="宋体"/>
          <w:color w:val="000000"/>
          <w:kern w:val="0"/>
          <w:sz w:val="32"/>
          <w:szCs w:val="32"/>
        </w:rPr>
        <w:t>保管</w:t>
      </w:r>
      <w:r>
        <w:rPr>
          <w:rFonts w:hint="eastAsia" w:ascii="仿宋_GB2312" w:hAnsi="宋体" w:eastAsia="仿宋_GB2312" w:cs="宋体"/>
          <w:color w:val="000000"/>
          <w:kern w:val="0"/>
          <w:sz w:val="32"/>
          <w:szCs w:val="32"/>
        </w:rPr>
        <w:t>。④对已到保管期限的会计档案，由档案部门会同财务部门提出销毁意见，编制销毁清册</w:t>
      </w:r>
      <w:r>
        <w:rPr>
          <w:rFonts w:ascii="仿宋_GB2312" w:hAnsi="宋体" w:eastAsia="仿宋_GB2312" w:cs="宋体"/>
          <w:color w:val="000000"/>
          <w:kern w:val="0"/>
          <w:sz w:val="32"/>
          <w:szCs w:val="32"/>
        </w:rPr>
        <w:t>等。</w:t>
      </w:r>
    </w:p>
    <w:p>
      <w:pPr>
        <w:spacing w:line="600" w:lineRule="exact"/>
        <w:ind w:firstLine="640" w:firstLineChars="200"/>
        <w:outlineLvl w:val="1"/>
        <w:rPr>
          <w:rFonts w:ascii="楷体_GB2312" w:eastAsia="楷体_GB2312"/>
          <w:sz w:val="32"/>
          <w:szCs w:val="32"/>
        </w:rPr>
      </w:pPr>
      <w:bookmarkStart w:id="36" w:name="_Toc12179"/>
      <w:bookmarkStart w:id="37" w:name="_Toc32428"/>
      <w:bookmarkStart w:id="38" w:name="_Toc24470"/>
      <w:r>
        <w:rPr>
          <w:rFonts w:hint="eastAsia" w:ascii="楷体_GB2312" w:eastAsia="楷体_GB2312"/>
          <w:sz w:val="32"/>
          <w:szCs w:val="32"/>
        </w:rPr>
        <w:t>（二）资产管理</w:t>
      </w:r>
      <w:bookmarkEnd w:id="36"/>
      <w:bookmarkEnd w:id="37"/>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石景山区人民法院根据市高院要求及本院固定资产管理工作需要，逐步完善了《北京市石景山区人民法院固定资产管理制度》《北京市石景山区人民法院固定资产处置管理办法》等固定资产管理相关制度，旨在合理配置各部门的固定资产，提高固定资产的使用效益，保障固定资产的安全和完整，形成产权清晰、配置科学、使用合理、处置规范、监督公正的资产管理格局。</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同时，石景山区人民法院还建立了完善的固定资产管理机制，由院综合事务中心负责并确定一名固定资产管理员，与院办公室财务组、院办公室信息技术工作组、院法警队、院审判管理办公室（研究室）联合管理固定资产。其中，固定资产管理员负责全院固定资产的登统计、盘点、报废等工作；院综合事务中心负责家具类固定资产实物管理；院办公室信息技术工作组负责信息化设备的实物管理；院法警队负责警用装备的实物管理；院审判管理办公室（研究室）负责图书类固定资产的实物管理。</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截至</w:t>
      </w:r>
      <w:r>
        <w:rPr>
          <w:rFonts w:hint="eastAsia" w:ascii="仿宋_GB2312" w:hAnsi="宋体" w:eastAsia="仿宋_GB2312" w:cs="宋体"/>
          <w:color w:val="000000"/>
          <w:kern w:val="0"/>
          <w:sz w:val="32"/>
          <w:szCs w:val="32"/>
          <w:lang w:eastAsia="zh-CN"/>
        </w:rPr>
        <w:t>2023</w:t>
      </w:r>
      <w:r>
        <w:rPr>
          <w:rFonts w:ascii="仿宋_GB2312" w:hAnsi="宋体" w:eastAsia="仿宋_GB2312" w:cs="宋体"/>
          <w:color w:val="000000"/>
          <w:kern w:val="0"/>
          <w:sz w:val="32"/>
          <w:szCs w:val="32"/>
        </w:rPr>
        <w:t>年12月31日，石景山区人民法院资产总额合计</w:t>
      </w:r>
      <w:r>
        <w:rPr>
          <w:rFonts w:hint="eastAsia" w:ascii="仿宋_GB2312" w:hAnsi="宋体" w:eastAsia="仿宋_GB2312" w:cs="宋体"/>
          <w:color w:val="000000"/>
          <w:kern w:val="0"/>
          <w:sz w:val="32"/>
          <w:szCs w:val="32"/>
          <w:lang w:val="en-US" w:eastAsia="zh-CN"/>
        </w:rPr>
        <w:t>12616.77</w:t>
      </w:r>
      <w:r>
        <w:rPr>
          <w:rFonts w:ascii="仿宋_GB2312" w:hAnsi="宋体" w:eastAsia="仿宋_GB2312" w:cs="宋体"/>
          <w:color w:val="000000"/>
          <w:kern w:val="0"/>
          <w:sz w:val="32"/>
          <w:szCs w:val="32"/>
        </w:rPr>
        <w:t>万元。在资产配置方面，</w:t>
      </w:r>
      <w:r>
        <w:rPr>
          <w:rFonts w:hint="eastAsia" w:ascii="仿宋_GB2312" w:hAnsi="宋体" w:eastAsia="仿宋_GB2312" w:cs="宋体"/>
          <w:color w:val="000000"/>
          <w:kern w:val="0"/>
          <w:sz w:val="32"/>
          <w:szCs w:val="32"/>
          <w:lang w:eastAsia="zh-CN"/>
        </w:rPr>
        <w:t>2023</w:t>
      </w:r>
      <w:r>
        <w:rPr>
          <w:rFonts w:ascii="仿宋_GB2312" w:hAnsi="宋体" w:eastAsia="仿宋_GB2312" w:cs="宋体"/>
          <w:color w:val="000000"/>
          <w:kern w:val="0"/>
          <w:sz w:val="32"/>
          <w:szCs w:val="32"/>
        </w:rPr>
        <w:t>年度配置固定资产</w:t>
      </w:r>
      <w:r>
        <w:rPr>
          <w:rFonts w:hint="eastAsia" w:ascii="仿宋_GB2312" w:hAnsi="宋体" w:eastAsia="仿宋_GB2312" w:cs="宋体"/>
          <w:color w:val="000000"/>
          <w:kern w:val="0"/>
          <w:sz w:val="32"/>
          <w:szCs w:val="32"/>
          <w:lang w:val="en-US" w:eastAsia="zh-CN"/>
        </w:rPr>
        <w:t>943.02</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，包括</w:t>
      </w:r>
      <w:r>
        <w:rPr>
          <w:rFonts w:ascii="仿宋_GB2312" w:hAnsi="宋体" w:eastAsia="仿宋_GB2312" w:cs="宋体"/>
          <w:color w:val="000000"/>
          <w:kern w:val="0"/>
          <w:sz w:val="32"/>
          <w:szCs w:val="32"/>
        </w:rPr>
        <w:t>设备</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图书档案</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家具及用具</w:t>
      </w:r>
      <w:r>
        <w:rPr>
          <w:rFonts w:hint="eastAsia" w:ascii="仿宋_GB2312" w:hAnsi="宋体" w:eastAsia="仿宋_GB2312" w:cs="宋体"/>
          <w:color w:val="000000"/>
          <w:kern w:val="0"/>
          <w:sz w:val="32"/>
          <w:szCs w:val="32"/>
        </w:rPr>
        <w:t>等类别，</w:t>
      </w:r>
      <w:r>
        <w:rPr>
          <w:rFonts w:hint="eastAsia" w:ascii="仿宋_GB2312" w:hAnsi="宋体" w:eastAsia="仿宋_GB2312" w:cs="宋体"/>
          <w:color w:val="000000"/>
          <w:kern w:val="0"/>
          <w:sz w:val="32"/>
          <w:szCs w:val="32"/>
          <w:lang w:eastAsia="zh-CN"/>
        </w:rPr>
        <w:t>按规定补记</w:t>
      </w:r>
      <w:r>
        <w:rPr>
          <w:rFonts w:ascii="仿宋_GB2312" w:hAnsi="宋体" w:eastAsia="仿宋_GB2312" w:cs="宋体"/>
          <w:color w:val="000000"/>
          <w:kern w:val="0"/>
          <w:sz w:val="32"/>
          <w:szCs w:val="32"/>
        </w:rPr>
        <w:t>固定资产</w:t>
      </w:r>
      <w:r>
        <w:rPr>
          <w:rFonts w:hint="eastAsia" w:ascii="仿宋_GB2312" w:hAnsi="宋体" w:eastAsia="仿宋_GB2312" w:cs="宋体"/>
          <w:color w:val="000000"/>
          <w:kern w:val="0"/>
          <w:sz w:val="32"/>
          <w:szCs w:val="32"/>
          <w:lang w:eastAsia="zh-CN"/>
        </w:rPr>
        <w:t>及</w:t>
      </w:r>
      <w:r>
        <w:rPr>
          <w:rFonts w:ascii="仿宋_GB2312" w:hAnsi="宋体" w:eastAsia="仿宋_GB2312" w:cs="宋体"/>
          <w:color w:val="000000"/>
          <w:kern w:val="0"/>
          <w:sz w:val="32"/>
          <w:szCs w:val="32"/>
        </w:rPr>
        <w:t>无调拨固定资产。在资产使用方面，均为自用固定资产，无出租出借及对外投资资产。在资产处置方面，202</w:t>
      </w:r>
      <w:r>
        <w:rPr>
          <w:rFonts w:hint="eastAsia" w:ascii="仿宋_GB2312" w:hAnsi="宋体" w:eastAsia="仿宋_GB2312" w:cs="宋体"/>
          <w:color w:val="000000"/>
          <w:kern w:val="0"/>
          <w:sz w:val="32"/>
          <w:szCs w:val="32"/>
          <w:lang w:val="en-US" w:eastAsia="zh-CN"/>
        </w:rPr>
        <w:t>3</w:t>
      </w:r>
      <w:r>
        <w:rPr>
          <w:rFonts w:ascii="仿宋_GB2312" w:hAnsi="宋体" w:eastAsia="仿宋_GB2312" w:cs="宋体"/>
          <w:color w:val="000000"/>
          <w:kern w:val="0"/>
          <w:sz w:val="32"/>
          <w:szCs w:val="32"/>
        </w:rPr>
        <w:t>年度无固定资产处置情况。</w:t>
      </w:r>
    </w:p>
    <w:p>
      <w:pPr>
        <w:spacing w:line="600" w:lineRule="exact"/>
        <w:ind w:firstLine="640" w:firstLineChars="200"/>
        <w:outlineLvl w:val="1"/>
        <w:rPr>
          <w:rFonts w:ascii="楷体_GB2312" w:eastAsia="楷体_GB2312"/>
          <w:sz w:val="32"/>
          <w:szCs w:val="32"/>
        </w:rPr>
      </w:pPr>
      <w:bookmarkStart w:id="39" w:name="_Toc31300"/>
      <w:r>
        <w:rPr>
          <w:rFonts w:hint="eastAsia" w:ascii="楷体_GB2312" w:eastAsia="楷体_GB2312"/>
          <w:sz w:val="32"/>
          <w:szCs w:val="32"/>
        </w:rPr>
        <w:t>（三）绩效管理</w:t>
      </w:r>
      <w:bookmarkEnd w:id="38"/>
      <w:bookmarkEnd w:id="39"/>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石景山区人民法院非常重视绩效管理工作，成立了绩效管理工作领导小组，并于202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年5月完成了绩效自评</w:t>
      </w:r>
      <w:r>
        <w:rPr>
          <w:rFonts w:ascii="仿宋_GB2312" w:hAnsi="宋体" w:eastAsia="仿宋_GB2312" w:cs="宋体"/>
          <w:color w:val="000000"/>
          <w:kern w:val="0"/>
          <w:sz w:val="32"/>
          <w:szCs w:val="32"/>
        </w:rPr>
        <w:t>工作</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项目支出</w:t>
      </w:r>
      <w:r>
        <w:rPr>
          <w:rFonts w:hint="eastAsia" w:ascii="仿宋_GB2312" w:hAnsi="宋体" w:eastAsia="仿宋_GB2312" w:cs="宋体"/>
          <w:color w:val="000000"/>
          <w:kern w:val="0"/>
          <w:sz w:val="32"/>
          <w:szCs w:val="32"/>
        </w:rPr>
        <w:t>自评涵盖202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年度所有项目，各项目均需填报《项目支出绩效自评表》；</w:t>
      </w:r>
      <w:r>
        <w:rPr>
          <w:rFonts w:hint="eastAsia" w:ascii="仿宋_GB2312" w:hAnsi="宋体" w:eastAsia="仿宋_GB2312" w:cs="宋体"/>
          <w:color w:val="000000"/>
          <w:kern w:val="0"/>
          <w:sz w:val="32"/>
          <w:szCs w:val="32"/>
          <w:lang w:eastAsia="zh-CN"/>
        </w:rPr>
        <w:t>选取“网络运维费”项目进行重点评价；</w:t>
      </w:r>
      <w:r>
        <w:rPr>
          <w:rFonts w:hint="eastAsia" w:ascii="仿宋_GB2312" w:hAnsi="宋体" w:eastAsia="仿宋_GB2312" w:cs="宋体"/>
          <w:color w:val="000000"/>
          <w:kern w:val="0"/>
          <w:sz w:val="32"/>
          <w:szCs w:val="32"/>
        </w:rPr>
        <w:t>最后，针对</w:t>
      </w:r>
      <w:r>
        <w:rPr>
          <w:rFonts w:hint="eastAsia" w:ascii="仿宋_GB2312" w:hAnsi="宋体" w:eastAsia="仿宋_GB2312" w:cs="宋体"/>
          <w:color w:val="000000"/>
          <w:kern w:val="0"/>
          <w:sz w:val="32"/>
          <w:szCs w:val="32"/>
          <w:lang w:eastAsia="zh-CN"/>
        </w:rPr>
        <w:t>2023</w:t>
      </w:r>
      <w:r>
        <w:rPr>
          <w:rFonts w:hint="eastAsia" w:ascii="仿宋_GB2312" w:hAnsi="宋体" w:eastAsia="仿宋_GB2312" w:cs="宋体"/>
          <w:color w:val="000000"/>
          <w:kern w:val="0"/>
          <w:sz w:val="32"/>
          <w:szCs w:val="32"/>
        </w:rPr>
        <w:t>年度部门整体支出情况进行绩效评价，形成《部门整体绩效评价报告》。</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石景山区人民法院及时对绩效信息进行了汇总、分析和整理，针对绩效评价发现的问题进行了整改，并按要求将《项目支出绩效自评表》《</w:t>
      </w:r>
      <w:r>
        <w:rPr>
          <w:rFonts w:hint="eastAsia" w:ascii="仿宋_GB2312" w:hAnsi="宋体" w:eastAsia="仿宋_GB2312" w:cs="宋体"/>
          <w:color w:val="000000"/>
          <w:kern w:val="0"/>
          <w:sz w:val="32"/>
          <w:szCs w:val="32"/>
          <w:lang w:eastAsia="zh-CN"/>
        </w:rPr>
        <w:t>重点项目</w:t>
      </w:r>
      <w:r>
        <w:rPr>
          <w:rFonts w:hint="eastAsia" w:ascii="仿宋_GB2312" w:hAnsi="宋体" w:eastAsia="仿宋_GB2312" w:cs="宋体"/>
          <w:color w:val="000000"/>
          <w:kern w:val="0"/>
          <w:sz w:val="32"/>
          <w:szCs w:val="32"/>
        </w:rPr>
        <w:t>绩效评价报告》《部门整体绩效评价报告》等上传至预算绩效管理系统，为后续绩效管理信息的应用提供了支撑和保障。</w:t>
      </w:r>
    </w:p>
    <w:p>
      <w:pPr>
        <w:spacing w:line="600" w:lineRule="exact"/>
        <w:ind w:firstLine="640" w:firstLineChars="200"/>
        <w:outlineLvl w:val="1"/>
        <w:rPr>
          <w:rFonts w:ascii="楷体_GB2312" w:eastAsia="楷体_GB2312"/>
          <w:sz w:val="32"/>
          <w:szCs w:val="32"/>
        </w:rPr>
      </w:pPr>
      <w:bookmarkStart w:id="40" w:name="_Toc19989"/>
      <w:bookmarkStart w:id="41" w:name="_Toc1707"/>
      <w:r>
        <w:rPr>
          <w:rFonts w:hint="eastAsia" w:ascii="楷体_GB2312" w:eastAsia="楷体_GB2312"/>
          <w:sz w:val="32"/>
          <w:szCs w:val="32"/>
        </w:rPr>
        <w:t>（四）结转结余率</w:t>
      </w:r>
      <w:bookmarkEnd w:id="40"/>
      <w:bookmarkEnd w:id="41"/>
    </w:p>
    <w:p>
      <w:pPr>
        <w:spacing w:line="600" w:lineRule="exact"/>
        <w:ind w:firstLine="640" w:firstLineChars="200"/>
        <w:rPr>
          <w:rFonts w:hint="eastAsia" w:ascii="仿宋_GB2312" w:hAnsi="宋体" w:eastAsia="仿宋_GB2312" w:cs="宋体"/>
          <w:color w:val="000000"/>
          <w:kern w:val="0"/>
          <w:sz w:val="32"/>
          <w:szCs w:val="32"/>
        </w:rPr>
      </w:pPr>
      <w:bookmarkStart w:id="42" w:name="_Toc32227"/>
      <w:bookmarkStart w:id="43" w:name="_Toc31075"/>
      <w:r>
        <w:rPr>
          <w:rFonts w:hint="eastAsia" w:ascii="仿宋_GB2312" w:hAnsi="宋体" w:eastAsia="仿宋_GB2312" w:cs="宋体"/>
          <w:color w:val="000000"/>
          <w:kern w:val="0"/>
          <w:sz w:val="32"/>
          <w:szCs w:val="32"/>
        </w:rPr>
        <w:t>石景山区人民法院202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年收支结转结余</w:t>
      </w:r>
      <w:r>
        <w:rPr>
          <w:rFonts w:hint="eastAsia" w:ascii="仿宋_GB2312" w:hAnsi="宋体" w:eastAsia="仿宋_GB2312" w:cs="宋体"/>
          <w:color w:val="000000"/>
          <w:kern w:val="0"/>
          <w:sz w:val="32"/>
          <w:szCs w:val="32"/>
          <w:lang w:val="en-US" w:eastAsia="zh-CN"/>
        </w:rPr>
        <w:t>1848.61</w:t>
      </w:r>
      <w:r>
        <w:rPr>
          <w:rFonts w:hint="eastAsia" w:ascii="仿宋_GB2312" w:hAnsi="宋体" w:eastAsia="仿宋_GB2312" w:cs="宋体"/>
          <w:color w:val="000000"/>
          <w:kern w:val="0"/>
          <w:sz w:val="32"/>
          <w:szCs w:val="32"/>
        </w:rPr>
        <w:t>万元，结转结余率</w:t>
      </w:r>
      <w:r>
        <w:rPr>
          <w:rFonts w:hint="eastAsia" w:ascii="仿宋_GB2312" w:hAnsi="宋体" w:eastAsia="仿宋_GB2312" w:cs="宋体"/>
          <w:color w:val="000000"/>
          <w:kern w:val="0"/>
          <w:sz w:val="32"/>
          <w:szCs w:val="32"/>
          <w:lang w:val="en-US" w:eastAsia="zh-CN"/>
        </w:rPr>
        <w:t>11.15%，较上年度增加9.47个百分点。</w:t>
      </w:r>
      <w:r>
        <w:rPr>
          <w:rFonts w:hint="eastAsia" w:ascii="仿宋_GB2312" w:hAnsi="宋体" w:eastAsia="仿宋_GB2312" w:cs="宋体"/>
          <w:color w:val="000000"/>
          <w:kern w:val="0"/>
          <w:sz w:val="32"/>
          <w:szCs w:val="32"/>
        </w:rPr>
        <w:t>其中</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含市财政2024年度核减收回的人员类和公用类结余资金10.60万元，结转至2024年使用的福利费和项目资金1838.01万元。结转资金中含福利费17.70万元，2023年年中追加的新租用第二审判区装修改造及开办费用等一次性项目经费1820.31万元，因项目进展原因，结转至2024年度使用。</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结转结余形成的主要原因是：①基本经费结转结余28.30万元。其中含人员类和公用类结余资金10.60万元，结转至2024年使用的福利费17.70万元。②项目经费结转结余1820.31万元，主要为2023年年中追加的新租用第二审判区装修改造及开办费用等一次性项目经费，因装修改造项目进度等原因未进行实际支付。</w:t>
      </w:r>
    </w:p>
    <w:p>
      <w:pPr>
        <w:spacing w:line="600" w:lineRule="exact"/>
        <w:ind w:firstLine="640" w:firstLineChars="200"/>
        <w:outlineLvl w:val="1"/>
        <w:rPr>
          <w:rFonts w:ascii="楷体_GB2312" w:eastAsia="楷体_GB2312"/>
          <w:sz w:val="32"/>
          <w:szCs w:val="32"/>
        </w:rPr>
      </w:pPr>
      <w:r>
        <w:rPr>
          <w:rFonts w:hint="eastAsia" w:ascii="楷体_GB2312" w:eastAsia="楷体_GB2312"/>
          <w:sz w:val="32"/>
          <w:szCs w:val="32"/>
        </w:rPr>
        <w:t>（五）部门预决算差异率</w:t>
      </w:r>
      <w:bookmarkEnd w:id="42"/>
      <w:bookmarkEnd w:id="43"/>
    </w:p>
    <w:p>
      <w:pPr>
        <w:adjustRightInd w:val="0"/>
        <w:snapToGrid w:val="0"/>
        <w:spacing w:line="520" w:lineRule="exact"/>
        <w:ind w:firstLine="640" w:firstLineChars="200"/>
        <w:rPr>
          <w:rFonts w:hint="eastAsia" w:ascii="仿宋_GB2312" w:hAnsi="仿宋" w:eastAsia="仿宋_GB2312"/>
          <w:color w:val="000000"/>
          <w:sz w:val="32"/>
          <w:szCs w:val="32"/>
        </w:rPr>
      </w:pPr>
      <w:bookmarkStart w:id="44" w:name="_Toc22787"/>
      <w:bookmarkStart w:id="45" w:name="_Toc22501"/>
      <w:r>
        <w:rPr>
          <w:rFonts w:hint="eastAsia" w:ascii="仿宋_GB2312" w:hAnsi="仿宋" w:eastAsia="仿宋_GB2312"/>
          <w:color w:val="000000"/>
          <w:sz w:val="32"/>
          <w:szCs w:val="32"/>
        </w:rPr>
        <w:t>2023年年初预算收入数</w:t>
      </w:r>
      <w:r>
        <w:rPr>
          <w:rFonts w:hint="eastAsia" w:ascii="仿宋_GB2312" w:hAnsi="仿宋" w:eastAsia="仿宋_GB2312"/>
          <w:sz w:val="32"/>
          <w:szCs w:val="32"/>
        </w:rPr>
        <w:t>14719.71</w:t>
      </w:r>
      <w:r>
        <w:rPr>
          <w:rFonts w:hint="eastAsia" w:ascii="仿宋_GB2312" w:hAnsi="仿宋" w:eastAsia="仿宋_GB2312"/>
          <w:color w:val="000000"/>
          <w:sz w:val="32"/>
          <w:szCs w:val="32"/>
        </w:rPr>
        <w:t>万元，决算数</w:t>
      </w:r>
      <w:r>
        <w:rPr>
          <w:rFonts w:hint="eastAsia" w:ascii="仿宋_GB2312" w:hAnsi="仿宋" w:eastAsia="仿宋_GB2312"/>
          <w:sz w:val="32"/>
          <w:szCs w:val="32"/>
        </w:rPr>
        <w:t>16570.90</w:t>
      </w:r>
      <w:r>
        <w:rPr>
          <w:rFonts w:hint="eastAsia" w:ascii="仿宋_GB2312" w:hAnsi="仿宋" w:eastAsia="仿宋_GB2312"/>
          <w:color w:val="000000"/>
          <w:sz w:val="32"/>
          <w:szCs w:val="32"/>
        </w:rPr>
        <w:t>万元，差异率12.58%。其中：一般公共预算财政拨款收入年初预算数13719.91万元，决算数15560.36万元，差异率13.42%；其他收入年初预算数1000.00万元，决算数1010.54万元，差异率1.05%。</w:t>
      </w:r>
    </w:p>
    <w:p>
      <w:pPr>
        <w:adjustRightInd w:val="0"/>
        <w:snapToGrid w:val="0"/>
        <w:spacing w:line="52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2023年年初预算支出数14719.71万元，决算数14722.29万元，差异率0.02%。其中：基本经费支出预算数11221.63万元，决算数11121.74万元，差异率-0.89%，项目经费支出预算数3498.08万元，决算数3600.55万元，差异率2.93%</w:t>
      </w:r>
      <w:r>
        <w:rPr>
          <w:rFonts w:hint="eastAsia" w:ascii="仿宋_GB2312" w:hAnsi="仿宋" w:eastAsia="仿宋_GB2312"/>
          <w:color w:val="000000"/>
          <w:sz w:val="32"/>
          <w:szCs w:val="32"/>
          <w:lang w:eastAsia="zh-CN"/>
        </w:rPr>
        <w:t>。</w:t>
      </w:r>
    </w:p>
    <w:p>
      <w:pPr>
        <w:spacing w:line="60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五、总体评价结论</w:t>
      </w:r>
      <w:bookmarkEnd w:id="44"/>
      <w:bookmarkEnd w:id="45"/>
    </w:p>
    <w:p>
      <w:pPr>
        <w:spacing w:line="600" w:lineRule="exact"/>
        <w:ind w:firstLine="640" w:firstLineChars="200"/>
        <w:outlineLvl w:val="1"/>
        <w:rPr>
          <w:rFonts w:ascii="楷体_GB2312" w:eastAsia="楷体_GB2312"/>
          <w:sz w:val="32"/>
          <w:szCs w:val="32"/>
        </w:rPr>
      </w:pPr>
      <w:bookmarkStart w:id="46" w:name="_Toc3081"/>
      <w:bookmarkStart w:id="47" w:name="_Toc957"/>
      <w:r>
        <w:rPr>
          <w:rFonts w:hint="eastAsia" w:ascii="楷体_GB2312" w:eastAsia="楷体_GB2312"/>
          <w:sz w:val="32"/>
          <w:szCs w:val="32"/>
        </w:rPr>
        <w:t>（一）评价得分情况</w:t>
      </w:r>
      <w:bookmarkEnd w:id="46"/>
      <w:bookmarkEnd w:id="47"/>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经评价，</w:t>
      </w:r>
      <w:r>
        <w:rPr>
          <w:rFonts w:hint="eastAsia" w:ascii="仿宋_GB2312" w:hAnsi="宋体" w:eastAsia="仿宋_GB2312" w:cs="宋体"/>
          <w:color w:val="000000"/>
          <w:kern w:val="0"/>
          <w:sz w:val="32"/>
          <w:szCs w:val="32"/>
          <w:lang w:eastAsia="zh-CN"/>
        </w:rPr>
        <w:t>2023</w:t>
      </w:r>
      <w:r>
        <w:rPr>
          <w:rFonts w:hint="eastAsia" w:ascii="仿宋_GB2312" w:hAnsi="宋体" w:eastAsia="仿宋_GB2312" w:cs="宋体"/>
          <w:color w:val="000000"/>
          <w:kern w:val="0"/>
          <w:sz w:val="32"/>
          <w:szCs w:val="32"/>
        </w:rPr>
        <w:t>年度石景山区人民法院部门整体绩效评价综合得分</w:t>
      </w:r>
      <w:r>
        <w:rPr>
          <w:rFonts w:hint="eastAsia" w:ascii="仿宋_GB2312" w:hAnsi="宋体" w:eastAsia="仿宋_GB2312" w:cs="宋体"/>
          <w:color w:val="000000"/>
          <w:kern w:val="0"/>
          <w:sz w:val="32"/>
          <w:szCs w:val="32"/>
          <w:lang w:val="en-US" w:eastAsia="zh-CN"/>
        </w:rPr>
        <w:t>90.10</w:t>
      </w:r>
      <w:r>
        <w:rPr>
          <w:rFonts w:hint="eastAsia" w:ascii="仿宋_GB2312" w:hAnsi="宋体" w:eastAsia="仿宋_GB2312" w:cs="宋体"/>
          <w:color w:val="000000"/>
          <w:kern w:val="0"/>
          <w:sz w:val="32"/>
          <w:szCs w:val="32"/>
        </w:rPr>
        <w:t>分，其中：当年预算执行情况</w:t>
      </w:r>
      <w:r>
        <w:rPr>
          <w:rFonts w:hint="eastAsia" w:ascii="仿宋_GB2312" w:hAnsi="宋体" w:eastAsia="仿宋_GB2312" w:cs="宋体"/>
          <w:color w:val="000000"/>
          <w:kern w:val="0"/>
          <w:sz w:val="32"/>
          <w:szCs w:val="32"/>
          <w:lang w:val="en-US" w:eastAsia="zh-CN"/>
        </w:rPr>
        <w:t>17.60</w:t>
      </w:r>
      <w:r>
        <w:rPr>
          <w:rFonts w:hint="eastAsia" w:ascii="仿宋_GB2312" w:hAnsi="宋体" w:eastAsia="仿宋_GB2312" w:cs="宋体"/>
          <w:color w:val="000000"/>
          <w:kern w:val="0"/>
          <w:sz w:val="32"/>
          <w:szCs w:val="32"/>
        </w:rPr>
        <w:t>分，整体绩效目标实现情况</w:t>
      </w:r>
      <w:r>
        <w:rPr>
          <w:rFonts w:hint="eastAsia" w:ascii="仿宋_GB2312" w:hAnsi="宋体" w:eastAsia="仿宋_GB2312" w:cs="宋体"/>
          <w:color w:val="000000"/>
          <w:kern w:val="0"/>
          <w:sz w:val="32"/>
          <w:szCs w:val="32"/>
          <w:lang w:val="en-US" w:eastAsia="zh-CN"/>
        </w:rPr>
        <w:t>58.40</w:t>
      </w:r>
      <w:r>
        <w:rPr>
          <w:rFonts w:hint="eastAsia" w:ascii="仿宋_GB2312" w:hAnsi="宋体" w:eastAsia="仿宋_GB2312" w:cs="宋体"/>
          <w:color w:val="000000"/>
          <w:kern w:val="0"/>
          <w:sz w:val="32"/>
          <w:szCs w:val="32"/>
        </w:rPr>
        <w:t>分，预算管理情况</w:t>
      </w:r>
      <w:r>
        <w:rPr>
          <w:rFonts w:hint="eastAsia" w:ascii="仿宋_GB2312" w:hAnsi="宋体" w:eastAsia="仿宋_GB2312" w:cs="宋体"/>
          <w:color w:val="000000"/>
          <w:kern w:val="0"/>
          <w:sz w:val="32"/>
          <w:szCs w:val="32"/>
          <w:lang w:val="en-US" w:eastAsia="zh-CN"/>
        </w:rPr>
        <w:t>14.10</w:t>
      </w:r>
      <w:r>
        <w:rPr>
          <w:rFonts w:hint="eastAsia" w:ascii="仿宋_GB2312" w:hAnsi="宋体" w:eastAsia="仿宋_GB2312" w:cs="宋体"/>
          <w:color w:val="000000"/>
          <w:kern w:val="0"/>
          <w:sz w:val="32"/>
          <w:szCs w:val="32"/>
        </w:rPr>
        <w:t>分，绩效评定结论为“优”。</w:t>
      </w:r>
    </w:p>
    <w:p>
      <w:pPr>
        <w:spacing w:line="360" w:lineRule="auto"/>
        <w:contextualSpacing/>
        <w:jc w:val="center"/>
        <w:rPr>
          <w:rFonts w:ascii="宋体" w:hAnsi="宋体" w:cs="仿宋_GB2312"/>
          <w:b/>
          <w:sz w:val="28"/>
          <w:szCs w:val="28"/>
        </w:rPr>
      </w:pPr>
      <w:r>
        <w:rPr>
          <w:rFonts w:hint="eastAsia" w:ascii="宋体" w:hAnsi="宋体" w:cs="仿宋_GB2312"/>
          <w:b/>
          <w:sz w:val="28"/>
          <w:szCs w:val="28"/>
        </w:rPr>
        <w:t>绩效评价结论一览表</w:t>
      </w:r>
    </w:p>
    <w:tbl>
      <w:tblPr>
        <w:tblStyle w:val="16"/>
        <w:tblW w:w="8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918"/>
        <w:gridCol w:w="2832"/>
        <w:gridCol w:w="2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shd w:val="clear" w:color="auto" w:fill="D9D9D9"/>
            <w:vAlign w:val="center"/>
          </w:tcPr>
          <w:p>
            <w:pPr>
              <w:adjustRightInd w:val="0"/>
              <w:snapToGrid w:val="0"/>
              <w:spacing w:before="120" w:after="60"/>
              <w:jc w:val="center"/>
              <w:rPr>
                <w:rFonts w:ascii="宋体" w:hAnsi="宋体" w:cs="宋体"/>
                <w:b/>
                <w:szCs w:val="21"/>
              </w:rPr>
            </w:pPr>
            <w:r>
              <w:rPr>
                <w:rFonts w:hint="eastAsia" w:ascii="宋体" w:hAnsi="宋体" w:cs="宋体"/>
                <w:b/>
                <w:szCs w:val="21"/>
              </w:rPr>
              <w:t>评价内容</w:t>
            </w:r>
          </w:p>
        </w:tc>
        <w:tc>
          <w:tcPr>
            <w:tcW w:w="2832" w:type="dxa"/>
            <w:shd w:val="clear" w:color="auto" w:fill="D9D9D9"/>
            <w:vAlign w:val="center"/>
          </w:tcPr>
          <w:p>
            <w:pPr>
              <w:adjustRightInd w:val="0"/>
              <w:snapToGrid w:val="0"/>
              <w:spacing w:before="120" w:after="60"/>
              <w:jc w:val="center"/>
              <w:rPr>
                <w:rFonts w:ascii="宋体" w:hAnsi="宋体" w:cs="宋体"/>
                <w:b/>
                <w:szCs w:val="21"/>
              </w:rPr>
            </w:pPr>
            <w:r>
              <w:rPr>
                <w:rFonts w:hint="eastAsia" w:ascii="宋体" w:hAnsi="宋体" w:cs="宋体"/>
                <w:b/>
                <w:szCs w:val="21"/>
              </w:rPr>
              <w:t>分值</w:t>
            </w:r>
          </w:p>
        </w:tc>
        <w:tc>
          <w:tcPr>
            <w:tcW w:w="2929" w:type="dxa"/>
            <w:shd w:val="clear" w:color="auto" w:fill="D9D9D9"/>
            <w:vAlign w:val="center"/>
          </w:tcPr>
          <w:p>
            <w:pPr>
              <w:adjustRightInd w:val="0"/>
              <w:snapToGrid w:val="0"/>
              <w:spacing w:before="120" w:after="60"/>
              <w:jc w:val="center"/>
              <w:rPr>
                <w:rFonts w:ascii="宋体" w:hAnsi="宋体" w:cs="宋体"/>
                <w:b/>
                <w:szCs w:val="21"/>
              </w:rPr>
            </w:pPr>
            <w:r>
              <w:rPr>
                <w:rFonts w:hint="eastAsia" w:ascii="宋体" w:hAnsi="宋体" w:cs="宋体"/>
                <w:b/>
                <w:szCs w:val="21"/>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当年预算执行情况</w:t>
            </w:r>
          </w:p>
        </w:tc>
        <w:tc>
          <w:tcPr>
            <w:tcW w:w="2832"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20</w:t>
            </w:r>
          </w:p>
        </w:tc>
        <w:tc>
          <w:tcPr>
            <w:tcW w:w="2929" w:type="dxa"/>
            <w:vAlign w:val="center"/>
          </w:tcPr>
          <w:p>
            <w:pPr>
              <w:adjustRightInd w:val="0"/>
              <w:snapToGrid w:val="0"/>
              <w:spacing w:before="120" w:after="60"/>
              <w:jc w:val="center"/>
              <w:rPr>
                <w:rFonts w:hint="default" w:ascii="宋体" w:hAnsi="宋体" w:eastAsia="宋体" w:cs="宋体"/>
                <w:szCs w:val="21"/>
                <w:lang w:val="en-US" w:eastAsia="zh-CN"/>
              </w:rPr>
            </w:pPr>
            <w:r>
              <w:rPr>
                <w:rFonts w:hint="eastAsia" w:ascii="宋体" w:hAnsi="宋体" w:cs="宋体"/>
                <w:szCs w:val="21"/>
                <w:lang w:val="en-US" w:eastAsia="zh-CN"/>
              </w:rPr>
              <w:t>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整体绩效目标实现情况</w:t>
            </w:r>
          </w:p>
        </w:tc>
        <w:tc>
          <w:tcPr>
            <w:tcW w:w="2832"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60</w:t>
            </w:r>
          </w:p>
        </w:tc>
        <w:tc>
          <w:tcPr>
            <w:tcW w:w="2929"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5</w:t>
            </w:r>
            <w:r>
              <w:rPr>
                <w:rFonts w:hint="eastAsia" w:ascii="宋体" w:hAnsi="宋体" w:cs="宋体"/>
                <w:szCs w:val="21"/>
                <w:lang w:val="en-US" w:eastAsia="zh-CN"/>
              </w:rPr>
              <w:t>8</w:t>
            </w:r>
            <w:r>
              <w:rPr>
                <w:rFonts w:hint="eastAsia" w:ascii="宋体" w:hAnsi="宋体" w:cs="宋体"/>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预算管理情况</w:t>
            </w:r>
          </w:p>
        </w:tc>
        <w:tc>
          <w:tcPr>
            <w:tcW w:w="2832"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20</w:t>
            </w:r>
          </w:p>
        </w:tc>
        <w:tc>
          <w:tcPr>
            <w:tcW w:w="2929" w:type="dxa"/>
            <w:vAlign w:val="center"/>
          </w:tcPr>
          <w:p>
            <w:pPr>
              <w:adjustRightInd w:val="0"/>
              <w:snapToGrid w:val="0"/>
              <w:spacing w:before="120" w:after="60"/>
              <w:jc w:val="center"/>
              <w:rPr>
                <w:rFonts w:hint="default" w:ascii="宋体" w:hAnsi="宋体" w:eastAsia="宋体" w:cs="宋体"/>
                <w:szCs w:val="21"/>
                <w:lang w:val="en-US" w:eastAsia="zh-CN"/>
              </w:rPr>
            </w:pPr>
            <w:r>
              <w:rPr>
                <w:rFonts w:hint="eastAsia" w:ascii="宋体" w:hAnsi="宋体" w:cs="宋体"/>
                <w:szCs w:val="21"/>
                <w:lang w:val="en-US" w:eastAsia="zh-CN"/>
              </w:rPr>
              <w:t>14.10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综合得分</w:t>
            </w:r>
          </w:p>
        </w:tc>
        <w:tc>
          <w:tcPr>
            <w:tcW w:w="2832"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100</w:t>
            </w:r>
          </w:p>
        </w:tc>
        <w:tc>
          <w:tcPr>
            <w:tcW w:w="2929" w:type="dxa"/>
            <w:vAlign w:val="center"/>
          </w:tcPr>
          <w:p>
            <w:pPr>
              <w:adjustRightInd w:val="0"/>
              <w:snapToGrid w:val="0"/>
              <w:spacing w:before="120" w:after="60"/>
              <w:jc w:val="center"/>
              <w:rPr>
                <w:rFonts w:hint="default" w:ascii="宋体" w:hAnsi="宋体" w:eastAsia="宋体" w:cs="宋体"/>
                <w:szCs w:val="21"/>
                <w:lang w:val="en-US" w:eastAsia="zh-CN"/>
              </w:rPr>
            </w:pPr>
            <w:r>
              <w:rPr>
                <w:rFonts w:hint="eastAsia" w:ascii="宋体" w:hAnsi="宋体" w:cs="宋体"/>
                <w:szCs w:val="21"/>
                <w:lang w:val="en-US" w:eastAsia="zh-CN"/>
              </w:rPr>
              <w:t>90.10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绩效评定级别</w:t>
            </w:r>
          </w:p>
        </w:tc>
        <w:tc>
          <w:tcPr>
            <w:tcW w:w="5761" w:type="dxa"/>
            <w:gridSpan w:val="2"/>
            <w:vAlign w:val="center"/>
          </w:tcPr>
          <w:p>
            <w:pPr>
              <w:adjustRightInd w:val="0"/>
              <w:snapToGrid w:val="0"/>
              <w:spacing w:before="120" w:after="60"/>
              <w:jc w:val="center"/>
              <w:rPr>
                <w:rFonts w:ascii="宋体" w:hAnsi="宋体" w:cs="宋体"/>
                <w:szCs w:val="21"/>
              </w:rPr>
            </w:pPr>
            <w:r>
              <w:rPr>
                <w:rFonts w:hint="eastAsia" w:ascii="宋体" w:hAnsi="宋体" w:cs="宋体"/>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pPr>
              <w:adjustRightInd w:val="0"/>
              <w:snapToGrid w:val="0"/>
              <w:spacing w:before="120" w:after="60"/>
              <w:jc w:val="center"/>
              <w:rPr>
                <w:rFonts w:ascii="宋体" w:hAnsi="宋体" w:cs="宋体"/>
                <w:szCs w:val="21"/>
              </w:rPr>
            </w:pPr>
            <w:r>
              <w:rPr>
                <w:rFonts w:hint="eastAsia" w:ascii="宋体" w:hAnsi="宋体" w:cs="宋体"/>
                <w:szCs w:val="21"/>
              </w:rPr>
              <w:t>绩效级别</w:t>
            </w:r>
          </w:p>
        </w:tc>
        <w:tc>
          <w:tcPr>
            <w:tcW w:w="5761" w:type="dxa"/>
            <w:gridSpan w:val="2"/>
            <w:vAlign w:val="center"/>
          </w:tcPr>
          <w:p>
            <w:pPr>
              <w:jc w:val="left"/>
              <w:rPr>
                <w:rFonts w:ascii="宋体" w:hAnsi="宋体" w:cs="宋体"/>
                <w:szCs w:val="21"/>
              </w:rPr>
            </w:pPr>
            <w:r>
              <w:rPr>
                <w:rFonts w:hint="eastAsia" w:ascii="宋体" w:hAnsi="宋体" w:cs="宋体"/>
                <w:szCs w:val="21"/>
              </w:rPr>
              <w:t>优(90分以上)          良(80-90分)</w:t>
            </w:r>
          </w:p>
          <w:p>
            <w:pPr>
              <w:adjustRightInd w:val="0"/>
              <w:snapToGrid w:val="0"/>
              <w:spacing w:before="120" w:after="60"/>
              <w:jc w:val="left"/>
              <w:rPr>
                <w:rFonts w:ascii="宋体" w:hAnsi="宋体" w:cs="宋体"/>
                <w:szCs w:val="21"/>
              </w:rPr>
            </w:pPr>
            <w:r>
              <w:rPr>
                <w:rFonts w:hint="eastAsia" w:ascii="宋体" w:hAnsi="宋体" w:cs="宋体"/>
                <w:szCs w:val="21"/>
              </w:rPr>
              <w:t>中（60-80分）         差（60分以下）</w:t>
            </w:r>
          </w:p>
        </w:tc>
      </w:tr>
    </w:tbl>
    <w:p>
      <w:pPr>
        <w:spacing w:before="156" w:beforeLines="50" w:line="600" w:lineRule="exact"/>
        <w:ind w:firstLine="640" w:firstLineChars="200"/>
        <w:outlineLvl w:val="1"/>
        <w:rPr>
          <w:rFonts w:ascii="楷体_GB2312" w:eastAsia="楷体_GB2312"/>
          <w:sz w:val="32"/>
          <w:szCs w:val="32"/>
        </w:rPr>
      </w:pPr>
      <w:bookmarkStart w:id="48" w:name="_Toc28113"/>
      <w:bookmarkStart w:id="49" w:name="_Toc5105"/>
      <w:r>
        <w:rPr>
          <w:rFonts w:hint="eastAsia" w:ascii="楷体_GB2312" w:eastAsia="楷体_GB2312"/>
          <w:sz w:val="32"/>
          <w:szCs w:val="32"/>
        </w:rPr>
        <w:t>（二）存在的问题及原因分析</w:t>
      </w:r>
      <w:bookmarkEnd w:id="48"/>
      <w:bookmarkEnd w:id="49"/>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1.绩效目标填报质量需进一步提高</w:t>
      </w:r>
    </w:p>
    <w:p>
      <w:pPr>
        <w:spacing w:line="600" w:lineRule="exact"/>
        <w:ind w:firstLine="640" w:firstLineChars="200"/>
      </w:pPr>
      <w:r>
        <w:rPr>
          <w:rFonts w:hint="eastAsia" w:ascii="仿宋_GB2312" w:hAnsi="仿宋" w:eastAsia="仿宋_GB2312"/>
          <w:sz w:val="32"/>
          <w:szCs w:val="32"/>
        </w:rPr>
        <w:t>石景山区人民法院部门整体支出绩效目标和项目绩效目标设定依据较充分，绩效指标较为完整。但</w:t>
      </w:r>
      <w:r>
        <w:rPr>
          <w:rFonts w:hint="eastAsia" w:ascii="仿宋_GB2312" w:hAnsi="宋体" w:eastAsia="仿宋_GB2312" w:cs="宋体"/>
          <w:color w:val="000000"/>
          <w:kern w:val="0"/>
          <w:sz w:val="32"/>
          <w:szCs w:val="32"/>
        </w:rPr>
        <w:t>年度重点任务目标不够清晰、完整，绩效指标和指标值细化、量化不足，难以体现部门履职效率、效能</w:t>
      </w:r>
      <w:r>
        <w:rPr>
          <w:rFonts w:hint="eastAsia" w:ascii="仿宋_GB2312" w:hAnsi="仿宋" w:eastAsia="仿宋_GB2312"/>
          <w:sz w:val="32"/>
          <w:szCs w:val="32"/>
        </w:rPr>
        <w:t>；个别项目编制的绩效目标存在细化程度不足、涵盖内容不全面、可衡量性不足等问题。</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2.绩效实现情况佐证材料不够充分</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单位相关工作成果绩效资料留存、收集不够充分，一是在审结案件、调解案件、审判执行文书、推进诉讼服务现代化建设以及强化民生司法保障等方面部门绩效实现情况的证明材料需要注意收集、保存；二是石景山区人民法院</w:t>
      </w:r>
      <w:r>
        <w:rPr>
          <w:rFonts w:hint="eastAsia" w:ascii="仿宋_GB2312" w:hAnsi="仿宋" w:eastAsia="仿宋_GB2312"/>
          <w:sz w:val="32"/>
          <w:szCs w:val="32"/>
          <w:lang w:eastAsia="zh-CN"/>
        </w:rPr>
        <w:t>2023</w:t>
      </w:r>
      <w:r>
        <w:rPr>
          <w:rFonts w:hint="eastAsia" w:ascii="仿宋_GB2312" w:hAnsi="仿宋" w:eastAsia="仿宋_GB2312"/>
          <w:sz w:val="32"/>
          <w:szCs w:val="32"/>
        </w:rPr>
        <w:t>年度未针对多元调解对象、知网数据库使用人员等服务对象开展满意度调查工作，完成工作的满意度缺少数据、材料支撑。</w:t>
      </w:r>
    </w:p>
    <w:p>
      <w:pPr>
        <w:spacing w:line="600" w:lineRule="exact"/>
        <w:ind w:firstLine="640" w:firstLineChars="200"/>
        <w:outlineLvl w:val="0"/>
        <w:rPr>
          <w:rFonts w:ascii="黑体" w:hAnsi="黑体" w:eastAsia="黑体" w:cs="宋体"/>
          <w:color w:val="000000"/>
          <w:kern w:val="0"/>
          <w:sz w:val="32"/>
          <w:szCs w:val="32"/>
        </w:rPr>
      </w:pPr>
      <w:bookmarkStart w:id="50" w:name="_Toc10908"/>
      <w:bookmarkStart w:id="51" w:name="_Toc16335"/>
      <w:r>
        <w:rPr>
          <w:rFonts w:hint="eastAsia" w:ascii="黑体" w:hAnsi="黑体" w:eastAsia="黑体" w:cs="宋体"/>
          <w:color w:val="000000"/>
          <w:kern w:val="0"/>
          <w:sz w:val="32"/>
          <w:szCs w:val="32"/>
        </w:rPr>
        <w:t>六、措施建议</w:t>
      </w:r>
      <w:bookmarkEnd w:id="50"/>
      <w:bookmarkEnd w:id="51"/>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一）建议注重顶层设计，按照财政部门要求填报部门整体绩效目标，全面反映石景山区人民法院部门职责和年度重点工作和预期效果。同时，提高项目指标设定的细化和量化程度，保证数量、质量、满意度等相关指标的可衡量性。</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二）建议进一步完善项目管理制度体系，细化项目管理要求，明确项目的具体组织实施、职责分工、执行标准、过程控制、资金支付及总结验收等规定，以保证项目在实施过程中能够有章可循，有据可依，提高项目开展的规范性和有效性，便于对项目质量进行监督检查和验收考核。</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三）建议进一步提升预算绩效管理意识，提升绩效评价工作水平。一是注重收集和梳理部门履职产出、效果相关的资料，为部门绩效提供更加全面的支撑；二是注重开展满意度调查工作，通过被调查人员的反馈来促进部门工作改进提升。</w:t>
      </w:r>
    </w:p>
    <w:p>
      <w:pPr>
        <w:spacing w:line="600" w:lineRule="exact"/>
        <w:ind w:firstLine="640" w:firstLineChars="200"/>
        <w:outlineLvl w:val="0"/>
        <w:rPr>
          <w:rFonts w:ascii="黑体" w:hAnsi="黑体" w:eastAsia="黑体" w:cs="宋体"/>
          <w:color w:val="000000"/>
          <w:kern w:val="0"/>
          <w:sz w:val="32"/>
          <w:szCs w:val="32"/>
        </w:rPr>
      </w:pPr>
      <w:bookmarkStart w:id="52" w:name="_Toc19973"/>
      <w:r>
        <w:rPr>
          <w:rFonts w:hint="eastAsia" w:ascii="黑体" w:hAnsi="黑体" w:eastAsia="黑体" w:cs="宋体"/>
          <w:color w:val="000000"/>
          <w:kern w:val="0"/>
          <w:sz w:val="32"/>
          <w:szCs w:val="32"/>
        </w:rPr>
        <w:t>七、附件</w:t>
      </w:r>
      <w:bookmarkEnd w:id="11"/>
      <w:bookmarkEnd w:id="52"/>
    </w:p>
    <w:p>
      <w:pPr>
        <w:spacing w:line="600" w:lineRule="exact"/>
        <w:ind w:firstLine="641"/>
        <w:rPr>
          <w:rFonts w:ascii="仿宋_GB2312" w:hAnsi="仿宋_GB2312" w:eastAsia="仿宋_GB2312" w:cs="仿宋_GB2312"/>
          <w:sz w:val="32"/>
          <w:szCs w:val="32"/>
        </w:rPr>
      </w:pPr>
      <w:bookmarkStart w:id="53" w:name="_Toc493771738"/>
      <w:bookmarkStart w:id="54" w:name="_Toc455558626"/>
      <w:bookmarkStart w:id="55" w:name="_Toc493771734"/>
      <w:r>
        <w:rPr>
          <w:rFonts w:hint="eastAsia" w:ascii="仿宋_GB2312" w:hAnsi="仿宋_GB2312" w:eastAsia="仿宋_GB2312" w:cs="仿宋_GB2312"/>
          <w:sz w:val="32"/>
          <w:szCs w:val="32"/>
        </w:rPr>
        <w:t>1.</w:t>
      </w:r>
      <w:bookmarkEnd w:id="53"/>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年石景山区人民法院部门收入支出决算总表</w:t>
      </w:r>
    </w:p>
    <w:p>
      <w:pPr>
        <w:spacing w:line="600" w:lineRule="exact"/>
        <w:ind w:firstLine="641"/>
        <w:rPr>
          <w:rFonts w:ascii="仿宋_GB2312" w:hAnsi="仿宋_GB2312" w:eastAsia="仿宋_GB2312" w:cs="仿宋_GB2312"/>
          <w:sz w:val="32"/>
          <w:szCs w:val="32"/>
        </w:rPr>
      </w:pPr>
      <w:bookmarkStart w:id="56" w:name="_Toc493771739"/>
      <w:bookmarkStart w:id="57" w:name="_Toc455558634"/>
      <w:r>
        <w:rPr>
          <w:rFonts w:hint="eastAsia" w:ascii="仿宋_GB2312" w:hAnsi="仿宋_GB2312" w:eastAsia="仿宋_GB2312" w:cs="仿宋_GB2312"/>
          <w:sz w:val="32"/>
          <w:szCs w:val="32"/>
        </w:rPr>
        <w:t>2.</w:t>
      </w:r>
      <w:bookmarkEnd w:id="56"/>
      <w:bookmarkEnd w:id="57"/>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年石景山区人民法院部门整体绩效评价指标体系评分表</w:t>
      </w:r>
    </w:p>
    <w:bookmarkEnd w:id="54"/>
    <w:bookmarkEnd w:id="55"/>
    <w:p>
      <w:pPr>
        <w:rPr>
          <w:rFonts w:ascii="仿宋_GB2312" w:hAnsi="仿宋" w:eastAsia="仿宋_GB2312"/>
          <w:sz w:val="32"/>
          <w:szCs w:val="32"/>
        </w:rPr>
      </w:pPr>
    </w:p>
    <w:p>
      <w:pPr>
        <w:pStyle w:val="7"/>
        <w:rPr>
          <w:rFonts w:ascii="仿宋_GB2312" w:hAnsi="仿宋" w:eastAsia="仿宋_GB2312"/>
          <w:sz w:val="32"/>
          <w:szCs w:val="32"/>
        </w:rPr>
      </w:pPr>
    </w:p>
    <w:p>
      <w:pPr>
        <w:rPr>
          <w:rFonts w:ascii="仿宋_GB2312" w:hAnsi="仿宋" w:eastAsia="仿宋_GB2312"/>
          <w:sz w:val="32"/>
          <w:szCs w:val="32"/>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7"/>
      </w:pPr>
      <w:r>
        <w:rPr>
          <w:rFonts w:hint="eastAsia"/>
        </w:rPr>
        <w:t>附件1：</w:t>
      </w:r>
    </w:p>
    <w:tbl>
      <w:tblPr>
        <w:tblStyle w:val="16"/>
        <w:tblW w:w="4896" w:type="pct"/>
        <w:jc w:val="center"/>
        <w:tblLayout w:type="fixed"/>
        <w:tblCellMar>
          <w:top w:w="0" w:type="dxa"/>
          <w:left w:w="108" w:type="dxa"/>
          <w:bottom w:w="0" w:type="dxa"/>
          <w:right w:w="108" w:type="dxa"/>
        </w:tblCellMar>
      </w:tblPr>
      <w:tblGrid>
        <w:gridCol w:w="2562"/>
        <w:gridCol w:w="600"/>
        <w:gridCol w:w="1296"/>
        <w:gridCol w:w="2512"/>
        <w:gridCol w:w="705"/>
        <w:gridCol w:w="1391"/>
        <w:gridCol w:w="2004"/>
        <w:gridCol w:w="602"/>
        <w:gridCol w:w="2207"/>
      </w:tblGrid>
      <w:tr>
        <w:tblPrEx>
          <w:tblCellMar>
            <w:top w:w="0" w:type="dxa"/>
            <w:left w:w="108" w:type="dxa"/>
            <w:bottom w:w="0" w:type="dxa"/>
            <w:right w:w="108" w:type="dxa"/>
          </w:tblCellMar>
        </w:tblPrEx>
        <w:trPr>
          <w:trHeight w:val="587" w:hRule="atLeast"/>
          <w:jc w:val="center"/>
        </w:trPr>
        <w:tc>
          <w:tcPr>
            <w:tcW w:w="5000" w:type="pct"/>
            <w:gridSpan w:val="9"/>
            <w:tcBorders>
              <w:top w:val="nil"/>
              <w:left w:val="nil"/>
              <w:bottom w:val="nil"/>
              <w:right w:val="nil"/>
            </w:tcBorders>
            <w:shd w:val="clear" w:color="auto" w:fill="auto"/>
            <w:noWrap/>
            <w:vAlign w:val="bottom"/>
          </w:tcPr>
          <w:p>
            <w:pPr>
              <w:widowControl/>
              <w:adjustRightInd w:val="0"/>
              <w:snapToGrid w:val="0"/>
              <w:jc w:val="center"/>
              <w:textAlignment w:val="bottom"/>
              <w:rPr>
                <w:rFonts w:ascii="宋体" w:hAnsi="宋体" w:cs="宋体"/>
                <w:color w:val="000000"/>
                <w:sz w:val="15"/>
                <w:szCs w:val="15"/>
              </w:rPr>
            </w:pPr>
            <w:r>
              <w:rPr>
                <w:rFonts w:hint="eastAsia" w:ascii="宋体" w:hAnsi="宋体" w:cs="宋体"/>
                <w:b/>
                <w:bCs/>
                <w:color w:val="000000"/>
                <w:kern w:val="0"/>
                <w:sz w:val="44"/>
                <w:szCs w:val="44"/>
                <w:lang w:eastAsia="zh-CN"/>
              </w:rPr>
              <w:t>2023</w:t>
            </w:r>
            <w:r>
              <w:rPr>
                <w:rFonts w:hint="eastAsia" w:ascii="宋体" w:hAnsi="宋体" w:cs="宋体"/>
                <w:b/>
                <w:bCs/>
                <w:color w:val="000000"/>
                <w:kern w:val="0"/>
                <w:sz w:val="44"/>
                <w:szCs w:val="44"/>
              </w:rPr>
              <w:t>年度北京市石景山区人民法院部门收入支出决算总表</w:t>
            </w:r>
          </w:p>
        </w:tc>
      </w:tr>
      <w:tr>
        <w:tblPrEx>
          <w:tblCellMar>
            <w:top w:w="0" w:type="dxa"/>
            <w:left w:w="108" w:type="dxa"/>
            <w:bottom w:w="0" w:type="dxa"/>
            <w:right w:w="108" w:type="dxa"/>
          </w:tblCellMar>
        </w:tblPrEx>
        <w:trPr>
          <w:trHeight w:val="239" w:hRule="atLeast"/>
          <w:jc w:val="center"/>
        </w:trPr>
        <w:tc>
          <w:tcPr>
            <w:tcW w:w="923" w:type="pct"/>
            <w:tcBorders>
              <w:top w:val="nil"/>
              <w:left w:val="nil"/>
              <w:bottom w:val="nil"/>
              <w:right w:val="nil"/>
            </w:tcBorders>
            <w:shd w:val="clear" w:color="auto" w:fill="auto"/>
            <w:noWrap/>
            <w:vAlign w:val="bottom"/>
          </w:tcPr>
          <w:p>
            <w:pPr>
              <w:widowControl/>
              <w:adjustRightInd w:val="0"/>
              <w:snapToGrid w:val="0"/>
              <w:jc w:val="left"/>
              <w:textAlignment w:val="bottom"/>
              <w:rPr>
                <w:rFonts w:ascii="宋体" w:hAnsi="宋体" w:cs="宋体"/>
                <w:color w:val="000000"/>
                <w:sz w:val="15"/>
                <w:szCs w:val="15"/>
              </w:rPr>
            </w:pPr>
          </w:p>
        </w:tc>
        <w:tc>
          <w:tcPr>
            <w:tcW w:w="216"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5"/>
                <w:szCs w:val="15"/>
              </w:rPr>
            </w:pPr>
          </w:p>
        </w:tc>
        <w:tc>
          <w:tcPr>
            <w:tcW w:w="467"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5"/>
                <w:szCs w:val="15"/>
              </w:rPr>
            </w:pPr>
          </w:p>
        </w:tc>
        <w:tc>
          <w:tcPr>
            <w:tcW w:w="905"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5"/>
                <w:szCs w:val="15"/>
              </w:rPr>
            </w:pPr>
          </w:p>
        </w:tc>
        <w:tc>
          <w:tcPr>
            <w:tcW w:w="254"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5"/>
                <w:szCs w:val="15"/>
              </w:rPr>
            </w:pPr>
          </w:p>
        </w:tc>
        <w:tc>
          <w:tcPr>
            <w:tcW w:w="501"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5"/>
                <w:szCs w:val="15"/>
              </w:rPr>
            </w:pPr>
          </w:p>
        </w:tc>
        <w:tc>
          <w:tcPr>
            <w:tcW w:w="720"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5"/>
                <w:szCs w:val="15"/>
              </w:rPr>
            </w:pPr>
          </w:p>
        </w:tc>
        <w:tc>
          <w:tcPr>
            <w:tcW w:w="217" w:type="pct"/>
            <w:tcBorders>
              <w:top w:val="nil"/>
              <w:left w:val="nil"/>
              <w:bottom w:val="nil"/>
              <w:right w:val="nil"/>
            </w:tcBorders>
            <w:shd w:val="clear" w:color="auto" w:fill="auto"/>
            <w:noWrap/>
            <w:vAlign w:val="bottom"/>
          </w:tcPr>
          <w:p>
            <w:pPr>
              <w:widowControl/>
              <w:adjustRightInd w:val="0"/>
              <w:snapToGrid w:val="0"/>
              <w:rPr>
                <w:rFonts w:ascii="Arial" w:hAnsi="Arial" w:cs="Arial"/>
                <w:color w:val="000000"/>
                <w:sz w:val="13"/>
                <w:szCs w:val="13"/>
              </w:rPr>
            </w:pPr>
          </w:p>
        </w:tc>
        <w:tc>
          <w:tcPr>
            <w:tcW w:w="793" w:type="pct"/>
            <w:tcBorders>
              <w:top w:val="nil"/>
              <w:left w:val="nil"/>
              <w:bottom w:val="nil"/>
              <w:right w:val="nil"/>
            </w:tcBorders>
            <w:shd w:val="clear" w:color="auto" w:fill="auto"/>
            <w:noWrap/>
            <w:vAlign w:val="bottom"/>
          </w:tcPr>
          <w:p>
            <w:pPr>
              <w:widowControl/>
              <w:adjustRightInd w:val="0"/>
              <w:snapToGrid w:val="0"/>
              <w:textAlignment w:val="bottom"/>
              <w:rPr>
                <w:rFonts w:ascii="宋体" w:hAnsi="宋体" w:cs="宋体"/>
                <w:color w:val="000000"/>
                <w:sz w:val="13"/>
                <w:szCs w:val="13"/>
              </w:rPr>
            </w:pPr>
            <w:r>
              <w:rPr>
                <w:rFonts w:hint="eastAsia" w:ascii="宋体" w:hAnsi="宋体" w:cs="宋体"/>
                <w:color w:val="000000"/>
                <w:kern w:val="0"/>
                <w:sz w:val="18"/>
                <w:szCs w:val="18"/>
              </w:rPr>
              <w:t>金额单位：元</w:t>
            </w:r>
          </w:p>
        </w:tc>
      </w:tr>
      <w:tr>
        <w:tblPrEx>
          <w:tblCellMar>
            <w:top w:w="0" w:type="dxa"/>
            <w:left w:w="108" w:type="dxa"/>
            <w:bottom w:w="0" w:type="dxa"/>
            <w:right w:w="108" w:type="dxa"/>
          </w:tblCellMar>
        </w:tblPrEx>
        <w:trPr>
          <w:trHeight w:val="233" w:hRule="atLeast"/>
          <w:jc w:val="center"/>
        </w:trPr>
        <w:tc>
          <w:tcPr>
            <w:tcW w:w="1606" w:type="pct"/>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收入</w:t>
            </w:r>
          </w:p>
        </w:tc>
        <w:tc>
          <w:tcPr>
            <w:tcW w:w="3393" w:type="pct"/>
            <w:gridSpan w:val="6"/>
            <w:tcBorders>
              <w:top w:val="single" w:color="000000" w:sz="4" w:space="0"/>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支出</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项目</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行次</w:t>
            </w:r>
          </w:p>
        </w:tc>
        <w:tc>
          <w:tcPr>
            <w:tcW w:w="46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决算数</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项目(按功能分类)</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行次</w:t>
            </w:r>
          </w:p>
        </w:tc>
        <w:tc>
          <w:tcPr>
            <w:tcW w:w="501"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决算数</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项目(按支出性质和经济分类)</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行次</w:t>
            </w:r>
          </w:p>
        </w:tc>
        <w:tc>
          <w:tcPr>
            <w:tcW w:w="793" w:type="pct"/>
            <w:tcBorders>
              <w:top w:val="nil"/>
              <w:left w:val="nil"/>
              <w:bottom w:val="single" w:color="000000" w:sz="4" w:space="0"/>
              <w:right w:val="single" w:color="000000" w:sz="8"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决算数</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栏次</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rPr>
                <w:rFonts w:ascii="宋体" w:hAnsi="宋体" w:cs="宋体"/>
                <w:color w:val="000000"/>
                <w:sz w:val="13"/>
                <w:szCs w:val="13"/>
              </w:rPr>
            </w:pPr>
          </w:p>
        </w:tc>
        <w:tc>
          <w:tcPr>
            <w:tcW w:w="46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栏次</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rPr>
                <w:rFonts w:ascii="宋体" w:hAnsi="宋体" w:cs="宋体"/>
                <w:color w:val="000000"/>
                <w:sz w:val="13"/>
                <w:szCs w:val="13"/>
              </w:rPr>
            </w:pPr>
          </w:p>
        </w:tc>
        <w:tc>
          <w:tcPr>
            <w:tcW w:w="501"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栏次</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rPr>
                <w:rFonts w:ascii="宋体" w:hAnsi="宋体" w:cs="宋体"/>
                <w:color w:val="000000"/>
                <w:sz w:val="13"/>
                <w:szCs w:val="13"/>
              </w:rPr>
            </w:pPr>
          </w:p>
        </w:tc>
        <w:tc>
          <w:tcPr>
            <w:tcW w:w="793" w:type="pct"/>
            <w:tcBorders>
              <w:top w:val="nil"/>
              <w:left w:val="nil"/>
              <w:bottom w:val="single" w:color="000000" w:sz="4" w:space="0"/>
              <w:right w:val="single" w:color="000000" w:sz="8"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9</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一、一般公共预算财政拨款收入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155603583.14</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一、一般公共服务支出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32</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一、基本支出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58</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111217396.30</w:t>
            </w:r>
          </w:p>
        </w:tc>
      </w:tr>
      <w:tr>
        <w:tblPrEx>
          <w:tblCellMar>
            <w:top w:w="0" w:type="dxa"/>
            <w:left w:w="108" w:type="dxa"/>
            <w:bottom w:w="0" w:type="dxa"/>
            <w:right w:w="108" w:type="dxa"/>
          </w:tblCellMar>
        </w:tblPrEx>
        <w:trPr>
          <w:trHeight w:val="16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二、政府性基金预算财政拨款收入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二、外交支出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33</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人员经费</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59</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95957580.99</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三、国有资本经营预算财政拨款收入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三、国防支出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34</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公用经费</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60</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15259815.31</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四、上级补助收入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四、公共安全支出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35</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132047596.54</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二、项目支出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61</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36005455.17</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五、事业收入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五、教育支出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36</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26500.00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其中：基本建设类项目</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62</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六、经营收入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六、科学技术支出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37</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三、上缴上级支出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63</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七、附属单位上缴收入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七、文化旅游体育与传媒支出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38</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四、经营支出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64</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八、其他收入</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10105414.69</w:t>
            </w: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八、社会保障和就业支出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39</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8271309.17</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五、对附属单位补助支出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65</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9</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九、卫生健康支出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40</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6877445.76</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66</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10</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十、节能环保支出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41</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67</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11</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十一、城乡社区支出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42</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经济分类支出合计</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68</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147222851.47</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12</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十二、农林水支出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43</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一、工资福利支出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69</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94826441.99</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13</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十三、交通运输支出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44</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二、商品和服务支出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70</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44975034.53</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14</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十四、资源勘探工业信息等支出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45</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三、对个人和家庭的补助</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71</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1131139.00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15</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十五、商业服务业等支出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46</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四、债务利息及费用支出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72</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16</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十六、金融支出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47</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五、资本性支出（基本建设）</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73</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17</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十七、援助其他地区支出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48</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六、资本性支出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74</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6290235.95</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18</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十八、自然资源海洋气象等支出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49</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七、对企业补助（基本建设）</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75</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19</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十九、住房保障支出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50</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八、对企业补助</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76</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20</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二十、粮油物资储备支出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51</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九、对社会保障基金补助</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77</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21</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二十一、国有资本经营预算支出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52</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十、其他支出</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78</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22</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二十二、灾害防治及应急管理支出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53</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79</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23</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二十三、其他支出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54</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80</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24</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二十四、债务还本支出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55</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81</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25</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二十五、债务付息支出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56</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82</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26</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rPr>
                <w:rFonts w:ascii="宋体" w:hAnsi="宋体" w:cs="宋体"/>
                <w:color w:val="000000"/>
                <w:sz w:val="13"/>
                <w:szCs w:val="13"/>
              </w:rPr>
            </w:pPr>
          </w:p>
        </w:tc>
        <w:tc>
          <w:tcPr>
            <w:tcW w:w="905"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二十六、抗疫特别国债安排的支出</w:t>
            </w:r>
          </w:p>
        </w:tc>
        <w:tc>
          <w:tcPr>
            <w:tcW w:w="254"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57</w:t>
            </w:r>
          </w:p>
        </w:tc>
        <w:tc>
          <w:tcPr>
            <w:tcW w:w="501"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c>
          <w:tcPr>
            <w:tcW w:w="720"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rPr>
                <w:rFonts w:ascii="宋体" w:hAnsi="宋体" w:cs="宋体"/>
                <w:color w:val="000000"/>
                <w:sz w:val="13"/>
                <w:szCs w:val="13"/>
              </w:rPr>
            </w:pP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83</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rPr>
                <w:rFonts w:ascii="宋体" w:hAnsi="宋体" w:cs="宋体"/>
                <w:color w:val="000000"/>
                <w:sz w:val="13"/>
                <w:szCs w:val="13"/>
              </w:rPr>
            </w:pP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本年收入合计</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27</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165708997.83</w:t>
            </w:r>
          </w:p>
        </w:tc>
        <w:tc>
          <w:tcPr>
            <w:tcW w:w="2382" w:type="pct"/>
            <w:gridSpan w:val="4"/>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本年支出合计</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84</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147222851.47</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使用非财政拨款结余</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28</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w:t>
            </w:r>
          </w:p>
        </w:tc>
        <w:tc>
          <w:tcPr>
            <w:tcW w:w="2382" w:type="pct"/>
            <w:gridSpan w:val="4"/>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结余分配</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85</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0.00</w:t>
            </w:r>
          </w:p>
        </w:tc>
      </w:tr>
      <w:tr>
        <w:tblPrEx>
          <w:tblCellMar>
            <w:top w:w="0" w:type="dxa"/>
            <w:left w:w="108" w:type="dxa"/>
            <w:bottom w:w="0" w:type="dxa"/>
            <w:right w:w="108" w:type="dxa"/>
          </w:tblCellMar>
        </w:tblPrEx>
        <w:trPr>
          <w:trHeight w:val="199" w:hRule="atLeast"/>
          <w:jc w:val="center"/>
        </w:trPr>
        <w:tc>
          <w:tcPr>
            <w:tcW w:w="923" w:type="pct"/>
            <w:tcBorders>
              <w:top w:val="nil"/>
              <w:left w:val="single" w:color="000000" w:sz="4" w:space="0"/>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年初结转和结余</w:t>
            </w:r>
          </w:p>
        </w:tc>
        <w:tc>
          <w:tcPr>
            <w:tcW w:w="216"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29</w:t>
            </w:r>
          </w:p>
        </w:tc>
        <w:tc>
          <w:tcPr>
            <w:tcW w:w="467" w:type="pct"/>
            <w:tcBorders>
              <w:top w:val="nil"/>
              <w:left w:val="nil"/>
              <w:bottom w:val="single" w:color="000000" w:sz="4" w:space="0"/>
              <w:right w:val="single" w:color="000000" w:sz="4" w:space="0"/>
            </w:tcBorders>
            <w:shd w:val="clear" w:color="auto" w:fill="auto"/>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w:t>
            </w:r>
          </w:p>
        </w:tc>
        <w:tc>
          <w:tcPr>
            <w:tcW w:w="2382" w:type="pct"/>
            <w:gridSpan w:val="4"/>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left"/>
              <w:textAlignment w:val="center"/>
              <w:rPr>
                <w:rFonts w:ascii="宋体" w:hAnsi="宋体" w:cs="宋体"/>
                <w:color w:val="000000"/>
                <w:sz w:val="13"/>
                <w:szCs w:val="13"/>
              </w:rPr>
            </w:pPr>
            <w:r>
              <w:rPr>
                <w:rFonts w:hint="eastAsia" w:ascii="宋体" w:hAnsi="宋体" w:cs="宋体"/>
                <w:color w:val="000000"/>
                <w:kern w:val="0"/>
                <w:sz w:val="13"/>
                <w:szCs w:val="13"/>
                <w:lang w:bidi="ar"/>
              </w:rPr>
              <w:t xml:space="preserve">    年末结转和结余</w:t>
            </w:r>
          </w:p>
        </w:tc>
        <w:tc>
          <w:tcPr>
            <w:tcW w:w="217" w:type="pct"/>
            <w:tcBorders>
              <w:top w:val="nil"/>
              <w:left w:val="nil"/>
              <w:bottom w:val="single" w:color="000000" w:sz="4"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86</w:t>
            </w:r>
          </w:p>
        </w:tc>
        <w:tc>
          <w:tcPr>
            <w:tcW w:w="793" w:type="pct"/>
            <w:tcBorders>
              <w:top w:val="nil"/>
              <w:left w:val="nil"/>
              <w:bottom w:val="single" w:color="000000" w:sz="4"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18486146.36</w:t>
            </w:r>
          </w:p>
        </w:tc>
      </w:tr>
      <w:tr>
        <w:tblPrEx>
          <w:tblCellMar>
            <w:top w:w="0" w:type="dxa"/>
            <w:left w:w="108" w:type="dxa"/>
            <w:bottom w:w="0" w:type="dxa"/>
            <w:right w:w="108" w:type="dxa"/>
          </w:tblCellMar>
        </w:tblPrEx>
        <w:trPr>
          <w:trHeight w:val="390" w:hRule="atLeast"/>
          <w:jc w:val="center"/>
        </w:trPr>
        <w:tc>
          <w:tcPr>
            <w:tcW w:w="923" w:type="pct"/>
            <w:tcBorders>
              <w:top w:val="nil"/>
              <w:left w:val="single" w:color="000000" w:sz="4" w:space="0"/>
              <w:bottom w:val="single" w:color="000000" w:sz="8"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总计</w:t>
            </w:r>
          </w:p>
        </w:tc>
        <w:tc>
          <w:tcPr>
            <w:tcW w:w="216" w:type="pct"/>
            <w:tcBorders>
              <w:top w:val="nil"/>
              <w:left w:val="nil"/>
              <w:bottom w:val="single" w:color="000000" w:sz="8"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30</w:t>
            </w:r>
          </w:p>
        </w:tc>
        <w:tc>
          <w:tcPr>
            <w:tcW w:w="467" w:type="pct"/>
            <w:tcBorders>
              <w:top w:val="nil"/>
              <w:left w:val="nil"/>
              <w:bottom w:val="single" w:color="000000" w:sz="8" w:space="0"/>
              <w:right w:val="single" w:color="000000" w:sz="4"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165708997.83</w:t>
            </w:r>
          </w:p>
        </w:tc>
        <w:tc>
          <w:tcPr>
            <w:tcW w:w="2382" w:type="pct"/>
            <w:gridSpan w:val="4"/>
            <w:tcBorders>
              <w:top w:val="nil"/>
              <w:left w:val="nil"/>
              <w:bottom w:val="single" w:color="000000" w:sz="8"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lang w:bidi="ar"/>
              </w:rPr>
              <w:t>总计</w:t>
            </w:r>
          </w:p>
        </w:tc>
        <w:tc>
          <w:tcPr>
            <w:tcW w:w="217" w:type="pct"/>
            <w:tcBorders>
              <w:top w:val="nil"/>
              <w:left w:val="nil"/>
              <w:bottom w:val="single" w:color="000000" w:sz="8" w:space="0"/>
              <w:right w:val="single" w:color="000000" w:sz="4" w:space="0"/>
            </w:tcBorders>
            <w:shd w:val="clear" w:color="FFFFFF" w:fill="C0C0C0"/>
            <w:noWrap/>
            <w:vAlign w:val="center"/>
          </w:tcPr>
          <w:p>
            <w:pPr>
              <w:widowControl/>
              <w:adjustRightInd w:val="0"/>
              <w:snapToGrid w:val="0"/>
              <w:jc w:val="center"/>
              <w:textAlignment w:val="center"/>
              <w:rPr>
                <w:rFonts w:ascii="宋体" w:hAnsi="宋体" w:cs="宋体"/>
                <w:color w:val="000000"/>
                <w:sz w:val="13"/>
                <w:szCs w:val="13"/>
              </w:rPr>
            </w:pPr>
            <w:r>
              <w:rPr>
                <w:rFonts w:hint="eastAsia" w:ascii="宋体" w:hAnsi="宋体" w:cs="宋体"/>
                <w:color w:val="000000"/>
                <w:kern w:val="0"/>
                <w:sz w:val="13"/>
                <w:szCs w:val="13"/>
                <w:lang w:bidi="ar"/>
              </w:rPr>
              <w:t>87</w:t>
            </w:r>
          </w:p>
        </w:tc>
        <w:tc>
          <w:tcPr>
            <w:tcW w:w="793" w:type="pct"/>
            <w:tcBorders>
              <w:top w:val="nil"/>
              <w:left w:val="nil"/>
              <w:bottom w:val="single" w:color="000000" w:sz="8" w:space="0"/>
              <w:right w:val="single" w:color="000000" w:sz="8" w:space="0"/>
            </w:tcBorders>
            <w:shd w:val="clear" w:color="auto" w:fill="auto"/>
            <w:noWrap/>
            <w:vAlign w:val="center"/>
          </w:tcPr>
          <w:p>
            <w:pPr>
              <w:widowControl/>
              <w:adjustRightInd w:val="0"/>
              <w:snapToGrid w:val="0"/>
              <w:jc w:val="right"/>
              <w:textAlignment w:val="center"/>
              <w:rPr>
                <w:rFonts w:ascii="宋体" w:hAnsi="宋体" w:cs="宋体"/>
                <w:color w:val="000000"/>
                <w:sz w:val="13"/>
                <w:szCs w:val="13"/>
              </w:rPr>
            </w:pPr>
            <w:r>
              <w:rPr>
                <w:rFonts w:hint="eastAsia" w:ascii="宋体" w:hAnsi="宋体" w:cs="宋体"/>
                <w:color w:val="000000"/>
                <w:kern w:val="0"/>
                <w:sz w:val="13"/>
                <w:szCs w:val="13"/>
                <w:lang w:bidi="ar"/>
              </w:rPr>
              <w:t>165708997.83</w:t>
            </w:r>
          </w:p>
        </w:tc>
      </w:tr>
    </w:tbl>
    <w:p>
      <w:pPr>
        <w:pStyle w:val="7"/>
      </w:pPr>
      <w:r>
        <w:rPr>
          <w:rFonts w:hint="eastAsia"/>
        </w:rPr>
        <w:t>附件2：</w:t>
      </w:r>
    </w:p>
    <w:tbl>
      <w:tblPr>
        <w:tblStyle w:val="16"/>
        <w:tblW w:w="5124" w:type="pct"/>
        <w:tblInd w:w="31" w:type="dxa"/>
        <w:tblLayout w:type="fixed"/>
        <w:tblCellMar>
          <w:top w:w="0" w:type="dxa"/>
          <w:left w:w="108" w:type="dxa"/>
          <w:bottom w:w="0" w:type="dxa"/>
          <w:right w:w="108" w:type="dxa"/>
        </w:tblCellMar>
      </w:tblPr>
      <w:tblGrid>
        <w:gridCol w:w="985"/>
        <w:gridCol w:w="1113"/>
        <w:gridCol w:w="1737"/>
        <w:gridCol w:w="999"/>
        <w:gridCol w:w="2037"/>
        <w:gridCol w:w="712"/>
        <w:gridCol w:w="712"/>
        <w:gridCol w:w="2379"/>
        <w:gridCol w:w="3852"/>
      </w:tblGrid>
      <w:tr>
        <w:tblPrEx>
          <w:tblCellMar>
            <w:top w:w="0" w:type="dxa"/>
            <w:left w:w="108" w:type="dxa"/>
            <w:bottom w:w="0" w:type="dxa"/>
            <w:right w:w="108" w:type="dxa"/>
          </w:tblCellMar>
        </w:tblPrEx>
        <w:trPr>
          <w:trHeight w:val="780" w:hRule="atLeast"/>
        </w:trPr>
        <w:tc>
          <w:tcPr>
            <w:tcW w:w="5000" w:type="pct"/>
            <w:gridSpan w:val="9"/>
            <w:tcBorders>
              <w:top w:val="nil"/>
              <w:left w:val="nil"/>
              <w:bottom w:val="single" w:color="auto" w:sz="4" w:space="0"/>
              <w:right w:val="nil"/>
            </w:tcBorders>
            <w:shd w:val="clear" w:color="auto" w:fill="auto"/>
            <w:noWrap/>
            <w:vAlign w:val="center"/>
          </w:tcPr>
          <w:p>
            <w:pPr>
              <w:widowControl/>
              <w:adjustRightInd w:val="0"/>
              <w:snapToGrid w:val="0"/>
              <w:jc w:val="center"/>
              <w:textAlignment w:val="center"/>
            </w:pPr>
            <w:r>
              <w:rPr>
                <w:rFonts w:hint="eastAsia"/>
                <w:b/>
                <w:bCs/>
                <w:sz w:val="44"/>
                <w:szCs w:val="52"/>
                <w:lang w:eastAsia="zh-CN"/>
              </w:rPr>
              <w:t>2023</w:t>
            </w:r>
            <w:r>
              <w:rPr>
                <w:b/>
                <w:bCs/>
                <w:sz w:val="44"/>
                <w:szCs w:val="52"/>
              </w:rPr>
              <w:t>年北京市石景山区人民法院部门整体绩效评价指标体系评分表</w:t>
            </w:r>
            <w:r>
              <w:t xml:space="preserve"> </w:t>
            </w:r>
          </w:p>
          <w:p/>
          <w:p>
            <w:pPr>
              <w:pStyle w:val="7"/>
            </w:pPr>
          </w:p>
        </w:tc>
      </w:tr>
      <w:tr>
        <w:tblPrEx>
          <w:tblCellMar>
            <w:top w:w="0" w:type="dxa"/>
            <w:left w:w="108" w:type="dxa"/>
            <w:bottom w:w="0" w:type="dxa"/>
            <w:right w:w="108" w:type="dxa"/>
          </w:tblCellMar>
        </w:tblPrEx>
        <w:trPr>
          <w:trHeight w:val="55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一、当年预算执行情况（20分）</w:t>
            </w:r>
          </w:p>
        </w:tc>
      </w:tr>
      <w:tr>
        <w:tblPrEx>
          <w:tblCellMar>
            <w:top w:w="0" w:type="dxa"/>
            <w:left w:w="108" w:type="dxa"/>
            <w:bottom w:w="0" w:type="dxa"/>
            <w:right w:w="108" w:type="dxa"/>
          </w:tblCellMar>
        </w:tblPrEx>
        <w:trPr>
          <w:trHeight w:val="600" w:hRule="atLeast"/>
        </w:trPr>
        <w:tc>
          <w:tcPr>
            <w:tcW w:w="33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一级指标　</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二级指标　</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预算数</w:t>
            </w:r>
          </w:p>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（万元）</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执行数</w:t>
            </w:r>
          </w:p>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（万元）</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预算执行率</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指标解释</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评分标准</w:t>
            </w:r>
          </w:p>
        </w:tc>
      </w:tr>
      <w:tr>
        <w:tblPrEx>
          <w:tblCellMar>
            <w:top w:w="0" w:type="dxa"/>
            <w:left w:w="108" w:type="dxa"/>
            <w:bottom w:w="0" w:type="dxa"/>
            <w:right w:w="108" w:type="dxa"/>
          </w:tblCellMar>
        </w:tblPrEx>
        <w:trPr>
          <w:trHeight w:val="1324" w:hRule="atLeast"/>
        </w:trPr>
        <w:tc>
          <w:tcPr>
            <w:tcW w:w="33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当年预算执行情况（20）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资金总体</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16570.90</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14722.29</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val="en-US" w:eastAsia="zh-CN" w:bidi="ar"/>
              </w:rPr>
              <w:t>88.84</w:t>
            </w:r>
            <w:r>
              <w:rPr>
                <w:rFonts w:hint="eastAsia" w:ascii="宋体" w:hAnsi="宋体" w:cs="宋体"/>
                <w:color w:val="000000"/>
                <w:kern w:val="0"/>
                <w:sz w:val="18"/>
                <w:szCs w:val="18"/>
                <w:lang w:bidi="ar"/>
              </w:rPr>
              <w:t>%</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val="en-US" w:eastAsia="zh-CN" w:bidi="ar"/>
              </w:rPr>
              <w:t>17.60</w:t>
            </w:r>
            <w:r>
              <w:rPr>
                <w:rFonts w:hint="eastAsia" w:ascii="宋体" w:hAnsi="宋体" w:cs="宋体"/>
                <w:color w:val="000000"/>
                <w:kern w:val="0"/>
                <w:sz w:val="18"/>
                <w:szCs w:val="18"/>
                <w:lang w:bidi="ar"/>
              </w:rPr>
              <w:t xml:space="preserve"> </w:t>
            </w:r>
          </w:p>
        </w:tc>
        <w:tc>
          <w:tcPr>
            <w:tcW w:w="8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部门全年执行数与全年预算数的比率。资金总体=基本支出+项目支出+其他</w:t>
            </w:r>
          </w:p>
        </w:tc>
        <w:tc>
          <w:tcPr>
            <w:tcW w:w="13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①得分一档最高不能超过该指标分值上限（20分）。</w:t>
            </w:r>
          </w:p>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228"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基本支出</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11150.05</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11121.74</w:t>
            </w:r>
          </w:p>
        </w:tc>
        <w:tc>
          <w:tcPr>
            <w:tcW w:w="69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ascii="宋体" w:hAnsi="宋体" w:cs="宋体"/>
                <w:color w:val="000000"/>
                <w:sz w:val="18"/>
                <w:szCs w:val="18"/>
              </w:rPr>
            </w:pPr>
          </w:p>
        </w:tc>
        <w:tc>
          <w:tcPr>
            <w:tcW w:w="8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c>
          <w:tcPr>
            <w:tcW w:w="1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r>
      <w:tr>
        <w:tblPrEx>
          <w:tblCellMar>
            <w:top w:w="0" w:type="dxa"/>
            <w:left w:w="108" w:type="dxa"/>
            <w:bottom w:w="0" w:type="dxa"/>
            <w:right w:w="108" w:type="dxa"/>
          </w:tblCellMar>
        </w:tblPrEx>
        <w:trPr>
          <w:trHeight w:val="1324"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项目支出</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5420.85</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3600.55</w:t>
            </w:r>
          </w:p>
        </w:tc>
        <w:tc>
          <w:tcPr>
            <w:tcW w:w="6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ascii="宋体" w:hAnsi="宋体" w:cs="宋体"/>
                <w:color w:val="000000"/>
                <w:sz w:val="18"/>
                <w:szCs w:val="18"/>
              </w:rPr>
            </w:pPr>
          </w:p>
        </w:tc>
        <w:tc>
          <w:tcPr>
            <w:tcW w:w="8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c>
          <w:tcPr>
            <w:tcW w:w="1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r>
      <w:tr>
        <w:tblPrEx>
          <w:tblCellMar>
            <w:top w:w="0" w:type="dxa"/>
            <w:left w:w="108" w:type="dxa"/>
            <w:bottom w:w="0" w:type="dxa"/>
            <w:right w:w="108" w:type="dxa"/>
          </w:tblCellMar>
        </w:tblPrEx>
        <w:trPr>
          <w:trHeight w:val="1412"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w:t>
            </w:r>
          </w:p>
        </w:tc>
        <w:tc>
          <w:tcPr>
            <w:tcW w:w="6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ascii="宋体" w:hAnsi="宋体" w:cs="宋体"/>
                <w:color w:val="000000"/>
                <w:sz w:val="18"/>
                <w:szCs w:val="18"/>
              </w:rPr>
            </w:pPr>
          </w:p>
        </w:tc>
        <w:tc>
          <w:tcPr>
            <w:tcW w:w="8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c>
          <w:tcPr>
            <w:tcW w:w="1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r>
      <w:tr>
        <w:tblPrEx>
          <w:tblCellMar>
            <w:top w:w="0" w:type="dxa"/>
            <w:left w:w="108" w:type="dxa"/>
            <w:bottom w:w="0" w:type="dxa"/>
            <w:right w:w="108" w:type="dxa"/>
          </w:tblCellMar>
        </w:tblPrEx>
        <w:trPr>
          <w:trHeight w:val="63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二、整体绩效目标实现情况（60分）</w:t>
            </w:r>
          </w:p>
        </w:tc>
      </w:tr>
      <w:tr>
        <w:tblPrEx>
          <w:tblCellMar>
            <w:top w:w="0" w:type="dxa"/>
            <w:left w:w="108" w:type="dxa"/>
            <w:bottom w:w="0" w:type="dxa"/>
            <w:right w:w="108" w:type="dxa"/>
          </w:tblCellMar>
        </w:tblPrEx>
        <w:trPr>
          <w:trHeight w:val="556" w:hRule="atLeast"/>
        </w:trPr>
        <w:tc>
          <w:tcPr>
            <w:tcW w:w="33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一级指标</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二级指标　</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三级指标　</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指标值</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完成值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指标解释</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评分标准</w:t>
            </w:r>
          </w:p>
        </w:tc>
      </w:tr>
      <w:tr>
        <w:tblPrEx>
          <w:tblCellMar>
            <w:top w:w="0" w:type="dxa"/>
            <w:left w:w="108" w:type="dxa"/>
            <w:bottom w:w="0" w:type="dxa"/>
            <w:right w:w="108" w:type="dxa"/>
          </w:tblCellMar>
        </w:tblPrEx>
        <w:trPr>
          <w:trHeight w:val="1780"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整体绩效目标实现情况</w:t>
            </w:r>
          </w:p>
          <w:p>
            <w:pPr>
              <w:jc w:val="center"/>
              <w:rPr>
                <w:rFonts w:ascii="宋体" w:hAnsi="宋体" w:cs="宋体"/>
                <w:color w:val="000000"/>
                <w:sz w:val="18"/>
                <w:szCs w:val="18"/>
              </w:rPr>
            </w:pPr>
            <w:r>
              <w:rPr>
                <w:rFonts w:hint="eastAsia" w:ascii="宋体" w:hAnsi="宋体" w:cs="宋体"/>
                <w:color w:val="000000"/>
                <w:kern w:val="0"/>
                <w:sz w:val="18"/>
                <w:szCs w:val="18"/>
                <w:lang w:bidi="ar"/>
              </w:rPr>
              <w:t>（60分）</w:t>
            </w:r>
          </w:p>
        </w:tc>
        <w:tc>
          <w:tcPr>
            <w:tcW w:w="383" w:type="pct"/>
            <w:vMerge w:val="restart"/>
            <w:tcBorders>
              <w:top w:val="single" w:color="auto" w:sz="4" w:space="0"/>
              <w:left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kern w:val="0"/>
                <w:sz w:val="18"/>
                <w:szCs w:val="18"/>
                <w:lang w:bidi="ar"/>
              </w:rPr>
              <w:t>产出（30）</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sz w:val="18"/>
                <w:szCs w:val="18"/>
              </w:rPr>
              <w:t>案件审判工作产出</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在案件审判工作等方面的产出完成情况。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完成情况好得9分，否则根据实际情况酌情打分。</w:t>
            </w:r>
          </w:p>
        </w:tc>
      </w:tr>
      <w:tr>
        <w:tblPrEx>
          <w:tblCellMar>
            <w:top w:w="0" w:type="dxa"/>
            <w:left w:w="108" w:type="dxa"/>
            <w:bottom w:w="0" w:type="dxa"/>
            <w:right w:w="108" w:type="dxa"/>
          </w:tblCellMar>
        </w:tblPrEx>
        <w:trPr>
          <w:trHeight w:val="1470" w:hRule="atLeast"/>
        </w:trPr>
        <w:tc>
          <w:tcPr>
            <w:tcW w:w="339" w:type="pct"/>
            <w:vMerge w:val="continue"/>
            <w:tcBorders>
              <w:left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p>
        </w:tc>
        <w:tc>
          <w:tcPr>
            <w:tcW w:w="383" w:type="pct"/>
            <w:vMerge w:val="continue"/>
            <w:tcBorders>
              <w:left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“两庭”建设工作</w:t>
            </w:r>
            <w:r>
              <w:rPr>
                <w:rFonts w:hint="eastAsia" w:ascii="宋体" w:hAnsi="宋体" w:cs="宋体"/>
                <w:color w:val="000000"/>
                <w:sz w:val="18"/>
                <w:szCs w:val="18"/>
              </w:rPr>
              <w:t>产出</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在“两庭”建设工作等方面的产出完成情况。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完成情况好得7分，否则根据实际情况酌情打分。</w:t>
            </w:r>
          </w:p>
        </w:tc>
      </w:tr>
      <w:tr>
        <w:tblPrEx>
          <w:tblCellMar>
            <w:top w:w="0" w:type="dxa"/>
            <w:left w:w="108" w:type="dxa"/>
            <w:bottom w:w="0" w:type="dxa"/>
            <w:right w:w="108" w:type="dxa"/>
          </w:tblCellMar>
        </w:tblPrEx>
        <w:trPr>
          <w:trHeight w:val="1516"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信息化系统建设和运维工作</w:t>
            </w:r>
            <w:r>
              <w:rPr>
                <w:rFonts w:hint="eastAsia" w:ascii="宋体" w:hAnsi="宋体" w:cs="宋体"/>
                <w:color w:val="000000"/>
                <w:sz w:val="18"/>
                <w:szCs w:val="18"/>
              </w:rPr>
              <w:t>产出</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在信息化系统建设和运维工作等方面的产出完成情况。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完成情况好得7分，否则根据实际情况酌情打分。</w:t>
            </w:r>
          </w:p>
        </w:tc>
      </w:tr>
      <w:tr>
        <w:tblPrEx>
          <w:tblCellMar>
            <w:top w:w="0" w:type="dxa"/>
            <w:left w:w="108" w:type="dxa"/>
            <w:bottom w:w="0" w:type="dxa"/>
            <w:right w:w="108" w:type="dxa"/>
          </w:tblCellMar>
        </w:tblPrEx>
        <w:trPr>
          <w:trHeight w:val="1750"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纪检监察工作</w:t>
            </w:r>
            <w:r>
              <w:rPr>
                <w:rFonts w:hint="eastAsia" w:ascii="宋体" w:hAnsi="宋体" w:cs="宋体"/>
                <w:color w:val="000000"/>
                <w:sz w:val="18"/>
                <w:szCs w:val="18"/>
              </w:rPr>
              <w:t>产出</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在纪检监察工作等方面的产出完成情况。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完成情况好得7分，否则根据实际情况酌情打分。</w:t>
            </w:r>
          </w:p>
        </w:tc>
      </w:tr>
      <w:tr>
        <w:tblPrEx>
          <w:tblCellMar>
            <w:top w:w="0" w:type="dxa"/>
            <w:left w:w="108" w:type="dxa"/>
            <w:bottom w:w="0" w:type="dxa"/>
            <w:right w:w="108" w:type="dxa"/>
          </w:tblCellMar>
        </w:tblPrEx>
        <w:trPr>
          <w:trHeight w:val="1709"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r>
              <w:rPr>
                <w:rFonts w:hint="eastAsia" w:ascii="宋体" w:hAnsi="宋体" w:cs="宋体"/>
                <w:color w:val="000000"/>
                <w:sz w:val="18"/>
                <w:szCs w:val="18"/>
              </w:rPr>
              <w:t>续上页</w:t>
            </w:r>
          </w:p>
        </w:tc>
        <w:tc>
          <w:tcPr>
            <w:tcW w:w="3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效果（30）</w:t>
            </w: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sz w:val="18"/>
                <w:szCs w:val="18"/>
              </w:rPr>
              <w:t>保障案件审判工作顺利开展，为审判工作提供便利，为人民群众提供优质高效的司法服务</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eastAsia="zh-CN" w:bidi="ar"/>
              </w:rPr>
              <w:t>优</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sz w:val="18"/>
                <w:szCs w:val="18"/>
              </w:rPr>
              <w:t>保障案件审判工作顺利开展，为审判工作提供便利，为人民群众提供优质高效的司法服务</w:t>
            </w:r>
            <w:r>
              <w:rPr>
                <w:rFonts w:hint="eastAsia" w:ascii="宋体" w:hAnsi="宋体" w:cs="宋体"/>
                <w:color w:val="000000"/>
                <w:kern w:val="0"/>
                <w:sz w:val="18"/>
                <w:szCs w:val="18"/>
                <w:lang w:bidi="ar"/>
              </w:rPr>
              <w:t>作用显著。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4.5</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bidi="ar"/>
              </w:rPr>
              <w:t>4.</w:t>
            </w:r>
            <w:r>
              <w:rPr>
                <w:rFonts w:hint="eastAsia" w:ascii="宋体" w:hAnsi="宋体" w:cs="宋体"/>
                <w:color w:val="000000"/>
                <w:kern w:val="0"/>
                <w:sz w:val="18"/>
                <w:szCs w:val="18"/>
                <w:lang w:val="en-US" w:eastAsia="zh-CN" w:bidi="ar"/>
              </w:rPr>
              <w:t>3</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w:t>
            </w:r>
            <w:r>
              <w:rPr>
                <w:rFonts w:hint="eastAsia" w:ascii="宋体" w:hAnsi="宋体" w:cs="宋体"/>
                <w:color w:val="000000"/>
                <w:sz w:val="18"/>
                <w:szCs w:val="18"/>
              </w:rPr>
              <w:t>保障案件审判工作顺利开展，为审判工作提供便利，为人民群众提供优质高效的司法服务</w:t>
            </w:r>
            <w:r>
              <w:rPr>
                <w:rFonts w:hint="eastAsia" w:ascii="宋体" w:hAnsi="宋体" w:cs="宋体"/>
                <w:color w:val="000000"/>
                <w:kern w:val="0"/>
                <w:sz w:val="18"/>
                <w:szCs w:val="18"/>
                <w:lang w:bidi="ar"/>
              </w:rPr>
              <w:t>等方面起到的作用是否显著。</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石景山区人民法院相关工作在该方面效果显著得4.5分，否则根据实际情况酌情打分。</w:t>
            </w:r>
          </w:p>
        </w:tc>
      </w:tr>
      <w:tr>
        <w:tblPrEx>
          <w:tblCellMar>
            <w:top w:w="0" w:type="dxa"/>
            <w:left w:w="108" w:type="dxa"/>
            <w:bottom w:w="0" w:type="dxa"/>
            <w:right w:w="108" w:type="dxa"/>
          </w:tblCellMar>
        </w:tblPrEx>
        <w:trPr>
          <w:trHeight w:val="1599"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保障审判执行活动正常开展，为办公办案提供便利，提高审判执行工作水平</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eastAsia="zh-CN" w:bidi="ar"/>
              </w:rPr>
              <w:t>优</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保障审判执行活动正常开展，为办公办案提供便利，提高审判执行工作水平作用显著。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4.5</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bidi="ar"/>
              </w:rPr>
              <w:t>4.</w:t>
            </w:r>
            <w:r>
              <w:rPr>
                <w:rFonts w:hint="eastAsia" w:ascii="宋体" w:hAnsi="宋体" w:cs="宋体"/>
                <w:color w:val="000000"/>
                <w:kern w:val="0"/>
                <w:sz w:val="18"/>
                <w:szCs w:val="18"/>
                <w:lang w:val="en-US" w:eastAsia="zh-CN" w:bidi="ar"/>
              </w:rPr>
              <w:t>3</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在保障审判执行活动正常开展，为办公办案提供便利，提高审判执行工作水平等方面起到的作用是否显著。</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石景山区人民法院相关工作在该方面效果显著得4.5分，否则根据实际情况酌情打分。</w:t>
            </w:r>
          </w:p>
        </w:tc>
      </w:tr>
      <w:tr>
        <w:tblPrEx>
          <w:tblCellMar>
            <w:top w:w="0" w:type="dxa"/>
            <w:left w:w="108" w:type="dxa"/>
            <w:bottom w:w="0" w:type="dxa"/>
            <w:right w:w="108" w:type="dxa"/>
          </w:tblCellMar>
        </w:tblPrEx>
        <w:trPr>
          <w:trHeight w:val="1594"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保障日常办公顺利开展，满足“两庭”建设需求，提升公共服务能力</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eastAsia="zh-CN" w:bidi="ar"/>
              </w:rPr>
              <w:t>优</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保障日常办公顺利开展，满足“两庭”建设需求，提升公共服务能力作用显著。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bidi="ar"/>
              </w:rPr>
              <w:t>6.</w:t>
            </w:r>
            <w:r>
              <w:rPr>
                <w:rFonts w:hint="eastAsia" w:ascii="宋体" w:hAnsi="宋体" w:cs="宋体"/>
                <w:color w:val="000000"/>
                <w:kern w:val="0"/>
                <w:sz w:val="18"/>
                <w:szCs w:val="18"/>
                <w:lang w:val="en-US" w:eastAsia="zh-CN" w:bidi="ar"/>
              </w:rPr>
              <w:t>6</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在保障日常办公顺利开展，满足“两庭”建设需求，提升公共服务能力等方面起到的作用是否显著。</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石景山区人民法院相关工作在该方面效果显著得7分，否则根据实际情况酌情打分。</w:t>
            </w:r>
          </w:p>
        </w:tc>
      </w:tr>
      <w:tr>
        <w:tblPrEx>
          <w:tblCellMar>
            <w:top w:w="0" w:type="dxa"/>
            <w:left w:w="108" w:type="dxa"/>
            <w:bottom w:w="0" w:type="dxa"/>
            <w:right w:w="108" w:type="dxa"/>
          </w:tblCellMar>
        </w:tblPrEx>
        <w:trPr>
          <w:trHeight w:val="1563"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保障办公办案平台正常运转，提升法院网络信息安全和数据安全，为干警办公办案提供便利</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eastAsia="zh-CN" w:bidi="ar"/>
              </w:rPr>
              <w:t>优</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保障办公办案平台正常运转，提升法院网络信息安全和数据安全，为干警办公办案提供便利作用显著。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bidi="ar"/>
              </w:rPr>
              <w:t>6</w:t>
            </w:r>
            <w:r>
              <w:rPr>
                <w:rFonts w:hint="eastAsia" w:ascii="宋体" w:hAnsi="宋体" w:cs="宋体"/>
                <w:color w:val="000000"/>
                <w:kern w:val="0"/>
                <w:sz w:val="18"/>
                <w:szCs w:val="18"/>
                <w:lang w:val="en-US" w:eastAsia="zh-CN" w:bidi="ar"/>
              </w:rPr>
              <w:t>.6</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在保障办公办案平台正常运转，提升法院网络信息安全和数据安全，为干警办公办案提供便利等方面起到的作用是否显著。</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石景山区人民法院相关工作在该方面效果显著得7分，否则根据实际情况酌情打分。</w:t>
            </w:r>
          </w:p>
        </w:tc>
      </w:tr>
      <w:tr>
        <w:tblPrEx>
          <w:tblCellMar>
            <w:top w:w="0" w:type="dxa"/>
            <w:left w:w="108" w:type="dxa"/>
            <w:bottom w:w="0" w:type="dxa"/>
            <w:right w:w="108" w:type="dxa"/>
          </w:tblCellMar>
        </w:tblPrEx>
        <w:trPr>
          <w:trHeight w:val="1505"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保障区人民法院各项经费开展合理合规合法，为开展经济业务提供相关支撑材料</w:t>
            </w: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eastAsia="zh-CN" w:bidi="ar"/>
              </w:rPr>
              <w:t>优</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保障区人民法院各项经费开展合理合规合法，为开展经济业务提供相关支撑材料效果明显。</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6</w:t>
            </w:r>
            <w:r>
              <w:rPr>
                <w:rFonts w:hint="eastAsia" w:ascii="宋体" w:hAnsi="宋体" w:cs="宋体"/>
                <w:color w:val="000000"/>
                <w:kern w:val="0"/>
                <w:sz w:val="18"/>
                <w:szCs w:val="18"/>
                <w:lang w:val="en-US" w:eastAsia="zh-CN" w:bidi="ar"/>
              </w:rPr>
              <w:t>.6</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在保障区人民法院各项经费开展合理合规合法，为开展经济业务提供相关支撑材料等方面起到的效果是否明显。</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石景山区人民法院相关工作在该方面效果显著得7分，否则根据实际情况酌情打分。</w:t>
            </w:r>
          </w:p>
        </w:tc>
      </w:tr>
      <w:tr>
        <w:tblPrEx>
          <w:tblCellMar>
            <w:top w:w="0" w:type="dxa"/>
            <w:left w:w="108" w:type="dxa"/>
            <w:bottom w:w="0" w:type="dxa"/>
            <w:right w:w="108" w:type="dxa"/>
          </w:tblCellMar>
        </w:tblPrEx>
        <w:trPr>
          <w:trHeight w:val="42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三、预算管理情况（20分）</w:t>
            </w:r>
          </w:p>
        </w:tc>
      </w:tr>
      <w:tr>
        <w:tblPrEx>
          <w:tblCellMar>
            <w:top w:w="0" w:type="dxa"/>
            <w:left w:w="108" w:type="dxa"/>
            <w:bottom w:w="0" w:type="dxa"/>
            <w:right w:w="108" w:type="dxa"/>
          </w:tblCellMar>
        </w:tblPrEx>
        <w:trPr>
          <w:trHeight w:val="380" w:hRule="atLeast"/>
        </w:trPr>
        <w:tc>
          <w:tcPr>
            <w:tcW w:w="33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一级指标</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二级指标</w:t>
            </w:r>
          </w:p>
        </w:tc>
        <w:tc>
          <w:tcPr>
            <w:tcW w:w="164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三级指标</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指标解释</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评分标准</w:t>
            </w:r>
          </w:p>
        </w:tc>
      </w:tr>
      <w:tr>
        <w:tblPrEx>
          <w:tblCellMar>
            <w:top w:w="0" w:type="dxa"/>
            <w:left w:w="108" w:type="dxa"/>
            <w:bottom w:w="0" w:type="dxa"/>
            <w:right w:w="108" w:type="dxa"/>
          </w:tblCellMar>
        </w:tblPrEx>
        <w:trPr>
          <w:trHeight w:val="2175"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pPr>
              <w:jc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预算管理情况</w:t>
            </w:r>
          </w:p>
          <w:p>
            <w:pPr>
              <w:jc w:val="center"/>
            </w:pPr>
            <w:r>
              <w:rPr>
                <w:rFonts w:hint="eastAsia" w:ascii="宋体" w:hAnsi="宋体" w:cs="宋体"/>
                <w:color w:val="000000"/>
                <w:kern w:val="0"/>
                <w:sz w:val="18"/>
                <w:szCs w:val="18"/>
                <w:lang w:bidi="ar"/>
              </w:rPr>
              <w:t>（20）</w:t>
            </w:r>
          </w:p>
          <w:p>
            <w:pPr>
              <w:widowControl/>
              <w:adjustRightInd w:val="0"/>
              <w:snapToGrid w:val="0"/>
              <w:jc w:val="center"/>
              <w:textAlignment w:val="center"/>
              <w:rPr>
                <w:rFonts w:ascii="宋体" w:hAnsi="宋体" w:cs="宋体"/>
                <w:color w:val="000000"/>
                <w:sz w:val="18"/>
                <w:szCs w:val="18"/>
              </w:rPr>
            </w:pPr>
          </w:p>
        </w:tc>
        <w:tc>
          <w:tcPr>
            <w:tcW w:w="3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财务管理（4）</w:t>
            </w:r>
          </w:p>
        </w:tc>
        <w:tc>
          <w:tcPr>
            <w:tcW w:w="164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财务管理制度健全性</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0.8</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财务管理制度健全性:</w:t>
            </w:r>
            <w:r>
              <w:rPr>
                <w:rStyle w:val="29"/>
                <w:rFonts w:hint="default"/>
                <w:lang w:bidi="ar"/>
              </w:rPr>
              <w:t>部门（单位）为加强财务管理、规范财务行为而制定的管理制度。</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①预算资金管理办法、绩效跟踪管理办法、资产管理办法等各项制度是否健全；</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②部门内部财务管理制度是否完整、合规；</w:t>
            </w:r>
          </w:p>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③会计核算制度是否完整、合规。每有一项不合格扣0.5分，扣完为止。</w:t>
            </w:r>
          </w:p>
        </w:tc>
      </w:tr>
      <w:tr>
        <w:tblPrEx>
          <w:tblCellMar>
            <w:top w:w="0" w:type="dxa"/>
            <w:left w:w="108" w:type="dxa"/>
            <w:bottom w:w="0" w:type="dxa"/>
            <w:right w:w="108" w:type="dxa"/>
          </w:tblCellMar>
        </w:tblPrEx>
        <w:trPr>
          <w:trHeight w:val="2538"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164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资金使用合规性和安全性</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eastAsia" w:ascii="宋体" w:hAnsi="宋体" w:eastAsia="宋体" w:cs="宋体"/>
                <w:color w:val="000000"/>
                <w:sz w:val="18"/>
                <w:szCs w:val="18"/>
                <w:lang w:val="en-US" w:eastAsia="zh-CN"/>
              </w:rPr>
            </w:pPr>
            <w:r>
              <w:rPr>
                <w:rFonts w:hint="eastAsia" w:ascii="宋体" w:hAnsi="宋体" w:cs="宋体"/>
                <w:color w:val="000000"/>
                <w:kern w:val="0"/>
                <w:sz w:val="18"/>
                <w:szCs w:val="18"/>
                <w:lang w:bidi="ar"/>
              </w:rPr>
              <w:t>1.6</w:t>
            </w:r>
            <w:r>
              <w:rPr>
                <w:rFonts w:hint="eastAsia" w:ascii="宋体" w:hAnsi="宋体" w:cs="宋体"/>
                <w:color w:val="000000"/>
                <w:kern w:val="0"/>
                <w:sz w:val="18"/>
                <w:szCs w:val="18"/>
                <w:lang w:val="en-US" w:eastAsia="zh-CN" w:bidi="ar"/>
              </w:rPr>
              <w:t>0</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资金使用合规性和安全性:</w:t>
            </w:r>
            <w:r>
              <w:rPr>
                <w:rStyle w:val="29"/>
                <w:rFonts w:hint="default"/>
                <w:lang w:bidi="ar"/>
              </w:rPr>
              <w:t>部门（单位）使用预算资金是否符合相关的预算财务管理制度的规定，是否符合相关规定的开支范围，用以反映考核部门（单位）预算资金的规范运行和安全运行情况。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①是否符合国家财经法规和财务管理制度规定以及有关专项资金管理办法的规定；</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②资金的拨付是否有完整的审批程序和手续；</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③项目的重大开支是否经过评估论证；</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④是否符合部门预算批复的用途；</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⑤是否存在截留、挤占、挪用情况；</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⑥资金使用是否符合政府采购的程序和流程；</w:t>
            </w:r>
          </w:p>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⑦资金使用是否符合公务卡结算相关制度和规定。每有一项不合格扣0.5分，扣完为止。</w:t>
            </w:r>
          </w:p>
        </w:tc>
      </w:tr>
      <w:tr>
        <w:tblPrEx>
          <w:tblCellMar>
            <w:top w:w="0" w:type="dxa"/>
            <w:left w:w="108" w:type="dxa"/>
            <w:bottom w:w="0" w:type="dxa"/>
            <w:right w:w="108" w:type="dxa"/>
          </w:tblCellMar>
        </w:tblPrEx>
        <w:trPr>
          <w:trHeight w:val="2423"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164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会计基础信息完善性</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bidi="ar"/>
              </w:rPr>
              <w:t>0.</w:t>
            </w:r>
            <w:r>
              <w:rPr>
                <w:rFonts w:hint="eastAsia" w:ascii="宋体" w:hAnsi="宋体" w:cs="宋体"/>
                <w:color w:val="000000"/>
                <w:kern w:val="0"/>
                <w:sz w:val="18"/>
                <w:szCs w:val="18"/>
                <w:lang w:val="en-US" w:eastAsia="zh-CN" w:bidi="ar"/>
              </w:rPr>
              <w:t>8</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会计基础信息完善性:</w:t>
            </w:r>
            <w:r>
              <w:rPr>
                <w:rStyle w:val="29"/>
                <w:rFonts w:hint="default"/>
                <w:lang w:bidi="ar"/>
              </w:rPr>
              <w:t>部门（单位）会计基础信息情况。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①基础数据信息和会计信息资料是否真实；</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②基础数据信息和会计信息资料是否完整；</w:t>
            </w:r>
          </w:p>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③基础数据信息和会计信息资料是否准确。每有一项不合格扣0.5分，扣完为止。</w:t>
            </w:r>
          </w:p>
        </w:tc>
      </w:tr>
      <w:tr>
        <w:tblPrEx>
          <w:tblCellMar>
            <w:top w:w="0" w:type="dxa"/>
            <w:left w:w="108" w:type="dxa"/>
            <w:bottom w:w="0" w:type="dxa"/>
            <w:right w:w="108" w:type="dxa"/>
          </w:tblCellMar>
        </w:tblPrEx>
        <w:trPr>
          <w:trHeight w:val="454"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sz w:val="18"/>
                <w:szCs w:val="18"/>
              </w:rPr>
              <w:t>续上页</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资产管理（4）</w:t>
            </w:r>
          </w:p>
        </w:tc>
        <w:tc>
          <w:tcPr>
            <w:tcW w:w="164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资产管理规范性</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bidi="ar"/>
              </w:rPr>
              <w:t>3.</w:t>
            </w:r>
            <w:r>
              <w:rPr>
                <w:rFonts w:hint="eastAsia" w:ascii="宋体" w:hAnsi="宋体" w:cs="宋体"/>
                <w:color w:val="000000"/>
                <w:kern w:val="0"/>
                <w:sz w:val="18"/>
                <w:szCs w:val="18"/>
                <w:lang w:val="en-US" w:eastAsia="zh-CN" w:bidi="ar"/>
              </w:rPr>
              <w:t>5</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资产管理规范性:</w:t>
            </w:r>
            <w:r>
              <w:rPr>
                <w:rStyle w:val="29"/>
                <w:rFonts w:hint="default"/>
                <w:lang w:bidi="ar"/>
              </w:rPr>
              <w:t>部门（单位）的资产是否保持安全完整，资产配置是否合理，资产使用和资产处理是否规范，用以反映和考核部门（单位）资产管理的整体水平。</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①对外投资行为是否经审批，是否存在投资亏损；</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②是否有因管理不当发生严重资产损失和丢失情况；</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③是否存在超标准配置资产；</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④资产使用是否规范，是否存在未经批准擅自出租、出借资产行为；</w:t>
            </w:r>
          </w:p>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⑤资产处置是否规范，是否存在不按要求进行报批或资产不公开处置行为；</w:t>
            </w:r>
          </w:p>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⑥其它资产管理制度办法执行情况。每有一项不合格扣0.8分，扣完为止。</w:t>
            </w:r>
          </w:p>
        </w:tc>
      </w:tr>
      <w:tr>
        <w:tblPrEx>
          <w:tblCellMar>
            <w:top w:w="0" w:type="dxa"/>
            <w:left w:w="108" w:type="dxa"/>
            <w:bottom w:w="0" w:type="dxa"/>
            <w:right w:w="108" w:type="dxa"/>
          </w:tblCellMar>
        </w:tblPrEx>
        <w:trPr>
          <w:trHeight w:val="1531" w:hRule="atLeast"/>
        </w:trPr>
        <w:tc>
          <w:tcPr>
            <w:tcW w:w="339" w:type="pct"/>
            <w:vMerge w:val="continue"/>
            <w:tcBorders>
              <w:left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绩效管理（4）</w:t>
            </w:r>
          </w:p>
        </w:tc>
        <w:tc>
          <w:tcPr>
            <w:tcW w:w="164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绩效管理情况</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3</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绩效管理情况:</w:t>
            </w:r>
            <w:r>
              <w:rPr>
                <w:rStyle w:val="29"/>
                <w:rFonts w:hint="default"/>
                <w:lang w:bidi="ar"/>
              </w:rPr>
              <w:t>考核部门（单位）在绩效管理信息的汇总和应用情况。</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①部门（单位）是否及时对绩效信息进行汇总分析整理；</w:t>
            </w:r>
          </w:p>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②部门（单位）是否对绩效目标偏离情况及时进行矫正。每有一项不合格扣2分。</w:t>
            </w:r>
          </w:p>
        </w:tc>
      </w:tr>
      <w:tr>
        <w:tblPrEx>
          <w:tblCellMar>
            <w:top w:w="0" w:type="dxa"/>
            <w:left w:w="108" w:type="dxa"/>
            <w:bottom w:w="0" w:type="dxa"/>
            <w:right w:w="108" w:type="dxa"/>
          </w:tblCellMar>
        </w:tblPrEx>
        <w:trPr>
          <w:trHeight w:val="387" w:hRule="atLeast"/>
        </w:trPr>
        <w:tc>
          <w:tcPr>
            <w:tcW w:w="339" w:type="pct"/>
            <w:vMerge w:val="continue"/>
            <w:tcBorders>
              <w:left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指标　</w:t>
            </w:r>
          </w:p>
        </w:tc>
        <w:tc>
          <w:tcPr>
            <w:tcW w:w="9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202</w:t>
            </w: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年</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eastAsia="zh-CN" w:bidi="ar"/>
              </w:rPr>
              <w:t>2023</w:t>
            </w:r>
            <w:r>
              <w:rPr>
                <w:rFonts w:hint="eastAsia" w:ascii="宋体" w:hAnsi="宋体" w:cs="宋体"/>
                <w:color w:val="000000"/>
                <w:kern w:val="0"/>
                <w:sz w:val="18"/>
                <w:szCs w:val="18"/>
                <w:lang w:bidi="ar"/>
              </w:rPr>
              <w:t>年</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指标解释</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评分标准</w:t>
            </w:r>
          </w:p>
        </w:tc>
      </w:tr>
      <w:tr>
        <w:tblPrEx>
          <w:tblCellMar>
            <w:top w:w="0" w:type="dxa"/>
            <w:left w:w="108" w:type="dxa"/>
            <w:bottom w:w="0" w:type="dxa"/>
            <w:right w:w="108" w:type="dxa"/>
          </w:tblCellMar>
        </w:tblPrEx>
        <w:trPr>
          <w:trHeight w:val="759"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结转</w:t>
            </w:r>
          </w:p>
          <w:p>
            <w:pPr>
              <w:widowControl/>
              <w:adjustRightInd w:val="0"/>
              <w:snapToGrid w:val="0"/>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结余率</w:t>
            </w:r>
          </w:p>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73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1.68%</w:t>
            </w:r>
          </w:p>
        </w:tc>
        <w:tc>
          <w:tcPr>
            <w:tcW w:w="69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val="en-US" w:eastAsia="zh-CN" w:bidi="ar"/>
              </w:rPr>
              <w:t>11.15</w:t>
            </w:r>
            <w:r>
              <w:rPr>
                <w:rFonts w:hint="eastAsia" w:ascii="宋体" w:hAnsi="宋体" w:cs="宋体"/>
                <w:color w:val="000000"/>
                <w:kern w:val="0"/>
                <w:sz w:val="18"/>
                <w:szCs w:val="18"/>
                <w:lang w:bidi="ar"/>
              </w:rPr>
              <w:t>%</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0.4</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结转结余率=结转结余总额/支出预算数×100%。</w:t>
            </w:r>
          </w:p>
        </w:tc>
        <w:tc>
          <w:tcPr>
            <w:tcW w:w="13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792" w:hRule="atLeast"/>
        </w:trPr>
        <w:tc>
          <w:tcPr>
            <w:tcW w:w="339" w:type="pct"/>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9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6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结转结余总额：部门（单位）本年度的结转资金与结余资金之和。</w:t>
            </w:r>
          </w:p>
        </w:tc>
        <w:tc>
          <w:tcPr>
            <w:tcW w:w="1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left"/>
              <w:rPr>
                <w:rFonts w:ascii="宋体" w:hAnsi="宋体" w:cs="宋体"/>
                <w:color w:val="000000"/>
                <w:sz w:val="18"/>
                <w:szCs w:val="18"/>
              </w:rPr>
            </w:pPr>
          </w:p>
        </w:tc>
      </w:tr>
      <w:tr>
        <w:tblPrEx>
          <w:tblCellMar>
            <w:top w:w="0" w:type="dxa"/>
            <w:left w:w="108" w:type="dxa"/>
            <w:bottom w:w="0" w:type="dxa"/>
            <w:right w:w="108" w:type="dxa"/>
          </w:tblCellMar>
        </w:tblPrEx>
        <w:trPr>
          <w:trHeight w:val="1279"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部门预决算差异率（4）</w:t>
            </w:r>
          </w:p>
        </w:tc>
        <w:tc>
          <w:tcPr>
            <w:tcW w:w="27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0.84%</w:t>
            </w:r>
          </w:p>
        </w:tc>
        <w:tc>
          <w:tcPr>
            <w:tcW w:w="6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val="en-US" w:eastAsia="zh-CN" w:bidi="ar"/>
              </w:rPr>
              <w:t>12.58</w:t>
            </w:r>
            <w:r>
              <w:rPr>
                <w:rFonts w:hint="eastAsia" w:ascii="宋体" w:hAnsi="宋体" w:cs="宋体"/>
                <w:color w:val="000000"/>
                <w:kern w:val="0"/>
                <w:sz w:val="18"/>
                <w:szCs w:val="18"/>
                <w:lang w:bidi="ar"/>
              </w:rPr>
              <w:t>%</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通过年度部门决算与年初部门预算对比，对部门的年度支出情况进行考核，衡量部门预算的约束力</w:t>
            </w:r>
            <w:bookmarkStart w:id="58" w:name="_GoBack"/>
            <w:bookmarkEnd w:id="58"/>
            <w:r>
              <w:rPr>
                <w:rFonts w:hint="eastAsia" w:ascii="宋体" w:hAnsi="宋体" w:cs="宋体"/>
                <w:color w:val="000000"/>
                <w:kern w:val="0"/>
                <w:sz w:val="18"/>
                <w:szCs w:val="18"/>
                <w:lang w:bidi="ar"/>
              </w:rPr>
              <w:t>。</w:t>
            </w:r>
          </w:p>
        </w:tc>
        <w:tc>
          <w:tcPr>
            <w:tcW w:w="1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部门预决算差异率高于市级平均差异率（28.3%）的，每高出10%（含），扣0.4分，扣完为止。</w:t>
            </w:r>
          </w:p>
        </w:tc>
      </w:tr>
      <w:tr>
        <w:tblPrEx>
          <w:tblCellMar>
            <w:top w:w="0" w:type="dxa"/>
            <w:left w:w="108" w:type="dxa"/>
            <w:bottom w:w="0" w:type="dxa"/>
            <w:right w:w="108" w:type="dxa"/>
          </w:tblCellMar>
        </w:tblPrEx>
        <w:trPr>
          <w:trHeight w:val="396" w:hRule="atLeast"/>
        </w:trPr>
        <w:tc>
          <w:tcPr>
            <w:tcW w:w="2365"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val="en-US" w:eastAsia="zh-CN" w:bidi="ar"/>
              </w:rPr>
              <w:t>90.10</w:t>
            </w:r>
            <w:r>
              <w:rPr>
                <w:rFonts w:hint="eastAsia" w:ascii="宋体" w:hAnsi="宋体" w:cs="宋体"/>
                <w:color w:val="000000"/>
                <w:kern w:val="0"/>
                <w:sz w:val="18"/>
                <w:szCs w:val="18"/>
                <w:lang w:bidi="ar"/>
              </w:rPr>
              <w:t xml:space="preserve"> </w:t>
            </w:r>
          </w:p>
        </w:tc>
        <w:tc>
          <w:tcPr>
            <w:tcW w:w="214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cs="宋体"/>
                <w:color w:val="000000"/>
                <w:sz w:val="18"/>
                <w:szCs w:val="18"/>
              </w:rPr>
            </w:pPr>
          </w:p>
        </w:tc>
      </w:tr>
    </w:tbl>
    <w:p>
      <w:pPr>
        <w:adjustRightInd w:val="0"/>
        <w:snapToGrid w:val="0"/>
        <w:spacing w:line="360" w:lineRule="auto"/>
        <w:rPr>
          <w:rFonts w:ascii="仿宋_GB2312" w:hAnsi="仿宋" w:eastAsia="仿宋_GB2312"/>
          <w:sz w:val="32"/>
          <w:szCs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仿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23</w:t>
                    </w:r>
                    <w:r>
                      <w:fldChar w:fldCharType="end"/>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wY2E1NWZiZDJkMzA3Zjc5MzQ4ZDExN2FiYTQ0NDgifQ=="/>
  </w:docVars>
  <w:rsids>
    <w:rsidRoot w:val="00450BCE"/>
    <w:rsid w:val="001142CE"/>
    <w:rsid w:val="002D1D6E"/>
    <w:rsid w:val="00450BCE"/>
    <w:rsid w:val="00816543"/>
    <w:rsid w:val="0087167F"/>
    <w:rsid w:val="008D21F5"/>
    <w:rsid w:val="00973905"/>
    <w:rsid w:val="00C74003"/>
    <w:rsid w:val="00CE0E79"/>
    <w:rsid w:val="00CE6654"/>
    <w:rsid w:val="00E60A9C"/>
    <w:rsid w:val="00F14931"/>
    <w:rsid w:val="01260E98"/>
    <w:rsid w:val="01CF7782"/>
    <w:rsid w:val="02DA51D0"/>
    <w:rsid w:val="034F0B7A"/>
    <w:rsid w:val="03722A49"/>
    <w:rsid w:val="03A378B9"/>
    <w:rsid w:val="03B82ACE"/>
    <w:rsid w:val="03EA2651"/>
    <w:rsid w:val="041476CE"/>
    <w:rsid w:val="04421116"/>
    <w:rsid w:val="04635AFE"/>
    <w:rsid w:val="04A96068"/>
    <w:rsid w:val="052D1CE0"/>
    <w:rsid w:val="05323C89"/>
    <w:rsid w:val="053F2AC7"/>
    <w:rsid w:val="05413AD7"/>
    <w:rsid w:val="05545FD4"/>
    <w:rsid w:val="058825A2"/>
    <w:rsid w:val="05ED6429"/>
    <w:rsid w:val="06432F0A"/>
    <w:rsid w:val="06587544"/>
    <w:rsid w:val="06730D61"/>
    <w:rsid w:val="07CC27F3"/>
    <w:rsid w:val="087150EF"/>
    <w:rsid w:val="08B65FD7"/>
    <w:rsid w:val="08CC4A1B"/>
    <w:rsid w:val="08CC67C9"/>
    <w:rsid w:val="0A7B4636"/>
    <w:rsid w:val="0B2E72C7"/>
    <w:rsid w:val="0B492353"/>
    <w:rsid w:val="0B786794"/>
    <w:rsid w:val="0B9A495D"/>
    <w:rsid w:val="0BDE6F3F"/>
    <w:rsid w:val="0C50326D"/>
    <w:rsid w:val="0C60098A"/>
    <w:rsid w:val="0D4D6A15"/>
    <w:rsid w:val="0DB937C0"/>
    <w:rsid w:val="0E15476E"/>
    <w:rsid w:val="0E2A0D5E"/>
    <w:rsid w:val="0E6B438E"/>
    <w:rsid w:val="0F2E5AE8"/>
    <w:rsid w:val="0F5840E5"/>
    <w:rsid w:val="0FC8369B"/>
    <w:rsid w:val="103A04BC"/>
    <w:rsid w:val="103D11F8"/>
    <w:rsid w:val="10593038"/>
    <w:rsid w:val="108654B0"/>
    <w:rsid w:val="10BC6302"/>
    <w:rsid w:val="11274EE5"/>
    <w:rsid w:val="11665A0D"/>
    <w:rsid w:val="118916FB"/>
    <w:rsid w:val="11BA40BE"/>
    <w:rsid w:val="11E51E8A"/>
    <w:rsid w:val="12280F14"/>
    <w:rsid w:val="12A72E93"/>
    <w:rsid w:val="13367661"/>
    <w:rsid w:val="13CE5AEB"/>
    <w:rsid w:val="13DC40BA"/>
    <w:rsid w:val="144477DD"/>
    <w:rsid w:val="148166BA"/>
    <w:rsid w:val="14C667C2"/>
    <w:rsid w:val="15C50828"/>
    <w:rsid w:val="15C77891"/>
    <w:rsid w:val="15E769F0"/>
    <w:rsid w:val="15FA5057"/>
    <w:rsid w:val="167C538B"/>
    <w:rsid w:val="16BF171B"/>
    <w:rsid w:val="17991F6C"/>
    <w:rsid w:val="17B0246F"/>
    <w:rsid w:val="17C3523B"/>
    <w:rsid w:val="180B1639"/>
    <w:rsid w:val="18371A34"/>
    <w:rsid w:val="186131B1"/>
    <w:rsid w:val="18911F28"/>
    <w:rsid w:val="18BA0D0B"/>
    <w:rsid w:val="19A86AD3"/>
    <w:rsid w:val="1AC54639"/>
    <w:rsid w:val="1B1A7868"/>
    <w:rsid w:val="1B3A3A66"/>
    <w:rsid w:val="1B522B5E"/>
    <w:rsid w:val="1B9427B1"/>
    <w:rsid w:val="1BAD4238"/>
    <w:rsid w:val="1C735D4E"/>
    <w:rsid w:val="1C821221"/>
    <w:rsid w:val="1C8256C5"/>
    <w:rsid w:val="1C9A2A0F"/>
    <w:rsid w:val="1D1C148A"/>
    <w:rsid w:val="1DC108B9"/>
    <w:rsid w:val="1DCE3EB8"/>
    <w:rsid w:val="1DFC5003"/>
    <w:rsid w:val="1E0A7720"/>
    <w:rsid w:val="1E451225"/>
    <w:rsid w:val="1E876FC3"/>
    <w:rsid w:val="1EBA7398"/>
    <w:rsid w:val="1F4818BA"/>
    <w:rsid w:val="1F6B0692"/>
    <w:rsid w:val="1F751511"/>
    <w:rsid w:val="1FA616CA"/>
    <w:rsid w:val="1FF572A6"/>
    <w:rsid w:val="1FF870A7"/>
    <w:rsid w:val="201B3E66"/>
    <w:rsid w:val="208A0FEC"/>
    <w:rsid w:val="2092223B"/>
    <w:rsid w:val="20C242E2"/>
    <w:rsid w:val="20D858B3"/>
    <w:rsid w:val="20F621DE"/>
    <w:rsid w:val="21224669"/>
    <w:rsid w:val="2129610F"/>
    <w:rsid w:val="215F5FD5"/>
    <w:rsid w:val="219F0AC7"/>
    <w:rsid w:val="21B31E7D"/>
    <w:rsid w:val="225C42C2"/>
    <w:rsid w:val="230F7587"/>
    <w:rsid w:val="23563407"/>
    <w:rsid w:val="23CD5478"/>
    <w:rsid w:val="241D7C15"/>
    <w:rsid w:val="246A0F18"/>
    <w:rsid w:val="24A80466"/>
    <w:rsid w:val="24AA57B9"/>
    <w:rsid w:val="24F84776"/>
    <w:rsid w:val="255A71DF"/>
    <w:rsid w:val="25995391"/>
    <w:rsid w:val="25F94B91"/>
    <w:rsid w:val="26170669"/>
    <w:rsid w:val="2652435A"/>
    <w:rsid w:val="26760048"/>
    <w:rsid w:val="274703C4"/>
    <w:rsid w:val="278247CB"/>
    <w:rsid w:val="27BE7C55"/>
    <w:rsid w:val="27EC45DC"/>
    <w:rsid w:val="280B2A12"/>
    <w:rsid w:val="28927BEE"/>
    <w:rsid w:val="28956780"/>
    <w:rsid w:val="28A6273B"/>
    <w:rsid w:val="28D9666D"/>
    <w:rsid w:val="28E17834"/>
    <w:rsid w:val="29000DA6"/>
    <w:rsid w:val="292F44DF"/>
    <w:rsid w:val="295A0AA5"/>
    <w:rsid w:val="295E6B72"/>
    <w:rsid w:val="299904B2"/>
    <w:rsid w:val="29E4176D"/>
    <w:rsid w:val="2A157B78"/>
    <w:rsid w:val="2A331DAD"/>
    <w:rsid w:val="2A541FD2"/>
    <w:rsid w:val="2AEB5809"/>
    <w:rsid w:val="2AFC7A77"/>
    <w:rsid w:val="2B125E66"/>
    <w:rsid w:val="2C02237E"/>
    <w:rsid w:val="2C2736A5"/>
    <w:rsid w:val="2C352F66"/>
    <w:rsid w:val="2C5D75B5"/>
    <w:rsid w:val="2CA86A82"/>
    <w:rsid w:val="2CAB6572"/>
    <w:rsid w:val="2D0A70C1"/>
    <w:rsid w:val="2D0B38B7"/>
    <w:rsid w:val="2D9B2143"/>
    <w:rsid w:val="2DD057D4"/>
    <w:rsid w:val="2E2B796A"/>
    <w:rsid w:val="2E463973"/>
    <w:rsid w:val="2E4862BB"/>
    <w:rsid w:val="2F6C023B"/>
    <w:rsid w:val="2FFB336C"/>
    <w:rsid w:val="2FFB4F8B"/>
    <w:rsid w:val="302723B3"/>
    <w:rsid w:val="30450A8C"/>
    <w:rsid w:val="308C5F1F"/>
    <w:rsid w:val="31A6555A"/>
    <w:rsid w:val="327E24CB"/>
    <w:rsid w:val="33222542"/>
    <w:rsid w:val="33784CD4"/>
    <w:rsid w:val="33A849E0"/>
    <w:rsid w:val="3457391A"/>
    <w:rsid w:val="34F673A3"/>
    <w:rsid w:val="35831DF6"/>
    <w:rsid w:val="359526FD"/>
    <w:rsid w:val="35FB26A1"/>
    <w:rsid w:val="36462E68"/>
    <w:rsid w:val="36873BAC"/>
    <w:rsid w:val="36FA25D0"/>
    <w:rsid w:val="36FD3E6E"/>
    <w:rsid w:val="375635EC"/>
    <w:rsid w:val="376B527C"/>
    <w:rsid w:val="378A39CB"/>
    <w:rsid w:val="37B10790"/>
    <w:rsid w:val="383C4522"/>
    <w:rsid w:val="39283D9F"/>
    <w:rsid w:val="395104A1"/>
    <w:rsid w:val="397D658A"/>
    <w:rsid w:val="39A13C7F"/>
    <w:rsid w:val="3A2F07E2"/>
    <w:rsid w:val="3B7301D5"/>
    <w:rsid w:val="3BDC22A4"/>
    <w:rsid w:val="3BFC2258"/>
    <w:rsid w:val="3C0255BF"/>
    <w:rsid w:val="3C1A0693"/>
    <w:rsid w:val="3CD93927"/>
    <w:rsid w:val="3E0F1A33"/>
    <w:rsid w:val="3E2B282C"/>
    <w:rsid w:val="3E3A3F15"/>
    <w:rsid w:val="3EBC3E32"/>
    <w:rsid w:val="3EE6495F"/>
    <w:rsid w:val="3F6E3B5B"/>
    <w:rsid w:val="3FA96941"/>
    <w:rsid w:val="40582115"/>
    <w:rsid w:val="4168583B"/>
    <w:rsid w:val="42440BA3"/>
    <w:rsid w:val="42446DF5"/>
    <w:rsid w:val="42997141"/>
    <w:rsid w:val="42A358C7"/>
    <w:rsid w:val="42C65A5C"/>
    <w:rsid w:val="42E56902"/>
    <w:rsid w:val="43620070"/>
    <w:rsid w:val="43761230"/>
    <w:rsid w:val="43FA5102"/>
    <w:rsid w:val="442F5527"/>
    <w:rsid w:val="44377815"/>
    <w:rsid w:val="448636F5"/>
    <w:rsid w:val="44894F93"/>
    <w:rsid w:val="45097E82"/>
    <w:rsid w:val="450D1720"/>
    <w:rsid w:val="451A4345"/>
    <w:rsid w:val="456A0921"/>
    <w:rsid w:val="45863281"/>
    <w:rsid w:val="459914C1"/>
    <w:rsid w:val="45B147A1"/>
    <w:rsid w:val="465869CB"/>
    <w:rsid w:val="46B06807"/>
    <w:rsid w:val="46B67B95"/>
    <w:rsid w:val="46FB4A0B"/>
    <w:rsid w:val="4707209D"/>
    <w:rsid w:val="471A45C8"/>
    <w:rsid w:val="476777B4"/>
    <w:rsid w:val="47E96E38"/>
    <w:rsid w:val="47F37C22"/>
    <w:rsid w:val="484311B7"/>
    <w:rsid w:val="48573115"/>
    <w:rsid w:val="49AF724A"/>
    <w:rsid w:val="4A064BFA"/>
    <w:rsid w:val="4A5751EC"/>
    <w:rsid w:val="4A62606A"/>
    <w:rsid w:val="4A802994"/>
    <w:rsid w:val="4B1E6493"/>
    <w:rsid w:val="4B62209A"/>
    <w:rsid w:val="4B7D6ED4"/>
    <w:rsid w:val="4BF947AC"/>
    <w:rsid w:val="4CF440D2"/>
    <w:rsid w:val="4DC42B98"/>
    <w:rsid w:val="4DD454D1"/>
    <w:rsid w:val="4DF416CF"/>
    <w:rsid w:val="4DFA0CB0"/>
    <w:rsid w:val="4E1F24C4"/>
    <w:rsid w:val="4E623A6E"/>
    <w:rsid w:val="4E9F5A46"/>
    <w:rsid w:val="4ED27537"/>
    <w:rsid w:val="4F3A75B6"/>
    <w:rsid w:val="4F934F18"/>
    <w:rsid w:val="4F9D5D96"/>
    <w:rsid w:val="4FDA48F5"/>
    <w:rsid w:val="50850D04"/>
    <w:rsid w:val="50FE4613"/>
    <w:rsid w:val="51AE5372"/>
    <w:rsid w:val="51C74243"/>
    <w:rsid w:val="52232583"/>
    <w:rsid w:val="52506890"/>
    <w:rsid w:val="52594EA1"/>
    <w:rsid w:val="529A65BD"/>
    <w:rsid w:val="52B6146D"/>
    <w:rsid w:val="52CF4E6B"/>
    <w:rsid w:val="52FE08FA"/>
    <w:rsid w:val="53065A01"/>
    <w:rsid w:val="530D7AD5"/>
    <w:rsid w:val="534D53DE"/>
    <w:rsid w:val="53F705B4"/>
    <w:rsid w:val="5401690D"/>
    <w:rsid w:val="540E7263"/>
    <w:rsid w:val="547370C6"/>
    <w:rsid w:val="54E104D3"/>
    <w:rsid w:val="55021B79"/>
    <w:rsid w:val="550B72FE"/>
    <w:rsid w:val="551B39E5"/>
    <w:rsid w:val="55320D2F"/>
    <w:rsid w:val="559417F6"/>
    <w:rsid w:val="55950A6D"/>
    <w:rsid w:val="56435D7C"/>
    <w:rsid w:val="5661367A"/>
    <w:rsid w:val="567333AD"/>
    <w:rsid w:val="56B55774"/>
    <w:rsid w:val="570A5ABF"/>
    <w:rsid w:val="571921A6"/>
    <w:rsid w:val="57407733"/>
    <w:rsid w:val="57603931"/>
    <w:rsid w:val="57816536"/>
    <w:rsid w:val="58D04AE7"/>
    <w:rsid w:val="592334C7"/>
    <w:rsid w:val="593F61EF"/>
    <w:rsid w:val="59C032B8"/>
    <w:rsid w:val="59C4289D"/>
    <w:rsid w:val="5A032C9A"/>
    <w:rsid w:val="5A1F5D26"/>
    <w:rsid w:val="5B222965"/>
    <w:rsid w:val="5B305D11"/>
    <w:rsid w:val="5CB63FF4"/>
    <w:rsid w:val="5CC6692D"/>
    <w:rsid w:val="5CDA5F34"/>
    <w:rsid w:val="5CFA46CE"/>
    <w:rsid w:val="5D1D3F29"/>
    <w:rsid w:val="5D600B2F"/>
    <w:rsid w:val="5D643F22"/>
    <w:rsid w:val="5DAF6825"/>
    <w:rsid w:val="5E3653EC"/>
    <w:rsid w:val="5E6769C4"/>
    <w:rsid w:val="5EF01A3F"/>
    <w:rsid w:val="5F7F36A9"/>
    <w:rsid w:val="5F8D54E0"/>
    <w:rsid w:val="5FAF0290"/>
    <w:rsid w:val="600A073C"/>
    <w:rsid w:val="601646E4"/>
    <w:rsid w:val="60465E3B"/>
    <w:rsid w:val="604F09E7"/>
    <w:rsid w:val="6062696C"/>
    <w:rsid w:val="607448F1"/>
    <w:rsid w:val="609E371C"/>
    <w:rsid w:val="611F1075"/>
    <w:rsid w:val="61C72714"/>
    <w:rsid w:val="61FB0E26"/>
    <w:rsid w:val="62130DE2"/>
    <w:rsid w:val="621B0137"/>
    <w:rsid w:val="62562501"/>
    <w:rsid w:val="62877DA0"/>
    <w:rsid w:val="629923ED"/>
    <w:rsid w:val="62D90A3C"/>
    <w:rsid w:val="63942E22"/>
    <w:rsid w:val="63D92749"/>
    <w:rsid w:val="64346872"/>
    <w:rsid w:val="64403ED8"/>
    <w:rsid w:val="646507D9"/>
    <w:rsid w:val="648D3965"/>
    <w:rsid w:val="65430F17"/>
    <w:rsid w:val="655B1BDC"/>
    <w:rsid w:val="65801643"/>
    <w:rsid w:val="658A426F"/>
    <w:rsid w:val="658D5BDA"/>
    <w:rsid w:val="65B55790"/>
    <w:rsid w:val="65C34A8B"/>
    <w:rsid w:val="65F53DDF"/>
    <w:rsid w:val="663E2573"/>
    <w:rsid w:val="66521231"/>
    <w:rsid w:val="665E10CA"/>
    <w:rsid w:val="67980EC5"/>
    <w:rsid w:val="67D0065F"/>
    <w:rsid w:val="68263424"/>
    <w:rsid w:val="68792AA5"/>
    <w:rsid w:val="68923B67"/>
    <w:rsid w:val="69C87064"/>
    <w:rsid w:val="6A2151A2"/>
    <w:rsid w:val="6B2667E8"/>
    <w:rsid w:val="6B304E9E"/>
    <w:rsid w:val="6B74654A"/>
    <w:rsid w:val="6BCC7390"/>
    <w:rsid w:val="6BD9385B"/>
    <w:rsid w:val="6C1C0987"/>
    <w:rsid w:val="6C5C4BB7"/>
    <w:rsid w:val="6C624437"/>
    <w:rsid w:val="6CC440AA"/>
    <w:rsid w:val="6CCB5899"/>
    <w:rsid w:val="6CDA5ADC"/>
    <w:rsid w:val="6D21370B"/>
    <w:rsid w:val="6DC66213"/>
    <w:rsid w:val="6DD02C0B"/>
    <w:rsid w:val="6E0252EB"/>
    <w:rsid w:val="6E5024FA"/>
    <w:rsid w:val="6E81119C"/>
    <w:rsid w:val="6EE92007"/>
    <w:rsid w:val="6F2C5769"/>
    <w:rsid w:val="6F3232B4"/>
    <w:rsid w:val="6FFC2728"/>
    <w:rsid w:val="700370F8"/>
    <w:rsid w:val="700C06A3"/>
    <w:rsid w:val="70117A67"/>
    <w:rsid w:val="702A6D7B"/>
    <w:rsid w:val="707953FD"/>
    <w:rsid w:val="70CD40F9"/>
    <w:rsid w:val="710B2708"/>
    <w:rsid w:val="71DF6C3B"/>
    <w:rsid w:val="71EC5D63"/>
    <w:rsid w:val="7238752D"/>
    <w:rsid w:val="727750B2"/>
    <w:rsid w:val="727F515C"/>
    <w:rsid w:val="73F2195D"/>
    <w:rsid w:val="74583EB6"/>
    <w:rsid w:val="748F3650"/>
    <w:rsid w:val="74B2697D"/>
    <w:rsid w:val="74BB61F3"/>
    <w:rsid w:val="74E514C2"/>
    <w:rsid w:val="750E6C6B"/>
    <w:rsid w:val="75104791"/>
    <w:rsid w:val="75B415C0"/>
    <w:rsid w:val="75CC658F"/>
    <w:rsid w:val="75CD18A3"/>
    <w:rsid w:val="75D73DE6"/>
    <w:rsid w:val="761526A2"/>
    <w:rsid w:val="76585081"/>
    <w:rsid w:val="766A6123"/>
    <w:rsid w:val="76B37445"/>
    <w:rsid w:val="76EE4DDF"/>
    <w:rsid w:val="77057BFA"/>
    <w:rsid w:val="77401CA7"/>
    <w:rsid w:val="78202F3D"/>
    <w:rsid w:val="796732EC"/>
    <w:rsid w:val="796C21B2"/>
    <w:rsid w:val="79A90D10"/>
    <w:rsid w:val="79B53B59"/>
    <w:rsid w:val="79C92B45"/>
    <w:rsid w:val="79D33FDF"/>
    <w:rsid w:val="79FF6B82"/>
    <w:rsid w:val="7AAF05A8"/>
    <w:rsid w:val="7AAF73E7"/>
    <w:rsid w:val="7B2014A6"/>
    <w:rsid w:val="7B767318"/>
    <w:rsid w:val="7B8D6BCE"/>
    <w:rsid w:val="7BFD3595"/>
    <w:rsid w:val="7C2A16F0"/>
    <w:rsid w:val="7C444D20"/>
    <w:rsid w:val="7C67749B"/>
    <w:rsid w:val="7D957F29"/>
    <w:rsid w:val="7DAC7021"/>
    <w:rsid w:val="7E15161E"/>
    <w:rsid w:val="7E525E1A"/>
    <w:rsid w:val="7EF173E1"/>
    <w:rsid w:val="7F436576"/>
    <w:rsid w:val="7F5931D8"/>
    <w:rsid w:val="7FCA19E0"/>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360" w:lineRule="auto"/>
      <w:jc w:val="left"/>
      <w:outlineLvl w:val="1"/>
    </w:pPr>
    <w:rPr>
      <w:rFonts w:asciiTheme="majorHAnsi" w:hAnsiTheme="majorHAnsi" w:eastAsiaTheme="majorEastAsia" w:cstheme="majorBidi"/>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0"/>
      <w:szCs w:val="30"/>
      <w:lang w:val="en-US" w:eastAsia="en-US" w:bidi="ar-SA"/>
    </w:rPr>
  </w:style>
  <w:style w:type="paragraph" w:styleId="6">
    <w:name w:val="toc 3"/>
    <w:basedOn w:val="1"/>
    <w:next w:val="1"/>
    <w:qFormat/>
    <w:uiPriority w:val="0"/>
    <w:pPr>
      <w:ind w:left="840" w:leftChars="400"/>
    </w:pPr>
  </w:style>
  <w:style w:type="paragraph" w:styleId="7">
    <w:name w:val="Plain Text"/>
    <w:basedOn w:val="1"/>
    <w:next w:val="1"/>
    <w:qFormat/>
    <w:uiPriority w:val="0"/>
    <w:rPr>
      <w:rFonts w:ascii="宋体" w:hAnsi="Courier New"/>
      <w:sz w:val="20"/>
      <w:szCs w:val="21"/>
    </w:rPr>
  </w:style>
  <w:style w:type="paragraph" w:styleId="8">
    <w:name w:val="Balloon Text"/>
    <w:basedOn w:val="1"/>
    <w:link w:val="33"/>
    <w:qFormat/>
    <w:uiPriority w:val="0"/>
    <w:rPr>
      <w:sz w:val="18"/>
      <w:szCs w:val="18"/>
    </w:rPr>
  </w:style>
  <w:style w:type="paragraph" w:styleId="9">
    <w:name w:val="footer"/>
    <w:basedOn w:val="1"/>
    <w:qFormat/>
    <w:uiPriority w:val="0"/>
    <w:pPr>
      <w:tabs>
        <w:tab w:val="center" w:pos="4153"/>
        <w:tab w:val="right" w:pos="8306"/>
      </w:tabs>
      <w:snapToGrid w:val="0"/>
      <w:jc w:val="left"/>
    </w:pPr>
    <w:rPr>
      <w:kern w:val="0"/>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pPr>
      <w:tabs>
        <w:tab w:val="right" w:leader="dot" w:pos="8296"/>
      </w:tabs>
      <w:jc w:val="center"/>
    </w:pPr>
    <w:rPr>
      <w:rFonts w:ascii="黑体" w:hAnsi="黑体" w:eastAsia="黑体"/>
      <w:bCs/>
      <w:sz w:val="28"/>
      <w:szCs w:val="28"/>
    </w:rPr>
  </w:style>
  <w:style w:type="paragraph" w:styleId="12">
    <w:name w:val="Subtitle"/>
    <w:basedOn w:val="1"/>
    <w:next w:val="1"/>
    <w:qFormat/>
    <w:uiPriority w:val="0"/>
    <w:pPr>
      <w:jc w:val="left"/>
      <w:outlineLvl w:val="2"/>
    </w:pPr>
    <w:rPr>
      <w:rFonts w:ascii="Cambria" w:hAnsi="Cambria" w:eastAsia="黑体"/>
      <w:bCs/>
      <w:kern w:val="28"/>
      <w:szCs w:val="32"/>
    </w:rPr>
  </w:style>
  <w:style w:type="paragraph" w:styleId="13">
    <w:name w:val="footnote text"/>
    <w:basedOn w:val="1"/>
    <w:semiHidden/>
    <w:unhideWhenUsed/>
    <w:qFormat/>
    <w:uiPriority w:val="99"/>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rPr>
      <w:rFonts w:ascii="黑体" w:hAnsi="黑体" w:eastAsia="黑体"/>
      <w:sz w:val="28"/>
      <w:szCs w:val="28"/>
    </w:rPr>
  </w:style>
  <w:style w:type="paragraph" w:styleId="15">
    <w:name w:val="Normal (Web)"/>
    <w:basedOn w:val="1"/>
    <w:qFormat/>
    <w:uiPriority w:val="0"/>
    <w:pPr>
      <w:spacing w:beforeAutospacing="1" w:afterAutospacing="1"/>
      <w:jc w:val="left"/>
    </w:pPr>
    <w:rPr>
      <w:kern w:val="0"/>
      <w:sz w:val="24"/>
    </w:rPr>
  </w:style>
  <w:style w:type="character" w:styleId="18">
    <w:name w:val="Strong"/>
    <w:basedOn w:val="17"/>
    <w:qFormat/>
    <w:uiPriority w:val="0"/>
    <w:rPr>
      <w:b/>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basedOn w:val="17"/>
    <w:semiHidden/>
    <w:unhideWhenUsed/>
    <w:qFormat/>
    <w:uiPriority w:val="99"/>
    <w:rPr>
      <w:vertAlign w:val="superscript"/>
    </w:rPr>
  </w:style>
  <w:style w:type="character" w:customStyle="1" w:styleId="22">
    <w:name w:val="标题 1 Char"/>
    <w:link w:val="2"/>
    <w:qFormat/>
    <w:uiPriority w:val="0"/>
    <w:rPr>
      <w:b/>
      <w:kern w:val="44"/>
      <w:sz w:val="44"/>
    </w:rPr>
  </w:style>
  <w:style w:type="paragraph" w:customStyle="1" w:styleId="23">
    <w:name w:val="表内文字"/>
    <w:basedOn w:val="7"/>
    <w:qFormat/>
    <w:uiPriority w:val="0"/>
    <w:rPr>
      <w:rFonts w:hAnsi="宋体"/>
      <w:sz w:val="18"/>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font31"/>
    <w:basedOn w:val="17"/>
    <w:qFormat/>
    <w:uiPriority w:val="0"/>
    <w:rPr>
      <w:rFonts w:hint="eastAsia" w:ascii="宋体" w:hAnsi="宋体" w:eastAsia="宋体" w:cs="宋体"/>
      <w:color w:val="000000"/>
      <w:sz w:val="18"/>
      <w:szCs w:val="18"/>
      <w:u w:val="none"/>
    </w:rPr>
  </w:style>
  <w:style w:type="character" w:customStyle="1" w:styleId="30">
    <w:name w:val="ds-reads-from"/>
    <w:basedOn w:val="17"/>
    <w:qFormat/>
    <w:uiPriority w:val="0"/>
  </w:style>
  <w:style w:type="character" w:customStyle="1" w:styleId="31">
    <w:name w:val="NormalCharacter"/>
    <w:semiHidden/>
    <w:qFormat/>
    <w:uiPriority w:val="0"/>
    <w:rPr>
      <w:rFonts w:ascii="Calibri" w:hAnsi="Calibri" w:eastAsia="宋体" w:cs="Times New Roman"/>
      <w:kern w:val="2"/>
      <w:sz w:val="21"/>
      <w:szCs w:val="24"/>
      <w:lang w:val="en-US" w:eastAsia="zh-CN" w:bidi="ar-SA"/>
    </w:rPr>
  </w:style>
  <w:style w:type="paragraph" w:customStyle="1" w:styleId="32">
    <w:name w:val="附件栏"/>
    <w:basedOn w:val="1"/>
    <w:qFormat/>
    <w:uiPriority w:val="99"/>
    <w:pPr>
      <w:autoSpaceDE w:val="0"/>
      <w:autoSpaceDN w:val="0"/>
      <w:snapToGrid w:val="0"/>
      <w:spacing w:line="590" w:lineRule="atLeast"/>
      <w:ind w:firstLine="624"/>
    </w:pPr>
    <w:rPr>
      <w:rFonts w:eastAsia="方正仿宋_GBK"/>
      <w:kern w:val="0"/>
      <w:sz w:val="32"/>
      <w:szCs w:val="32"/>
    </w:rPr>
  </w:style>
  <w:style w:type="character" w:customStyle="1" w:styleId="33">
    <w:name w:val="批注框文本 Char"/>
    <w:basedOn w:val="17"/>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13751</Words>
  <Characters>14926</Characters>
  <Lines>111</Lines>
  <Paragraphs>31</Paragraphs>
  <TotalTime>13</TotalTime>
  <ScaleCrop>false</ScaleCrop>
  <LinksUpToDate>false</LinksUpToDate>
  <CharactersWithSpaces>15066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2022-05-30T18:46:00Z</dcterms:created>
  <dc:creator>杨胖子的电脑</dc:creator>
  <cp:lastModifiedBy>小Yue儿</cp:lastModifiedBy>
  <cp:lastPrinted>2023-05-12T08:06:00Z</cp:lastPrinted>
  <dcterms:modified xsi:type="dcterms:W3CDTF">2024-06-01T06:19:40Z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796F7A3A86324F33992D980766361B24_13</vt:lpwstr>
  </property>
</Properties>
</file>