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066" w:rsidRDefault="00570066">
      <w:pPr>
        <w:spacing w:line="360" w:lineRule="auto"/>
        <w:rPr>
          <w:rFonts w:ascii="黑体" w:eastAsia="黑体" w:hAnsi="宋体"/>
          <w:color w:val="000000"/>
          <w:sz w:val="48"/>
          <w:szCs w:val="48"/>
        </w:rPr>
      </w:pPr>
    </w:p>
    <w:p w:rsidR="00570066" w:rsidRDefault="00570066">
      <w:pPr>
        <w:spacing w:line="360" w:lineRule="auto"/>
        <w:rPr>
          <w:rFonts w:ascii="黑体" w:eastAsia="黑体" w:hAnsi="宋体"/>
          <w:color w:val="000000"/>
          <w:sz w:val="48"/>
          <w:szCs w:val="48"/>
        </w:rPr>
      </w:pPr>
    </w:p>
    <w:p w:rsidR="00570066" w:rsidRDefault="00570066">
      <w:pPr>
        <w:adjustRightInd w:val="0"/>
        <w:snapToGrid w:val="0"/>
        <w:spacing w:line="360" w:lineRule="auto"/>
        <w:jc w:val="center"/>
        <w:rPr>
          <w:rFonts w:ascii="楷体" w:eastAsia="楷体" w:hAnsi="楷体"/>
          <w:b/>
          <w:sz w:val="36"/>
          <w:szCs w:val="36"/>
          <w:lang w:val="zh-CN"/>
        </w:rPr>
      </w:pPr>
    </w:p>
    <w:p w:rsidR="00570066" w:rsidRDefault="00805C46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136357841"/>
      <w:r>
        <w:rPr>
          <w:rFonts w:ascii="黑体" w:eastAsia="黑体" w:hAnsi="黑体" w:hint="eastAsia"/>
          <w:b/>
          <w:sz w:val="36"/>
          <w:szCs w:val="36"/>
        </w:rPr>
        <w:t>北京市人民政府参事室</w:t>
      </w:r>
    </w:p>
    <w:p w:rsidR="00570066" w:rsidRDefault="00805C46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2023</w:t>
      </w:r>
      <w:r>
        <w:rPr>
          <w:rFonts w:ascii="黑体" w:eastAsia="黑体" w:hAnsi="黑体" w:hint="eastAsia"/>
          <w:b/>
          <w:sz w:val="36"/>
          <w:szCs w:val="36"/>
        </w:rPr>
        <w:t>年度《北京文史》出版经费项目</w:t>
      </w:r>
      <w:bookmarkEnd w:id="0"/>
    </w:p>
    <w:p w:rsidR="00570066" w:rsidRDefault="00805C46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72"/>
          <w:szCs w:val="72"/>
          <w:lang w:val="zh-CN"/>
        </w:rPr>
      </w:pPr>
      <w:r>
        <w:rPr>
          <w:rFonts w:ascii="黑体" w:eastAsia="黑体" w:hAnsi="黑体" w:hint="eastAsia"/>
          <w:b/>
          <w:sz w:val="72"/>
          <w:szCs w:val="72"/>
          <w:lang w:val="zh-CN"/>
        </w:rPr>
        <w:t>绩效评价报告</w:t>
      </w:r>
    </w:p>
    <w:p w:rsidR="00570066" w:rsidRDefault="00570066">
      <w:pPr>
        <w:adjustRightInd w:val="0"/>
        <w:snapToGrid w:val="0"/>
        <w:spacing w:line="360" w:lineRule="auto"/>
        <w:jc w:val="left"/>
        <w:rPr>
          <w:rFonts w:ascii="仿宋_GB2312" w:hAnsi="黑体"/>
          <w:i/>
          <w:iCs/>
          <w:sz w:val="32"/>
          <w:szCs w:val="32"/>
          <w:lang w:val="zh-CN"/>
        </w:rPr>
      </w:pPr>
    </w:p>
    <w:p w:rsidR="00570066" w:rsidRDefault="00570066">
      <w:pPr>
        <w:adjustRightInd w:val="0"/>
        <w:snapToGrid w:val="0"/>
        <w:spacing w:line="360" w:lineRule="auto"/>
        <w:jc w:val="left"/>
        <w:rPr>
          <w:rFonts w:ascii="仿宋_GB2312" w:hAnsi="黑体"/>
          <w:i/>
          <w:iCs/>
          <w:sz w:val="32"/>
          <w:szCs w:val="32"/>
          <w:lang w:val="zh-CN"/>
        </w:rPr>
      </w:pPr>
    </w:p>
    <w:p w:rsidR="00570066" w:rsidRDefault="00570066">
      <w:pPr>
        <w:adjustRightInd w:val="0"/>
        <w:snapToGrid w:val="0"/>
        <w:spacing w:line="360" w:lineRule="auto"/>
        <w:jc w:val="left"/>
        <w:rPr>
          <w:rFonts w:ascii="仿宋_GB2312" w:hAnsi="黑体"/>
          <w:i/>
          <w:iCs/>
          <w:sz w:val="32"/>
          <w:szCs w:val="32"/>
          <w:lang w:val="zh-CN"/>
        </w:rPr>
      </w:pPr>
    </w:p>
    <w:p w:rsidR="00570066" w:rsidRDefault="00570066">
      <w:pPr>
        <w:adjustRightInd w:val="0"/>
        <w:snapToGrid w:val="0"/>
        <w:spacing w:line="360" w:lineRule="auto"/>
        <w:jc w:val="left"/>
        <w:rPr>
          <w:rFonts w:ascii="仿宋_GB2312" w:hAnsi="黑体"/>
          <w:i/>
          <w:iCs/>
          <w:sz w:val="32"/>
          <w:szCs w:val="32"/>
          <w:lang w:val="zh-CN"/>
        </w:rPr>
      </w:pPr>
    </w:p>
    <w:p w:rsidR="00570066" w:rsidRDefault="00570066">
      <w:pPr>
        <w:adjustRightInd w:val="0"/>
        <w:snapToGrid w:val="0"/>
        <w:spacing w:line="360" w:lineRule="auto"/>
        <w:jc w:val="left"/>
        <w:rPr>
          <w:rFonts w:ascii="仿宋_GB2312" w:hAnsi="黑体"/>
          <w:i/>
          <w:iCs/>
          <w:sz w:val="32"/>
          <w:szCs w:val="32"/>
          <w:lang w:val="zh-CN"/>
        </w:rPr>
      </w:pPr>
    </w:p>
    <w:p w:rsidR="00570066" w:rsidRDefault="00570066">
      <w:pPr>
        <w:adjustRightInd w:val="0"/>
        <w:snapToGrid w:val="0"/>
        <w:spacing w:line="360" w:lineRule="auto"/>
        <w:jc w:val="left"/>
        <w:rPr>
          <w:rFonts w:ascii="黑体" w:eastAsia="黑体" w:hAnsi="黑体"/>
          <w:sz w:val="32"/>
          <w:szCs w:val="32"/>
          <w:lang w:val="zh-CN"/>
        </w:rPr>
      </w:pPr>
    </w:p>
    <w:p w:rsidR="00570066" w:rsidRDefault="00570066">
      <w:pPr>
        <w:adjustRightInd w:val="0"/>
        <w:snapToGrid w:val="0"/>
        <w:spacing w:line="360" w:lineRule="auto"/>
        <w:jc w:val="left"/>
        <w:rPr>
          <w:rFonts w:ascii="黑体" w:eastAsia="黑体" w:hAnsi="黑体"/>
          <w:sz w:val="32"/>
          <w:szCs w:val="32"/>
          <w:lang w:val="zh-CN"/>
        </w:rPr>
      </w:pPr>
    </w:p>
    <w:p w:rsidR="00570066" w:rsidRDefault="00570066">
      <w:pPr>
        <w:adjustRightInd w:val="0"/>
        <w:snapToGrid w:val="0"/>
        <w:spacing w:line="360" w:lineRule="auto"/>
        <w:jc w:val="left"/>
        <w:rPr>
          <w:rFonts w:ascii="黑体" w:eastAsia="黑体" w:hAnsi="黑体"/>
          <w:sz w:val="32"/>
          <w:szCs w:val="32"/>
          <w:lang w:val="zh-CN"/>
        </w:rPr>
      </w:pPr>
    </w:p>
    <w:p w:rsidR="00570066" w:rsidRDefault="00570066">
      <w:pPr>
        <w:adjustRightInd w:val="0"/>
        <w:snapToGrid w:val="0"/>
        <w:spacing w:line="360" w:lineRule="auto"/>
        <w:jc w:val="left"/>
        <w:rPr>
          <w:rFonts w:ascii="黑体" w:eastAsia="黑体" w:hAnsi="黑体"/>
          <w:sz w:val="32"/>
          <w:szCs w:val="32"/>
          <w:lang w:val="zh-CN"/>
        </w:rPr>
      </w:pPr>
    </w:p>
    <w:p w:rsidR="00570066" w:rsidRDefault="00805C46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40"/>
          <w:szCs w:val="40"/>
          <w:lang w:val="zh-CN"/>
        </w:rPr>
      </w:pPr>
      <w:r>
        <w:rPr>
          <w:rFonts w:ascii="黑体" w:eastAsia="黑体" w:hAnsi="黑体" w:hint="eastAsia"/>
          <w:b/>
          <w:sz w:val="40"/>
          <w:szCs w:val="40"/>
        </w:rPr>
        <w:t>北京中杰信会计师事务所</w:t>
      </w:r>
      <w:r>
        <w:rPr>
          <w:rFonts w:ascii="黑体" w:eastAsia="黑体" w:hAnsi="黑体" w:hint="eastAsia"/>
          <w:b/>
          <w:sz w:val="40"/>
          <w:szCs w:val="40"/>
        </w:rPr>
        <w:t>（</w:t>
      </w:r>
      <w:r>
        <w:rPr>
          <w:rFonts w:ascii="黑体" w:eastAsia="黑体" w:hAnsi="黑体" w:hint="eastAsia"/>
          <w:b/>
          <w:sz w:val="40"/>
          <w:szCs w:val="40"/>
        </w:rPr>
        <w:t>普通合伙</w:t>
      </w:r>
      <w:r>
        <w:rPr>
          <w:rFonts w:ascii="黑体" w:eastAsia="黑体" w:hAnsi="黑体" w:hint="eastAsia"/>
          <w:b/>
          <w:sz w:val="40"/>
          <w:szCs w:val="40"/>
        </w:rPr>
        <w:t>）</w:t>
      </w:r>
    </w:p>
    <w:p w:rsidR="00570066" w:rsidRDefault="00805C46">
      <w:pPr>
        <w:adjustRightInd w:val="0"/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  <w:lang w:val="zh-CN"/>
        </w:rPr>
        <w:sectPr w:rsidR="00570066">
          <w:footerReference w:type="default" r:id="rId8"/>
          <w:pgSz w:w="11906" w:h="16838"/>
          <w:pgMar w:top="2098" w:right="1531" w:bottom="1985" w:left="1531" w:header="851" w:footer="992" w:gutter="0"/>
          <w:cols w:space="425"/>
          <w:docGrid w:type="lines" w:linePitch="312"/>
        </w:sectPr>
      </w:pPr>
      <w:r>
        <w:rPr>
          <w:rFonts w:ascii="宋体" w:eastAsia="宋体" w:hAnsi="宋体" w:hint="eastAsia"/>
          <w:b/>
          <w:sz w:val="32"/>
          <w:szCs w:val="32"/>
          <w:lang w:val="zh-CN"/>
        </w:rPr>
        <w:t>20</w:t>
      </w:r>
      <w:r>
        <w:rPr>
          <w:rFonts w:ascii="宋体" w:eastAsia="宋体" w:hAnsi="宋体"/>
          <w:b/>
          <w:sz w:val="32"/>
          <w:szCs w:val="32"/>
          <w:lang w:val="zh-CN"/>
        </w:rPr>
        <w:t>2</w:t>
      </w:r>
      <w:r>
        <w:rPr>
          <w:rFonts w:ascii="宋体" w:eastAsia="宋体" w:hAnsi="宋体" w:hint="eastAsia"/>
          <w:b/>
          <w:sz w:val="32"/>
          <w:szCs w:val="32"/>
          <w:lang w:val="zh-CN"/>
        </w:rPr>
        <w:t>4</w:t>
      </w:r>
      <w:r>
        <w:rPr>
          <w:rFonts w:ascii="宋体" w:eastAsia="宋体" w:hAnsi="宋体" w:hint="eastAsia"/>
          <w:b/>
          <w:sz w:val="32"/>
          <w:szCs w:val="32"/>
          <w:lang w:val="zh-CN"/>
        </w:rPr>
        <w:t>年</w:t>
      </w:r>
      <w:r>
        <w:rPr>
          <w:rFonts w:ascii="宋体" w:eastAsia="宋体" w:hAnsi="宋体"/>
          <w:b/>
          <w:sz w:val="32"/>
          <w:szCs w:val="32"/>
        </w:rPr>
        <w:t>5</w:t>
      </w:r>
      <w:r>
        <w:rPr>
          <w:rFonts w:ascii="宋体" w:eastAsia="宋体" w:hAnsi="宋体" w:hint="eastAsia"/>
          <w:b/>
          <w:sz w:val="32"/>
          <w:szCs w:val="32"/>
          <w:lang w:val="zh-CN"/>
        </w:rPr>
        <w:t>月</w:t>
      </w:r>
    </w:p>
    <w:p w:rsidR="00570066" w:rsidRDefault="00570066">
      <w:pPr>
        <w:adjustRightInd w:val="0"/>
        <w:snapToGrid w:val="0"/>
        <w:spacing w:line="360" w:lineRule="auto"/>
        <w:rPr>
          <w:rFonts w:ascii="黑体" w:eastAsia="黑体" w:hAnsi="华文中宋"/>
          <w:bCs/>
          <w:sz w:val="36"/>
          <w:szCs w:val="44"/>
        </w:rPr>
        <w:sectPr w:rsidR="00570066">
          <w:type w:val="continuous"/>
          <w:pgSz w:w="11906" w:h="16838"/>
          <w:pgMar w:top="2098" w:right="1531" w:bottom="1985" w:left="1531" w:header="851" w:footer="992" w:gutter="0"/>
          <w:cols w:num="2" w:space="425"/>
          <w:docGrid w:type="lines" w:linePitch="312"/>
        </w:sectPr>
      </w:pPr>
    </w:p>
    <w:p w:rsidR="00570066" w:rsidRDefault="00805C46">
      <w:pPr>
        <w:adjustRightInd w:val="0"/>
        <w:snapToGrid w:val="0"/>
        <w:spacing w:line="600" w:lineRule="exact"/>
        <w:jc w:val="center"/>
        <w:rPr>
          <w:rFonts w:ascii="黑体" w:eastAsia="黑体" w:hAnsi="华文中宋"/>
          <w:bCs/>
          <w:sz w:val="32"/>
          <w:szCs w:val="32"/>
        </w:rPr>
      </w:pPr>
      <w:r>
        <w:rPr>
          <w:rFonts w:ascii="黑体" w:eastAsia="黑体" w:hAnsi="华文中宋" w:hint="eastAsia"/>
          <w:bCs/>
          <w:sz w:val="32"/>
          <w:szCs w:val="32"/>
        </w:rPr>
        <w:lastRenderedPageBreak/>
        <w:t>目</w:t>
      </w:r>
      <w:r>
        <w:rPr>
          <w:rFonts w:ascii="黑体" w:eastAsia="黑体" w:hAnsi="华文中宋" w:hint="eastAsia"/>
          <w:bCs/>
          <w:sz w:val="32"/>
          <w:szCs w:val="32"/>
        </w:rPr>
        <w:t xml:space="preserve"> </w:t>
      </w:r>
      <w:r>
        <w:rPr>
          <w:rFonts w:ascii="黑体" w:eastAsia="黑体" w:hAnsi="华文中宋"/>
          <w:bCs/>
          <w:sz w:val="32"/>
          <w:szCs w:val="32"/>
        </w:rPr>
        <w:t xml:space="preserve"> </w:t>
      </w:r>
      <w:r>
        <w:rPr>
          <w:rFonts w:ascii="黑体" w:eastAsia="黑体" w:hAnsi="华文中宋" w:hint="eastAsia"/>
          <w:bCs/>
          <w:sz w:val="32"/>
          <w:szCs w:val="32"/>
        </w:rPr>
        <w:t>录</w:t>
      </w:r>
    </w:p>
    <w:p w:rsidR="00570066" w:rsidRDefault="00805C46">
      <w:pPr>
        <w:pStyle w:val="13"/>
        <w:tabs>
          <w:tab w:val="right" w:leader="dot" w:pos="8834"/>
        </w:tabs>
        <w:adjustRightInd w:val="0"/>
        <w:snapToGrid w:val="0"/>
        <w:spacing w:line="360" w:lineRule="auto"/>
        <w:rPr>
          <w:rFonts w:ascii="仿宋_GB2312" w:hAnsiTheme="minorHAnsi" w:cstheme="minorBidi"/>
          <w:szCs w:val="30"/>
          <w14:ligatures w14:val="standardContextual"/>
        </w:rPr>
      </w:pPr>
      <w:r>
        <w:rPr>
          <w:rFonts w:ascii="仿宋_GB2312" w:hAnsi="黑体" w:cs="Calibri" w:hint="eastAsia"/>
          <w:b/>
          <w:caps/>
          <w:szCs w:val="30"/>
        </w:rPr>
        <w:fldChar w:fldCharType="begin"/>
      </w:r>
      <w:r>
        <w:rPr>
          <w:rFonts w:ascii="仿宋_GB2312" w:hAnsi="黑体" w:hint="eastAsia"/>
          <w:szCs w:val="30"/>
        </w:rPr>
        <w:instrText xml:space="preserve"> TOC \o "1-2" \h \z \u </w:instrText>
      </w:r>
      <w:r>
        <w:rPr>
          <w:rFonts w:ascii="仿宋_GB2312" w:hAnsi="黑体" w:cs="Calibri" w:hint="eastAsia"/>
          <w:b/>
          <w:caps/>
          <w:szCs w:val="30"/>
        </w:rPr>
        <w:fldChar w:fldCharType="separate"/>
      </w:r>
      <w:hyperlink w:anchor="_Toc166692580" w:history="1">
        <w:r>
          <w:rPr>
            <w:rStyle w:val="af1"/>
            <w:rFonts w:ascii="仿宋_GB2312" w:hint="eastAsia"/>
            <w:szCs w:val="30"/>
          </w:rPr>
          <w:t>一、基本情况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_Toc166692580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1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81" w:history="1">
        <w:r>
          <w:rPr>
            <w:rStyle w:val="af1"/>
            <w:rFonts w:ascii="仿宋_GB2312" w:hint="eastAsia"/>
            <w:szCs w:val="30"/>
          </w:rPr>
          <w:t>（一）项目概况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_Toc166692581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1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82" w:history="1">
        <w:r>
          <w:rPr>
            <w:rStyle w:val="af1"/>
            <w:rFonts w:ascii="仿宋_GB2312" w:hint="eastAsia"/>
            <w:szCs w:val="30"/>
          </w:rPr>
          <w:t>（二）项目绩效目标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_Toc166692582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2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13"/>
        <w:tabs>
          <w:tab w:val="right" w:leader="dot" w:pos="8834"/>
        </w:tabs>
        <w:adjustRightInd w:val="0"/>
        <w:snapToGrid w:val="0"/>
        <w:spacing w:line="360" w:lineRule="auto"/>
        <w:rPr>
          <w:rFonts w:ascii="仿宋_GB2312" w:hAnsiTheme="minorHAnsi" w:cstheme="minorBidi"/>
          <w:szCs w:val="30"/>
          <w14:ligatures w14:val="standardContextual"/>
        </w:rPr>
      </w:pPr>
      <w:hyperlink w:anchor="_Toc166692583" w:history="1">
        <w:r>
          <w:rPr>
            <w:rStyle w:val="af1"/>
            <w:rFonts w:ascii="仿宋_GB2312" w:hint="eastAsia"/>
            <w:szCs w:val="30"/>
          </w:rPr>
          <w:t>二、绩效评价工作开展情况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</w:instrText>
        </w:r>
        <w:r>
          <w:rPr>
            <w:rFonts w:ascii="仿宋_GB2312" w:hint="eastAsia"/>
            <w:szCs w:val="30"/>
          </w:rPr>
          <w:instrText xml:space="preserve">F _Toc166692583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3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84" w:history="1">
        <w:r>
          <w:rPr>
            <w:rStyle w:val="af1"/>
            <w:rFonts w:ascii="仿宋_GB2312" w:hint="eastAsia"/>
            <w:szCs w:val="30"/>
          </w:rPr>
          <w:t>（一）绩效评价目的、对象和范围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_Toc166692584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3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85" w:history="1">
        <w:r>
          <w:rPr>
            <w:rStyle w:val="af1"/>
            <w:rFonts w:ascii="仿宋_GB2312" w:hint="eastAsia"/>
            <w:szCs w:val="30"/>
          </w:rPr>
          <w:t>（二）绩效评价原则、方法和指标体系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_Toc166692585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3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86" w:history="1">
        <w:r>
          <w:rPr>
            <w:rStyle w:val="af1"/>
            <w:rFonts w:ascii="仿宋_GB2312" w:hint="eastAsia"/>
            <w:szCs w:val="30"/>
          </w:rPr>
          <w:t>（三）绩效评价工作过程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_Toc166692586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4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13"/>
        <w:tabs>
          <w:tab w:val="right" w:leader="dot" w:pos="8834"/>
        </w:tabs>
        <w:adjustRightInd w:val="0"/>
        <w:snapToGrid w:val="0"/>
        <w:spacing w:line="360" w:lineRule="auto"/>
        <w:rPr>
          <w:rFonts w:ascii="仿宋_GB2312" w:hAnsiTheme="minorHAnsi" w:cstheme="minorBidi"/>
          <w:szCs w:val="30"/>
          <w14:ligatures w14:val="standardContextual"/>
        </w:rPr>
      </w:pPr>
      <w:hyperlink w:anchor="_Toc166692587" w:history="1">
        <w:r>
          <w:rPr>
            <w:rStyle w:val="af1"/>
            <w:rFonts w:ascii="仿宋_GB2312" w:hint="eastAsia"/>
            <w:szCs w:val="30"/>
          </w:rPr>
          <w:t>三、综合评价情况及评价结论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_Toc166692587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5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13"/>
        <w:tabs>
          <w:tab w:val="right" w:leader="dot" w:pos="8834"/>
        </w:tabs>
        <w:adjustRightInd w:val="0"/>
        <w:snapToGrid w:val="0"/>
        <w:spacing w:line="360" w:lineRule="auto"/>
        <w:rPr>
          <w:rFonts w:ascii="仿宋_GB2312" w:hAnsiTheme="minorHAnsi" w:cstheme="minorBidi"/>
          <w:szCs w:val="30"/>
          <w14:ligatures w14:val="standardContextual"/>
        </w:rPr>
      </w:pPr>
      <w:hyperlink w:anchor="_Toc166692588" w:history="1">
        <w:r>
          <w:rPr>
            <w:rStyle w:val="af1"/>
            <w:rFonts w:ascii="仿宋_GB2312" w:hint="eastAsia"/>
            <w:szCs w:val="30"/>
          </w:rPr>
          <w:t>四、绩效评价指标分析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_Toc166692588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5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89" w:history="1">
        <w:r>
          <w:rPr>
            <w:rStyle w:val="af1"/>
            <w:rFonts w:ascii="仿宋_GB2312" w:hint="eastAsia"/>
            <w:szCs w:val="30"/>
          </w:rPr>
          <w:t>（一）项目决策情况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</w:instrText>
        </w:r>
        <w:r>
          <w:rPr>
            <w:rFonts w:ascii="仿宋_GB2312" w:hint="eastAsia"/>
            <w:szCs w:val="30"/>
          </w:rPr>
          <w:instrText xml:space="preserve"> _Toc166692589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5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90" w:history="1">
        <w:r>
          <w:rPr>
            <w:rStyle w:val="af1"/>
            <w:rFonts w:ascii="仿宋_GB2312" w:hint="eastAsia"/>
            <w:szCs w:val="30"/>
          </w:rPr>
          <w:t>（二）项目过程情况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_Toc166692590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7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91" w:history="1">
        <w:r>
          <w:rPr>
            <w:rStyle w:val="af1"/>
            <w:rFonts w:ascii="仿宋_GB2312" w:hint="eastAsia"/>
            <w:szCs w:val="30"/>
          </w:rPr>
          <w:t>（三）项目产出情况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_Toc166692591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8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92" w:history="1">
        <w:r>
          <w:rPr>
            <w:rStyle w:val="af1"/>
            <w:rFonts w:ascii="仿宋_GB2312" w:hint="eastAsia"/>
            <w:szCs w:val="30"/>
          </w:rPr>
          <w:t>（四）项目效益情况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_Toc166692592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9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13"/>
        <w:tabs>
          <w:tab w:val="right" w:leader="dot" w:pos="8834"/>
        </w:tabs>
        <w:adjustRightInd w:val="0"/>
        <w:snapToGrid w:val="0"/>
        <w:spacing w:line="360" w:lineRule="auto"/>
        <w:rPr>
          <w:rFonts w:ascii="仿宋_GB2312" w:hAnsiTheme="minorHAnsi" w:cstheme="minorBidi"/>
          <w:szCs w:val="30"/>
          <w14:ligatures w14:val="standardContextual"/>
        </w:rPr>
      </w:pPr>
      <w:hyperlink w:anchor="_Toc166692593" w:history="1">
        <w:r>
          <w:rPr>
            <w:rStyle w:val="af1"/>
            <w:rFonts w:ascii="仿宋_GB2312" w:hint="eastAsia"/>
            <w:szCs w:val="30"/>
          </w:rPr>
          <w:t>五、主要经验及做法、存在的问题及原因分析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_Toc166692593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9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94" w:history="1">
        <w:r>
          <w:rPr>
            <w:rStyle w:val="af1"/>
            <w:rFonts w:ascii="仿宋_GB2312" w:hint="eastAsia"/>
            <w:szCs w:val="30"/>
          </w:rPr>
          <w:t>（一）主要经验及做法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_Toc166692594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9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95" w:history="1">
        <w:r>
          <w:rPr>
            <w:rStyle w:val="af1"/>
            <w:rFonts w:ascii="仿宋_GB2312" w:hint="eastAsia"/>
            <w:szCs w:val="30"/>
          </w:rPr>
          <w:t>（二）存在的主要问题及原因分析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_Toc166692595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10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13"/>
        <w:tabs>
          <w:tab w:val="right" w:leader="dot" w:pos="8834"/>
        </w:tabs>
        <w:adjustRightInd w:val="0"/>
        <w:snapToGrid w:val="0"/>
        <w:spacing w:line="360" w:lineRule="auto"/>
        <w:rPr>
          <w:rFonts w:ascii="仿宋_GB2312" w:hAnsiTheme="minorHAnsi" w:cstheme="minorBidi"/>
          <w:szCs w:val="30"/>
          <w14:ligatures w14:val="standardContextual"/>
        </w:rPr>
      </w:pPr>
      <w:hyperlink w:anchor="_Toc166692596" w:history="1">
        <w:r>
          <w:rPr>
            <w:rStyle w:val="af1"/>
            <w:rFonts w:ascii="仿宋_GB2312" w:hint="eastAsia"/>
            <w:szCs w:val="30"/>
          </w:rPr>
          <w:t>六、有关建议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</w:instrText>
        </w:r>
        <w:r>
          <w:rPr>
            <w:rFonts w:ascii="仿宋_GB2312" w:hint="eastAsia"/>
            <w:szCs w:val="30"/>
          </w:rPr>
          <w:instrText xml:space="preserve">REF _Toc166692596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11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97" w:history="1">
        <w:r>
          <w:rPr>
            <w:rStyle w:val="af1"/>
            <w:rFonts w:ascii="仿宋_GB2312" w:hint="eastAsia"/>
            <w:szCs w:val="30"/>
          </w:rPr>
          <w:t>（一）规范绩效指标设置，提高绩效指标约束作用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_Toc166692597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11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98" w:history="1">
        <w:r>
          <w:rPr>
            <w:rStyle w:val="af1"/>
            <w:rFonts w:ascii="仿宋_GB2312" w:hint="eastAsia"/>
            <w:szCs w:val="30"/>
          </w:rPr>
          <w:t>（二）强化项目过程管理，提高组织管理规范性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_Toc166692598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12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pStyle w:val="22"/>
        <w:tabs>
          <w:tab w:val="right" w:leader="dot" w:pos="8834"/>
        </w:tabs>
        <w:adjustRightInd w:val="0"/>
        <w:snapToGrid w:val="0"/>
        <w:spacing w:line="360" w:lineRule="auto"/>
        <w:ind w:leftChars="0" w:left="0"/>
        <w:rPr>
          <w:rFonts w:ascii="仿宋_GB2312" w:hAnsiTheme="minorHAnsi" w:cstheme="minorBidi"/>
          <w:szCs w:val="30"/>
          <w14:ligatures w14:val="standardContextual"/>
        </w:rPr>
      </w:pPr>
      <w:hyperlink w:anchor="_Toc166692599" w:history="1">
        <w:r>
          <w:rPr>
            <w:rStyle w:val="af1"/>
            <w:rFonts w:ascii="仿宋_GB2312" w:hint="eastAsia"/>
            <w:szCs w:val="30"/>
          </w:rPr>
          <w:t>（三）加强成本管控，进一步提升项目实施效能</w:t>
        </w:r>
        <w:r>
          <w:rPr>
            <w:rFonts w:ascii="仿宋_GB2312" w:hint="eastAsia"/>
            <w:szCs w:val="30"/>
          </w:rPr>
          <w:tab/>
        </w:r>
        <w:r>
          <w:rPr>
            <w:rFonts w:ascii="仿宋_GB2312" w:hint="eastAsia"/>
            <w:szCs w:val="30"/>
          </w:rPr>
          <w:fldChar w:fldCharType="begin"/>
        </w:r>
        <w:r>
          <w:rPr>
            <w:rFonts w:ascii="仿宋_GB2312" w:hint="eastAsia"/>
            <w:szCs w:val="30"/>
          </w:rPr>
          <w:instrText xml:space="preserve"> PAGEREF _Toc166692599 \h </w:instrText>
        </w:r>
        <w:r>
          <w:rPr>
            <w:rFonts w:ascii="仿宋_GB2312" w:hint="eastAsia"/>
            <w:szCs w:val="30"/>
          </w:rPr>
        </w:r>
        <w:r>
          <w:rPr>
            <w:rFonts w:ascii="仿宋_GB2312" w:hint="eastAsia"/>
            <w:szCs w:val="30"/>
          </w:rPr>
          <w:fldChar w:fldCharType="separate"/>
        </w:r>
        <w:r>
          <w:rPr>
            <w:rFonts w:ascii="仿宋_GB2312"/>
            <w:szCs w:val="30"/>
          </w:rPr>
          <w:t>12</w:t>
        </w:r>
        <w:r>
          <w:rPr>
            <w:rFonts w:ascii="仿宋_GB2312" w:hint="eastAsia"/>
            <w:szCs w:val="30"/>
          </w:rPr>
          <w:fldChar w:fldCharType="end"/>
        </w:r>
      </w:hyperlink>
    </w:p>
    <w:p w:rsidR="00570066" w:rsidRDefault="00805C46">
      <w:pPr>
        <w:tabs>
          <w:tab w:val="right" w:pos="8820"/>
        </w:tabs>
        <w:adjustRightInd w:val="0"/>
        <w:snapToGrid w:val="0"/>
        <w:spacing w:line="360" w:lineRule="auto"/>
        <w:rPr>
          <w:rFonts w:ascii="黑体" w:eastAsia="黑体" w:hAnsi="黑体"/>
          <w:sz w:val="28"/>
        </w:rPr>
        <w:sectPr w:rsidR="00570066">
          <w:pgSz w:w="11906" w:h="16838"/>
          <w:pgMar w:top="2098" w:right="1531" w:bottom="1985" w:left="1531" w:header="851" w:footer="992" w:gutter="0"/>
          <w:cols w:space="425"/>
          <w:docGrid w:type="lines" w:linePitch="312"/>
        </w:sectPr>
      </w:pPr>
      <w:r>
        <w:rPr>
          <w:rFonts w:ascii="仿宋_GB2312" w:hAnsi="黑体" w:hint="eastAsia"/>
          <w:bCs/>
          <w:szCs w:val="30"/>
        </w:rPr>
        <w:fldChar w:fldCharType="end"/>
      </w:r>
    </w:p>
    <w:p w:rsidR="00570066" w:rsidRDefault="00805C46">
      <w:pPr>
        <w:adjustRightInd w:val="0"/>
        <w:snapToGrid w:val="0"/>
        <w:spacing w:line="600" w:lineRule="exact"/>
        <w:jc w:val="center"/>
        <w:rPr>
          <w:rFonts w:ascii="华文中宋" w:eastAsia="华文中宋" w:hAnsi="华文中宋"/>
          <w:bCs/>
          <w:sz w:val="36"/>
          <w:szCs w:val="44"/>
        </w:rPr>
      </w:pPr>
      <w:r>
        <w:rPr>
          <w:rFonts w:ascii="华文中宋" w:eastAsia="华文中宋" w:hAnsi="华文中宋" w:hint="eastAsia"/>
          <w:bCs/>
          <w:sz w:val="36"/>
          <w:szCs w:val="44"/>
        </w:rPr>
        <w:lastRenderedPageBreak/>
        <w:t>北京市人民政府参事室</w:t>
      </w:r>
    </w:p>
    <w:p w:rsidR="00570066" w:rsidRDefault="00805C46">
      <w:pPr>
        <w:adjustRightInd w:val="0"/>
        <w:snapToGrid w:val="0"/>
        <w:spacing w:line="600" w:lineRule="exact"/>
        <w:jc w:val="center"/>
        <w:rPr>
          <w:rFonts w:ascii="华文中宋" w:eastAsia="华文中宋" w:hAnsi="华文中宋"/>
          <w:szCs w:val="32"/>
        </w:rPr>
      </w:pPr>
      <w:r>
        <w:rPr>
          <w:rFonts w:ascii="华文中宋" w:eastAsia="华文中宋" w:hAnsi="华文中宋"/>
          <w:bCs/>
          <w:sz w:val="36"/>
          <w:szCs w:val="44"/>
        </w:rPr>
        <w:t>202</w:t>
      </w:r>
      <w:r>
        <w:rPr>
          <w:rFonts w:ascii="华文中宋" w:eastAsia="华文中宋" w:hAnsi="华文中宋" w:hint="eastAsia"/>
          <w:bCs/>
          <w:sz w:val="36"/>
          <w:szCs w:val="44"/>
        </w:rPr>
        <w:t>3</w:t>
      </w:r>
      <w:r>
        <w:rPr>
          <w:rFonts w:ascii="华文中宋" w:eastAsia="华文中宋" w:hAnsi="华文中宋" w:hint="eastAsia"/>
          <w:bCs/>
          <w:sz w:val="36"/>
          <w:szCs w:val="44"/>
        </w:rPr>
        <w:t>年度《北京文史》出版经费项目绩效评价报告</w:t>
      </w:r>
    </w:p>
    <w:p w:rsidR="00570066" w:rsidRDefault="00570066">
      <w:pPr>
        <w:adjustRightInd w:val="0"/>
        <w:snapToGrid w:val="0"/>
        <w:spacing w:line="600" w:lineRule="exact"/>
        <w:ind w:firstLineChars="200" w:firstLine="600"/>
        <w:jc w:val="center"/>
        <w:rPr>
          <w:rFonts w:ascii="仿宋_GB2312"/>
          <w:szCs w:val="32"/>
        </w:rPr>
      </w:pP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0"/>
        <w:rPr>
          <w:rFonts w:ascii="黑体" w:eastAsia="黑体"/>
          <w:sz w:val="32"/>
          <w:szCs w:val="32"/>
        </w:rPr>
      </w:pPr>
      <w:bookmarkStart w:id="1" w:name="_Toc166692580"/>
      <w:bookmarkStart w:id="2" w:name="_Toc35588393"/>
      <w:r>
        <w:rPr>
          <w:rFonts w:ascii="黑体" w:eastAsia="黑体" w:hint="eastAsia"/>
          <w:sz w:val="32"/>
          <w:szCs w:val="32"/>
        </w:rPr>
        <w:t>一、基本情况</w:t>
      </w:r>
      <w:bookmarkEnd w:id="1"/>
      <w:bookmarkEnd w:id="2"/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sz w:val="32"/>
          <w:szCs w:val="32"/>
        </w:rPr>
      </w:pPr>
      <w:bookmarkStart w:id="3" w:name="_Toc35588394"/>
      <w:bookmarkStart w:id="4" w:name="_Toc166692581"/>
      <w:r>
        <w:rPr>
          <w:rFonts w:ascii="楷体_GB2312" w:eastAsia="楷体_GB2312" w:hint="eastAsia"/>
          <w:sz w:val="32"/>
          <w:szCs w:val="32"/>
        </w:rPr>
        <w:t>（一）项目概况</w:t>
      </w:r>
      <w:bookmarkEnd w:id="3"/>
      <w:bookmarkEnd w:id="4"/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hAnsi="宋体" w:cs="宋体"/>
          <w:kern w:val="0"/>
          <w:sz w:val="32"/>
          <w:szCs w:val="32"/>
        </w:rPr>
      </w:pPr>
      <w:bookmarkStart w:id="5" w:name="_Toc35588395"/>
      <w:r>
        <w:rPr>
          <w:rFonts w:ascii="仿宋_GB2312" w:hAnsi="宋体" w:cs="宋体" w:hint="eastAsia"/>
          <w:kern w:val="0"/>
          <w:sz w:val="32"/>
          <w:szCs w:val="32"/>
        </w:rPr>
        <w:t>1.</w:t>
      </w:r>
      <w:r>
        <w:rPr>
          <w:rFonts w:ascii="仿宋_GB2312" w:hAnsi="宋体" w:cs="宋体" w:hint="eastAsia"/>
          <w:kern w:val="0"/>
          <w:sz w:val="32"/>
          <w:szCs w:val="32"/>
        </w:rPr>
        <w:t>项目背景</w:t>
      </w:r>
      <w:bookmarkEnd w:id="5"/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2005</w:t>
      </w:r>
      <w:r>
        <w:rPr>
          <w:rFonts w:ascii="仿宋_GB2312" w:hint="eastAsia"/>
          <w:color w:val="000000"/>
          <w:sz w:val="32"/>
          <w:szCs w:val="32"/>
        </w:rPr>
        <w:t>年，北京市机构编制委员会办公室批复成立北京市文史研究中心（以下简称“文史中心”），主要职责包括“负责《北京文史》的编辑出版以及文史资料的收集、整理、编辑”。文史中心现隶属于北京市人民政府参事室（北京市文史研究馆）（以下简称“市政府参事室”），为公益一类事业单位。</w:t>
      </w:r>
    </w:p>
    <w:p w:rsidR="00570066" w:rsidRDefault="00805C46">
      <w:pPr>
        <w:ind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《北京文史》是市政府参事室主办的综合性文史类内部资料，以多角度反映北京历史文化重要信息，弘扬中华优秀传统文化、讲好北京故事为宗旨，内容涵盖北京历史、文化、文化遗产保护、古代建筑等多方面，是研究北京地区文化史的权威性刊物之一。为保障《北京文史》的编辑出版工作，设立《北京文史》出版经费项目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hAnsi="宋体" w:cs="宋体"/>
          <w:kern w:val="0"/>
          <w:sz w:val="32"/>
          <w:szCs w:val="32"/>
        </w:rPr>
      </w:pPr>
      <w:bookmarkStart w:id="6" w:name="_Toc35588396"/>
      <w:r>
        <w:rPr>
          <w:rFonts w:ascii="仿宋_GB2312" w:hAnsi="宋体" w:cs="宋体" w:hint="eastAsia"/>
          <w:kern w:val="0"/>
          <w:sz w:val="32"/>
          <w:szCs w:val="32"/>
        </w:rPr>
        <w:t>2.</w:t>
      </w:r>
      <w:r>
        <w:rPr>
          <w:rFonts w:ascii="仿宋_GB2312" w:hAnsi="宋体" w:cs="宋体" w:hint="eastAsia"/>
          <w:kern w:val="0"/>
          <w:sz w:val="32"/>
          <w:szCs w:val="32"/>
        </w:rPr>
        <w:t>项目主要内容</w:t>
      </w:r>
      <w:bookmarkEnd w:id="6"/>
      <w:r>
        <w:rPr>
          <w:rFonts w:ascii="仿宋_GB2312" w:hAnsi="宋体" w:cs="宋体" w:hint="eastAsia"/>
          <w:kern w:val="0"/>
          <w:sz w:val="32"/>
          <w:szCs w:val="32"/>
        </w:rPr>
        <w:t>及实施情况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项目主要内容为编辑出版《北京文史》期刊，每年四期，每期刊印</w:t>
      </w:r>
      <w:r>
        <w:rPr>
          <w:rFonts w:ascii="仿宋_GB2312" w:hint="eastAsia"/>
          <w:color w:val="000000"/>
          <w:sz w:val="32"/>
          <w:szCs w:val="32"/>
        </w:rPr>
        <w:t>7000</w:t>
      </w:r>
      <w:r>
        <w:rPr>
          <w:rFonts w:ascii="仿宋_GB2312" w:hint="eastAsia"/>
          <w:color w:val="000000"/>
          <w:sz w:val="32"/>
          <w:szCs w:val="32"/>
        </w:rPr>
        <w:t>册。截至</w:t>
      </w:r>
      <w:r>
        <w:rPr>
          <w:rFonts w:ascii="仿宋_GB2312" w:hint="eastAsia"/>
          <w:color w:val="000000"/>
          <w:sz w:val="32"/>
          <w:szCs w:val="32"/>
        </w:rPr>
        <w:t>2023</w:t>
      </w:r>
      <w:r>
        <w:rPr>
          <w:rFonts w:ascii="仿宋_GB2312" w:hint="eastAsia"/>
          <w:color w:val="000000"/>
          <w:sz w:val="32"/>
          <w:szCs w:val="32"/>
        </w:rPr>
        <w:t>年</w:t>
      </w:r>
      <w:r>
        <w:rPr>
          <w:rFonts w:ascii="仿宋_GB2312" w:hint="eastAsia"/>
          <w:color w:val="000000"/>
          <w:sz w:val="32"/>
          <w:szCs w:val="32"/>
        </w:rPr>
        <w:t>12</w:t>
      </w:r>
      <w:r>
        <w:rPr>
          <w:rFonts w:ascii="仿宋_GB2312" w:hint="eastAsia"/>
          <w:color w:val="000000"/>
          <w:sz w:val="32"/>
          <w:szCs w:val="32"/>
        </w:rPr>
        <w:t>月</w:t>
      </w:r>
      <w:r>
        <w:rPr>
          <w:rFonts w:ascii="仿宋_GB2312" w:hint="eastAsia"/>
          <w:color w:val="000000"/>
          <w:sz w:val="32"/>
          <w:szCs w:val="32"/>
        </w:rPr>
        <w:t>31</w:t>
      </w:r>
      <w:r>
        <w:rPr>
          <w:rFonts w:ascii="仿宋_GB2312" w:hint="eastAsia"/>
          <w:color w:val="000000"/>
          <w:sz w:val="32"/>
          <w:szCs w:val="32"/>
        </w:rPr>
        <w:t>日，项目预期工作内容全部完成。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hAnsi="宋体" w:cs="宋体"/>
          <w:kern w:val="0"/>
          <w:sz w:val="32"/>
          <w:szCs w:val="32"/>
        </w:rPr>
      </w:pPr>
      <w:bookmarkStart w:id="7" w:name="_Toc35588397"/>
      <w:r>
        <w:rPr>
          <w:rFonts w:ascii="仿宋_GB2312" w:hAnsi="宋体" w:cs="宋体" w:hint="eastAsia"/>
          <w:kern w:val="0"/>
          <w:sz w:val="32"/>
          <w:szCs w:val="32"/>
        </w:rPr>
        <w:lastRenderedPageBreak/>
        <w:t>3.</w:t>
      </w:r>
      <w:r>
        <w:rPr>
          <w:rFonts w:ascii="仿宋_GB2312" w:hAnsi="宋体" w:cs="宋体" w:hint="eastAsia"/>
          <w:kern w:val="0"/>
          <w:sz w:val="32"/>
          <w:szCs w:val="32"/>
        </w:rPr>
        <w:t>项目资金投入</w:t>
      </w:r>
      <w:bookmarkEnd w:id="7"/>
      <w:r>
        <w:rPr>
          <w:rFonts w:ascii="仿宋_GB2312" w:hAnsi="宋体" w:cs="宋体" w:hint="eastAsia"/>
          <w:kern w:val="0"/>
          <w:sz w:val="32"/>
          <w:szCs w:val="32"/>
        </w:rPr>
        <w:t>和使用情况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项目</w:t>
      </w:r>
      <w:r>
        <w:rPr>
          <w:rFonts w:ascii="仿宋_GB2312" w:hint="eastAsia"/>
          <w:color w:val="000000"/>
          <w:sz w:val="32"/>
          <w:szCs w:val="32"/>
        </w:rPr>
        <w:t>2023</w:t>
      </w:r>
      <w:r>
        <w:rPr>
          <w:rFonts w:ascii="仿宋_GB2312" w:hint="eastAsia"/>
          <w:color w:val="000000"/>
          <w:sz w:val="32"/>
          <w:szCs w:val="32"/>
        </w:rPr>
        <w:t>年度预算</w:t>
      </w:r>
      <w:r>
        <w:rPr>
          <w:rFonts w:ascii="仿宋_GB2312" w:hint="eastAsia"/>
          <w:color w:val="000000"/>
          <w:sz w:val="32"/>
          <w:szCs w:val="32"/>
        </w:rPr>
        <w:t>92.46</w:t>
      </w:r>
      <w:r>
        <w:rPr>
          <w:rFonts w:ascii="仿宋_GB2312" w:hint="eastAsia"/>
          <w:color w:val="000000"/>
          <w:sz w:val="32"/>
          <w:szCs w:val="32"/>
        </w:rPr>
        <w:t>万元，预算</w:t>
      </w:r>
      <w:r>
        <w:rPr>
          <w:rFonts w:ascii="仿宋_GB2312" w:hint="eastAsia"/>
          <w:color w:val="000000"/>
          <w:sz w:val="32"/>
          <w:szCs w:val="32"/>
        </w:rPr>
        <w:t>构成包括稿费、图片费、劳务费以及制作印刷费、参观观摩费、资料费。截至</w:t>
      </w:r>
      <w:r>
        <w:rPr>
          <w:rFonts w:ascii="仿宋_GB2312" w:hint="eastAsia"/>
          <w:color w:val="000000"/>
          <w:sz w:val="32"/>
          <w:szCs w:val="32"/>
        </w:rPr>
        <w:t>2023</w:t>
      </w:r>
      <w:r>
        <w:rPr>
          <w:rFonts w:ascii="仿宋_GB2312" w:hint="eastAsia"/>
          <w:color w:val="000000"/>
          <w:sz w:val="32"/>
          <w:szCs w:val="32"/>
        </w:rPr>
        <w:t>年</w:t>
      </w:r>
      <w:r>
        <w:rPr>
          <w:rFonts w:ascii="仿宋_GB2312" w:hint="eastAsia"/>
          <w:color w:val="000000"/>
          <w:sz w:val="32"/>
          <w:szCs w:val="32"/>
        </w:rPr>
        <w:t>12</w:t>
      </w:r>
      <w:r>
        <w:rPr>
          <w:rFonts w:ascii="仿宋_GB2312" w:hint="eastAsia"/>
          <w:color w:val="000000"/>
          <w:sz w:val="32"/>
          <w:szCs w:val="32"/>
        </w:rPr>
        <w:t>月</w:t>
      </w:r>
      <w:r>
        <w:rPr>
          <w:rFonts w:ascii="仿宋_GB2312" w:hint="eastAsia"/>
          <w:color w:val="000000"/>
          <w:sz w:val="32"/>
          <w:szCs w:val="32"/>
        </w:rPr>
        <w:t>31</w:t>
      </w:r>
      <w:r>
        <w:rPr>
          <w:rFonts w:ascii="仿宋_GB2312" w:hint="eastAsia"/>
          <w:color w:val="000000"/>
          <w:sz w:val="32"/>
          <w:szCs w:val="32"/>
        </w:rPr>
        <w:t>日，实际支出</w:t>
      </w:r>
      <w:r>
        <w:rPr>
          <w:rFonts w:ascii="仿宋_GB2312" w:hint="eastAsia"/>
          <w:color w:val="000000"/>
          <w:sz w:val="32"/>
          <w:szCs w:val="32"/>
        </w:rPr>
        <w:t>89.80</w:t>
      </w:r>
      <w:r>
        <w:rPr>
          <w:rFonts w:ascii="仿宋_GB2312" w:hint="eastAsia"/>
          <w:color w:val="000000"/>
          <w:sz w:val="32"/>
          <w:szCs w:val="32"/>
        </w:rPr>
        <w:t>万元，预算执行率</w:t>
      </w:r>
      <w:r>
        <w:rPr>
          <w:rFonts w:ascii="仿宋_GB2312" w:hint="eastAsia"/>
          <w:color w:val="000000"/>
          <w:sz w:val="32"/>
          <w:szCs w:val="32"/>
        </w:rPr>
        <w:t>97.12%</w:t>
      </w:r>
      <w:r>
        <w:rPr>
          <w:rFonts w:ascii="仿宋_GB2312" w:hint="eastAsia"/>
          <w:color w:val="000000"/>
          <w:sz w:val="32"/>
          <w:szCs w:val="32"/>
        </w:rPr>
        <w:t>。项目预算及资金支出情况见表</w:t>
      </w:r>
      <w:r>
        <w:rPr>
          <w:rFonts w:ascii="仿宋_GB2312" w:hint="eastAsia"/>
          <w:color w:val="000000"/>
          <w:sz w:val="32"/>
          <w:szCs w:val="32"/>
        </w:rPr>
        <w:t>1</w:t>
      </w:r>
      <w:r>
        <w:rPr>
          <w:rFonts w:ascii="仿宋_GB2312" w:hint="eastAsia"/>
          <w:color w:val="000000"/>
          <w:sz w:val="32"/>
          <w:szCs w:val="32"/>
        </w:rPr>
        <w:t>。</w:t>
      </w:r>
    </w:p>
    <w:p w:rsidR="00570066" w:rsidRDefault="00805C46">
      <w:pPr>
        <w:adjustRightInd w:val="0"/>
        <w:snapToGrid w:val="0"/>
        <w:spacing w:beforeLines="50" w:before="156" w:afterLines="50" w:after="156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表</w:t>
      </w:r>
      <w:r>
        <w:rPr>
          <w:rFonts w:ascii="宋体" w:eastAsia="宋体" w:hAnsi="宋体" w:hint="eastAsia"/>
          <w:b/>
          <w:bCs/>
          <w:sz w:val="28"/>
          <w:szCs w:val="28"/>
        </w:rPr>
        <w:t xml:space="preserve">1  </w:t>
      </w:r>
      <w:r>
        <w:rPr>
          <w:rFonts w:ascii="宋体" w:eastAsia="宋体" w:hAnsi="宋体" w:hint="eastAsia"/>
          <w:b/>
          <w:bCs/>
          <w:sz w:val="28"/>
          <w:szCs w:val="28"/>
        </w:rPr>
        <w:t>项目预算及资金支出情况</w:t>
      </w:r>
    </w:p>
    <w:p w:rsidR="00570066" w:rsidRDefault="00805C46">
      <w:pPr>
        <w:adjustRightInd w:val="0"/>
        <w:snapToGrid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金额单位：万元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3047"/>
        <w:gridCol w:w="2339"/>
        <w:gridCol w:w="2552"/>
      </w:tblGrid>
      <w:tr w:rsidR="00570066">
        <w:trPr>
          <w:trHeight w:val="4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支出内容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预算金额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支出金额</w:t>
            </w:r>
          </w:p>
        </w:tc>
      </w:tr>
      <w:tr w:rsidR="00570066">
        <w:trPr>
          <w:trHeight w:val="42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制作、印刷费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49.51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49.51</w:t>
            </w:r>
          </w:p>
        </w:tc>
      </w:tr>
      <w:tr w:rsidR="00570066">
        <w:trPr>
          <w:trHeight w:val="40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稿费、图片费、劳务费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42.00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39.48</w:t>
            </w:r>
          </w:p>
        </w:tc>
      </w:tr>
      <w:tr w:rsidR="00570066">
        <w:trPr>
          <w:trHeight w:val="42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资料费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0.80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0.67</w:t>
            </w:r>
          </w:p>
        </w:tc>
      </w:tr>
      <w:tr w:rsidR="00570066">
        <w:trPr>
          <w:trHeight w:val="4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参观、观摩费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0.15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0.14</w:t>
            </w:r>
          </w:p>
        </w:tc>
      </w:tr>
      <w:tr w:rsidR="00570066">
        <w:trPr>
          <w:trHeight w:val="424"/>
          <w:jc w:val="center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合计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92.46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89.80</w:t>
            </w:r>
          </w:p>
        </w:tc>
      </w:tr>
    </w:tbl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sz w:val="32"/>
          <w:szCs w:val="32"/>
        </w:rPr>
      </w:pPr>
      <w:bookmarkStart w:id="8" w:name="_Toc35588398"/>
      <w:bookmarkStart w:id="9" w:name="_Toc166692582"/>
      <w:r>
        <w:rPr>
          <w:rFonts w:ascii="楷体_GB2312" w:eastAsia="楷体_GB2312" w:hint="eastAsia"/>
          <w:sz w:val="32"/>
          <w:szCs w:val="32"/>
        </w:rPr>
        <w:t>（二）项目绩效目标</w:t>
      </w:r>
      <w:bookmarkEnd w:id="8"/>
      <w:bookmarkEnd w:id="9"/>
    </w:p>
    <w:p w:rsidR="00570066" w:rsidRDefault="00805C46">
      <w:pPr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根据《项目绩效目标表》，项目的绩效目标为：权威介绍和分析北京的历史文化</w:t>
      </w:r>
      <w:r>
        <w:rPr>
          <w:rFonts w:ascii="仿宋_GB2312" w:hint="eastAsia"/>
          <w:color w:val="000000"/>
          <w:sz w:val="32"/>
          <w:szCs w:val="32"/>
        </w:rPr>
        <w:t xml:space="preserve">; </w:t>
      </w:r>
      <w:r>
        <w:rPr>
          <w:rFonts w:ascii="仿宋_GB2312" w:hint="eastAsia"/>
          <w:color w:val="000000"/>
          <w:sz w:val="32"/>
          <w:szCs w:val="32"/>
        </w:rPr>
        <w:t>多方面、多角度反映北京历史文化重要信息，深度挖掘人文北京的历史文化内涵</w:t>
      </w:r>
      <w:r>
        <w:rPr>
          <w:rFonts w:ascii="仿宋_GB2312" w:hint="eastAsia"/>
          <w:color w:val="000000"/>
          <w:sz w:val="32"/>
          <w:szCs w:val="32"/>
        </w:rPr>
        <w:t xml:space="preserve">; </w:t>
      </w:r>
      <w:r>
        <w:rPr>
          <w:rFonts w:ascii="仿宋_GB2312" w:hint="eastAsia"/>
          <w:color w:val="000000"/>
          <w:sz w:val="32"/>
          <w:szCs w:val="32"/>
        </w:rPr>
        <w:t>为北京的历史文化研究、人文北京和建设中国特色世界城市贡献力量。围绕年度绩效目标，项目设定了绩效指标，具体设定情况见表</w:t>
      </w:r>
      <w:r>
        <w:rPr>
          <w:rFonts w:ascii="仿宋_GB2312" w:hint="eastAsia"/>
          <w:color w:val="000000"/>
          <w:sz w:val="32"/>
          <w:szCs w:val="32"/>
        </w:rPr>
        <w:t>2</w:t>
      </w:r>
      <w:r>
        <w:rPr>
          <w:rFonts w:ascii="仿宋_GB2312" w:hint="eastAsia"/>
          <w:color w:val="000000"/>
          <w:sz w:val="32"/>
          <w:szCs w:val="32"/>
        </w:rPr>
        <w:t>。</w:t>
      </w:r>
    </w:p>
    <w:p w:rsidR="00570066" w:rsidRDefault="00805C46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表</w:t>
      </w:r>
      <w:r>
        <w:rPr>
          <w:rFonts w:ascii="宋体" w:eastAsia="宋体" w:hAnsi="宋体" w:hint="eastAsia"/>
          <w:b/>
          <w:bCs/>
          <w:sz w:val="28"/>
          <w:szCs w:val="28"/>
        </w:rPr>
        <w:t xml:space="preserve">2  </w:t>
      </w:r>
      <w:r>
        <w:rPr>
          <w:rFonts w:ascii="宋体" w:eastAsia="宋体" w:hAnsi="宋体" w:hint="eastAsia"/>
          <w:b/>
          <w:bCs/>
          <w:sz w:val="28"/>
          <w:szCs w:val="28"/>
        </w:rPr>
        <w:t>项目绩效指标</w:t>
      </w:r>
    </w:p>
    <w:tbl>
      <w:tblPr>
        <w:tblW w:w="8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329"/>
        <w:gridCol w:w="3050"/>
        <w:gridCol w:w="2569"/>
      </w:tblGrid>
      <w:tr w:rsidR="00570066">
        <w:trPr>
          <w:cantSplit/>
          <w:trHeight w:val="454"/>
          <w:tblHeader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一级指标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二级指标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指标内容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指标值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产出指标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数量指标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widowControl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印数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widowControl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≥</w:t>
            </w:r>
            <w:r>
              <w:rPr>
                <w:rFonts w:ascii="宋体" w:eastAsia="宋体" w:hAnsi="宋体" w:hint="eastAsia"/>
                <w:sz w:val="24"/>
              </w:rPr>
              <w:t>7000</w:t>
            </w:r>
            <w:r>
              <w:rPr>
                <w:rFonts w:ascii="宋体" w:eastAsia="宋体" w:hAnsi="宋体" w:hint="eastAsia"/>
                <w:sz w:val="24"/>
              </w:rPr>
              <w:t>册</w:t>
            </w:r>
            <w:r>
              <w:rPr>
                <w:rFonts w:ascii="宋体" w:eastAsia="宋体" w:hAnsi="宋体" w:hint="eastAsia"/>
                <w:sz w:val="24"/>
              </w:rPr>
              <w:t>/</w:t>
            </w:r>
            <w:r>
              <w:rPr>
                <w:rFonts w:ascii="宋体" w:eastAsia="宋体" w:hAnsi="宋体" w:hint="eastAsia"/>
                <w:sz w:val="24"/>
              </w:rPr>
              <w:t>期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widowControl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发行期数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widowControl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≥</w:t>
            </w:r>
            <w:r>
              <w:rPr>
                <w:rFonts w:ascii="宋体" w:eastAsia="宋体" w:hAnsi="宋体" w:hint="eastAsia"/>
                <w:sz w:val="24"/>
              </w:rPr>
              <w:t>4</w:t>
            </w:r>
            <w:r>
              <w:rPr>
                <w:rFonts w:ascii="宋体" w:eastAsia="宋体" w:hAnsi="宋体" w:hint="eastAsia"/>
                <w:sz w:val="24"/>
              </w:rPr>
              <w:t>期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续上页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续上页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widowControl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赠阅数量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widowControl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≥</w:t>
            </w:r>
            <w:r>
              <w:rPr>
                <w:rFonts w:ascii="宋体" w:eastAsia="宋体" w:hAnsi="宋体" w:hint="eastAsia"/>
                <w:sz w:val="24"/>
              </w:rPr>
              <w:t>6000</w:t>
            </w:r>
            <w:r>
              <w:rPr>
                <w:rFonts w:ascii="宋体" w:eastAsia="宋体" w:hAnsi="宋体" w:hint="eastAsia"/>
                <w:sz w:val="24"/>
              </w:rPr>
              <w:t>册</w:t>
            </w:r>
            <w:r>
              <w:rPr>
                <w:rFonts w:ascii="宋体" w:eastAsia="宋体" w:hAnsi="宋体" w:hint="eastAsia"/>
                <w:sz w:val="24"/>
              </w:rPr>
              <w:t>/</w:t>
            </w:r>
            <w:r>
              <w:rPr>
                <w:rFonts w:ascii="宋体" w:eastAsia="宋体" w:hAnsi="宋体" w:hint="eastAsia"/>
                <w:sz w:val="24"/>
              </w:rPr>
              <w:t>期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widowControl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项目预算控制数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widowControl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≤</w:t>
            </w:r>
            <w:r>
              <w:rPr>
                <w:rFonts w:ascii="宋体" w:eastAsia="宋体" w:hAnsi="宋体" w:hint="eastAsia"/>
                <w:sz w:val="24"/>
              </w:rPr>
              <w:t>92.466</w:t>
            </w:r>
            <w:r>
              <w:rPr>
                <w:rFonts w:ascii="宋体" w:eastAsia="宋体" w:hAnsi="宋体" w:hint="eastAsia"/>
                <w:sz w:val="24"/>
              </w:rPr>
              <w:t>万元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质量指标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每期字数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≥</w:t>
            </w:r>
            <w:r>
              <w:rPr>
                <w:rFonts w:ascii="宋体" w:eastAsia="宋体" w:hAnsi="宋体" w:hint="eastAsia"/>
                <w:sz w:val="24"/>
              </w:rPr>
              <w:t>20</w:t>
            </w:r>
            <w:r>
              <w:rPr>
                <w:rFonts w:ascii="宋体" w:eastAsia="宋体" w:hAnsi="宋体" w:hint="eastAsia"/>
                <w:sz w:val="24"/>
              </w:rPr>
              <w:t>万字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每期发表稿件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≥</w:t>
            </w:r>
            <w:r>
              <w:rPr>
                <w:rFonts w:ascii="宋体" w:eastAsia="宋体" w:hAnsi="宋体" w:hint="eastAsia"/>
                <w:sz w:val="24"/>
              </w:rPr>
              <w:t>30</w:t>
            </w:r>
            <w:r>
              <w:rPr>
                <w:rFonts w:ascii="宋体" w:eastAsia="宋体" w:hAnsi="宋体" w:hint="eastAsia"/>
                <w:sz w:val="24"/>
              </w:rPr>
              <w:t>篇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每期发表图片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≥</w:t>
            </w:r>
            <w:r>
              <w:rPr>
                <w:rFonts w:ascii="宋体" w:eastAsia="宋体" w:hAnsi="宋体" w:hint="eastAsia"/>
                <w:sz w:val="24"/>
              </w:rPr>
              <w:t>300</w:t>
            </w:r>
            <w:r>
              <w:rPr>
                <w:rFonts w:ascii="宋体" w:eastAsia="宋体" w:hAnsi="宋体" w:hint="eastAsia"/>
                <w:sz w:val="24"/>
              </w:rPr>
              <w:t>幅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时效指标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出版频率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textAlignment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≥</w:t>
            </w:r>
            <w:r>
              <w:rPr>
                <w:rFonts w:ascii="宋体" w:eastAsia="宋体" w:hAnsi="宋体" w:hint="eastAsia"/>
                <w:sz w:val="24"/>
              </w:rPr>
              <w:t>4</w:t>
            </w:r>
            <w:r>
              <w:rPr>
                <w:rFonts w:ascii="宋体" w:eastAsia="宋体" w:hAnsi="宋体" w:hint="eastAsia"/>
                <w:sz w:val="24"/>
              </w:rPr>
              <w:t>期</w:t>
            </w:r>
            <w:r>
              <w:rPr>
                <w:rFonts w:ascii="宋体" w:eastAsia="宋体" w:hAnsi="宋体" w:hint="eastAsia"/>
                <w:sz w:val="24"/>
              </w:rPr>
              <w:t>/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效益指标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社会效益指标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对《北京文史》认知度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进一步了解《北京文史》丰富的文化内涵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对北京历史文化的影响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拓宽人们了解北京</w:t>
            </w:r>
          </w:p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历史文化的渠道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满意度指标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服务对象</w:t>
            </w:r>
          </w:p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满意度</w:t>
            </w:r>
          </w:p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指标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专家、学者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≥90%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馆员、参事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≥90%</w:t>
            </w:r>
          </w:p>
        </w:tc>
      </w:tr>
      <w:tr w:rsidR="00570066">
        <w:trPr>
          <w:cantSplit/>
          <w:trHeight w:val="454"/>
          <w:jc w:val="center"/>
        </w:trPr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57006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各界读者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066" w:rsidRDefault="00805C46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≥90%</w:t>
            </w:r>
          </w:p>
        </w:tc>
      </w:tr>
    </w:tbl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0"/>
        <w:rPr>
          <w:rFonts w:ascii="黑体" w:eastAsia="黑体"/>
          <w:color w:val="000000"/>
          <w:sz w:val="32"/>
          <w:szCs w:val="32"/>
        </w:rPr>
      </w:pPr>
      <w:bookmarkStart w:id="10" w:name="_Toc166692583"/>
      <w:bookmarkStart w:id="11" w:name="_Toc35588401"/>
      <w:r>
        <w:rPr>
          <w:rFonts w:ascii="黑体" w:eastAsia="黑体" w:hint="eastAsia"/>
          <w:color w:val="000000"/>
          <w:sz w:val="32"/>
          <w:szCs w:val="32"/>
        </w:rPr>
        <w:t>二、绩效评价工作开展情况</w:t>
      </w:r>
      <w:bookmarkEnd w:id="10"/>
      <w:bookmarkEnd w:id="11"/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color w:val="000000"/>
          <w:sz w:val="32"/>
          <w:szCs w:val="32"/>
        </w:rPr>
      </w:pPr>
      <w:bookmarkStart w:id="12" w:name="_Toc313007027"/>
      <w:bookmarkStart w:id="13" w:name="_Toc35588402"/>
      <w:bookmarkStart w:id="14" w:name="_Toc166692584"/>
      <w:r>
        <w:rPr>
          <w:rFonts w:ascii="楷体_GB2312" w:eastAsia="楷体_GB2312" w:hint="eastAsia"/>
          <w:color w:val="000000"/>
          <w:sz w:val="32"/>
          <w:szCs w:val="32"/>
        </w:rPr>
        <w:t>（一）</w:t>
      </w:r>
      <w:bookmarkEnd w:id="12"/>
      <w:r>
        <w:rPr>
          <w:rFonts w:ascii="楷体_GB2312" w:eastAsia="楷体_GB2312" w:hint="eastAsia"/>
          <w:color w:val="000000"/>
          <w:sz w:val="32"/>
          <w:szCs w:val="32"/>
        </w:rPr>
        <w:t>绩效评价目的、对象和范围</w:t>
      </w:r>
      <w:bookmarkEnd w:id="13"/>
      <w:bookmarkEnd w:id="14"/>
    </w:p>
    <w:p w:rsidR="00570066" w:rsidRDefault="00805C46">
      <w:pPr>
        <w:spacing w:line="600" w:lineRule="exact"/>
        <w:ind w:firstLineChars="200" w:firstLine="640"/>
        <w:rPr>
          <w:rFonts w:ascii="仿宋_GB2312" w:hAnsi="仿宋"/>
          <w:sz w:val="32"/>
          <w:szCs w:val="32"/>
        </w:rPr>
      </w:pPr>
      <w:bookmarkStart w:id="15" w:name="_Toc313007028"/>
      <w:bookmarkStart w:id="16" w:name="_Toc35588403"/>
      <w:r>
        <w:rPr>
          <w:rFonts w:ascii="仿宋_GB2312"/>
          <w:color w:val="000000"/>
          <w:sz w:val="32"/>
          <w:szCs w:val="32"/>
        </w:rPr>
        <w:t>深入贯彻落实</w:t>
      </w:r>
      <w:r>
        <w:rPr>
          <w:rFonts w:ascii="仿宋_GB2312" w:hint="eastAsia"/>
          <w:color w:val="000000"/>
          <w:sz w:val="32"/>
          <w:szCs w:val="32"/>
        </w:rPr>
        <w:t>《中共北京市委</w:t>
      </w:r>
      <w:r>
        <w:rPr>
          <w:rFonts w:ascii="仿宋_GB2312" w:hint="eastAsia"/>
          <w:color w:val="000000"/>
          <w:sz w:val="32"/>
          <w:szCs w:val="32"/>
        </w:rPr>
        <w:t xml:space="preserve"> </w:t>
      </w:r>
      <w:r>
        <w:rPr>
          <w:rFonts w:ascii="仿宋_GB2312" w:hint="eastAsia"/>
          <w:color w:val="000000"/>
          <w:sz w:val="32"/>
          <w:szCs w:val="32"/>
        </w:rPr>
        <w:t>北京市人民政府关于全面实施预算绩效管理的实施意见》</w:t>
      </w:r>
      <w:r>
        <w:rPr>
          <w:rFonts w:ascii="仿宋_GB2312" w:hint="eastAsia"/>
          <w:color w:val="000000"/>
          <w:sz w:val="32"/>
          <w:szCs w:val="32"/>
        </w:rPr>
        <w:t>(</w:t>
      </w:r>
      <w:r>
        <w:rPr>
          <w:rFonts w:ascii="仿宋_GB2312" w:hint="eastAsia"/>
          <w:color w:val="000000"/>
          <w:sz w:val="32"/>
          <w:szCs w:val="32"/>
        </w:rPr>
        <w:t>京发〔</w:t>
      </w:r>
      <w:r>
        <w:rPr>
          <w:rFonts w:ascii="仿宋_GB2312" w:hint="eastAsia"/>
          <w:color w:val="000000"/>
          <w:sz w:val="32"/>
          <w:szCs w:val="32"/>
        </w:rPr>
        <w:t>2019</w:t>
      </w:r>
      <w:r>
        <w:rPr>
          <w:rFonts w:ascii="仿宋_GB2312" w:hint="eastAsia"/>
          <w:color w:val="000000"/>
          <w:sz w:val="32"/>
          <w:szCs w:val="32"/>
        </w:rPr>
        <w:t>〕</w:t>
      </w:r>
      <w:r>
        <w:rPr>
          <w:rFonts w:ascii="仿宋_GB2312" w:hint="eastAsia"/>
          <w:color w:val="000000"/>
          <w:sz w:val="32"/>
          <w:szCs w:val="32"/>
        </w:rPr>
        <w:t>12</w:t>
      </w:r>
      <w:r>
        <w:rPr>
          <w:rFonts w:ascii="仿宋_GB2312" w:hint="eastAsia"/>
          <w:color w:val="000000"/>
          <w:sz w:val="32"/>
          <w:szCs w:val="32"/>
        </w:rPr>
        <w:t>号</w:t>
      </w:r>
      <w:r>
        <w:rPr>
          <w:rFonts w:ascii="仿宋_GB2312" w:hint="eastAsia"/>
          <w:color w:val="000000"/>
          <w:sz w:val="32"/>
          <w:szCs w:val="32"/>
        </w:rPr>
        <w:t>)</w:t>
      </w:r>
      <w:r>
        <w:rPr>
          <w:rFonts w:ascii="仿宋_GB2312"/>
          <w:color w:val="000000"/>
          <w:sz w:val="32"/>
          <w:szCs w:val="32"/>
        </w:rPr>
        <w:t>文件</w:t>
      </w:r>
      <w:r>
        <w:rPr>
          <w:rFonts w:ascii="仿宋_GB2312" w:hint="eastAsia"/>
          <w:color w:val="000000"/>
          <w:sz w:val="32"/>
          <w:szCs w:val="32"/>
        </w:rPr>
        <w:t>精神</w:t>
      </w:r>
      <w:r>
        <w:rPr>
          <w:rFonts w:ascii="仿宋_GB2312"/>
          <w:color w:val="000000"/>
          <w:sz w:val="32"/>
          <w:szCs w:val="32"/>
        </w:rPr>
        <w:t>，根据</w:t>
      </w:r>
      <w:r>
        <w:rPr>
          <w:rFonts w:ascii="仿宋_GB2312" w:hint="eastAsia"/>
          <w:color w:val="000000"/>
          <w:sz w:val="32"/>
          <w:szCs w:val="32"/>
        </w:rPr>
        <w:t>《北京市项目支出绩效评价管理办法》（京财绩效〔</w:t>
      </w:r>
      <w:r>
        <w:rPr>
          <w:rFonts w:ascii="仿宋_GB2312" w:hint="eastAsia"/>
          <w:color w:val="000000"/>
          <w:sz w:val="32"/>
          <w:szCs w:val="32"/>
        </w:rPr>
        <w:t>2020</w:t>
      </w:r>
      <w:r>
        <w:rPr>
          <w:rFonts w:ascii="仿宋_GB2312" w:hint="eastAsia"/>
          <w:color w:val="000000"/>
          <w:sz w:val="32"/>
          <w:szCs w:val="32"/>
        </w:rPr>
        <w:t>〕</w:t>
      </w:r>
      <w:r>
        <w:rPr>
          <w:rFonts w:ascii="仿宋_GB2312" w:hint="eastAsia"/>
          <w:color w:val="000000"/>
          <w:sz w:val="32"/>
          <w:szCs w:val="32"/>
        </w:rPr>
        <w:t>2146</w:t>
      </w:r>
      <w:r>
        <w:rPr>
          <w:rFonts w:ascii="仿宋_GB2312" w:hint="eastAsia"/>
          <w:color w:val="000000"/>
          <w:sz w:val="32"/>
          <w:szCs w:val="32"/>
        </w:rPr>
        <w:t>号）、《北京市财政局关于开展</w:t>
      </w:r>
      <w:r>
        <w:rPr>
          <w:rFonts w:ascii="仿宋_GB2312" w:hint="eastAsia"/>
          <w:color w:val="000000"/>
          <w:sz w:val="32"/>
          <w:szCs w:val="32"/>
        </w:rPr>
        <w:t>2024</w:t>
      </w:r>
      <w:r>
        <w:rPr>
          <w:rFonts w:ascii="仿宋_GB2312" w:hint="eastAsia"/>
          <w:color w:val="000000"/>
          <w:sz w:val="32"/>
          <w:szCs w:val="32"/>
        </w:rPr>
        <w:t>年预算绩效管理相关工作的函》</w:t>
      </w:r>
      <w:r>
        <w:rPr>
          <w:rFonts w:ascii="仿宋_GB2312" w:hAnsi="仿宋" w:hint="eastAsia"/>
          <w:sz w:val="32"/>
          <w:szCs w:val="32"/>
        </w:rPr>
        <w:t>有关要求</w:t>
      </w:r>
      <w:r>
        <w:rPr>
          <w:rFonts w:ascii="仿宋_GB2312" w:hAnsi="仿宋"/>
          <w:sz w:val="32"/>
          <w:szCs w:val="32"/>
        </w:rPr>
        <w:t>，</w:t>
      </w:r>
      <w:r>
        <w:rPr>
          <w:rFonts w:ascii="仿宋_GB2312" w:hAnsi="仿宋" w:hint="eastAsia"/>
          <w:sz w:val="32"/>
          <w:szCs w:val="32"/>
        </w:rPr>
        <w:t>对</w:t>
      </w:r>
      <w:r>
        <w:rPr>
          <w:rFonts w:ascii="仿宋_GB2312" w:hAnsi="仿宋" w:hint="eastAsia"/>
          <w:sz w:val="32"/>
          <w:szCs w:val="32"/>
        </w:rPr>
        <w:t>2023</w:t>
      </w:r>
      <w:r>
        <w:rPr>
          <w:rFonts w:ascii="仿宋_GB2312" w:hAnsi="仿宋" w:hint="eastAsia"/>
          <w:sz w:val="32"/>
          <w:szCs w:val="32"/>
        </w:rPr>
        <w:t>年度《北京文史》出版经费项目</w:t>
      </w:r>
      <w:r>
        <w:rPr>
          <w:rFonts w:ascii="仿宋_GB2312" w:hAnsi="仿宋"/>
          <w:sz w:val="32"/>
          <w:szCs w:val="32"/>
        </w:rPr>
        <w:t>开展</w:t>
      </w:r>
      <w:r>
        <w:rPr>
          <w:rFonts w:ascii="仿宋_GB2312" w:hAnsi="仿宋" w:hint="eastAsia"/>
          <w:sz w:val="32"/>
          <w:szCs w:val="32"/>
        </w:rPr>
        <w:t>综合</w:t>
      </w:r>
      <w:r>
        <w:rPr>
          <w:rFonts w:ascii="仿宋_GB2312" w:hAnsi="仿宋"/>
          <w:sz w:val="32"/>
          <w:szCs w:val="32"/>
        </w:rPr>
        <w:t>评价，</w:t>
      </w:r>
      <w:r>
        <w:rPr>
          <w:rFonts w:ascii="仿宋_GB2312" w:hAnsi="仿宋" w:hint="eastAsia"/>
          <w:sz w:val="32"/>
          <w:szCs w:val="32"/>
        </w:rPr>
        <w:t>旨在</w:t>
      </w:r>
      <w:r>
        <w:rPr>
          <w:rFonts w:ascii="仿宋_GB2312" w:hAnsi="仿宋"/>
          <w:sz w:val="32"/>
          <w:szCs w:val="32"/>
        </w:rPr>
        <w:t>总结经验</w:t>
      </w:r>
      <w:r>
        <w:rPr>
          <w:rFonts w:ascii="仿宋_GB2312" w:hAnsi="仿宋" w:hint="eastAsia"/>
          <w:sz w:val="32"/>
          <w:szCs w:val="32"/>
        </w:rPr>
        <w:t>、</w:t>
      </w:r>
      <w:r>
        <w:rPr>
          <w:rFonts w:ascii="仿宋_GB2312" w:hAnsi="仿宋"/>
          <w:sz w:val="32"/>
          <w:szCs w:val="32"/>
        </w:rPr>
        <w:t>发现问题</w:t>
      </w:r>
      <w:r>
        <w:rPr>
          <w:rFonts w:ascii="仿宋_GB2312" w:hAnsi="仿宋" w:hint="eastAsia"/>
          <w:sz w:val="32"/>
          <w:szCs w:val="32"/>
        </w:rPr>
        <w:t>、</w:t>
      </w:r>
      <w:r>
        <w:rPr>
          <w:rFonts w:ascii="仿宋_GB2312" w:hAnsi="仿宋"/>
          <w:sz w:val="32"/>
          <w:szCs w:val="32"/>
        </w:rPr>
        <w:t>提出改进建议，为部门科学决策、规范管理</w:t>
      </w:r>
      <w:r>
        <w:rPr>
          <w:rFonts w:ascii="仿宋_GB2312" w:hAnsi="仿宋" w:hint="eastAsia"/>
          <w:sz w:val="32"/>
          <w:szCs w:val="32"/>
        </w:rPr>
        <w:t>、提高资金使用效益</w:t>
      </w:r>
      <w:r>
        <w:rPr>
          <w:rFonts w:ascii="仿宋_GB2312" w:hAnsi="仿宋"/>
          <w:sz w:val="32"/>
          <w:szCs w:val="32"/>
        </w:rPr>
        <w:t>提供参考</w:t>
      </w:r>
      <w:r>
        <w:rPr>
          <w:rFonts w:ascii="仿宋_GB2312" w:hAnsi="仿宋" w:hint="eastAsia"/>
          <w:sz w:val="32"/>
          <w:szCs w:val="32"/>
        </w:rPr>
        <w:t>。</w:t>
      </w:r>
      <w:r>
        <w:rPr>
          <w:rFonts w:ascii="仿宋_GB2312" w:hAnsi="仿宋"/>
          <w:sz w:val="32"/>
          <w:szCs w:val="32"/>
        </w:rPr>
        <w:t xml:space="preserve"> 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color w:val="000000"/>
          <w:sz w:val="32"/>
          <w:szCs w:val="32"/>
        </w:rPr>
      </w:pPr>
      <w:bookmarkStart w:id="17" w:name="_Toc166692585"/>
      <w:r>
        <w:rPr>
          <w:rFonts w:ascii="楷体_GB2312" w:eastAsia="楷体_GB2312" w:hint="eastAsia"/>
          <w:color w:val="000000"/>
          <w:sz w:val="32"/>
          <w:szCs w:val="32"/>
        </w:rPr>
        <w:t>（二）绩效评价原则、</w:t>
      </w:r>
      <w:bookmarkEnd w:id="15"/>
      <w:r>
        <w:rPr>
          <w:rFonts w:ascii="楷体_GB2312" w:eastAsia="楷体_GB2312" w:hint="eastAsia"/>
          <w:color w:val="000000"/>
          <w:sz w:val="32"/>
          <w:szCs w:val="32"/>
        </w:rPr>
        <w:t>方法和指标体系</w:t>
      </w:r>
      <w:bookmarkEnd w:id="16"/>
      <w:bookmarkEnd w:id="17"/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 w:hAnsi="仿宋"/>
          <w:sz w:val="32"/>
          <w:szCs w:val="32"/>
        </w:rPr>
      </w:pPr>
      <w:bookmarkStart w:id="18" w:name="_Toc313007030"/>
      <w:r>
        <w:rPr>
          <w:rFonts w:ascii="仿宋_GB2312" w:hAnsi="仿宋" w:hint="eastAsia"/>
          <w:sz w:val="32"/>
          <w:szCs w:val="32"/>
        </w:rPr>
        <w:t>本着问题导向、科学客观、讲求绩效的原则，采用案卷研究、</w:t>
      </w:r>
      <w:r>
        <w:rPr>
          <w:rFonts w:ascii="仿宋_GB2312" w:hAnsi="仿宋" w:hint="eastAsia"/>
          <w:sz w:val="32"/>
          <w:szCs w:val="32"/>
        </w:rPr>
        <w:lastRenderedPageBreak/>
        <w:t>专家评议等方法，围绕项目决策、过程、产出、效益四</w:t>
      </w:r>
      <w:r>
        <w:rPr>
          <w:rFonts w:ascii="仿宋_GB2312" w:hAnsi="仿宋" w:hint="eastAsia"/>
          <w:sz w:val="32"/>
          <w:szCs w:val="32"/>
        </w:rPr>
        <w:t>方面构建评价指标体系（详见附件），开展综合评价。</w:t>
      </w:r>
      <w:bookmarkStart w:id="19" w:name="_Toc313007032"/>
      <w:bookmarkStart w:id="20" w:name="_Toc35588404"/>
      <w:bookmarkEnd w:id="18"/>
      <w:r>
        <w:rPr>
          <w:rFonts w:ascii="仿宋_GB2312" w:hAnsi="仿宋" w:hint="eastAsia"/>
          <w:sz w:val="32"/>
          <w:szCs w:val="32"/>
        </w:rPr>
        <w:t>评价指标体系总分值</w:t>
      </w:r>
      <w:r>
        <w:rPr>
          <w:rFonts w:ascii="仿宋_GB2312" w:hAnsi="仿宋" w:hint="eastAsia"/>
          <w:sz w:val="32"/>
          <w:szCs w:val="32"/>
        </w:rPr>
        <w:t>100</w:t>
      </w:r>
      <w:r>
        <w:rPr>
          <w:rFonts w:ascii="仿宋_GB2312" w:hAnsi="仿宋" w:hint="eastAsia"/>
          <w:sz w:val="32"/>
          <w:szCs w:val="32"/>
        </w:rPr>
        <w:t>分，其中项目决策</w:t>
      </w:r>
      <w:r>
        <w:rPr>
          <w:rFonts w:ascii="仿宋_GB2312" w:hAnsi="仿宋"/>
          <w:sz w:val="32"/>
          <w:szCs w:val="32"/>
        </w:rPr>
        <w:t>10</w:t>
      </w:r>
      <w:r>
        <w:rPr>
          <w:rFonts w:ascii="仿宋_GB2312" w:hAnsi="仿宋" w:hint="eastAsia"/>
          <w:sz w:val="32"/>
          <w:szCs w:val="32"/>
        </w:rPr>
        <w:t>分，项目过程</w:t>
      </w:r>
      <w:r>
        <w:rPr>
          <w:rFonts w:ascii="仿宋_GB2312" w:hAnsi="仿宋"/>
          <w:sz w:val="32"/>
          <w:szCs w:val="32"/>
        </w:rPr>
        <w:t>20</w:t>
      </w:r>
      <w:r>
        <w:rPr>
          <w:rFonts w:ascii="仿宋_GB2312" w:hAnsi="仿宋" w:hint="eastAsia"/>
          <w:sz w:val="32"/>
          <w:szCs w:val="32"/>
        </w:rPr>
        <w:t>分，项目产出</w:t>
      </w:r>
      <w:r>
        <w:rPr>
          <w:rFonts w:ascii="仿宋_GB2312" w:hAnsi="仿宋"/>
          <w:sz w:val="32"/>
          <w:szCs w:val="32"/>
        </w:rPr>
        <w:t>40</w:t>
      </w:r>
      <w:r>
        <w:rPr>
          <w:rFonts w:ascii="仿宋_GB2312" w:hAnsi="仿宋" w:hint="eastAsia"/>
          <w:sz w:val="32"/>
          <w:szCs w:val="32"/>
        </w:rPr>
        <w:t>分，项目效益</w:t>
      </w:r>
      <w:r>
        <w:rPr>
          <w:rFonts w:ascii="仿宋_GB2312" w:hAnsi="仿宋" w:hint="eastAsia"/>
          <w:sz w:val="32"/>
          <w:szCs w:val="32"/>
        </w:rPr>
        <w:t>3</w:t>
      </w:r>
      <w:r>
        <w:rPr>
          <w:rFonts w:ascii="仿宋_GB2312" w:hAnsi="仿宋"/>
          <w:sz w:val="32"/>
          <w:szCs w:val="32"/>
        </w:rPr>
        <w:t>0</w:t>
      </w:r>
      <w:r>
        <w:rPr>
          <w:rFonts w:ascii="仿宋_GB2312" w:hAnsi="仿宋" w:hint="eastAsia"/>
          <w:sz w:val="32"/>
          <w:szCs w:val="32"/>
        </w:rPr>
        <w:t>分。绩效评价综合绩效级别分为</w:t>
      </w:r>
      <w:r>
        <w:rPr>
          <w:rFonts w:ascii="仿宋_GB2312" w:hAnsi="仿宋" w:hint="eastAsia"/>
          <w:sz w:val="32"/>
          <w:szCs w:val="32"/>
        </w:rPr>
        <w:t>4</w:t>
      </w:r>
      <w:r>
        <w:rPr>
          <w:rFonts w:ascii="仿宋_GB2312" w:hAnsi="仿宋" w:hint="eastAsia"/>
          <w:sz w:val="32"/>
          <w:szCs w:val="32"/>
        </w:rPr>
        <w:t>个等级：</w:t>
      </w:r>
      <w:r>
        <w:rPr>
          <w:rFonts w:ascii="仿宋_GB2312" w:hAnsi="仿宋" w:hint="eastAsia"/>
          <w:sz w:val="32"/>
          <w:szCs w:val="32"/>
        </w:rPr>
        <w:t>90</w:t>
      </w:r>
      <w:r>
        <w:rPr>
          <w:rFonts w:ascii="仿宋_GB2312" w:hAnsi="仿宋" w:hint="eastAsia"/>
          <w:sz w:val="32"/>
          <w:szCs w:val="32"/>
        </w:rPr>
        <w:t>（含）</w:t>
      </w:r>
      <w:r>
        <w:rPr>
          <w:rFonts w:ascii="仿宋_GB2312" w:hAnsi="仿宋" w:hint="eastAsia"/>
          <w:sz w:val="32"/>
          <w:szCs w:val="32"/>
        </w:rPr>
        <w:t>-100</w:t>
      </w:r>
      <w:r>
        <w:rPr>
          <w:rFonts w:ascii="仿宋_GB2312" w:hAnsi="仿宋" w:hint="eastAsia"/>
          <w:sz w:val="32"/>
          <w:szCs w:val="32"/>
        </w:rPr>
        <w:t>分为优，</w:t>
      </w:r>
      <w:r>
        <w:rPr>
          <w:rFonts w:ascii="仿宋_GB2312" w:hAnsi="仿宋"/>
          <w:sz w:val="32"/>
          <w:szCs w:val="32"/>
        </w:rPr>
        <w:t>80</w:t>
      </w:r>
      <w:r>
        <w:rPr>
          <w:rFonts w:ascii="仿宋_GB2312" w:hAnsi="仿宋" w:hint="eastAsia"/>
          <w:sz w:val="32"/>
          <w:szCs w:val="32"/>
        </w:rPr>
        <w:t>（含）</w:t>
      </w:r>
      <w:r>
        <w:rPr>
          <w:rFonts w:ascii="仿宋_GB2312" w:hAnsi="仿宋" w:hint="eastAsia"/>
          <w:sz w:val="32"/>
          <w:szCs w:val="32"/>
        </w:rPr>
        <w:t>-90</w:t>
      </w:r>
      <w:r>
        <w:rPr>
          <w:rFonts w:ascii="仿宋_GB2312" w:hAnsi="仿宋" w:hint="eastAsia"/>
          <w:sz w:val="32"/>
          <w:szCs w:val="32"/>
        </w:rPr>
        <w:t>分为良，</w:t>
      </w:r>
      <w:r>
        <w:rPr>
          <w:rFonts w:ascii="仿宋_GB2312" w:hAnsi="仿宋" w:hint="eastAsia"/>
          <w:sz w:val="32"/>
          <w:szCs w:val="32"/>
        </w:rPr>
        <w:t xml:space="preserve"> 60</w:t>
      </w:r>
      <w:r>
        <w:rPr>
          <w:rFonts w:ascii="仿宋_GB2312" w:hAnsi="仿宋" w:hint="eastAsia"/>
          <w:sz w:val="32"/>
          <w:szCs w:val="32"/>
        </w:rPr>
        <w:t>（含）</w:t>
      </w:r>
      <w:r>
        <w:rPr>
          <w:rFonts w:ascii="仿宋_GB2312" w:hAnsi="仿宋" w:hint="eastAsia"/>
          <w:sz w:val="32"/>
          <w:szCs w:val="32"/>
        </w:rPr>
        <w:t>-</w:t>
      </w:r>
      <w:r>
        <w:rPr>
          <w:rFonts w:ascii="仿宋_GB2312" w:hAnsi="仿宋"/>
          <w:sz w:val="32"/>
          <w:szCs w:val="32"/>
        </w:rPr>
        <w:t>80</w:t>
      </w:r>
      <w:r>
        <w:rPr>
          <w:rFonts w:ascii="仿宋_GB2312" w:hAnsi="仿宋" w:hint="eastAsia"/>
          <w:sz w:val="32"/>
          <w:szCs w:val="32"/>
        </w:rPr>
        <w:t>分为中，</w:t>
      </w:r>
      <w:r>
        <w:rPr>
          <w:rFonts w:ascii="仿宋_GB2312" w:hAnsi="仿宋" w:hint="eastAsia"/>
          <w:sz w:val="32"/>
          <w:szCs w:val="32"/>
        </w:rPr>
        <w:t xml:space="preserve"> 60</w:t>
      </w:r>
      <w:r>
        <w:rPr>
          <w:rFonts w:ascii="仿宋_GB2312" w:hAnsi="仿宋" w:hint="eastAsia"/>
          <w:sz w:val="32"/>
          <w:szCs w:val="32"/>
        </w:rPr>
        <w:t>分以下为较差。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color w:val="000000"/>
          <w:sz w:val="32"/>
          <w:szCs w:val="32"/>
        </w:rPr>
      </w:pPr>
      <w:bookmarkStart w:id="21" w:name="_Toc166692586"/>
      <w:r>
        <w:rPr>
          <w:rFonts w:ascii="楷体_GB2312" w:eastAsia="楷体_GB2312" w:hint="eastAsia"/>
          <w:color w:val="000000"/>
          <w:sz w:val="32"/>
          <w:szCs w:val="32"/>
        </w:rPr>
        <w:t>（三）绩效评价工作过程</w:t>
      </w:r>
      <w:bookmarkEnd w:id="19"/>
      <w:bookmarkEnd w:id="20"/>
      <w:bookmarkEnd w:id="21"/>
    </w:p>
    <w:p w:rsidR="00570066" w:rsidRDefault="00805C46" w:rsidP="00C00B20">
      <w:pPr>
        <w:adjustRightInd w:val="0"/>
        <w:snapToGrid w:val="0"/>
        <w:spacing w:line="600" w:lineRule="exact"/>
        <w:ind w:firstLineChars="200" w:firstLine="640"/>
        <w:rPr>
          <w:rFonts w:ascii="仿宋_GB2312" w:hAnsi="宋体" w:hint="eastAsia"/>
          <w:sz w:val="32"/>
          <w:szCs w:val="32"/>
        </w:rPr>
      </w:pPr>
      <w:bookmarkStart w:id="22" w:name="_Toc35588408"/>
      <w:r>
        <w:rPr>
          <w:rFonts w:ascii="仿宋_GB2312" w:hAnsi="仿宋" w:hint="eastAsia"/>
          <w:sz w:val="32"/>
          <w:szCs w:val="32"/>
        </w:rPr>
        <w:t>评价工作分为准备、实施、总结三个阶段开展。</w:t>
      </w:r>
      <w:r>
        <w:rPr>
          <w:rFonts w:ascii="仿宋_GB2312" w:hAnsi="宋体" w:hint="eastAsia"/>
          <w:sz w:val="32"/>
          <w:szCs w:val="32"/>
        </w:rPr>
        <w:t>准备阶段，组建评价工作组，辅导项目主管部门文史中心准备评价所需资料。并根据项目内容及特点遴选评价专家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，组建绩效评价专家组，</w:t>
      </w:r>
      <w:r>
        <w:rPr>
          <w:rFonts w:ascii="仿宋_GB2312" w:hAnsi="宋体" w:hint="eastAsia"/>
          <w:sz w:val="32"/>
          <w:szCs w:val="32"/>
        </w:rPr>
        <w:t>包括</w:t>
      </w:r>
      <w:r>
        <w:rPr>
          <w:rFonts w:ascii="仿宋_GB2312" w:hAnsi="宋体"/>
          <w:sz w:val="32"/>
          <w:szCs w:val="32"/>
        </w:rPr>
        <w:t>2</w:t>
      </w:r>
      <w:r>
        <w:rPr>
          <w:rFonts w:ascii="仿宋_GB2312" w:hAnsi="宋体" w:hint="eastAsia"/>
          <w:sz w:val="32"/>
          <w:szCs w:val="32"/>
        </w:rPr>
        <w:t>名业务专家、</w:t>
      </w:r>
      <w:r>
        <w:rPr>
          <w:rFonts w:ascii="仿宋_GB2312" w:hAnsi="宋体"/>
          <w:sz w:val="32"/>
          <w:szCs w:val="32"/>
        </w:rPr>
        <w:t>2</w:t>
      </w:r>
      <w:r>
        <w:rPr>
          <w:rFonts w:ascii="仿宋_GB2312" w:hAnsi="宋体" w:hint="eastAsia"/>
          <w:sz w:val="32"/>
          <w:szCs w:val="32"/>
        </w:rPr>
        <w:t>名绩效管理专家、</w:t>
      </w:r>
      <w:r>
        <w:rPr>
          <w:rFonts w:ascii="仿宋_GB2312" w:hAnsi="宋体"/>
          <w:sz w:val="32"/>
          <w:szCs w:val="32"/>
        </w:rPr>
        <w:t>1</w:t>
      </w:r>
      <w:r>
        <w:rPr>
          <w:rFonts w:ascii="仿宋_GB2312" w:hAnsi="宋体" w:hint="eastAsia"/>
          <w:sz w:val="32"/>
          <w:szCs w:val="32"/>
        </w:rPr>
        <w:t>名财务专家。实施阶段，评价工作组收集并分析项目资料，与文史中心就有关情况进行沟通、确认。在全面了解项目情况的基础上，建立评价指标体系。并于</w:t>
      </w:r>
      <w:r>
        <w:rPr>
          <w:rFonts w:ascii="仿宋_GB2312" w:hAnsi="宋体"/>
          <w:sz w:val="32"/>
          <w:szCs w:val="32"/>
        </w:rPr>
        <w:t>5</w:t>
      </w:r>
      <w:r>
        <w:rPr>
          <w:rFonts w:ascii="仿宋_GB2312" w:hAnsi="宋体" w:hint="eastAsia"/>
          <w:sz w:val="32"/>
          <w:szCs w:val="32"/>
        </w:rPr>
        <w:t>月</w:t>
      </w:r>
      <w:r>
        <w:rPr>
          <w:rFonts w:ascii="仿宋_GB2312" w:hAnsi="宋体" w:hint="eastAsia"/>
          <w:sz w:val="32"/>
          <w:szCs w:val="32"/>
        </w:rPr>
        <w:t>1</w:t>
      </w:r>
      <w:r>
        <w:rPr>
          <w:rFonts w:ascii="仿宋_GB2312" w:hAnsi="宋体"/>
          <w:sz w:val="32"/>
          <w:szCs w:val="32"/>
        </w:rPr>
        <w:t>4</w:t>
      </w:r>
      <w:r>
        <w:rPr>
          <w:rFonts w:ascii="仿宋_GB2312" w:hAnsi="宋体" w:hint="eastAsia"/>
          <w:sz w:val="32"/>
          <w:szCs w:val="32"/>
        </w:rPr>
        <w:t>日组织召开由评价专家组、市政府参事室及文史中心有关人员、评价机构等多方参与的绩效评价专家会议。专家组听取汇报，与市政府参事室、文史中心有关人员进行了充分沟通，并从各自专业角度对项目实施提出了问题与建议，形成评价结论及专家意见。总结阶段，根据项目资料、专家组意见，评价机构按照规定的文本格式和内容撰写绩效评价报告，征求项目</w:t>
      </w:r>
      <w:r>
        <w:rPr>
          <w:rFonts w:ascii="仿宋_GB2312" w:hAnsi="宋体"/>
          <w:sz w:val="32"/>
          <w:szCs w:val="32"/>
        </w:rPr>
        <w:t>相关</w:t>
      </w:r>
      <w:r>
        <w:rPr>
          <w:rFonts w:ascii="仿宋_GB2312" w:hAnsi="宋体" w:hint="eastAsia"/>
          <w:sz w:val="32"/>
          <w:szCs w:val="32"/>
        </w:rPr>
        <w:t>人员意见后，正式报送绩效评价报告。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0"/>
        <w:rPr>
          <w:rFonts w:ascii="黑体" w:eastAsia="黑体"/>
          <w:color w:val="000000"/>
          <w:sz w:val="32"/>
          <w:szCs w:val="32"/>
        </w:rPr>
      </w:pPr>
      <w:bookmarkStart w:id="23" w:name="_Toc166692587"/>
      <w:r>
        <w:rPr>
          <w:rFonts w:ascii="黑体" w:eastAsia="黑体" w:hint="eastAsia"/>
          <w:color w:val="000000"/>
          <w:sz w:val="32"/>
          <w:szCs w:val="32"/>
        </w:rPr>
        <w:t>三、综合评价情况及评价结论</w:t>
      </w:r>
      <w:bookmarkEnd w:id="22"/>
      <w:bookmarkEnd w:id="23"/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 w:hAnsi="宋体"/>
          <w:sz w:val="32"/>
          <w:szCs w:val="32"/>
        </w:rPr>
      </w:pPr>
      <w:r>
        <w:rPr>
          <w:rFonts w:ascii="仿宋_GB2312" w:hAnsi="宋体" w:hint="eastAsia"/>
          <w:sz w:val="32"/>
          <w:szCs w:val="32"/>
        </w:rPr>
        <w:lastRenderedPageBreak/>
        <w:t>经专家综合评价，项目实施依据充分，预算测算过程清晰，组织实施较为规范，实施效益良好。但绩效目标有待完善，实施过程资料留痕有待加强，实施的经济性、效益性仍有进一步提升空间。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 w:hAnsi="宋体"/>
          <w:sz w:val="32"/>
          <w:szCs w:val="32"/>
        </w:rPr>
      </w:pPr>
      <w:r>
        <w:rPr>
          <w:rFonts w:ascii="仿宋_GB2312" w:hAnsi="宋体"/>
          <w:sz w:val="32"/>
          <w:szCs w:val="32"/>
        </w:rPr>
        <w:t>项目评价得分</w:t>
      </w:r>
      <w:r>
        <w:rPr>
          <w:rFonts w:ascii="仿宋_GB2312" w:hAnsi="宋体" w:hint="eastAsia"/>
          <w:sz w:val="32"/>
          <w:szCs w:val="32"/>
        </w:rPr>
        <w:t>90.58</w:t>
      </w:r>
      <w:r>
        <w:rPr>
          <w:rFonts w:ascii="仿宋_GB2312" w:hAnsi="宋体"/>
          <w:sz w:val="32"/>
          <w:szCs w:val="32"/>
        </w:rPr>
        <w:t>分，评价等级为</w:t>
      </w:r>
      <w:r>
        <w:rPr>
          <w:rFonts w:ascii="仿宋_GB2312" w:hAnsi="宋体"/>
          <w:sz w:val="32"/>
          <w:szCs w:val="32"/>
        </w:rPr>
        <w:t>“</w:t>
      </w:r>
      <w:r>
        <w:rPr>
          <w:rFonts w:ascii="仿宋_GB2312" w:hAnsi="宋体" w:hint="eastAsia"/>
          <w:sz w:val="32"/>
          <w:szCs w:val="32"/>
        </w:rPr>
        <w:t>优</w:t>
      </w:r>
      <w:r>
        <w:rPr>
          <w:rFonts w:ascii="仿宋_GB2312" w:hAnsi="宋体"/>
          <w:sz w:val="32"/>
          <w:szCs w:val="32"/>
        </w:rPr>
        <w:t>”</w:t>
      </w:r>
      <w:r>
        <w:rPr>
          <w:rFonts w:ascii="仿宋_GB2312" w:hAnsi="宋体"/>
          <w:sz w:val="32"/>
          <w:szCs w:val="32"/>
        </w:rPr>
        <w:t>，</w:t>
      </w:r>
      <w:r>
        <w:rPr>
          <w:rFonts w:ascii="仿宋_GB2312" w:hAnsi="宋体" w:hint="eastAsia"/>
          <w:sz w:val="32"/>
          <w:szCs w:val="32"/>
        </w:rPr>
        <w:t xml:space="preserve"> </w:t>
      </w:r>
      <w:r>
        <w:rPr>
          <w:rFonts w:ascii="仿宋_GB2312" w:hAnsi="宋体" w:hint="eastAsia"/>
          <w:sz w:val="32"/>
          <w:szCs w:val="32"/>
        </w:rPr>
        <w:t>其中，项目决策得分为</w:t>
      </w:r>
      <w:r>
        <w:rPr>
          <w:rFonts w:ascii="仿宋_GB2312" w:hAnsi="宋体" w:hint="eastAsia"/>
          <w:sz w:val="32"/>
          <w:szCs w:val="32"/>
        </w:rPr>
        <w:t>8.7</w:t>
      </w:r>
      <w:r>
        <w:rPr>
          <w:rFonts w:ascii="仿宋_GB2312" w:hAnsi="宋体" w:hint="eastAsia"/>
          <w:sz w:val="32"/>
          <w:szCs w:val="32"/>
        </w:rPr>
        <w:t>分、项目过程得分为</w:t>
      </w:r>
      <w:r>
        <w:rPr>
          <w:rFonts w:ascii="仿宋_GB2312" w:hAnsi="宋体" w:hint="eastAsia"/>
          <w:sz w:val="32"/>
          <w:szCs w:val="32"/>
        </w:rPr>
        <w:t>17.88</w:t>
      </w:r>
      <w:r>
        <w:rPr>
          <w:rFonts w:ascii="仿宋_GB2312" w:hAnsi="宋体" w:hint="eastAsia"/>
          <w:sz w:val="32"/>
          <w:szCs w:val="32"/>
        </w:rPr>
        <w:t>分、项目产出得分为</w:t>
      </w:r>
      <w:r>
        <w:rPr>
          <w:rFonts w:ascii="仿宋_GB2312" w:hAnsi="宋体" w:hint="eastAsia"/>
          <w:sz w:val="32"/>
          <w:szCs w:val="32"/>
        </w:rPr>
        <w:t>37.4</w:t>
      </w:r>
      <w:r>
        <w:rPr>
          <w:rFonts w:ascii="仿宋_GB2312" w:hAnsi="宋体" w:hint="eastAsia"/>
          <w:sz w:val="32"/>
          <w:szCs w:val="32"/>
        </w:rPr>
        <w:t>分、项目效益得分为</w:t>
      </w:r>
      <w:r>
        <w:rPr>
          <w:rFonts w:ascii="仿宋_GB2312" w:hAnsi="宋体" w:hint="eastAsia"/>
          <w:sz w:val="32"/>
          <w:szCs w:val="32"/>
        </w:rPr>
        <w:t>26.6</w:t>
      </w:r>
      <w:r>
        <w:rPr>
          <w:rFonts w:ascii="仿宋_GB2312" w:hAnsi="宋体" w:hint="eastAsia"/>
          <w:sz w:val="32"/>
          <w:szCs w:val="32"/>
        </w:rPr>
        <w:t>分。评分情况详见附件</w:t>
      </w:r>
      <w:r>
        <w:rPr>
          <w:rFonts w:ascii="仿宋_GB2312" w:hAnsi="宋体"/>
          <w:sz w:val="32"/>
          <w:szCs w:val="32"/>
        </w:rPr>
        <w:t>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0"/>
        <w:rPr>
          <w:rFonts w:ascii="黑体" w:eastAsia="黑体"/>
          <w:sz w:val="32"/>
          <w:szCs w:val="32"/>
        </w:rPr>
      </w:pPr>
      <w:bookmarkStart w:id="24" w:name="_Toc166692588"/>
      <w:bookmarkStart w:id="25" w:name="_Toc35588409"/>
      <w:r>
        <w:rPr>
          <w:rFonts w:ascii="黑体" w:eastAsia="黑体" w:hint="eastAsia"/>
          <w:sz w:val="32"/>
          <w:szCs w:val="32"/>
        </w:rPr>
        <w:t>四、绩效评价指标分析</w:t>
      </w:r>
      <w:bookmarkEnd w:id="24"/>
      <w:bookmarkEnd w:id="25"/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color w:val="000000"/>
          <w:sz w:val="32"/>
          <w:szCs w:val="32"/>
        </w:rPr>
      </w:pPr>
      <w:bookmarkStart w:id="26" w:name="_Toc35588410"/>
      <w:bookmarkStart w:id="27" w:name="_Toc166692589"/>
      <w:r>
        <w:rPr>
          <w:rFonts w:ascii="楷体_GB2312" w:eastAsia="楷体_GB2312" w:hint="eastAsia"/>
          <w:color w:val="000000"/>
          <w:sz w:val="32"/>
          <w:szCs w:val="32"/>
        </w:rPr>
        <w:t>（一）项目决策情况</w:t>
      </w:r>
      <w:bookmarkEnd w:id="26"/>
      <w:bookmarkEnd w:id="27"/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hAnsi="宋体"/>
          <w:bCs/>
          <w:color w:val="000000"/>
          <w:sz w:val="32"/>
          <w:szCs w:val="32"/>
        </w:rPr>
      </w:pPr>
      <w:bookmarkStart w:id="28" w:name="_Toc35588411"/>
      <w:r>
        <w:rPr>
          <w:rFonts w:ascii="仿宋_GB2312" w:hAnsi="宋体" w:hint="eastAsia"/>
          <w:bCs/>
          <w:color w:val="000000"/>
          <w:sz w:val="32"/>
          <w:szCs w:val="32"/>
        </w:rPr>
        <w:t>1.</w:t>
      </w:r>
      <w:r>
        <w:rPr>
          <w:rFonts w:ascii="仿宋_GB2312" w:hAnsi="宋体" w:hint="eastAsia"/>
          <w:bCs/>
          <w:color w:val="000000"/>
          <w:sz w:val="32"/>
          <w:szCs w:val="32"/>
        </w:rPr>
        <w:t>项目立项</w:t>
      </w:r>
      <w:bookmarkEnd w:id="28"/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iCs/>
          <w:sz w:val="32"/>
          <w:szCs w:val="32"/>
        </w:rPr>
      </w:pPr>
      <w:r>
        <w:rPr>
          <w:rFonts w:ascii="仿宋_GB2312" w:hAnsi="宋体" w:hint="eastAsia"/>
          <w:sz w:val="32"/>
          <w:szCs w:val="32"/>
        </w:rPr>
        <w:t>立项依据方面。项目依据文史中心单位职能设立。《北京文史》的编辑出版，旨在集中介绍、宣传北京历史文化知识和研究成果，</w:t>
      </w:r>
      <w:r>
        <w:rPr>
          <w:rFonts w:ascii="仿宋_GB2312" w:hAnsi="宋体"/>
          <w:sz w:val="32"/>
          <w:szCs w:val="32"/>
        </w:rPr>
        <w:t>弘扬中华民族传统文化，加强</w:t>
      </w:r>
      <w:r>
        <w:rPr>
          <w:rFonts w:ascii="仿宋_GB2312" w:hAnsi="宋体" w:hint="eastAsia"/>
          <w:sz w:val="32"/>
          <w:szCs w:val="32"/>
        </w:rPr>
        <w:t>与</w:t>
      </w:r>
      <w:r>
        <w:rPr>
          <w:rFonts w:ascii="仿宋_GB2312" w:hAnsi="宋体"/>
          <w:sz w:val="32"/>
          <w:szCs w:val="32"/>
        </w:rPr>
        <w:t>社会各界的联系</w:t>
      </w:r>
      <w:r>
        <w:rPr>
          <w:rFonts w:ascii="仿宋_GB2312" w:hAnsi="宋体" w:hint="eastAsia"/>
          <w:sz w:val="32"/>
          <w:szCs w:val="32"/>
        </w:rPr>
        <w:t>，立项初衷与习总书记提出的“要提倡多读书，建设书香社会，不断提升人民思想境界、增强人民精神力量，中华民族的精神世界就能更加厚重深邃”有关指示精神相符合。项目实施列入市政府参事室《</w:t>
      </w:r>
      <w:r>
        <w:rPr>
          <w:rFonts w:ascii="仿宋_GB2312" w:hAnsi="宋体"/>
          <w:sz w:val="32"/>
          <w:szCs w:val="32"/>
        </w:rPr>
        <w:t>“</w:t>
      </w:r>
      <w:r>
        <w:rPr>
          <w:rFonts w:ascii="仿宋_GB2312" w:hAnsi="宋体"/>
          <w:sz w:val="32"/>
          <w:szCs w:val="32"/>
        </w:rPr>
        <w:t>十四五</w:t>
      </w:r>
      <w:r>
        <w:rPr>
          <w:rFonts w:ascii="仿宋_GB2312" w:hAnsi="宋体"/>
          <w:sz w:val="32"/>
          <w:szCs w:val="32"/>
        </w:rPr>
        <w:t>”</w:t>
      </w:r>
      <w:r>
        <w:rPr>
          <w:rFonts w:ascii="仿宋_GB2312" w:hAnsi="宋体"/>
          <w:sz w:val="32"/>
          <w:szCs w:val="32"/>
        </w:rPr>
        <w:t>时期事业发展规划和二</w:t>
      </w:r>
      <w:r>
        <w:rPr>
          <w:rFonts w:ascii="微软雅黑" w:eastAsia="微软雅黑" w:hAnsi="微软雅黑" w:cs="微软雅黑" w:hint="eastAsia"/>
          <w:sz w:val="32"/>
          <w:szCs w:val="32"/>
        </w:rPr>
        <w:t>〇</w:t>
      </w:r>
      <w:r>
        <w:rPr>
          <w:rFonts w:ascii="仿宋_GB2312" w:hAnsi="宋体"/>
          <w:sz w:val="32"/>
          <w:szCs w:val="32"/>
        </w:rPr>
        <w:t>三五年远景目标</w:t>
      </w:r>
      <w:r>
        <w:rPr>
          <w:rFonts w:ascii="仿宋_GB2312" w:hAnsi="宋体" w:hint="eastAsia"/>
          <w:sz w:val="32"/>
          <w:szCs w:val="32"/>
        </w:rPr>
        <w:t>》及《</w:t>
      </w:r>
      <w:r>
        <w:rPr>
          <w:rFonts w:ascii="仿宋_GB2312" w:hAnsi="宋体"/>
          <w:sz w:val="32"/>
          <w:szCs w:val="32"/>
        </w:rPr>
        <w:t>2023</w:t>
      </w:r>
      <w:r>
        <w:rPr>
          <w:rFonts w:ascii="仿宋_GB2312" w:hAnsi="宋体"/>
          <w:sz w:val="32"/>
          <w:szCs w:val="32"/>
        </w:rPr>
        <w:t>年工作计划</w:t>
      </w:r>
      <w:r>
        <w:rPr>
          <w:rFonts w:ascii="仿宋_GB2312" w:hAnsi="仿宋" w:cs="仿宋_GB2312" w:hint="eastAsia"/>
          <w:sz w:val="32"/>
          <w:szCs w:val="32"/>
        </w:rPr>
        <w:t>》，</w:t>
      </w:r>
      <w:r>
        <w:rPr>
          <w:rFonts w:ascii="仿宋_GB2312" w:hint="eastAsia"/>
          <w:iCs/>
          <w:sz w:val="32"/>
          <w:szCs w:val="32"/>
        </w:rPr>
        <w:t>立项依据充分。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 w:hAnsi="宋体"/>
          <w:sz w:val="32"/>
          <w:szCs w:val="32"/>
        </w:rPr>
      </w:pPr>
      <w:r>
        <w:rPr>
          <w:rFonts w:ascii="仿宋_GB2312" w:hAnsi="宋体" w:hint="eastAsia"/>
          <w:sz w:val="32"/>
          <w:szCs w:val="32"/>
        </w:rPr>
        <w:t>立项程序方面。项目根据年度工作任务提出资金需求，按照财政预算一体化系统有关要求编制预算申</w:t>
      </w:r>
      <w:r>
        <w:rPr>
          <w:rFonts w:ascii="仿宋_GB2312" w:hAnsi="宋体" w:hint="eastAsia"/>
          <w:sz w:val="32"/>
          <w:szCs w:val="32"/>
        </w:rPr>
        <w:t>报文本，并经市政府参事室秘书处牵头组织预算评审后，报主任办公会审议通过，随部</w:t>
      </w:r>
      <w:r>
        <w:rPr>
          <w:rFonts w:ascii="仿宋_GB2312" w:hAnsi="宋体" w:hint="eastAsia"/>
          <w:sz w:val="32"/>
          <w:szCs w:val="32"/>
        </w:rPr>
        <w:lastRenderedPageBreak/>
        <w:t>门预算上报市财政局审批立项，立项程序规范。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hAnsi="宋体"/>
          <w:bCs/>
          <w:color w:val="000000"/>
          <w:sz w:val="32"/>
          <w:szCs w:val="32"/>
        </w:rPr>
      </w:pPr>
      <w:bookmarkStart w:id="29" w:name="_Toc35588412"/>
      <w:r>
        <w:rPr>
          <w:rFonts w:ascii="仿宋_GB2312" w:hAnsi="宋体" w:hint="eastAsia"/>
          <w:bCs/>
          <w:color w:val="000000"/>
          <w:sz w:val="32"/>
          <w:szCs w:val="32"/>
        </w:rPr>
        <w:t>2.</w:t>
      </w:r>
      <w:r>
        <w:rPr>
          <w:rFonts w:ascii="仿宋_GB2312" w:hAnsi="宋体" w:hint="eastAsia"/>
          <w:bCs/>
          <w:color w:val="000000"/>
          <w:sz w:val="32"/>
          <w:szCs w:val="32"/>
        </w:rPr>
        <w:t>绩效目标</w:t>
      </w:r>
      <w:bookmarkEnd w:id="29"/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 w:hAnsi="仿宋" w:cs="仿宋_GB2312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项目设置了“权威介绍和分析北京的历史文化</w:t>
      </w:r>
      <w:r>
        <w:rPr>
          <w:rFonts w:ascii="仿宋_GB2312" w:hint="eastAsia"/>
          <w:color w:val="000000"/>
          <w:sz w:val="32"/>
          <w:szCs w:val="32"/>
        </w:rPr>
        <w:t xml:space="preserve">; </w:t>
      </w:r>
      <w:r>
        <w:rPr>
          <w:rFonts w:ascii="仿宋_GB2312" w:hint="eastAsia"/>
          <w:color w:val="000000"/>
          <w:sz w:val="32"/>
          <w:szCs w:val="32"/>
        </w:rPr>
        <w:t>多方面、多角度反映北京历史文化重要信息，深度挖掘人文北京的历史文化内涵</w:t>
      </w:r>
      <w:r>
        <w:rPr>
          <w:rFonts w:ascii="仿宋_GB2312" w:hint="eastAsia"/>
          <w:color w:val="000000"/>
          <w:sz w:val="32"/>
          <w:szCs w:val="32"/>
        </w:rPr>
        <w:t xml:space="preserve">; </w:t>
      </w:r>
      <w:r>
        <w:rPr>
          <w:rFonts w:ascii="仿宋_GB2312" w:hint="eastAsia"/>
          <w:color w:val="000000"/>
          <w:sz w:val="32"/>
          <w:szCs w:val="32"/>
        </w:rPr>
        <w:t>为北京的历史文化研究、人文北京和建设中国特色世界城市贡献力量”的绩效目标，目标定位与项目内容相符，但目标表述上缺少项目任务、产出等关键要素，目标设定的完整性、规范性不足。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iCs/>
          <w:sz w:val="32"/>
          <w:szCs w:val="32"/>
        </w:rPr>
      </w:pPr>
      <w:r>
        <w:rPr>
          <w:rFonts w:ascii="仿宋_GB2312" w:hint="eastAsia"/>
          <w:iCs/>
          <w:sz w:val="32"/>
          <w:szCs w:val="32"/>
        </w:rPr>
        <w:t>围绕项目目标，项目设置了相应的产出、效益及满意度指标，一级指标架构完整，但缺少必要的二级</w:t>
      </w:r>
      <w:r>
        <w:rPr>
          <w:rFonts w:ascii="仿宋_GB2312" w:hint="eastAsia"/>
          <w:iCs/>
          <w:sz w:val="32"/>
          <w:szCs w:val="32"/>
        </w:rPr>
        <w:t>指标，如质量指标、成本指标，且效益指标不量化，项目绩效指标设置的全面性、有效性、可考性不足。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hAnsi="宋体"/>
          <w:bCs/>
          <w:color w:val="000000"/>
          <w:sz w:val="32"/>
          <w:szCs w:val="32"/>
        </w:rPr>
      </w:pPr>
      <w:bookmarkStart w:id="30" w:name="_Toc35588413"/>
      <w:r>
        <w:rPr>
          <w:rFonts w:ascii="仿宋_GB2312" w:hAnsi="宋体" w:hint="eastAsia"/>
          <w:bCs/>
          <w:color w:val="000000"/>
          <w:sz w:val="32"/>
          <w:szCs w:val="32"/>
        </w:rPr>
        <w:t>3.</w:t>
      </w:r>
      <w:r>
        <w:rPr>
          <w:rFonts w:ascii="仿宋_GB2312" w:hAnsi="宋体" w:hint="eastAsia"/>
          <w:bCs/>
          <w:color w:val="000000"/>
          <w:sz w:val="32"/>
          <w:szCs w:val="32"/>
        </w:rPr>
        <w:t>资金投入</w:t>
      </w:r>
      <w:bookmarkEnd w:id="30"/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iCs/>
          <w:sz w:val="32"/>
          <w:szCs w:val="32"/>
        </w:rPr>
      </w:pPr>
      <w:r>
        <w:rPr>
          <w:rFonts w:ascii="仿宋_GB2312" w:hint="eastAsia"/>
          <w:iCs/>
          <w:sz w:val="32"/>
          <w:szCs w:val="32"/>
        </w:rPr>
        <w:t>项目根据工作内容编制了四个方面的资金支出内容，包括</w:t>
      </w:r>
      <w:r>
        <w:rPr>
          <w:rFonts w:ascii="仿宋_GB2312" w:hint="eastAsia"/>
          <w:color w:val="000000"/>
          <w:sz w:val="32"/>
          <w:szCs w:val="32"/>
        </w:rPr>
        <w:t>稿费、图片费、劳务费以及制作印刷费、参观观摩费、资料费</w:t>
      </w:r>
      <w:r>
        <w:rPr>
          <w:rFonts w:ascii="仿宋_GB2312" w:hint="eastAsia"/>
          <w:iCs/>
          <w:sz w:val="32"/>
          <w:szCs w:val="32"/>
        </w:rPr>
        <w:t>。其中，</w:t>
      </w:r>
      <w:r>
        <w:rPr>
          <w:rFonts w:ascii="仿宋_GB2312" w:hint="eastAsia"/>
          <w:color w:val="000000"/>
          <w:sz w:val="32"/>
          <w:szCs w:val="32"/>
        </w:rPr>
        <w:t>稿费、图片费、劳务费依据《使用文字作品支付报酬办法》《文史研究中心编辑工作管理制度》及市财政局关于专家劳务费的有关标准，结合预计字数、图片数、聘请专家人次测算预算。制作印刷费参考往年合同额，按照封面设计、板式设计、调图、打样等工作内容编制细化预算。参观观摩费、资料费依据明细内容，参考市场价格编制预算。经</w:t>
      </w:r>
      <w:r>
        <w:rPr>
          <w:rFonts w:ascii="仿宋_GB2312" w:hint="eastAsia"/>
          <w:iCs/>
          <w:sz w:val="32"/>
          <w:szCs w:val="32"/>
        </w:rPr>
        <w:t>市政府参事室秘书处聘请第三方</w:t>
      </w:r>
      <w:r>
        <w:rPr>
          <w:rFonts w:ascii="仿宋_GB2312" w:hint="eastAsia"/>
          <w:iCs/>
          <w:sz w:val="32"/>
          <w:szCs w:val="32"/>
        </w:rPr>
        <w:lastRenderedPageBreak/>
        <w:t>机构对项目进行预算评审后，审定预算金额</w:t>
      </w:r>
      <w:r>
        <w:rPr>
          <w:rFonts w:ascii="仿宋_GB2312" w:hint="eastAsia"/>
          <w:color w:val="000000"/>
          <w:sz w:val="32"/>
          <w:szCs w:val="32"/>
        </w:rPr>
        <w:t>92.46</w:t>
      </w:r>
      <w:r>
        <w:rPr>
          <w:rFonts w:ascii="仿宋_GB2312" w:hint="eastAsia"/>
          <w:color w:val="000000"/>
          <w:sz w:val="32"/>
          <w:szCs w:val="32"/>
        </w:rPr>
        <w:t>万元。项目预算测算过程清晰，且进行了第三方预算评审，</w:t>
      </w:r>
      <w:r>
        <w:rPr>
          <w:rFonts w:ascii="仿宋_GB2312" w:hint="eastAsia"/>
          <w:iCs/>
          <w:sz w:val="32"/>
          <w:szCs w:val="32"/>
        </w:rPr>
        <w:t>预算编制依据较为充分。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iCs/>
          <w:sz w:val="32"/>
          <w:szCs w:val="32"/>
        </w:rPr>
      </w:pPr>
      <w:r>
        <w:rPr>
          <w:rFonts w:ascii="仿宋_GB2312" w:hint="eastAsia"/>
          <w:iCs/>
          <w:sz w:val="32"/>
          <w:szCs w:val="32"/>
        </w:rPr>
        <w:t>审定的预算中，</w:t>
      </w:r>
      <w:r>
        <w:rPr>
          <w:rFonts w:ascii="仿宋_GB2312" w:hint="eastAsia"/>
          <w:color w:val="000000"/>
          <w:sz w:val="32"/>
          <w:szCs w:val="32"/>
        </w:rPr>
        <w:t>稿费、图片费、劳务费及制作印刷费占比最大，</w:t>
      </w:r>
      <w:r>
        <w:rPr>
          <w:rFonts w:ascii="仿宋_GB2312" w:hint="eastAsia"/>
          <w:color w:val="000000"/>
          <w:sz w:val="32"/>
          <w:szCs w:val="32"/>
        </w:rPr>
        <w:t>分别占项目预算的</w:t>
      </w:r>
      <w:r>
        <w:rPr>
          <w:rFonts w:ascii="仿宋_GB2312" w:hint="eastAsia"/>
          <w:color w:val="000000"/>
          <w:sz w:val="32"/>
          <w:szCs w:val="32"/>
        </w:rPr>
        <w:t>53.55%</w:t>
      </w:r>
      <w:r>
        <w:rPr>
          <w:rFonts w:ascii="仿宋_GB2312" w:hint="eastAsia"/>
          <w:color w:val="000000"/>
          <w:sz w:val="32"/>
          <w:szCs w:val="32"/>
        </w:rPr>
        <w:t>、</w:t>
      </w:r>
      <w:r>
        <w:rPr>
          <w:rFonts w:ascii="仿宋_GB2312" w:hint="eastAsia"/>
          <w:color w:val="000000"/>
          <w:sz w:val="32"/>
          <w:szCs w:val="32"/>
        </w:rPr>
        <w:t>45.43%</w:t>
      </w:r>
      <w:r>
        <w:rPr>
          <w:rFonts w:ascii="仿宋_GB2312" w:hint="eastAsia"/>
          <w:color w:val="000000"/>
          <w:sz w:val="32"/>
          <w:szCs w:val="32"/>
        </w:rPr>
        <w:t>，参观观摩费、资料费仅占项目预算的</w:t>
      </w:r>
      <w:r>
        <w:rPr>
          <w:rFonts w:ascii="仿宋_GB2312" w:hint="eastAsia"/>
          <w:color w:val="000000"/>
          <w:sz w:val="32"/>
          <w:szCs w:val="32"/>
        </w:rPr>
        <w:t>0.86%</w:t>
      </w:r>
      <w:r>
        <w:rPr>
          <w:rFonts w:ascii="仿宋_GB2312" w:hint="eastAsia"/>
          <w:color w:val="000000"/>
          <w:sz w:val="32"/>
          <w:szCs w:val="32"/>
        </w:rPr>
        <w:t>、</w:t>
      </w:r>
      <w:r>
        <w:rPr>
          <w:rFonts w:ascii="仿宋_GB2312" w:hint="eastAsia"/>
          <w:color w:val="000000"/>
          <w:sz w:val="32"/>
          <w:szCs w:val="32"/>
        </w:rPr>
        <w:t>0.16%</w:t>
      </w:r>
      <w:r>
        <w:rPr>
          <w:rFonts w:ascii="仿宋_GB2312" w:hint="eastAsia"/>
          <w:color w:val="000000"/>
          <w:sz w:val="32"/>
          <w:szCs w:val="32"/>
        </w:rPr>
        <w:t>，项目资金投向于核心工作，资金分配较为合理。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color w:val="000000"/>
          <w:sz w:val="32"/>
          <w:szCs w:val="32"/>
        </w:rPr>
      </w:pPr>
      <w:bookmarkStart w:id="31" w:name="_Toc35588414"/>
      <w:bookmarkStart w:id="32" w:name="_Toc166692590"/>
      <w:r>
        <w:rPr>
          <w:rFonts w:ascii="楷体_GB2312" w:eastAsia="楷体_GB2312" w:hint="eastAsia"/>
          <w:color w:val="000000"/>
          <w:sz w:val="32"/>
          <w:szCs w:val="32"/>
        </w:rPr>
        <w:t>（二）项目过程情况</w:t>
      </w:r>
      <w:bookmarkEnd w:id="31"/>
      <w:bookmarkEnd w:id="32"/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hAnsi="宋体"/>
          <w:bCs/>
          <w:color w:val="000000"/>
          <w:sz w:val="32"/>
          <w:szCs w:val="32"/>
        </w:rPr>
      </w:pPr>
      <w:bookmarkStart w:id="33" w:name="_Toc35588415"/>
      <w:r>
        <w:rPr>
          <w:rFonts w:ascii="仿宋_GB2312" w:hAnsi="宋体" w:hint="eastAsia"/>
          <w:bCs/>
          <w:color w:val="000000"/>
          <w:sz w:val="32"/>
          <w:szCs w:val="32"/>
        </w:rPr>
        <w:t>1.</w:t>
      </w:r>
      <w:r>
        <w:rPr>
          <w:rFonts w:ascii="仿宋_GB2312" w:hAnsi="宋体" w:hint="eastAsia"/>
          <w:bCs/>
          <w:color w:val="000000"/>
          <w:sz w:val="32"/>
          <w:szCs w:val="32"/>
        </w:rPr>
        <w:t>资金管理</w:t>
      </w:r>
      <w:bookmarkEnd w:id="33"/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项目资金管理及使用依据《</w:t>
      </w:r>
      <w:r>
        <w:rPr>
          <w:rFonts w:ascii="仿宋_GB2312" w:hint="eastAsia"/>
          <w:sz w:val="32"/>
        </w:rPr>
        <w:t>参事室（文史馆）预算管理办法（试行）</w:t>
      </w:r>
      <w:r>
        <w:rPr>
          <w:rFonts w:ascii="仿宋_GB2312" w:hint="eastAsia"/>
          <w:color w:val="000000"/>
          <w:sz w:val="32"/>
          <w:szCs w:val="32"/>
        </w:rPr>
        <w:t>》《</w:t>
      </w:r>
      <w:r>
        <w:rPr>
          <w:rFonts w:ascii="仿宋_GB2312" w:hint="eastAsia"/>
          <w:sz w:val="32"/>
        </w:rPr>
        <w:t>参事室（文史馆）财务管理制度（试行）</w:t>
      </w:r>
      <w:r>
        <w:rPr>
          <w:rFonts w:ascii="仿宋_GB2312" w:hint="eastAsia"/>
          <w:color w:val="000000"/>
          <w:sz w:val="32"/>
          <w:szCs w:val="32"/>
        </w:rPr>
        <w:t>》《</w:t>
      </w:r>
      <w:r>
        <w:rPr>
          <w:rFonts w:ascii="仿宋_GB2312" w:hint="eastAsia"/>
          <w:sz w:val="32"/>
        </w:rPr>
        <w:t>参事室（文史馆）会计档案管理办法（试行）</w:t>
      </w:r>
      <w:r>
        <w:rPr>
          <w:rFonts w:ascii="仿宋_GB2312" w:hint="eastAsia"/>
          <w:color w:val="000000"/>
          <w:sz w:val="32"/>
          <w:szCs w:val="32"/>
        </w:rPr>
        <w:t>》《</w:t>
      </w:r>
      <w:r>
        <w:rPr>
          <w:rFonts w:ascii="仿宋_GB2312" w:hint="eastAsia"/>
          <w:sz w:val="32"/>
        </w:rPr>
        <w:t>参事室（文史馆）资金支出管理办法（试行）</w:t>
      </w:r>
      <w:r>
        <w:rPr>
          <w:rFonts w:ascii="仿宋_GB2312" w:hint="eastAsia"/>
          <w:color w:val="000000"/>
          <w:sz w:val="32"/>
          <w:szCs w:val="32"/>
        </w:rPr>
        <w:t>》等单位内部有关制度执行。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截至</w:t>
      </w:r>
      <w:r>
        <w:rPr>
          <w:rFonts w:ascii="仿宋_GB2312" w:hint="eastAsia"/>
          <w:color w:val="000000"/>
          <w:sz w:val="32"/>
          <w:szCs w:val="32"/>
        </w:rPr>
        <w:t>2023</w:t>
      </w:r>
      <w:r>
        <w:rPr>
          <w:rFonts w:ascii="仿宋_GB2312" w:hint="eastAsia"/>
          <w:color w:val="000000"/>
          <w:sz w:val="32"/>
          <w:szCs w:val="32"/>
        </w:rPr>
        <w:t>年</w:t>
      </w:r>
      <w:r>
        <w:rPr>
          <w:rFonts w:ascii="仿宋_GB2312" w:hint="eastAsia"/>
          <w:color w:val="000000"/>
          <w:sz w:val="32"/>
          <w:szCs w:val="32"/>
        </w:rPr>
        <w:t>12</w:t>
      </w:r>
      <w:r>
        <w:rPr>
          <w:rFonts w:ascii="仿宋_GB2312" w:hint="eastAsia"/>
          <w:color w:val="000000"/>
          <w:sz w:val="32"/>
          <w:szCs w:val="32"/>
        </w:rPr>
        <w:t>月</w:t>
      </w:r>
      <w:r>
        <w:rPr>
          <w:rFonts w:ascii="仿宋_GB2312" w:hint="eastAsia"/>
          <w:color w:val="000000"/>
          <w:sz w:val="32"/>
          <w:szCs w:val="32"/>
        </w:rPr>
        <w:t>31</w:t>
      </w:r>
      <w:r>
        <w:rPr>
          <w:rFonts w:ascii="仿宋_GB2312" w:hint="eastAsia"/>
          <w:color w:val="000000"/>
          <w:sz w:val="32"/>
          <w:szCs w:val="32"/>
        </w:rPr>
        <w:t>日，项目实际支出</w:t>
      </w:r>
      <w:r>
        <w:rPr>
          <w:rFonts w:ascii="仿宋_GB2312" w:hint="eastAsia"/>
          <w:color w:val="000000"/>
          <w:sz w:val="32"/>
          <w:szCs w:val="32"/>
        </w:rPr>
        <w:t>89.80</w:t>
      </w:r>
      <w:r>
        <w:rPr>
          <w:rFonts w:ascii="仿宋_GB2312" w:hint="eastAsia"/>
          <w:color w:val="000000"/>
          <w:sz w:val="32"/>
          <w:szCs w:val="32"/>
        </w:rPr>
        <w:t>万元，预算执行率</w:t>
      </w:r>
      <w:r>
        <w:rPr>
          <w:rFonts w:ascii="仿宋_GB2312" w:hint="eastAsia"/>
          <w:color w:val="000000"/>
          <w:sz w:val="32"/>
          <w:szCs w:val="32"/>
        </w:rPr>
        <w:t>97.12%</w:t>
      </w:r>
      <w:r>
        <w:rPr>
          <w:rFonts w:ascii="仿宋_GB2312" w:hint="eastAsia"/>
          <w:color w:val="000000"/>
          <w:sz w:val="32"/>
          <w:szCs w:val="32"/>
        </w:rPr>
        <w:t>。支出管理上，项目资金进行了单独核算，资</w:t>
      </w:r>
      <w:r>
        <w:rPr>
          <w:rFonts w:ascii="仿宋_GB2312" w:hint="eastAsia"/>
          <w:color w:val="000000"/>
          <w:sz w:val="32"/>
          <w:szCs w:val="32"/>
        </w:rPr>
        <w:t>金支出按照资金支付审批权限履行不同的审批程序，资金管理总体规范，但会计核算中支出</w:t>
      </w:r>
      <w:r>
        <w:rPr>
          <w:rFonts w:ascii="仿宋_GB2312" w:hint="eastAsia"/>
          <w:color w:val="000000"/>
          <w:sz w:val="32"/>
          <w:szCs w:val="32"/>
        </w:rPr>
        <w:t>依据</w:t>
      </w:r>
      <w:r>
        <w:rPr>
          <w:rFonts w:ascii="仿宋_GB2312" w:hint="eastAsia"/>
          <w:color w:val="000000"/>
          <w:sz w:val="32"/>
          <w:szCs w:val="32"/>
        </w:rPr>
        <w:t>有待进一步</w:t>
      </w:r>
      <w:r>
        <w:rPr>
          <w:rFonts w:ascii="仿宋_GB2312" w:hint="eastAsia"/>
          <w:color w:val="000000"/>
          <w:sz w:val="32"/>
          <w:szCs w:val="32"/>
        </w:rPr>
        <w:t>清晰化</w:t>
      </w:r>
      <w:r>
        <w:rPr>
          <w:rFonts w:ascii="仿宋_GB2312" w:hint="eastAsia"/>
          <w:color w:val="000000"/>
          <w:sz w:val="32"/>
          <w:szCs w:val="32"/>
        </w:rPr>
        <w:t>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hAnsi="宋体"/>
          <w:bCs/>
          <w:color w:val="000000"/>
          <w:sz w:val="32"/>
          <w:szCs w:val="32"/>
        </w:rPr>
      </w:pPr>
      <w:r>
        <w:rPr>
          <w:rFonts w:ascii="仿宋_GB2312" w:hAnsi="宋体"/>
          <w:bCs/>
          <w:color w:val="000000"/>
          <w:sz w:val="32"/>
          <w:szCs w:val="32"/>
        </w:rPr>
        <w:t>2.</w:t>
      </w:r>
      <w:r>
        <w:rPr>
          <w:rFonts w:ascii="仿宋_GB2312" w:hAnsi="宋体" w:hint="eastAsia"/>
          <w:bCs/>
          <w:color w:val="000000"/>
          <w:sz w:val="32"/>
          <w:szCs w:val="32"/>
        </w:rPr>
        <w:t>组织实施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iCs/>
          <w:sz w:val="32"/>
          <w:szCs w:val="32"/>
        </w:rPr>
        <w:t>业务管理方面，文史中心制定了</w:t>
      </w:r>
      <w:r>
        <w:rPr>
          <w:rFonts w:ascii="仿宋_GB2312" w:hint="eastAsia"/>
          <w:color w:val="000000"/>
          <w:sz w:val="32"/>
          <w:szCs w:val="32"/>
        </w:rPr>
        <w:t>《文史研究中心编辑工作管理制度》《北京市文史期刊专辑出入库管理制度》《北京文史期刊专辑赠阅（发行）制度》等制度规范，对编辑工作程序及有关职</w:t>
      </w:r>
      <w:r>
        <w:rPr>
          <w:rFonts w:ascii="仿宋_GB2312" w:hint="eastAsia"/>
          <w:color w:val="000000"/>
          <w:sz w:val="32"/>
          <w:szCs w:val="32"/>
        </w:rPr>
        <w:lastRenderedPageBreak/>
        <w:t>责、出入库管理、期刊赠阅管理做出了相应规定。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实际执行中，项目按照“选题</w:t>
      </w:r>
      <w:r>
        <w:rPr>
          <w:rFonts w:ascii="仿宋_GB2312" w:hint="eastAsia"/>
          <w:color w:val="000000"/>
          <w:sz w:val="32"/>
          <w:szCs w:val="32"/>
        </w:rPr>
        <w:t>-</w:t>
      </w:r>
      <w:r>
        <w:rPr>
          <w:rFonts w:ascii="仿宋_GB2312" w:hint="eastAsia"/>
          <w:color w:val="000000"/>
          <w:sz w:val="32"/>
          <w:szCs w:val="32"/>
        </w:rPr>
        <w:t>约稿</w:t>
      </w:r>
      <w:r>
        <w:rPr>
          <w:rFonts w:ascii="仿宋_GB2312" w:hint="eastAsia"/>
          <w:color w:val="000000"/>
          <w:sz w:val="32"/>
          <w:szCs w:val="32"/>
        </w:rPr>
        <w:t>-</w:t>
      </w:r>
      <w:r>
        <w:rPr>
          <w:rFonts w:ascii="仿宋_GB2312" w:hint="eastAsia"/>
          <w:color w:val="000000"/>
          <w:sz w:val="32"/>
          <w:szCs w:val="32"/>
        </w:rPr>
        <w:t>审稿</w:t>
      </w:r>
      <w:r>
        <w:rPr>
          <w:rFonts w:ascii="仿宋_GB2312" w:hint="eastAsia"/>
          <w:color w:val="000000"/>
          <w:sz w:val="32"/>
          <w:szCs w:val="32"/>
        </w:rPr>
        <w:t>-</w:t>
      </w:r>
      <w:r>
        <w:rPr>
          <w:rFonts w:ascii="仿宋_GB2312" w:hint="eastAsia"/>
          <w:color w:val="000000"/>
          <w:sz w:val="32"/>
          <w:szCs w:val="32"/>
        </w:rPr>
        <w:t>排版</w:t>
      </w:r>
      <w:r>
        <w:rPr>
          <w:rFonts w:ascii="仿宋_GB2312" w:hint="eastAsia"/>
          <w:color w:val="000000"/>
          <w:sz w:val="32"/>
          <w:szCs w:val="32"/>
        </w:rPr>
        <w:t>-</w:t>
      </w:r>
      <w:r>
        <w:rPr>
          <w:rFonts w:ascii="仿宋_GB2312" w:hint="eastAsia"/>
          <w:color w:val="000000"/>
          <w:sz w:val="32"/>
          <w:szCs w:val="32"/>
        </w:rPr>
        <w:t>校对</w:t>
      </w:r>
      <w:r>
        <w:rPr>
          <w:rFonts w:ascii="仿宋_GB2312" w:hint="eastAsia"/>
          <w:color w:val="000000"/>
          <w:sz w:val="32"/>
          <w:szCs w:val="32"/>
        </w:rPr>
        <w:t>-</w:t>
      </w:r>
      <w:r>
        <w:rPr>
          <w:rFonts w:ascii="仿宋_GB2312" w:hint="eastAsia"/>
          <w:color w:val="000000"/>
          <w:sz w:val="32"/>
          <w:szCs w:val="32"/>
        </w:rPr>
        <w:t>印刷</w:t>
      </w:r>
      <w:r>
        <w:rPr>
          <w:rFonts w:ascii="仿宋_GB2312" w:hint="eastAsia"/>
          <w:color w:val="000000"/>
          <w:sz w:val="32"/>
          <w:szCs w:val="32"/>
        </w:rPr>
        <w:t>-</w:t>
      </w:r>
      <w:r>
        <w:rPr>
          <w:rFonts w:ascii="仿宋_GB2312" w:hint="eastAsia"/>
          <w:color w:val="000000"/>
          <w:sz w:val="32"/>
          <w:szCs w:val="32"/>
        </w:rPr>
        <w:t>赠阅”的程序实施。在编委会议确定全年选题后，编辑人员根据选题计划进行约稿。稿件实行“组稿人初审、副主编（中心主任）审读，编委</w:t>
      </w:r>
      <w:r>
        <w:rPr>
          <w:rFonts w:ascii="仿宋_GB2312" w:hint="eastAsia"/>
          <w:color w:val="000000"/>
          <w:sz w:val="32"/>
          <w:szCs w:val="32"/>
        </w:rPr>
        <w:t>二审，室馆领导终审”的三审制，审定后进行设计排版，并进行“三校对”后由执行主编签发印刷。印刷装订后的期刊，主要以邮寄方式赠送于中央机关、市直机关、区县工委、各地文史馆等单位或个人，其余用于陈列、临时性赠阅等。项目总体组织实施规范，但管理过程资料留痕有待加强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color w:val="000000"/>
          <w:sz w:val="32"/>
          <w:szCs w:val="32"/>
        </w:rPr>
      </w:pPr>
      <w:bookmarkStart w:id="34" w:name="_Toc35588417"/>
      <w:bookmarkStart w:id="35" w:name="_Toc166692591"/>
      <w:r>
        <w:rPr>
          <w:rFonts w:ascii="楷体_GB2312" w:eastAsia="楷体_GB2312" w:hint="eastAsia"/>
          <w:color w:val="000000"/>
          <w:sz w:val="32"/>
          <w:szCs w:val="32"/>
        </w:rPr>
        <w:t>（三）项目产出情况</w:t>
      </w:r>
      <w:bookmarkEnd w:id="34"/>
      <w:bookmarkEnd w:id="35"/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产出数量及时效方面。截至</w:t>
      </w:r>
      <w:r>
        <w:rPr>
          <w:rFonts w:ascii="仿宋_GB2312" w:hint="eastAsia"/>
          <w:color w:val="000000"/>
          <w:sz w:val="32"/>
          <w:szCs w:val="32"/>
        </w:rPr>
        <w:t>2023</w:t>
      </w:r>
      <w:r>
        <w:rPr>
          <w:rFonts w:ascii="仿宋_GB2312" w:hint="eastAsia"/>
          <w:color w:val="000000"/>
          <w:sz w:val="32"/>
          <w:szCs w:val="32"/>
        </w:rPr>
        <w:t>年</w:t>
      </w:r>
      <w:r>
        <w:rPr>
          <w:rFonts w:ascii="仿宋_GB2312" w:hint="eastAsia"/>
          <w:color w:val="000000"/>
          <w:sz w:val="32"/>
          <w:szCs w:val="32"/>
        </w:rPr>
        <w:t>12</w:t>
      </w:r>
      <w:r>
        <w:rPr>
          <w:rFonts w:ascii="仿宋_GB2312" w:hint="eastAsia"/>
          <w:color w:val="000000"/>
          <w:sz w:val="32"/>
          <w:szCs w:val="32"/>
        </w:rPr>
        <w:t>月</w:t>
      </w:r>
      <w:r>
        <w:rPr>
          <w:rFonts w:ascii="仿宋_GB2312" w:hint="eastAsia"/>
          <w:color w:val="000000"/>
          <w:sz w:val="32"/>
          <w:szCs w:val="32"/>
        </w:rPr>
        <w:t>31</w:t>
      </w:r>
      <w:r>
        <w:rPr>
          <w:rFonts w:ascii="仿宋_GB2312" w:hint="eastAsia"/>
          <w:color w:val="000000"/>
          <w:sz w:val="32"/>
          <w:szCs w:val="32"/>
        </w:rPr>
        <w:t>日，项目如期完成了</w:t>
      </w:r>
      <w:r>
        <w:rPr>
          <w:rFonts w:ascii="仿宋_GB2312" w:hint="eastAsia"/>
          <w:color w:val="000000"/>
          <w:sz w:val="32"/>
          <w:szCs w:val="32"/>
        </w:rPr>
        <w:t>4</w:t>
      </w:r>
      <w:r>
        <w:rPr>
          <w:rFonts w:ascii="仿宋_GB2312" w:hint="eastAsia"/>
          <w:color w:val="000000"/>
          <w:sz w:val="32"/>
          <w:szCs w:val="32"/>
        </w:rPr>
        <w:t>期《北京文史》编辑出版，每期刊印</w:t>
      </w:r>
      <w:r>
        <w:rPr>
          <w:rFonts w:ascii="仿宋_GB2312" w:hint="eastAsia"/>
          <w:color w:val="000000"/>
          <w:sz w:val="32"/>
          <w:szCs w:val="32"/>
        </w:rPr>
        <w:t>7000</w:t>
      </w:r>
      <w:r>
        <w:rPr>
          <w:rFonts w:ascii="仿宋_GB2312" w:hint="eastAsia"/>
          <w:color w:val="000000"/>
          <w:sz w:val="32"/>
          <w:szCs w:val="32"/>
        </w:rPr>
        <w:t>册。依据文史中心提供的《</w:t>
      </w:r>
      <w:r>
        <w:rPr>
          <w:rFonts w:ascii="仿宋_GB2312" w:hint="eastAsia"/>
          <w:color w:val="000000"/>
          <w:sz w:val="32"/>
          <w:szCs w:val="32"/>
        </w:rPr>
        <w:t>2023</w:t>
      </w:r>
      <w:r>
        <w:rPr>
          <w:rFonts w:ascii="仿宋_GB2312" w:hint="eastAsia"/>
          <w:color w:val="000000"/>
          <w:sz w:val="32"/>
          <w:szCs w:val="32"/>
        </w:rPr>
        <w:t>北京文史数据统计》，对比项目绩效目标，每期期刊发表稿件数均超过</w:t>
      </w:r>
      <w:r>
        <w:rPr>
          <w:rFonts w:ascii="仿宋_GB2312" w:hint="eastAsia"/>
          <w:color w:val="000000"/>
          <w:sz w:val="32"/>
          <w:szCs w:val="32"/>
        </w:rPr>
        <w:t>30</w:t>
      </w:r>
      <w:r>
        <w:rPr>
          <w:rFonts w:ascii="仿宋_GB2312" w:hint="eastAsia"/>
          <w:color w:val="000000"/>
          <w:sz w:val="32"/>
          <w:szCs w:val="32"/>
        </w:rPr>
        <w:t>篇，达成目标值。但实际期刊字数、发表图片数低于预期目标值，如期刊字数指标值设定为“≥</w:t>
      </w:r>
      <w:r>
        <w:rPr>
          <w:rFonts w:ascii="仿宋_GB2312" w:hint="eastAsia"/>
          <w:color w:val="000000"/>
          <w:sz w:val="32"/>
          <w:szCs w:val="32"/>
        </w:rPr>
        <w:t>20</w:t>
      </w:r>
      <w:r>
        <w:rPr>
          <w:rFonts w:ascii="仿宋_GB2312" w:hint="eastAsia"/>
          <w:color w:val="000000"/>
          <w:sz w:val="32"/>
          <w:szCs w:val="32"/>
        </w:rPr>
        <w:t>万字”，但</w:t>
      </w:r>
      <w:r>
        <w:rPr>
          <w:rFonts w:ascii="仿宋_GB2312" w:hint="eastAsia"/>
          <w:color w:val="000000"/>
          <w:sz w:val="32"/>
          <w:szCs w:val="32"/>
        </w:rPr>
        <w:t>3</w:t>
      </w:r>
      <w:r>
        <w:rPr>
          <w:rFonts w:ascii="仿宋_GB2312" w:hint="eastAsia"/>
          <w:color w:val="000000"/>
          <w:sz w:val="32"/>
          <w:szCs w:val="32"/>
        </w:rPr>
        <w:t>期期刊字数为</w:t>
      </w:r>
      <w:r>
        <w:rPr>
          <w:rFonts w:ascii="仿宋_GB2312" w:hint="eastAsia"/>
          <w:color w:val="000000"/>
          <w:sz w:val="32"/>
          <w:szCs w:val="32"/>
        </w:rPr>
        <w:t>18</w:t>
      </w:r>
      <w:r>
        <w:rPr>
          <w:rFonts w:ascii="仿宋_GB2312" w:hint="eastAsia"/>
          <w:color w:val="000000"/>
          <w:sz w:val="32"/>
          <w:szCs w:val="32"/>
        </w:rPr>
        <w:t>余万字；发表图片数指标值设定为“≥</w:t>
      </w:r>
      <w:r>
        <w:rPr>
          <w:rFonts w:ascii="仿宋_GB2312" w:hint="eastAsia"/>
          <w:color w:val="000000"/>
          <w:sz w:val="32"/>
          <w:szCs w:val="32"/>
        </w:rPr>
        <w:t>300</w:t>
      </w:r>
      <w:r>
        <w:rPr>
          <w:rFonts w:ascii="仿宋_GB2312" w:hint="eastAsia"/>
          <w:color w:val="000000"/>
          <w:sz w:val="32"/>
          <w:szCs w:val="32"/>
        </w:rPr>
        <w:t>幅”，但</w:t>
      </w:r>
      <w:r>
        <w:rPr>
          <w:rFonts w:ascii="仿宋_GB2312" w:hint="eastAsia"/>
          <w:color w:val="000000"/>
          <w:sz w:val="32"/>
          <w:szCs w:val="32"/>
        </w:rPr>
        <w:t>4</w:t>
      </w:r>
      <w:r>
        <w:rPr>
          <w:rFonts w:ascii="仿宋_GB2312" w:hint="eastAsia"/>
          <w:color w:val="000000"/>
          <w:sz w:val="32"/>
          <w:szCs w:val="32"/>
        </w:rPr>
        <w:t>期期刊均低于</w:t>
      </w:r>
      <w:r>
        <w:rPr>
          <w:rFonts w:ascii="仿宋_GB2312" w:hint="eastAsia"/>
          <w:color w:val="000000"/>
          <w:sz w:val="32"/>
          <w:szCs w:val="32"/>
        </w:rPr>
        <w:t>300</w:t>
      </w:r>
      <w:r>
        <w:rPr>
          <w:rFonts w:ascii="仿宋_GB2312" w:hint="eastAsia"/>
          <w:color w:val="000000"/>
          <w:sz w:val="32"/>
          <w:szCs w:val="32"/>
        </w:rPr>
        <w:t>幅。项目绩效指标未能全部达成。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产出质量方面。项目通过“三审三校”机制把控稿件内容质量，通过合同约束、验收把控期刊印制质量。从期刊成品实际情况来看，《北京文史》图文并茂、人文历史丰富，产出质量良好。</w:t>
      </w:r>
    </w:p>
    <w:p w:rsidR="00570066" w:rsidRDefault="00805C46">
      <w:pPr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lastRenderedPageBreak/>
        <w:t>产出成本方面。项目采取了预算评审、三方比价等措施进行成本控制，整体支出水平较为合理。但印制合同中</w:t>
      </w:r>
      <w:r>
        <w:rPr>
          <w:rFonts w:ascii="仿宋_GB2312" w:hAnsi="仿宋" w:cs="仿宋_GB2312" w:hint="eastAsia"/>
          <w:sz w:val="32"/>
          <w:szCs w:val="32"/>
        </w:rPr>
        <w:t>个别单价标准可进一步合理化，期刊电子化形式有待探索，项目实施的经济性可进一步提升。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color w:val="000000"/>
          <w:sz w:val="32"/>
          <w:szCs w:val="32"/>
        </w:rPr>
      </w:pPr>
      <w:bookmarkStart w:id="36" w:name="_Toc166692592"/>
      <w:bookmarkStart w:id="37" w:name="_Toc35588422"/>
      <w:r>
        <w:rPr>
          <w:rFonts w:ascii="楷体_GB2312" w:eastAsia="楷体_GB2312" w:hint="eastAsia"/>
          <w:color w:val="000000"/>
          <w:sz w:val="32"/>
          <w:szCs w:val="32"/>
        </w:rPr>
        <w:t>（四）项目效益情况</w:t>
      </w:r>
      <w:bookmarkEnd w:id="36"/>
      <w:bookmarkEnd w:id="37"/>
    </w:p>
    <w:p w:rsidR="00570066" w:rsidRDefault="00805C46">
      <w:pPr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读者满意度方面。为了解读者对刊物在栏目、文章、配图、编排等方面的意见建议，把刊物办得更好，项目采取在刊物封底刊登电子问卷二维码的方式鼓励读者参与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满意度调查。电子问卷共设置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22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项问题，包括刊物获取方式、阅读内容占刊物比例、喜爱版块、阅读文章类型、栏目设置质量、文章质量、图片效果等。回收问卷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159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份，总体满意度在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90%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以上。总体上，读者反映良好。但相对于每期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7000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册的印制数量，满意度调查样本量偏低。</w:t>
      </w:r>
    </w:p>
    <w:p w:rsidR="00570066" w:rsidRDefault="00805C46">
      <w:pPr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实施效益呈现方面。根据文史中心提供的《邮寄统计表》《刊物出库统计表》，期刊每期刊印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7000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册，邮寄赠送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6400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册，零星赠阅使用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100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余册，每期期刊存在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400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余册库存，期刊投入使用效益有待提升，且实施效益总结有待加强。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0"/>
        <w:rPr>
          <w:rFonts w:ascii="黑体" w:eastAsia="黑体"/>
          <w:sz w:val="32"/>
          <w:szCs w:val="32"/>
        </w:rPr>
      </w:pPr>
      <w:bookmarkStart w:id="38" w:name="_Toc35588424"/>
      <w:bookmarkStart w:id="39" w:name="_Toc166692593"/>
      <w:r>
        <w:rPr>
          <w:rFonts w:ascii="黑体" w:eastAsia="黑体" w:hint="eastAsia"/>
          <w:sz w:val="32"/>
          <w:szCs w:val="32"/>
        </w:rPr>
        <w:t>五、主要经验及做法、存在的问题及原因</w:t>
      </w:r>
      <w:r>
        <w:rPr>
          <w:rFonts w:ascii="黑体" w:eastAsia="黑体" w:hint="eastAsia"/>
          <w:sz w:val="32"/>
          <w:szCs w:val="32"/>
        </w:rPr>
        <w:t>分析</w:t>
      </w:r>
      <w:bookmarkEnd w:id="38"/>
      <w:bookmarkEnd w:id="39"/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color w:val="000000"/>
          <w:sz w:val="32"/>
          <w:szCs w:val="32"/>
        </w:rPr>
      </w:pPr>
      <w:bookmarkStart w:id="40" w:name="_Toc166692594"/>
      <w:bookmarkStart w:id="41" w:name="_Toc35588425"/>
      <w:r>
        <w:rPr>
          <w:rFonts w:ascii="楷体_GB2312" w:eastAsia="楷体_GB2312" w:hint="eastAsia"/>
          <w:color w:val="000000"/>
          <w:sz w:val="32"/>
          <w:szCs w:val="32"/>
        </w:rPr>
        <w:t>（一）主要经验及做法</w:t>
      </w:r>
      <w:bookmarkEnd w:id="40"/>
      <w:bookmarkEnd w:id="41"/>
    </w:p>
    <w:p w:rsidR="00570066" w:rsidRDefault="00805C46">
      <w:pPr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仿宋_GB2312" w:hAnsi="仿宋_GB2312" w:cs="仿宋_GB2312"/>
          <w:sz w:val="32"/>
          <w:szCs w:val="32"/>
        </w:rPr>
      </w:pPr>
      <w:bookmarkStart w:id="42" w:name="_Toc35588426"/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一是找准刊物定位，突出北京地域文化特色。努力把《北京文史》办成具有权威性、学术性、艺术性、可读性和史料性，“五性”集于一体的高品质刊物。二是充分发挥资源优势。调动参事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lastRenderedPageBreak/>
        <w:t>室（文史馆）参事、馆员、特约研究员力量，参与《北京文史》审读、撰稿等工作中。同时发挥北京人才资源聚集的优势，与相关研究机构和专家学者广泛联系，充分调动各方面积极性，凝聚力量建立高质量的作者队伍，从而提升刊物的品质。三是不断丰富刊物内容。围绕文史中心工作和重要节点组织选题，刊物栏目不断丰富，结合中轴线申遗、“一城三带”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建设、京津冀协同发展、北京文化和自然遗产及非物质文化遗产保护等中心工作，组织选题或是增设临时栏目</w:t>
      </w:r>
      <w:r>
        <w:rPr>
          <w:rFonts w:ascii="仿宋_GB2312" w:hAnsi="仿宋_GB2312" w:cs="仿宋_GB2312" w:hint="eastAsia"/>
          <w:sz w:val="32"/>
          <w:szCs w:val="32"/>
        </w:rPr>
        <w:t>。四是选题规划与进度管理相结合。项目每年末制定未来三年选题规划及下一年度选题计划，明确组稿方向保证刊物质量；每期刊物制定详细时间进度安排，按照三审三校制流程逐步推进工作，确保每季度按时出刊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color w:val="000000"/>
          <w:sz w:val="32"/>
          <w:szCs w:val="32"/>
        </w:rPr>
      </w:pPr>
      <w:bookmarkStart w:id="43" w:name="_Toc166692595"/>
      <w:r>
        <w:rPr>
          <w:rFonts w:ascii="楷体_GB2312" w:eastAsia="楷体_GB2312" w:hint="eastAsia"/>
          <w:color w:val="000000"/>
          <w:sz w:val="32"/>
          <w:szCs w:val="32"/>
        </w:rPr>
        <w:t>（二）存在的主要问题及原因分析</w:t>
      </w:r>
      <w:bookmarkEnd w:id="42"/>
      <w:bookmarkEnd w:id="43"/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hAnsi="宋体"/>
          <w:bCs/>
          <w:color w:val="000000"/>
          <w:sz w:val="32"/>
          <w:szCs w:val="32"/>
        </w:rPr>
      </w:pPr>
      <w:r>
        <w:rPr>
          <w:rFonts w:ascii="仿宋_GB2312" w:hAnsi="宋体" w:hint="eastAsia"/>
          <w:bCs/>
          <w:color w:val="000000"/>
          <w:sz w:val="32"/>
          <w:szCs w:val="32"/>
        </w:rPr>
        <w:t>1</w:t>
      </w:r>
      <w:r>
        <w:rPr>
          <w:rFonts w:ascii="仿宋_GB2312" w:hAnsi="宋体"/>
          <w:bCs/>
          <w:color w:val="000000"/>
          <w:sz w:val="32"/>
          <w:szCs w:val="32"/>
        </w:rPr>
        <w:t>.</w:t>
      </w:r>
      <w:r>
        <w:rPr>
          <w:rFonts w:ascii="仿宋_GB2312" w:hAnsi="宋体" w:hint="eastAsia"/>
          <w:bCs/>
          <w:color w:val="000000"/>
          <w:sz w:val="32"/>
          <w:szCs w:val="32"/>
        </w:rPr>
        <w:t>绩效目标全面性、有效性不足</w:t>
      </w:r>
    </w:p>
    <w:p w:rsidR="00570066" w:rsidRDefault="00805C46" w:rsidP="00C00B20">
      <w:pPr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一是项目绩效目标仅体现了项目实施预期效益，未体现项目工作任务及预期成果，表述不完整。二是绩效指标设定不够全面、规范。“每期字数”“每期发表稿件”“每期发表图片”设置为质量指标，应为数量指标；“项目预算控制数”指标缺乏有效性；缺少必要的质量指标、成本指标；“每期字数”“每期发表图片”等指标值设置与项目实际不够贴合，导致指标未能达成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hAnsi="宋体"/>
          <w:bCs/>
          <w:color w:val="000000"/>
          <w:sz w:val="32"/>
          <w:szCs w:val="32"/>
        </w:rPr>
      </w:pPr>
      <w:r>
        <w:rPr>
          <w:rFonts w:ascii="仿宋_GB2312" w:hAnsi="宋体" w:hint="eastAsia"/>
          <w:bCs/>
          <w:color w:val="000000"/>
          <w:sz w:val="32"/>
          <w:szCs w:val="32"/>
        </w:rPr>
        <w:t>2</w:t>
      </w:r>
      <w:r>
        <w:rPr>
          <w:rFonts w:ascii="仿宋_GB2312" w:hAnsi="宋体"/>
          <w:bCs/>
          <w:color w:val="000000"/>
          <w:sz w:val="32"/>
          <w:szCs w:val="32"/>
        </w:rPr>
        <w:t>.</w:t>
      </w:r>
      <w:r>
        <w:rPr>
          <w:rFonts w:ascii="仿宋_GB2312" w:hAnsi="宋体" w:hint="eastAsia"/>
          <w:bCs/>
          <w:color w:val="000000"/>
          <w:sz w:val="32"/>
          <w:szCs w:val="32"/>
        </w:rPr>
        <w:t>过程管理规范性有待加强</w:t>
      </w:r>
    </w:p>
    <w:p w:rsidR="00570066" w:rsidRDefault="00805C46">
      <w:pPr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一是业务管理资料留痕有待强化。如，稿件三审仅签字但意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lastRenderedPageBreak/>
        <w:t>见不明确，期刊出入库及与邮局之间的签字确认手续有待完善等。二是资金支出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依据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有待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进一步清晰化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。如，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稿费、图片费采取混发的方式，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未注明稿件等级、图片类别等信息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；劳务费发放缺少签到表、会议纪要等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支撑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依据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；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个别印刷费支付时间早于验收时间等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hAnsi="宋体"/>
          <w:bCs/>
          <w:color w:val="000000"/>
          <w:sz w:val="32"/>
          <w:szCs w:val="32"/>
        </w:rPr>
      </w:pPr>
      <w:r>
        <w:rPr>
          <w:rFonts w:ascii="仿宋_GB2312" w:hAnsi="宋体" w:hint="eastAsia"/>
          <w:bCs/>
          <w:color w:val="000000"/>
          <w:sz w:val="32"/>
          <w:szCs w:val="32"/>
        </w:rPr>
        <w:t>3</w:t>
      </w:r>
      <w:r>
        <w:rPr>
          <w:rFonts w:ascii="仿宋_GB2312" w:hAnsi="宋体"/>
          <w:bCs/>
          <w:color w:val="000000"/>
          <w:sz w:val="32"/>
          <w:szCs w:val="32"/>
        </w:rPr>
        <w:t>.</w:t>
      </w:r>
      <w:r>
        <w:rPr>
          <w:rFonts w:ascii="仿宋_GB2312" w:hAnsi="宋体" w:hint="eastAsia"/>
          <w:bCs/>
          <w:color w:val="000000"/>
          <w:sz w:val="32"/>
          <w:szCs w:val="32"/>
        </w:rPr>
        <w:t>成本效能仍有提升空间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一是成本管控存在提升空间。如，制作印刷合同价款中，常规情况下，计费按“面”不按“版”，调图不单独计费，印刷费中晒版费与上版费不分别计费、工时费应调整为业内常规的“色令数”“色令单价”方式呈现等。二是实施效益总结、呈现有待加强。一方面，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根据文史中心提供的《邮寄统计表》《刊物出库统计表》，每期期刊存在一定量库存，期刊投入使用效能有待提升。另一方面，文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史中心对于项目实施效益的总结、呈现不足，读者满意度调查样本量偏低，不利于项目实施的持续改进与提升。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0"/>
        <w:rPr>
          <w:rFonts w:ascii="黑体" w:eastAsia="黑体"/>
          <w:sz w:val="32"/>
          <w:szCs w:val="32"/>
        </w:rPr>
      </w:pPr>
      <w:bookmarkStart w:id="44" w:name="_Toc166692596"/>
      <w:bookmarkStart w:id="45" w:name="_Toc35588427"/>
      <w:r>
        <w:rPr>
          <w:rFonts w:ascii="黑体" w:eastAsia="黑体" w:hint="eastAsia"/>
          <w:sz w:val="32"/>
          <w:szCs w:val="32"/>
        </w:rPr>
        <w:t>六、有关建议</w:t>
      </w:r>
      <w:bookmarkEnd w:id="44"/>
      <w:bookmarkEnd w:id="45"/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仿宋_GB2312"/>
          <w:iCs/>
          <w:sz w:val="32"/>
          <w:szCs w:val="32"/>
        </w:rPr>
      </w:pPr>
      <w:bookmarkStart w:id="46" w:name="_Toc166692597"/>
      <w:r>
        <w:rPr>
          <w:rFonts w:ascii="楷体_GB2312" w:eastAsia="楷体_GB2312" w:hint="eastAsia"/>
          <w:color w:val="000000"/>
          <w:sz w:val="32"/>
          <w:szCs w:val="32"/>
        </w:rPr>
        <w:t>（一）规范绩效指标设置，提高绩效指标约束作用</w:t>
      </w:r>
      <w:bookmarkEnd w:id="46"/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t>一是完善绩效目标表述。根据立项目的，按照“总任务、总产出、总效益”的逻辑进行凝练，并按“项目立项背景依据、核心任务、支出方向、年度预算安排及往年变动情况、核心投入产出及效益”进行表述。二是以“高度关联、重点突出、量化易评”为原则完善绩效指标设置。参照报纸期刊质量管理有关规定要求，</w:t>
      </w:r>
      <w:r>
        <w:rPr>
          <w:rFonts w:ascii="仿宋_GB2312" w:hAnsi="宋体" w:cs="宋体" w:hint="eastAsia"/>
          <w:color w:val="000000"/>
          <w:kern w:val="0"/>
          <w:sz w:val="32"/>
          <w:szCs w:val="32"/>
        </w:rPr>
        <w:lastRenderedPageBreak/>
        <w:t>结合项目自身管理要求，从文章导向、编校差错率、印装质量等方面补充设置产出质量指标，从稿费、印制费等支出标准角度补充设置成本指标，从用稿率等角度设置量化可考的社会效益指标。避免出现“项目预算控制数”等无效指标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color w:val="000000"/>
          <w:sz w:val="32"/>
          <w:szCs w:val="32"/>
        </w:rPr>
      </w:pPr>
      <w:bookmarkStart w:id="47" w:name="_Toc166692598"/>
      <w:r>
        <w:rPr>
          <w:rFonts w:ascii="楷体_GB2312" w:eastAsia="楷体_GB2312" w:hint="eastAsia"/>
          <w:color w:val="000000"/>
          <w:sz w:val="32"/>
          <w:szCs w:val="32"/>
        </w:rPr>
        <w:t>（二）强化项目过程管理，提高组织管理规范性</w:t>
      </w:r>
      <w:bookmarkEnd w:id="47"/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 w:rsidRPr="00C00B20">
        <w:rPr>
          <w:rFonts w:ascii="仿宋_GB2312" w:hint="eastAsia"/>
          <w:bCs/>
          <w:color w:val="000000"/>
          <w:sz w:val="32"/>
          <w:szCs w:val="32"/>
        </w:rPr>
        <w:t>一是</w:t>
      </w:r>
      <w:r>
        <w:rPr>
          <w:rFonts w:ascii="仿宋_GB2312" w:hint="eastAsia"/>
          <w:color w:val="000000"/>
          <w:sz w:val="32"/>
          <w:szCs w:val="32"/>
        </w:rPr>
        <w:t>加强业务过程管理及资料留痕。对于业务管理制度中要求的工作流程及有关规定，做到步步留痕，稿件三审明确审核意见，期刊出入库、邮寄手续完备。二是资金支付依据进一步细化、清晰化。稿费、图片费支</w:t>
      </w:r>
      <w:bookmarkStart w:id="48" w:name="_GoBack"/>
      <w:bookmarkEnd w:id="48"/>
      <w:r>
        <w:rPr>
          <w:rFonts w:ascii="仿宋_GB2312" w:hint="eastAsia"/>
          <w:color w:val="000000"/>
          <w:sz w:val="32"/>
          <w:szCs w:val="32"/>
        </w:rPr>
        <w:t>付</w:t>
      </w:r>
      <w:r>
        <w:rPr>
          <w:rFonts w:ascii="仿宋_GB2312" w:hint="eastAsia"/>
          <w:color w:val="000000"/>
          <w:sz w:val="32"/>
          <w:szCs w:val="32"/>
        </w:rPr>
        <w:t>注明稿件登记、图片类别；</w:t>
      </w:r>
      <w:r>
        <w:rPr>
          <w:rFonts w:ascii="仿宋_GB2312" w:hint="eastAsia"/>
          <w:color w:val="000000"/>
          <w:sz w:val="32"/>
          <w:szCs w:val="32"/>
        </w:rPr>
        <w:t>劳务费发放对应的工作内容明确，会议签到表、会议纪要等支出依据充分，印刷费</w:t>
      </w:r>
      <w:r>
        <w:rPr>
          <w:rFonts w:ascii="仿宋_GB2312" w:hint="eastAsia"/>
          <w:color w:val="000000"/>
          <w:sz w:val="32"/>
          <w:szCs w:val="32"/>
        </w:rPr>
        <w:t>支付</w:t>
      </w:r>
      <w:r>
        <w:rPr>
          <w:rFonts w:ascii="仿宋_GB2312" w:hint="eastAsia"/>
          <w:color w:val="000000"/>
          <w:sz w:val="32"/>
          <w:szCs w:val="32"/>
        </w:rPr>
        <w:t>严格遵守合同约定</w:t>
      </w:r>
      <w:r>
        <w:rPr>
          <w:rFonts w:ascii="仿宋_GB2312" w:hint="eastAsia"/>
          <w:color w:val="000000"/>
          <w:sz w:val="32"/>
          <w:szCs w:val="32"/>
        </w:rPr>
        <w:t>，</w:t>
      </w:r>
      <w:r>
        <w:rPr>
          <w:rFonts w:ascii="仿宋_GB2312" w:hint="eastAsia"/>
          <w:color w:val="000000"/>
          <w:sz w:val="32"/>
          <w:szCs w:val="32"/>
        </w:rPr>
        <w:t>先验收后付款</w:t>
      </w:r>
      <w:r>
        <w:rPr>
          <w:rFonts w:ascii="仿宋_GB2312" w:hint="eastAsia"/>
          <w:color w:val="000000"/>
          <w:sz w:val="32"/>
          <w:szCs w:val="32"/>
        </w:rPr>
        <w:t>。</w:t>
      </w:r>
    </w:p>
    <w:p w:rsidR="00570066" w:rsidRDefault="00805C46">
      <w:pPr>
        <w:adjustRightInd w:val="0"/>
        <w:snapToGrid w:val="0"/>
        <w:spacing w:line="600" w:lineRule="exact"/>
        <w:ind w:firstLineChars="200" w:firstLine="640"/>
        <w:outlineLvl w:val="1"/>
        <w:rPr>
          <w:rFonts w:ascii="楷体_GB2312" w:eastAsia="楷体_GB2312"/>
          <w:color w:val="000000"/>
          <w:sz w:val="32"/>
          <w:szCs w:val="32"/>
        </w:rPr>
      </w:pPr>
      <w:bookmarkStart w:id="49" w:name="_Toc101462454"/>
      <w:bookmarkStart w:id="50" w:name="_Toc166692599"/>
      <w:r>
        <w:rPr>
          <w:rFonts w:ascii="楷体_GB2312" w:eastAsia="楷体_GB2312" w:hint="eastAsia"/>
          <w:color w:val="000000"/>
          <w:sz w:val="32"/>
          <w:szCs w:val="32"/>
        </w:rPr>
        <w:t>（三）</w:t>
      </w:r>
      <w:bookmarkEnd w:id="49"/>
      <w:r>
        <w:rPr>
          <w:rFonts w:ascii="楷体_GB2312" w:eastAsia="楷体_GB2312" w:hint="eastAsia"/>
          <w:color w:val="000000"/>
          <w:sz w:val="32"/>
          <w:szCs w:val="32"/>
        </w:rPr>
        <w:t>加强成本管控，进一步提升项目实施效能</w:t>
      </w:r>
      <w:bookmarkEnd w:id="50"/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一是加强成本控制，提高项目实施经济性。一方面，做实市场询价，合同价款等有关规定更加符合当前市场规范。</w:t>
      </w:r>
      <w:r>
        <w:rPr>
          <w:rFonts w:ascii="仿宋_GB2312" w:hint="eastAsia"/>
          <w:color w:val="000000"/>
          <w:sz w:val="32"/>
          <w:szCs w:val="32"/>
        </w:rPr>
        <w:t>另一方面，探索期刊电子化。在当前数字化、信息化的大背景下，探索期刊由纸质向电子化转变，在提高经济性的同时，可扩大传播数量、范围及影响力，增加音视频等更为生动、丰富的呈现形式。二是加强实施效益总结分析，提高实施效益性。采取线上线下相结合的方式，多种渠道对读者进行满意度调查，扩大满意度样本量，为后续项目优化与改进提供有力参考。控制期刊库存量在合理范围内，保障资金使用效益得到充分发挥。</w:t>
      </w:r>
    </w:p>
    <w:p w:rsidR="00570066" w:rsidRDefault="00570066">
      <w:pPr>
        <w:adjustRightInd w:val="0"/>
        <w:snapToGrid w:val="0"/>
        <w:spacing w:line="600" w:lineRule="exact"/>
        <w:ind w:firstLineChars="200" w:firstLine="640"/>
        <w:rPr>
          <w:rFonts w:ascii="仿宋_GB2312" w:hAnsi="仿宋" w:cs="仿宋_GB2312"/>
          <w:sz w:val="32"/>
          <w:szCs w:val="32"/>
        </w:rPr>
      </w:pPr>
    </w:p>
    <w:p w:rsidR="00570066" w:rsidRDefault="00805C46">
      <w:pPr>
        <w:adjustRightInd w:val="0"/>
        <w:snapToGrid w:val="0"/>
        <w:spacing w:line="60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附件：评分表</w:t>
      </w:r>
    </w:p>
    <w:sectPr w:rsidR="00570066">
      <w:headerReference w:type="default" r:id="rId9"/>
      <w:footerReference w:type="default" r:id="rId10"/>
      <w:pgSz w:w="11906" w:h="16838"/>
      <w:pgMar w:top="2098" w:right="1531" w:bottom="1985" w:left="153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C46" w:rsidRDefault="00805C46">
      <w:r>
        <w:separator/>
      </w:r>
    </w:p>
  </w:endnote>
  <w:endnote w:type="continuationSeparator" w:id="0">
    <w:p w:rsidR="00805C46" w:rsidRDefault="00805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default"/>
    <w:sig w:usb0="E00006FF" w:usb1="420024FF" w:usb2="02000000" w:usb3="00000000" w:csb0="2000019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default"/>
    <w:sig w:usb0="800002BF" w:usb1="38CF7CFA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066" w:rsidRDefault="00570066">
    <w:pPr>
      <w:pStyle w:val="a9"/>
      <w:jc w:val="center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066" w:rsidRDefault="00805C46">
    <w:pPr>
      <w:pStyle w:val="a9"/>
      <w:ind w:firstLine="480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C00B20">
      <w:rPr>
        <w:rFonts w:ascii="宋体" w:hAnsi="宋体"/>
        <w:noProof/>
        <w:sz w:val="28"/>
        <w:szCs w:val="28"/>
      </w:rPr>
      <w:t>12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C46" w:rsidRDefault="00805C46">
      <w:r>
        <w:separator/>
      </w:r>
    </w:p>
  </w:footnote>
  <w:footnote w:type="continuationSeparator" w:id="0">
    <w:p w:rsidR="00805C46" w:rsidRDefault="00805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066" w:rsidRDefault="00570066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C5567"/>
    <w:multiLevelType w:val="multilevel"/>
    <w:tmpl w:val="260C5567"/>
    <w:lvl w:ilvl="0">
      <w:start w:val="1"/>
      <w:numFmt w:val="decimal"/>
      <w:pStyle w:val="CharCharCharChar"/>
      <w:lvlText w:val="（%1）"/>
      <w:lvlJc w:val="left"/>
      <w:pPr>
        <w:tabs>
          <w:tab w:val="left" w:pos="3750"/>
        </w:tabs>
        <w:ind w:left="3750" w:hanging="225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2340"/>
        </w:tabs>
        <w:ind w:left="2340" w:hanging="420"/>
      </w:pPr>
    </w:lvl>
    <w:lvl w:ilvl="2">
      <w:start w:val="1"/>
      <w:numFmt w:val="lowerRoman"/>
      <w:lvlText w:val="%3."/>
      <w:lvlJc w:val="right"/>
      <w:pPr>
        <w:tabs>
          <w:tab w:val="left" w:pos="2760"/>
        </w:tabs>
        <w:ind w:left="2760" w:hanging="420"/>
      </w:pPr>
    </w:lvl>
    <w:lvl w:ilvl="3">
      <w:start w:val="1"/>
      <w:numFmt w:val="decimal"/>
      <w:lvlText w:val="%4."/>
      <w:lvlJc w:val="left"/>
      <w:pPr>
        <w:tabs>
          <w:tab w:val="left" w:pos="3180"/>
        </w:tabs>
        <w:ind w:left="3180" w:hanging="420"/>
      </w:pPr>
    </w:lvl>
    <w:lvl w:ilvl="4">
      <w:start w:val="1"/>
      <w:numFmt w:val="lowerLetter"/>
      <w:lvlText w:val="%5)"/>
      <w:lvlJc w:val="left"/>
      <w:pPr>
        <w:tabs>
          <w:tab w:val="left" w:pos="3600"/>
        </w:tabs>
        <w:ind w:left="3600" w:hanging="420"/>
      </w:pPr>
    </w:lvl>
    <w:lvl w:ilvl="5">
      <w:start w:val="1"/>
      <w:numFmt w:val="lowerRoman"/>
      <w:lvlText w:val="%6."/>
      <w:lvlJc w:val="right"/>
      <w:pPr>
        <w:tabs>
          <w:tab w:val="left" w:pos="4020"/>
        </w:tabs>
        <w:ind w:left="4020" w:hanging="420"/>
      </w:pPr>
    </w:lvl>
    <w:lvl w:ilvl="6">
      <w:start w:val="1"/>
      <w:numFmt w:val="decimal"/>
      <w:lvlText w:val="%7."/>
      <w:lvlJc w:val="left"/>
      <w:pPr>
        <w:tabs>
          <w:tab w:val="left" w:pos="4440"/>
        </w:tabs>
        <w:ind w:left="4440" w:hanging="420"/>
      </w:pPr>
    </w:lvl>
    <w:lvl w:ilvl="7">
      <w:start w:val="1"/>
      <w:numFmt w:val="lowerLetter"/>
      <w:lvlText w:val="%8)"/>
      <w:lvlJc w:val="left"/>
      <w:pPr>
        <w:tabs>
          <w:tab w:val="left" w:pos="4860"/>
        </w:tabs>
        <w:ind w:left="4860" w:hanging="420"/>
      </w:pPr>
    </w:lvl>
    <w:lvl w:ilvl="8">
      <w:start w:val="1"/>
      <w:numFmt w:val="lowerRoman"/>
      <w:lvlText w:val="%9."/>
      <w:lvlJc w:val="right"/>
      <w:pPr>
        <w:tabs>
          <w:tab w:val="left" w:pos="5280"/>
        </w:tabs>
        <w:ind w:left="5280" w:hanging="420"/>
      </w:pPr>
    </w:lvl>
  </w:abstractNum>
  <w:abstractNum w:abstractNumId="1" w15:restartNumberingAfterBreak="0">
    <w:nsid w:val="5A7E4ED1"/>
    <w:multiLevelType w:val="multilevel"/>
    <w:tmpl w:val="5A7E4ED1"/>
    <w:lvl w:ilvl="0">
      <w:start w:val="1"/>
      <w:numFmt w:val="bullet"/>
      <w:pStyle w:val="a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OGRmYmExOWM0ZTI4ZjQxNmUwOGE0Yjk2ODVlYmYifQ=="/>
  </w:docVars>
  <w:rsids>
    <w:rsidRoot w:val="00F57F82"/>
    <w:rsid w:val="0000081C"/>
    <w:rsid w:val="0000098C"/>
    <w:rsid w:val="00001685"/>
    <w:rsid w:val="00001D0F"/>
    <w:rsid w:val="00002C5A"/>
    <w:rsid w:val="00002CC0"/>
    <w:rsid w:val="00003574"/>
    <w:rsid w:val="00005B90"/>
    <w:rsid w:val="00006622"/>
    <w:rsid w:val="00006FEC"/>
    <w:rsid w:val="000072FC"/>
    <w:rsid w:val="000101E1"/>
    <w:rsid w:val="00011E6D"/>
    <w:rsid w:val="00011EB2"/>
    <w:rsid w:val="00013124"/>
    <w:rsid w:val="0001370A"/>
    <w:rsid w:val="00013F58"/>
    <w:rsid w:val="0001492F"/>
    <w:rsid w:val="00016D27"/>
    <w:rsid w:val="00021ED0"/>
    <w:rsid w:val="000235C9"/>
    <w:rsid w:val="00023F0A"/>
    <w:rsid w:val="000242B0"/>
    <w:rsid w:val="00024F81"/>
    <w:rsid w:val="0002730A"/>
    <w:rsid w:val="00027C84"/>
    <w:rsid w:val="00030FB0"/>
    <w:rsid w:val="00035EDA"/>
    <w:rsid w:val="00037010"/>
    <w:rsid w:val="00042B8E"/>
    <w:rsid w:val="00044F2F"/>
    <w:rsid w:val="0004726C"/>
    <w:rsid w:val="000517CE"/>
    <w:rsid w:val="000519CA"/>
    <w:rsid w:val="00055DFF"/>
    <w:rsid w:val="00056A8B"/>
    <w:rsid w:val="00057691"/>
    <w:rsid w:val="00057C7D"/>
    <w:rsid w:val="00062E1B"/>
    <w:rsid w:val="00064B02"/>
    <w:rsid w:val="00065850"/>
    <w:rsid w:val="0007065B"/>
    <w:rsid w:val="00071CE6"/>
    <w:rsid w:val="000723DA"/>
    <w:rsid w:val="00073156"/>
    <w:rsid w:val="00073421"/>
    <w:rsid w:val="0007527B"/>
    <w:rsid w:val="00076B9D"/>
    <w:rsid w:val="000808E8"/>
    <w:rsid w:val="00081DF0"/>
    <w:rsid w:val="000821DD"/>
    <w:rsid w:val="000822D8"/>
    <w:rsid w:val="00082839"/>
    <w:rsid w:val="000852F0"/>
    <w:rsid w:val="00085EDC"/>
    <w:rsid w:val="00086A59"/>
    <w:rsid w:val="0008763A"/>
    <w:rsid w:val="000905C5"/>
    <w:rsid w:val="0009145A"/>
    <w:rsid w:val="000918E8"/>
    <w:rsid w:val="00091D75"/>
    <w:rsid w:val="00092357"/>
    <w:rsid w:val="00093CCE"/>
    <w:rsid w:val="00095DF3"/>
    <w:rsid w:val="000971A3"/>
    <w:rsid w:val="00097B95"/>
    <w:rsid w:val="000A1138"/>
    <w:rsid w:val="000A19CD"/>
    <w:rsid w:val="000A1EFB"/>
    <w:rsid w:val="000A53A1"/>
    <w:rsid w:val="000A6177"/>
    <w:rsid w:val="000A7EA9"/>
    <w:rsid w:val="000B0673"/>
    <w:rsid w:val="000B1179"/>
    <w:rsid w:val="000B1B2D"/>
    <w:rsid w:val="000B1D16"/>
    <w:rsid w:val="000B1E3F"/>
    <w:rsid w:val="000B1E65"/>
    <w:rsid w:val="000B2E20"/>
    <w:rsid w:val="000B3751"/>
    <w:rsid w:val="000B424C"/>
    <w:rsid w:val="000B45D0"/>
    <w:rsid w:val="000B7F12"/>
    <w:rsid w:val="000C1A70"/>
    <w:rsid w:val="000C21BD"/>
    <w:rsid w:val="000C276F"/>
    <w:rsid w:val="000C2824"/>
    <w:rsid w:val="000C2882"/>
    <w:rsid w:val="000C3C52"/>
    <w:rsid w:val="000C6102"/>
    <w:rsid w:val="000C7F6C"/>
    <w:rsid w:val="000D05ED"/>
    <w:rsid w:val="000D0AFB"/>
    <w:rsid w:val="000D0F03"/>
    <w:rsid w:val="000D24DE"/>
    <w:rsid w:val="000D3C4F"/>
    <w:rsid w:val="000D4313"/>
    <w:rsid w:val="000D54C0"/>
    <w:rsid w:val="000E0CCC"/>
    <w:rsid w:val="000E0D61"/>
    <w:rsid w:val="000E2098"/>
    <w:rsid w:val="000E210A"/>
    <w:rsid w:val="000E2FED"/>
    <w:rsid w:val="000E4787"/>
    <w:rsid w:val="000E638C"/>
    <w:rsid w:val="000F12F8"/>
    <w:rsid w:val="000F1CFA"/>
    <w:rsid w:val="000F1EE7"/>
    <w:rsid w:val="000F289D"/>
    <w:rsid w:val="000F585B"/>
    <w:rsid w:val="000F6975"/>
    <w:rsid w:val="001002B5"/>
    <w:rsid w:val="00100349"/>
    <w:rsid w:val="001003B7"/>
    <w:rsid w:val="00100979"/>
    <w:rsid w:val="00102429"/>
    <w:rsid w:val="0010259D"/>
    <w:rsid w:val="00102A23"/>
    <w:rsid w:val="00102CAC"/>
    <w:rsid w:val="00104634"/>
    <w:rsid w:val="001047E0"/>
    <w:rsid w:val="00104836"/>
    <w:rsid w:val="00104EBF"/>
    <w:rsid w:val="00111C5D"/>
    <w:rsid w:val="001122C9"/>
    <w:rsid w:val="00113A3E"/>
    <w:rsid w:val="00115148"/>
    <w:rsid w:val="00115220"/>
    <w:rsid w:val="00115CF4"/>
    <w:rsid w:val="0011618B"/>
    <w:rsid w:val="0011748C"/>
    <w:rsid w:val="001201FE"/>
    <w:rsid w:val="00120EB3"/>
    <w:rsid w:val="00120FE9"/>
    <w:rsid w:val="001236DB"/>
    <w:rsid w:val="00123E26"/>
    <w:rsid w:val="00124090"/>
    <w:rsid w:val="00125CAF"/>
    <w:rsid w:val="00126129"/>
    <w:rsid w:val="00126A7B"/>
    <w:rsid w:val="00131A76"/>
    <w:rsid w:val="001354FF"/>
    <w:rsid w:val="001361AF"/>
    <w:rsid w:val="001363F1"/>
    <w:rsid w:val="001379EA"/>
    <w:rsid w:val="00141726"/>
    <w:rsid w:val="0014283E"/>
    <w:rsid w:val="00144411"/>
    <w:rsid w:val="00145FDE"/>
    <w:rsid w:val="0014617D"/>
    <w:rsid w:val="0014692E"/>
    <w:rsid w:val="00147809"/>
    <w:rsid w:val="00151066"/>
    <w:rsid w:val="00151F99"/>
    <w:rsid w:val="001527C4"/>
    <w:rsid w:val="0015345B"/>
    <w:rsid w:val="00153C2F"/>
    <w:rsid w:val="00154F8C"/>
    <w:rsid w:val="0015642C"/>
    <w:rsid w:val="00160B5D"/>
    <w:rsid w:val="00160E57"/>
    <w:rsid w:val="00162694"/>
    <w:rsid w:val="00164992"/>
    <w:rsid w:val="00165A62"/>
    <w:rsid w:val="001667CE"/>
    <w:rsid w:val="00171C50"/>
    <w:rsid w:val="00172BBC"/>
    <w:rsid w:val="0017377A"/>
    <w:rsid w:val="0017500A"/>
    <w:rsid w:val="0017546F"/>
    <w:rsid w:val="00176617"/>
    <w:rsid w:val="00176961"/>
    <w:rsid w:val="001801DC"/>
    <w:rsid w:val="00182A2C"/>
    <w:rsid w:val="00182DE9"/>
    <w:rsid w:val="0018352F"/>
    <w:rsid w:val="00185007"/>
    <w:rsid w:val="001878CD"/>
    <w:rsid w:val="00187A36"/>
    <w:rsid w:val="001901A1"/>
    <w:rsid w:val="00191052"/>
    <w:rsid w:val="00191F48"/>
    <w:rsid w:val="00192276"/>
    <w:rsid w:val="0019254C"/>
    <w:rsid w:val="00194BD7"/>
    <w:rsid w:val="00194D64"/>
    <w:rsid w:val="00196157"/>
    <w:rsid w:val="0019653A"/>
    <w:rsid w:val="001966BB"/>
    <w:rsid w:val="00196AD7"/>
    <w:rsid w:val="001A0223"/>
    <w:rsid w:val="001A22A0"/>
    <w:rsid w:val="001A26E7"/>
    <w:rsid w:val="001A42EB"/>
    <w:rsid w:val="001A537A"/>
    <w:rsid w:val="001A7752"/>
    <w:rsid w:val="001B555C"/>
    <w:rsid w:val="001B74A9"/>
    <w:rsid w:val="001C0B2C"/>
    <w:rsid w:val="001C2862"/>
    <w:rsid w:val="001C68F8"/>
    <w:rsid w:val="001C71C5"/>
    <w:rsid w:val="001D068A"/>
    <w:rsid w:val="001D103F"/>
    <w:rsid w:val="001D10A7"/>
    <w:rsid w:val="001D4FED"/>
    <w:rsid w:val="001D601D"/>
    <w:rsid w:val="001D7061"/>
    <w:rsid w:val="001E37AB"/>
    <w:rsid w:val="001E4396"/>
    <w:rsid w:val="001E5E51"/>
    <w:rsid w:val="001E67D3"/>
    <w:rsid w:val="001E7C50"/>
    <w:rsid w:val="001F1A35"/>
    <w:rsid w:val="001F356B"/>
    <w:rsid w:val="002007D8"/>
    <w:rsid w:val="00202702"/>
    <w:rsid w:val="0020286F"/>
    <w:rsid w:val="00206518"/>
    <w:rsid w:val="0020739A"/>
    <w:rsid w:val="0021003B"/>
    <w:rsid w:val="00210055"/>
    <w:rsid w:val="00210A15"/>
    <w:rsid w:val="002124C1"/>
    <w:rsid w:val="00212606"/>
    <w:rsid w:val="00212636"/>
    <w:rsid w:val="00213B08"/>
    <w:rsid w:val="00215532"/>
    <w:rsid w:val="00215A30"/>
    <w:rsid w:val="00223625"/>
    <w:rsid w:val="0022412D"/>
    <w:rsid w:val="00225C76"/>
    <w:rsid w:val="002278FD"/>
    <w:rsid w:val="002300D0"/>
    <w:rsid w:val="00230FA6"/>
    <w:rsid w:val="002319E8"/>
    <w:rsid w:val="002323CE"/>
    <w:rsid w:val="002328B0"/>
    <w:rsid w:val="00233995"/>
    <w:rsid w:val="00233E4B"/>
    <w:rsid w:val="00234413"/>
    <w:rsid w:val="0023522F"/>
    <w:rsid w:val="002366F0"/>
    <w:rsid w:val="0024045D"/>
    <w:rsid w:val="002405A2"/>
    <w:rsid w:val="00245143"/>
    <w:rsid w:val="00247B0F"/>
    <w:rsid w:val="0025066C"/>
    <w:rsid w:val="0025226A"/>
    <w:rsid w:val="00252D25"/>
    <w:rsid w:val="0025370D"/>
    <w:rsid w:val="00254270"/>
    <w:rsid w:val="00254E45"/>
    <w:rsid w:val="00256E14"/>
    <w:rsid w:val="0026014C"/>
    <w:rsid w:val="00260C7B"/>
    <w:rsid w:val="00260E5C"/>
    <w:rsid w:val="00262D13"/>
    <w:rsid w:val="002700B9"/>
    <w:rsid w:val="00270A0A"/>
    <w:rsid w:val="002722E4"/>
    <w:rsid w:val="00273432"/>
    <w:rsid w:val="002756A8"/>
    <w:rsid w:val="00275B67"/>
    <w:rsid w:val="0027670C"/>
    <w:rsid w:val="00276E28"/>
    <w:rsid w:val="00280015"/>
    <w:rsid w:val="002805AE"/>
    <w:rsid w:val="00280A74"/>
    <w:rsid w:val="00281550"/>
    <w:rsid w:val="00282E8F"/>
    <w:rsid w:val="00285A07"/>
    <w:rsid w:val="0029035B"/>
    <w:rsid w:val="00293139"/>
    <w:rsid w:val="00294C3D"/>
    <w:rsid w:val="002951BE"/>
    <w:rsid w:val="002970CA"/>
    <w:rsid w:val="00297718"/>
    <w:rsid w:val="0029796B"/>
    <w:rsid w:val="00297F00"/>
    <w:rsid w:val="002A0B7A"/>
    <w:rsid w:val="002A2328"/>
    <w:rsid w:val="002A2657"/>
    <w:rsid w:val="002A3048"/>
    <w:rsid w:val="002A6240"/>
    <w:rsid w:val="002A6353"/>
    <w:rsid w:val="002B68C4"/>
    <w:rsid w:val="002B7DB2"/>
    <w:rsid w:val="002C0D11"/>
    <w:rsid w:val="002C6220"/>
    <w:rsid w:val="002C687E"/>
    <w:rsid w:val="002C7186"/>
    <w:rsid w:val="002C7583"/>
    <w:rsid w:val="002D2500"/>
    <w:rsid w:val="002D26C2"/>
    <w:rsid w:val="002E25B2"/>
    <w:rsid w:val="002E2E8D"/>
    <w:rsid w:val="002E36DD"/>
    <w:rsid w:val="002F179F"/>
    <w:rsid w:val="002F43ED"/>
    <w:rsid w:val="002F440A"/>
    <w:rsid w:val="002F5374"/>
    <w:rsid w:val="002F6464"/>
    <w:rsid w:val="002F7072"/>
    <w:rsid w:val="00301F4D"/>
    <w:rsid w:val="00302DA8"/>
    <w:rsid w:val="003032D4"/>
    <w:rsid w:val="00305057"/>
    <w:rsid w:val="00305808"/>
    <w:rsid w:val="00307AF9"/>
    <w:rsid w:val="00312391"/>
    <w:rsid w:val="00312C8A"/>
    <w:rsid w:val="003141F6"/>
    <w:rsid w:val="00314833"/>
    <w:rsid w:val="00314FE6"/>
    <w:rsid w:val="00315443"/>
    <w:rsid w:val="003161FC"/>
    <w:rsid w:val="00322514"/>
    <w:rsid w:val="00323127"/>
    <w:rsid w:val="0032389D"/>
    <w:rsid w:val="00324058"/>
    <w:rsid w:val="003240C7"/>
    <w:rsid w:val="00324F87"/>
    <w:rsid w:val="00325F64"/>
    <w:rsid w:val="00326463"/>
    <w:rsid w:val="0032654F"/>
    <w:rsid w:val="00326FEC"/>
    <w:rsid w:val="003314A2"/>
    <w:rsid w:val="003320C3"/>
    <w:rsid w:val="00332D8F"/>
    <w:rsid w:val="003361F4"/>
    <w:rsid w:val="00336A93"/>
    <w:rsid w:val="003413E0"/>
    <w:rsid w:val="00342D15"/>
    <w:rsid w:val="00346EAC"/>
    <w:rsid w:val="00354130"/>
    <w:rsid w:val="003619FE"/>
    <w:rsid w:val="00362308"/>
    <w:rsid w:val="003624E3"/>
    <w:rsid w:val="0036610F"/>
    <w:rsid w:val="00367DD2"/>
    <w:rsid w:val="00370CDD"/>
    <w:rsid w:val="00376DF5"/>
    <w:rsid w:val="003779D1"/>
    <w:rsid w:val="00381E7B"/>
    <w:rsid w:val="003822EB"/>
    <w:rsid w:val="00386FCA"/>
    <w:rsid w:val="0039088B"/>
    <w:rsid w:val="0039185B"/>
    <w:rsid w:val="0039321A"/>
    <w:rsid w:val="0039368D"/>
    <w:rsid w:val="00393BAB"/>
    <w:rsid w:val="003942A7"/>
    <w:rsid w:val="0039518E"/>
    <w:rsid w:val="0039551F"/>
    <w:rsid w:val="0039560B"/>
    <w:rsid w:val="00395807"/>
    <w:rsid w:val="00395C83"/>
    <w:rsid w:val="003972CC"/>
    <w:rsid w:val="003A319C"/>
    <w:rsid w:val="003A3699"/>
    <w:rsid w:val="003A5778"/>
    <w:rsid w:val="003A5AE0"/>
    <w:rsid w:val="003A5D89"/>
    <w:rsid w:val="003A603E"/>
    <w:rsid w:val="003A7540"/>
    <w:rsid w:val="003A7B16"/>
    <w:rsid w:val="003B18BF"/>
    <w:rsid w:val="003B2E3C"/>
    <w:rsid w:val="003B3270"/>
    <w:rsid w:val="003B32BD"/>
    <w:rsid w:val="003B3A56"/>
    <w:rsid w:val="003B467D"/>
    <w:rsid w:val="003C154B"/>
    <w:rsid w:val="003C1A4F"/>
    <w:rsid w:val="003C2410"/>
    <w:rsid w:val="003C24C6"/>
    <w:rsid w:val="003C278B"/>
    <w:rsid w:val="003C27EC"/>
    <w:rsid w:val="003C284C"/>
    <w:rsid w:val="003C2A79"/>
    <w:rsid w:val="003C38CE"/>
    <w:rsid w:val="003C38DA"/>
    <w:rsid w:val="003D0203"/>
    <w:rsid w:val="003D0B3A"/>
    <w:rsid w:val="003D0EA5"/>
    <w:rsid w:val="003D1A2C"/>
    <w:rsid w:val="003D485B"/>
    <w:rsid w:val="003E0464"/>
    <w:rsid w:val="003E1822"/>
    <w:rsid w:val="003E1963"/>
    <w:rsid w:val="003E27F1"/>
    <w:rsid w:val="003E40D5"/>
    <w:rsid w:val="003E4CCA"/>
    <w:rsid w:val="003E7DFD"/>
    <w:rsid w:val="003F1877"/>
    <w:rsid w:val="003F2D95"/>
    <w:rsid w:val="003F3565"/>
    <w:rsid w:val="003F6358"/>
    <w:rsid w:val="004025E6"/>
    <w:rsid w:val="00403345"/>
    <w:rsid w:val="0040412B"/>
    <w:rsid w:val="004050E0"/>
    <w:rsid w:val="00405AB1"/>
    <w:rsid w:val="0041097F"/>
    <w:rsid w:val="004115F0"/>
    <w:rsid w:val="004127E7"/>
    <w:rsid w:val="004147ED"/>
    <w:rsid w:val="004153C9"/>
    <w:rsid w:val="004153E1"/>
    <w:rsid w:val="00415E86"/>
    <w:rsid w:val="0041789F"/>
    <w:rsid w:val="00417AB1"/>
    <w:rsid w:val="00417FC8"/>
    <w:rsid w:val="0042020B"/>
    <w:rsid w:val="00423EE3"/>
    <w:rsid w:val="004250E6"/>
    <w:rsid w:val="00426359"/>
    <w:rsid w:val="00427006"/>
    <w:rsid w:val="004275D7"/>
    <w:rsid w:val="004327A7"/>
    <w:rsid w:val="00433D3A"/>
    <w:rsid w:val="00433FB4"/>
    <w:rsid w:val="00435AA5"/>
    <w:rsid w:val="0043745A"/>
    <w:rsid w:val="004410A6"/>
    <w:rsid w:val="00442274"/>
    <w:rsid w:val="0044321D"/>
    <w:rsid w:val="00445ACC"/>
    <w:rsid w:val="004461AC"/>
    <w:rsid w:val="0044692D"/>
    <w:rsid w:val="00446AE3"/>
    <w:rsid w:val="004523CE"/>
    <w:rsid w:val="00454812"/>
    <w:rsid w:val="00456994"/>
    <w:rsid w:val="00457BD5"/>
    <w:rsid w:val="00462F4C"/>
    <w:rsid w:val="004637D3"/>
    <w:rsid w:val="0046436D"/>
    <w:rsid w:val="00467DE7"/>
    <w:rsid w:val="00471ECD"/>
    <w:rsid w:val="00473BB1"/>
    <w:rsid w:val="00476E87"/>
    <w:rsid w:val="0047727F"/>
    <w:rsid w:val="004814E9"/>
    <w:rsid w:val="00483D18"/>
    <w:rsid w:val="004847F4"/>
    <w:rsid w:val="00485D6D"/>
    <w:rsid w:val="004879FC"/>
    <w:rsid w:val="0049201C"/>
    <w:rsid w:val="00494FBD"/>
    <w:rsid w:val="004A0F37"/>
    <w:rsid w:val="004A19D7"/>
    <w:rsid w:val="004A1ABC"/>
    <w:rsid w:val="004A45B0"/>
    <w:rsid w:val="004A4DFD"/>
    <w:rsid w:val="004A5F12"/>
    <w:rsid w:val="004B1586"/>
    <w:rsid w:val="004B25B7"/>
    <w:rsid w:val="004B2A84"/>
    <w:rsid w:val="004B2EE9"/>
    <w:rsid w:val="004B4FBA"/>
    <w:rsid w:val="004B6E95"/>
    <w:rsid w:val="004B71E6"/>
    <w:rsid w:val="004C0072"/>
    <w:rsid w:val="004C0A81"/>
    <w:rsid w:val="004C115E"/>
    <w:rsid w:val="004C1242"/>
    <w:rsid w:val="004C340D"/>
    <w:rsid w:val="004C3790"/>
    <w:rsid w:val="004C6980"/>
    <w:rsid w:val="004C6CD6"/>
    <w:rsid w:val="004D0648"/>
    <w:rsid w:val="004D231A"/>
    <w:rsid w:val="004D36F9"/>
    <w:rsid w:val="004D3D46"/>
    <w:rsid w:val="004D3E4A"/>
    <w:rsid w:val="004D5C80"/>
    <w:rsid w:val="004D6784"/>
    <w:rsid w:val="004D6801"/>
    <w:rsid w:val="004D7D2B"/>
    <w:rsid w:val="004E17B8"/>
    <w:rsid w:val="004E30BD"/>
    <w:rsid w:val="004E3F5F"/>
    <w:rsid w:val="004E420C"/>
    <w:rsid w:val="004E4935"/>
    <w:rsid w:val="004F1770"/>
    <w:rsid w:val="004F3E80"/>
    <w:rsid w:val="004F460B"/>
    <w:rsid w:val="004F7940"/>
    <w:rsid w:val="00500623"/>
    <w:rsid w:val="00501CB8"/>
    <w:rsid w:val="00507443"/>
    <w:rsid w:val="00507649"/>
    <w:rsid w:val="005079E5"/>
    <w:rsid w:val="00511412"/>
    <w:rsid w:val="00516DFE"/>
    <w:rsid w:val="00517A6A"/>
    <w:rsid w:val="00523F84"/>
    <w:rsid w:val="00527039"/>
    <w:rsid w:val="005316E7"/>
    <w:rsid w:val="005325B6"/>
    <w:rsid w:val="00532AE6"/>
    <w:rsid w:val="00532C1C"/>
    <w:rsid w:val="00534AE6"/>
    <w:rsid w:val="00535039"/>
    <w:rsid w:val="0053541C"/>
    <w:rsid w:val="00535D21"/>
    <w:rsid w:val="005362B5"/>
    <w:rsid w:val="00536628"/>
    <w:rsid w:val="005413C8"/>
    <w:rsid w:val="00541490"/>
    <w:rsid w:val="00542540"/>
    <w:rsid w:val="005442F0"/>
    <w:rsid w:val="00545D99"/>
    <w:rsid w:val="00546EA5"/>
    <w:rsid w:val="005473ED"/>
    <w:rsid w:val="00547526"/>
    <w:rsid w:val="00547A85"/>
    <w:rsid w:val="00547D2B"/>
    <w:rsid w:val="00547E73"/>
    <w:rsid w:val="00547EFF"/>
    <w:rsid w:val="005517BF"/>
    <w:rsid w:val="005524D3"/>
    <w:rsid w:val="0055339F"/>
    <w:rsid w:val="005535AE"/>
    <w:rsid w:val="005536DD"/>
    <w:rsid w:val="005556E5"/>
    <w:rsid w:val="005563B0"/>
    <w:rsid w:val="0055688C"/>
    <w:rsid w:val="00556A91"/>
    <w:rsid w:val="00560219"/>
    <w:rsid w:val="005618A2"/>
    <w:rsid w:val="005621C9"/>
    <w:rsid w:val="005625B6"/>
    <w:rsid w:val="0056339F"/>
    <w:rsid w:val="00566905"/>
    <w:rsid w:val="005670F4"/>
    <w:rsid w:val="005676C6"/>
    <w:rsid w:val="00567D36"/>
    <w:rsid w:val="00570066"/>
    <w:rsid w:val="00570FE6"/>
    <w:rsid w:val="005710FF"/>
    <w:rsid w:val="005737E2"/>
    <w:rsid w:val="00573BC3"/>
    <w:rsid w:val="005744DE"/>
    <w:rsid w:val="005824FB"/>
    <w:rsid w:val="00582932"/>
    <w:rsid w:val="005858E9"/>
    <w:rsid w:val="00591A62"/>
    <w:rsid w:val="00591DAE"/>
    <w:rsid w:val="0059257A"/>
    <w:rsid w:val="00593906"/>
    <w:rsid w:val="00594021"/>
    <w:rsid w:val="005950D4"/>
    <w:rsid w:val="005958BB"/>
    <w:rsid w:val="005967CB"/>
    <w:rsid w:val="0059795A"/>
    <w:rsid w:val="00597D39"/>
    <w:rsid w:val="005A1C2D"/>
    <w:rsid w:val="005A44E1"/>
    <w:rsid w:val="005A4AA0"/>
    <w:rsid w:val="005A51D8"/>
    <w:rsid w:val="005A63E0"/>
    <w:rsid w:val="005B2C1A"/>
    <w:rsid w:val="005B3574"/>
    <w:rsid w:val="005B4180"/>
    <w:rsid w:val="005B44FC"/>
    <w:rsid w:val="005B4DEA"/>
    <w:rsid w:val="005B4DF7"/>
    <w:rsid w:val="005B573B"/>
    <w:rsid w:val="005B5A88"/>
    <w:rsid w:val="005B5D86"/>
    <w:rsid w:val="005B5F22"/>
    <w:rsid w:val="005C2489"/>
    <w:rsid w:val="005C2622"/>
    <w:rsid w:val="005C2EA1"/>
    <w:rsid w:val="005C3A40"/>
    <w:rsid w:val="005C3D79"/>
    <w:rsid w:val="005C51EC"/>
    <w:rsid w:val="005C5256"/>
    <w:rsid w:val="005C7381"/>
    <w:rsid w:val="005C7D97"/>
    <w:rsid w:val="005D03EC"/>
    <w:rsid w:val="005D0419"/>
    <w:rsid w:val="005D160B"/>
    <w:rsid w:val="005D4537"/>
    <w:rsid w:val="005D45BF"/>
    <w:rsid w:val="005D59D7"/>
    <w:rsid w:val="005D5F3D"/>
    <w:rsid w:val="005E33C2"/>
    <w:rsid w:val="005E5D5F"/>
    <w:rsid w:val="005E7717"/>
    <w:rsid w:val="005F0007"/>
    <w:rsid w:val="005F3BD3"/>
    <w:rsid w:val="005F571C"/>
    <w:rsid w:val="005F6F5F"/>
    <w:rsid w:val="005F6F8F"/>
    <w:rsid w:val="00604BA7"/>
    <w:rsid w:val="00605316"/>
    <w:rsid w:val="0060577D"/>
    <w:rsid w:val="00605B89"/>
    <w:rsid w:val="00605DCC"/>
    <w:rsid w:val="00607DD9"/>
    <w:rsid w:val="006100BE"/>
    <w:rsid w:val="00611499"/>
    <w:rsid w:val="006134C2"/>
    <w:rsid w:val="00615411"/>
    <w:rsid w:val="0062019F"/>
    <w:rsid w:val="0062044F"/>
    <w:rsid w:val="00621059"/>
    <w:rsid w:val="00621BBB"/>
    <w:rsid w:val="00621BF0"/>
    <w:rsid w:val="006239E4"/>
    <w:rsid w:val="00623D1E"/>
    <w:rsid w:val="00625C47"/>
    <w:rsid w:val="00625EC0"/>
    <w:rsid w:val="00626374"/>
    <w:rsid w:val="00627298"/>
    <w:rsid w:val="00627456"/>
    <w:rsid w:val="00627B91"/>
    <w:rsid w:val="00627FD5"/>
    <w:rsid w:val="006314DF"/>
    <w:rsid w:val="00632F49"/>
    <w:rsid w:val="00633BD1"/>
    <w:rsid w:val="00634EE1"/>
    <w:rsid w:val="00635CCC"/>
    <w:rsid w:val="006376BC"/>
    <w:rsid w:val="00640656"/>
    <w:rsid w:val="00644B1E"/>
    <w:rsid w:val="006475F8"/>
    <w:rsid w:val="00651918"/>
    <w:rsid w:val="00651B70"/>
    <w:rsid w:val="00651E1E"/>
    <w:rsid w:val="006523B1"/>
    <w:rsid w:val="00660A41"/>
    <w:rsid w:val="00661E86"/>
    <w:rsid w:val="006623DA"/>
    <w:rsid w:val="0066273E"/>
    <w:rsid w:val="0066312F"/>
    <w:rsid w:val="00664B3A"/>
    <w:rsid w:val="00664D90"/>
    <w:rsid w:val="006650DF"/>
    <w:rsid w:val="00670FF5"/>
    <w:rsid w:val="00671A6B"/>
    <w:rsid w:val="00675E49"/>
    <w:rsid w:val="00677019"/>
    <w:rsid w:val="00680AF8"/>
    <w:rsid w:val="0068146D"/>
    <w:rsid w:val="00682E5F"/>
    <w:rsid w:val="00683413"/>
    <w:rsid w:val="00684249"/>
    <w:rsid w:val="00684C08"/>
    <w:rsid w:val="00686F8B"/>
    <w:rsid w:val="00690478"/>
    <w:rsid w:val="00690C66"/>
    <w:rsid w:val="00691898"/>
    <w:rsid w:val="00692138"/>
    <w:rsid w:val="006924E2"/>
    <w:rsid w:val="00692AB1"/>
    <w:rsid w:val="00694834"/>
    <w:rsid w:val="00695F1E"/>
    <w:rsid w:val="00696B1E"/>
    <w:rsid w:val="006A0B24"/>
    <w:rsid w:val="006A4B91"/>
    <w:rsid w:val="006A4DE4"/>
    <w:rsid w:val="006A60E3"/>
    <w:rsid w:val="006B0D29"/>
    <w:rsid w:val="006B0EC9"/>
    <w:rsid w:val="006B1AE4"/>
    <w:rsid w:val="006B214E"/>
    <w:rsid w:val="006B3600"/>
    <w:rsid w:val="006C05AD"/>
    <w:rsid w:val="006C2CB1"/>
    <w:rsid w:val="006C2E3B"/>
    <w:rsid w:val="006C321B"/>
    <w:rsid w:val="006C4475"/>
    <w:rsid w:val="006C65AA"/>
    <w:rsid w:val="006C6D73"/>
    <w:rsid w:val="006C73CC"/>
    <w:rsid w:val="006C7D5A"/>
    <w:rsid w:val="006D16FF"/>
    <w:rsid w:val="006D22D8"/>
    <w:rsid w:val="006D282E"/>
    <w:rsid w:val="006D2B5B"/>
    <w:rsid w:val="006D3206"/>
    <w:rsid w:val="006D347F"/>
    <w:rsid w:val="006D37D5"/>
    <w:rsid w:val="006D469A"/>
    <w:rsid w:val="006D4C5C"/>
    <w:rsid w:val="006D4CAF"/>
    <w:rsid w:val="006D5222"/>
    <w:rsid w:val="006D63E0"/>
    <w:rsid w:val="006E25A7"/>
    <w:rsid w:val="006E43BA"/>
    <w:rsid w:val="006E44DA"/>
    <w:rsid w:val="006E5685"/>
    <w:rsid w:val="006F3721"/>
    <w:rsid w:val="006F3BDD"/>
    <w:rsid w:val="006F4F31"/>
    <w:rsid w:val="006F5173"/>
    <w:rsid w:val="006F5DF1"/>
    <w:rsid w:val="006F5EFC"/>
    <w:rsid w:val="00700A5B"/>
    <w:rsid w:val="00700EAB"/>
    <w:rsid w:val="00701EAD"/>
    <w:rsid w:val="0070330B"/>
    <w:rsid w:val="00703B43"/>
    <w:rsid w:val="00704319"/>
    <w:rsid w:val="00711ECE"/>
    <w:rsid w:val="007123C7"/>
    <w:rsid w:val="00714206"/>
    <w:rsid w:val="0071634B"/>
    <w:rsid w:val="007168A8"/>
    <w:rsid w:val="00716E2D"/>
    <w:rsid w:val="00717752"/>
    <w:rsid w:val="007203D9"/>
    <w:rsid w:val="00720FC3"/>
    <w:rsid w:val="00721AAB"/>
    <w:rsid w:val="00721B7A"/>
    <w:rsid w:val="00721F8D"/>
    <w:rsid w:val="00722793"/>
    <w:rsid w:val="00722980"/>
    <w:rsid w:val="00725787"/>
    <w:rsid w:val="007278B2"/>
    <w:rsid w:val="00731A1A"/>
    <w:rsid w:val="00731B5F"/>
    <w:rsid w:val="00732591"/>
    <w:rsid w:val="00734752"/>
    <w:rsid w:val="00734830"/>
    <w:rsid w:val="00735CC7"/>
    <w:rsid w:val="007365AB"/>
    <w:rsid w:val="00737989"/>
    <w:rsid w:val="00740E50"/>
    <w:rsid w:val="007418B2"/>
    <w:rsid w:val="00742A08"/>
    <w:rsid w:val="007466A2"/>
    <w:rsid w:val="00746BAC"/>
    <w:rsid w:val="00747188"/>
    <w:rsid w:val="00747E0D"/>
    <w:rsid w:val="00750E6B"/>
    <w:rsid w:val="00750F88"/>
    <w:rsid w:val="00751C2B"/>
    <w:rsid w:val="00752161"/>
    <w:rsid w:val="007521B2"/>
    <w:rsid w:val="007533A0"/>
    <w:rsid w:val="007546A6"/>
    <w:rsid w:val="00756773"/>
    <w:rsid w:val="0075785E"/>
    <w:rsid w:val="00760047"/>
    <w:rsid w:val="007629AC"/>
    <w:rsid w:val="00762B5C"/>
    <w:rsid w:val="00763647"/>
    <w:rsid w:val="00763B54"/>
    <w:rsid w:val="007640B8"/>
    <w:rsid w:val="0076441C"/>
    <w:rsid w:val="00765813"/>
    <w:rsid w:val="00765CBC"/>
    <w:rsid w:val="007664DE"/>
    <w:rsid w:val="00766845"/>
    <w:rsid w:val="007734F7"/>
    <w:rsid w:val="00773EFF"/>
    <w:rsid w:val="007748F5"/>
    <w:rsid w:val="00775EFA"/>
    <w:rsid w:val="007768A2"/>
    <w:rsid w:val="007800F6"/>
    <w:rsid w:val="00780577"/>
    <w:rsid w:val="0078166B"/>
    <w:rsid w:val="00781BF8"/>
    <w:rsid w:val="0078335F"/>
    <w:rsid w:val="0078337B"/>
    <w:rsid w:val="00785833"/>
    <w:rsid w:val="007860FC"/>
    <w:rsid w:val="00786763"/>
    <w:rsid w:val="00786D0B"/>
    <w:rsid w:val="00791BFD"/>
    <w:rsid w:val="00791DD3"/>
    <w:rsid w:val="007940B9"/>
    <w:rsid w:val="0079471C"/>
    <w:rsid w:val="00796E05"/>
    <w:rsid w:val="00797252"/>
    <w:rsid w:val="007A0348"/>
    <w:rsid w:val="007A166E"/>
    <w:rsid w:val="007A24B8"/>
    <w:rsid w:val="007A4A8C"/>
    <w:rsid w:val="007A4ED2"/>
    <w:rsid w:val="007A612B"/>
    <w:rsid w:val="007A7887"/>
    <w:rsid w:val="007B1AC0"/>
    <w:rsid w:val="007B31EB"/>
    <w:rsid w:val="007B3259"/>
    <w:rsid w:val="007B4FE5"/>
    <w:rsid w:val="007B7195"/>
    <w:rsid w:val="007B7DEA"/>
    <w:rsid w:val="007C0C50"/>
    <w:rsid w:val="007C0D66"/>
    <w:rsid w:val="007C168D"/>
    <w:rsid w:val="007C2D7E"/>
    <w:rsid w:val="007C31F9"/>
    <w:rsid w:val="007C350A"/>
    <w:rsid w:val="007C5198"/>
    <w:rsid w:val="007C6AED"/>
    <w:rsid w:val="007D2025"/>
    <w:rsid w:val="007D20A7"/>
    <w:rsid w:val="007D45DB"/>
    <w:rsid w:val="007D476F"/>
    <w:rsid w:val="007D6E68"/>
    <w:rsid w:val="007E0080"/>
    <w:rsid w:val="007E2661"/>
    <w:rsid w:val="007E2A8F"/>
    <w:rsid w:val="007E2DEC"/>
    <w:rsid w:val="007E33DE"/>
    <w:rsid w:val="007E50B7"/>
    <w:rsid w:val="007E7745"/>
    <w:rsid w:val="007F04D1"/>
    <w:rsid w:val="007F17FE"/>
    <w:rsid w:val="007F30F2"/>
    <w:rsid w:val="007F5244"/>
    <w:rsid w:val="007F6C3F"/>
    <w:rsid w:val="007F7CB9"/>
    <w:rsid w:val="0080022A"/>
    <w:rsid w:val="008003B5"/>
    <w:rsid w:val="00801D50"/>
    <w:rsid w:val="00801E6F"/>
    <w:rsid w:val="00802AE7"/>
    <w:rsid w:val="0080393B"/>
    <w:rsid w:val="00803F3B"/>
    <w:rsid w:val="00804347"/>
    <w:rsid w:val="00804AF7"/>
    <w:rsid w:val="0080563C"/>
    <w:rsid w:val="00805C46"/>
    <w:rsid w:val="00806234"/>
    <w:rsid w:val="00806298"/>
    <w:rsid w:val="00806644"/>
    <w:rsid w:val="00807BC2"/>
    <w:rsid w:val="00807DAE"/>
    <w:rsid w:val="00811EC7"/>
    <w:rsid w:val="00812A36"/>
    <w:rsid w:val="00813DBE"/>
    <w:rsid w:val="008140CD"/>
    <w:rsid w:val="0081433C"/>
    <w:rsid w:val="008150DD"/>
    <w:rsid w:val="008171BC"/>
    <w:rsid w:val="00824F08"/>
    <w:rsid w:val="008271F9"/>
    <w:rsid w:val="00827F7D"/>
    <w:rsid w:val="00833291"/>
    <w:rsid w:val="00834076"/>
    <w:rsid w:val="008358AD"/>
    <w:rsid w:val="00836BE2"/>
    <w:rsid w:val="00840374"/>
    <w:rsid w:val="00840DA8"/>
    <w:rsid w:val="008410DE"/>
    <w:rsid w:val="00842AC4"/>
    <w:rsid w:val="00844315"/>
    <w:rsid w:val="00850040"/>
    <w:rsid w:val="0085028A"/>
    <w:rsid w:val="00850E2F"/>
    <w:rsid w:val="00850F6E"/>
    <w:rsid w:val="0085156B"/>
    <w:rsid w:val="00853192"/>
    <w:rsid w:val="00853D69"/>
    <w:rsid w:val="00854533"/>
    <w:rsid w:val="00855A93"/>
    <w:rsid w:val="00856055"/>
    <w:rsid w:val="00860B57"/>
    <w:rsid w:val="00860B7F"/>
    <w:rsid w:val="00862907"/>
    <w:rsid w:val="00863FCE"/>
    <w:rsid w:val="00865826"/>
    <w:rsid w:val="00865A8D"/>
    <w:rsid w:val="008660D7"/>
    <w:rsid w:val="0086717C"/>
    <w:rsid w:val="00867AC2"/>
    <w:rsid w:val="00871460"/>
    <w:rsid w:val="008728BD"/>
    <w:rsid w:val="00872D72"/>
    <w:rsid w:val="0087336C"/>
    <w:rsid w:val="008735FE"/>
    <w:rsid w:val="00873BDC"/>
    <w:rsid w:val="00873DB7"/>
    <w:rsid w:val="00875750"/>
    <w:rsid w:val="00876ED3"/>
    <w:rsid w:val="008771E9"/>
    <w:rsid w:val="008772CC"/>
    <w:rsid w:val="00883316"/>
    <w:rsid w:val="00884F3C"/>
    <w:rsid w:val="0088525F"/>
    <w:rsid w:val="00887215"/>
    <w:rsid w:val="008872B2"/>
    <w:rsid w:val="0088751F"/>
    <w:rsid w:val="00894361"/>
    <w:rsid w:val="00896E35"/>
    <w:rsid w:val="0089730B"/>
    <w:rsid w:val="008976C9"/>
    <w:rsid w:val="00897836"/>
    <w:rsid w:val="008A13E4"/>
    <w:rsid w:val="008A1CAE"/>
    <w:rsid w:val="008A3D55"/>
    <w:rsid w:val="008A48AF"/>
    <w:rsid w:val="008A53A7"/>
    <w:rsid w:val="008A5C0A"/>
    <w:rsid w:val="008A6924"/>
    <w:rsid w:val="008A7421"/>
    <w:rsid w:val="008A7656"/>
    <w:rsid w:val="008B37DB"/>
    <w:rsid w:val="008B3970"/>
    <w:rsid w:val="008B3F78"/>
    <w:rsid w:val="008B43D6"/>
    <w:rsid w:val="008B4D74"/>
    <w:rsid w:val="008B55FF"/>
    <w:rsid w:val="008B7721"/>
    <w:rsid w:val="008B7CF5"/>
    <w:rsid w:val="008C2447"/>
    <w:rsid w:val="008C2C23"/>
    <w:rsid w:val="008C2F7E"/>
    <w:rsid w:val="008C449C"/>
    <w:rsid w:val="008C5329"/>
    <w:rsid w:val="008C7D29"/>
    <w:rsid w:val="008D10D4"/>
    <w:rsid w:val="008D21EE"/>
    <w:rsid w:val="008D243A"/>
    <w:rsid w:val="008D30C6"/>
    <w:rsid w:val="008D3ADE"/>
    <w:rsid w:val="008D4B3C"/>
    <w:rsid w:val="008D5BA9"/>
    <w:rsid w:val="008D6546"/>
    <w:rsid w:val="008D7832"/>
    <w:rsid w:val="008E2D07"/>
    <w:rsid w:val="008E3A4A"/>
    <w:rsid w:val="008E766C"/>
    <w:rsid w:val="008E76DA"/>
    <w:rsid w:val="008F0796"/>
    <w:rsid w:val="008F3EBF"/>
    <w:rsid w:val="008F4EBF"/>
    <w:rsid w:val="008F60C2"/>
    <w:rsid w:val="008F66F7"/>
    <w:rsid w:val="00901D6B"/>
    <w:rsid w:val="009041AE"/>
    <w:rsid w:val="0090451C"/>
    <w:rsid w:val="0090528E"/>
    <w:rsid w:val="009071C8"/>
    <w:rsid w:val="00907806"/>
    <w:rsid w:val="0091153F"/>
    <w:rsid w:val="00911783"/>
    <w:rsid w:val="00911B54"/>
    <w:rsid w:val="00912341"/>
    <w:rsid w:val="0091333F"/>
    <w:rsid w:val="0091335B"/>
    <w:rsid w:val="00923D0A"/>
    <w:rsid w:val="00926350"/>
    <w:rsid w:val="00932767"/>
    <w:rsid w:val="00935626"/>
    <w:rsid w:val="0094175A"/>
    <w:rsid w:val="00941D01"/>
    <w:rsid w:val="00943FC4"/>
    <w:rsid w:val="00944345"/>
    <w:rsid w:val="009443F1"/>
    <w:rsid w:val="009461C8"/>
    <w:rsid w:val="009464FD"/>
    <w:rsid w:val="00947681"/>
    <w:rsid w:val="00950416"/>
    <w:rsid w:val="009528C8"/>
    <w:rsid w:val="0095344E"/>
    <w:rsid w:val="00954759"/>
    <w:rsid w:val="0095527E"/>
    <w:rsid w:val="009608D9"/>
    <w:rsid w:val="00960AA1"/>
    <w:rsid w:val="0096288B"/>
    <w:rsid w:val="00963002"/>
    <w:rsid w:val="009631CA"/>
    <w:rsid w:val="0096327C"/>
    <w:rsid w:val="0096366C"/>
    <w:rsid w:val="009657F4"/>
    <w:rsid w:val="00965823"/>
    <w:rsid w:val="00967679"/>
    <w:rsid w:val="00967872"/>
    <w:rsid w:val="00967AA2"/>
    <w:rsid w:val="00967C8E"/>
    <w:rsid w:val="00971997"/>
    <w:rsid w:val="00974550"/>
    <w:rsid w:val="00974DBA"/>
    <w:rsid w:val="00977A10"/>
    <w:rsid w:val="009810B5"/>
    <w:rsid w:val="00981AED"/>
    <w:rsid w:val="009831DC"/>
    <w:rsid w:val="00984BFA"/>
    <w:rsid w:val="00985B4C"/>
    <w:rsid w:val="00990A5D"/>
    <w:rsid w:val="0099369F"/>
    <w:rsid w:val="009951DC"/>
    <w:rsid w:val="0099635A"/>
    <w:rsid w:val="00996450"/>
    <w:rsid w:val="009A1FCE"/>
    <w:rsid w:val="009A209A"/>
    <w:rsid w:val="009A25E6"/>
    <w:rsid w:val="009A3B1D"/>
    <w:rsid w:val="009A4287"/>
    <w:rsid w:val="009A43A4"/>
    <w:rsid w:val="009A5158"/>
    <w:rsid w:val="009A56FF"/>
    <w:rsid w:val="009A5B1A"/>
    <w:rsid w:val="009A6C7E"/>
    <w:rsid w:val="009B0498"/>
    <w:rsid w:val="009B0921"/>
    <w:rsid w:val="009B0D77"/>
    <w:rsid w:val="009B16FB"/>
    <w:rsid w:val="009B1A12"/>
    <w:rsid w:val="009B1A14"/>
    <w:rsid w:val="009B3052"/>
    <w:rsid w:val="009B5D4E"/>
    <w:rsid w:val="009B75CB"/>
    <w:rsid w:val="009C00D0"/>
    <w:rsid w:val="009C214A"/>
    <w:rsid w:val="009C254A"/>
    <w:rsid w:val="009C456E"/>
    <w:rsid w:val="009C47EF"/>
    <w:rsid w:val="009C4811"/>
    <w:rsid w:val="009C5C37"/>
    <w:rsid w:val="009C620B"/>
    <w:rsid w:val="009D00F8"/>
    <w:rsid w:val="009D1DDC"/>
    <w:rsid w:val="009D1F27"/>
    <w:rsid w:val="009D37F7"/>
    <w:rsid w:val="009D38E7"/>
    <w:rsid w:val="009D66E9"/>
    <w:rsid w:val="009D68EF"/>
    <w:rsid w:val="009D71F4"/>
    <w:rsid w:val="009D75A4"/>
    <w:rsid w:val="009E157E"/>
    <w:rsid w:val="009E201E"/>
    <w:rsid w:val="009E24A3"/>
    <w:rsid w:val="009E29BD"/>
    <w:rsid w:val="009E3BB0"/>
    <w:rsid w:val="009E4C37"/>
    <w:rsid w:val="009E5EA9"/>
    <w:rsid w:val="009E6D81"/>
    <w:rsid w:val="009E7CC6"/>
    <w:rsid w:val="009F0F96"/>
    <w:rsid w:val="009F26DF"/>
    <w:rsid w:val="009F3B5F"/>
    <w:rsid w:val="009F3E90"/>
    <w:rsid w:val="009F49C1"/>
    <w:rsid w:val="009F558C"/>
    <w:rsid w:val="00A00D2B"/>
    <w:rsid w:val="00A01DA8"/>
    <w:rsid w:val="00A03355"/>
    <w:rsid w:val="00A03DBA"/>
    <w:rsid w:val="00A04C9B"/>
    <w:rsid w:val="00A14418"/>
    <w:rsid w:val="00A14FE3"/>
    <w:rsid w:val="00A2065B"/>
    <w:rsid w:val="00A20C19"/>
    <w:rsid w:val="00A2122F"/>
    <w:rsid w:val="00A217F6"/>
    <w:rsid w:val="00A219FE"/>
    <w:rsid w:val="00A231E8"/>
    <w:rsid w:val="00A2415E"/>
    <w:rsid w:val="00A24E81"/>
    <w:rsid w:val="00A24EB8"/>
    <w:rsid w:val="00A3125E"/>
    <w:rsid w:val="00A337B8"/>
    <w:rsid w:val="00A34876"/>
    <w:rsid w:val="00A37052"/>
    <w:rsid w:val="00A416BD"/>
    <w:rsid w:val="00A42A19"/>
    <w:rsid w:val="00A42C5E"/>
    <w:rsid w:val="00A467CE"/>
    <w:rsid w:val="00A46D20"/>
    <w:rsid w:val="00A54D61"/>
    <w:rsid w:val="00A54F81"/>
    <w:rsid w:val="00A5600B"/>
    <w:rsid w:val="00A56A6A"/>
    <w:rsid w:val="00A60CC7"/>
    <w:rsid w:val="00A62156"/>
    <w:rsid w:val="00A62B7D"/>
    <w:rsid w:val="00A63053"/>
    <w:rsid w:val="00A63E38"/>
    <w:rsid w:val="00A6466C"/>
    <w:rsid w:val="00A64BC4"/>
    <w:rsid w:val="00A664D0"/>
    <w:rsid w:val="00A67327"/>
    <w:rsid w:val="00A676A4"/>
    <w:rsid w:val="00A67BDF"/>
    <w:rsid w:val="00A73504"/>
    <w:rsid w:val="00A7380C"/>
    <w:rsid w:val="00A74118"/>
    <w:rsid w:val="00A74AC4"/>
    <w:rsid w:val="00A74B34"/>
    <w:rsid w:val="00A77F99"/>
    <w:rsid w:val="00A80B9F"/>
    <w:rsid w:val="00A84478"/>
    <w:rsid w:val="00A845AE"/>
    <w:rsid w:val="00A846ED"/>
    <w:rsid w:val="00A859F7"/>
    <w:rsid w:val="00A87505"/>
    <w:rsid w:val="00A87ACC"/>
    <w:rsid w:val="00A90898"/>
    <w:rsid w:val="00A9090F"/>
    <w:rsid w:val="00A9158D"/>
    <w:rsid w:val="00A93097"/>
    <w:rsid w:val="00A93C4D"/>
    <w:rsid w:val="00A96D2A"/>
    <w:rsid w:val="00AA1527"/>
    <w:rsid w:val="00AA3DB8"/>
    <w:rsid w:val="00AB1050"/>
    <w:rsid w:val="00AB2828"/>
    <w:rsid w:val="00AB2B04"/>
    <w:rsid w:val="00AB474A"/>
    <w:rsid w:val="00AB5E55"/>
    <w:rsid w:val="00AB607B"/>
    <w:rsid w:val="00AB65F2"/>
    <w:rsid w:val="00AB6E26"/>
    <w:rsid w:val="00AB742C"/>
    <w:rsid w:val="00AC2D01"/>
    <w:rsid w:val="00AC2EBF"/>
    <w:rsid w:val="00AC45D7"/>
    <w:rsid w:val="00AC4EA5"/>
    <w:rsid w:val="00AC56CF"/>
    <w:rsid w:val="00AC67CC"/>
    <w:rsid w:val="00AC6E9B"/>
    <w:rsid w:val="00AC7625"/>
    <w:rsid w:val="00AD2438"/>
    <w:rsid w:val="00AD2657"/>
    <w:rsid w:val="00AD48FC"/>
    <w:rsid w:val="00AD5347"/>
    <w:rsid w:val="00AD68BA"/>
    <w:rsid w:val="00AD6C39"/>
    <w:rsid w:val="00AD6F73"/>
    <w:rsid w:val="00AD7F34"/>
    <w:rsid w:val="00AE004C"/>
    <w:rsid w:val="00AE0272"/>
    <w:rsid w:val="00AE14CF"/>
    <w:rsid w:val="00AE2371"/>
    <w:rsid w:val="00AE23E1"/>
    <w:rsid w:val="00AE312C"/>
    <w:rsid w:val="00AE316F"/>
    <w:rsid w:val="00AE4992"/>
    <w:rsid w:val="00AE68D8"/>
    <w:rsid w:val="00AE6A5B"/>
    <w:rsid w:val="00AE7B1C"/>
    <w:rsid w:val="00AE7F59"/>
    <w:rsid w:val="00AF0B56"/>
    <w:rsid w:val="00AF1038"/>
    <w:rsid w:val="00AF1B9E"/>
    <w:rsid w:val="00AF4E9D"/>
    <w:rsid w:val="00AF60C2"/>
    <w:rsid w:val="00AF79B1"/>
    <w:rsid w:val="00B00331"/>
    <w:rsid w:val="00B013F0"/>
    <w:rsid w:val="00B02052"/>
    <w:rsid w:val="00B02AD9"/>
    <w:rsid w:val="00B0499B"/>
    <w:rsid w:val="00B0542E"/>
    <w:rsid w:val="00B12185"/>
    <w:rsid w:val="00B1221B"/>
    <w:rsid w:val="00B14800"/>
    <w:rsid w:val="00B20896"/>
    <w:rsid w:val="00B22616"/>
    <w:rsid w:val="00B23DB3"/>
    <w:rsid w:val="00B302F8"/>
    <w:rsid w:val="00B30C4D"/>
    <w:rsid w:val="00B30D4C"/>
    <w:rsid w:val="00B33A6E"/>
    <w:rsid w:val="00B34B2B"/>
    <w:rsid w:val="00B35773"/>
    <w:rsid w:val="00B35A27"/>
    <w:rsid w:val="00B369B5"/>
    <w:rsid w:val="00B36FF6"/>
    <w:rsid w:val="00B375CD"/>
    <w:rsid w:val="00B4073B"/>
    <w:rsid w:val="00B40BB9"/>
    <w:rsid w:val="00B43B1B"/>
    <w:rsid w:val="00B43F13"/>
    <w:rsid w:val="00B441CC"/>
    <w:rsid w:val="00B456FA"/>
    <w:rsid w:val="00B473E6"/>
    <w:rsid w:val="00B52E08"/>
    <w:rsid w:val="00B558BA"/>
    <w:rsid w:val="00B6125C"/>
    <w:rsid w:val="00B6378E"/>
    <w:rsid w:val="00B64598"/>
    <w:rsid w:val="00B645CA"/>
    <w:rsid w:val="00B657BC"/>
    <w:rsid w:val="00B65BB0"/>
    <w:rsid w:val="00B735A1"/>
    <w:rsid w:val="00B760C4"/>
    <w:rsid w:val="00B76C47"/>
    <w:rsid w:val="00B8144B"/>
    <w:rsid w:val="00B815A2"/>
    <w:rsid w:val="00B8194B"/>
    <w:rsid w:val="00B83395"/>
    <w:rsid w:val="00B84902"/>
    <w:rsid w:val="00B867C5"/>
    <w:rsid w:val="00B86E02"/>
    <w:rsid w:val="00B9098A"/>
    <w:rsid w:val="00B90AA1"/>
    <w:rsid w:val="00B914F1"/>
    <w:rsid w:val="00B91CA3"/>
    <w:rsid w:val="00B922F4"/>
    <w:rsid w:val="00B92A6D"/>
    <w:rsid w:val="00B92EB4"/>
    <w:rsid w:val="00B954E1"/>
    <w:rsid w:val="00B95971"/>
    <w:rsid w:val="00B973F0"/>
    <w:rsid w:val="00B97422"/>
    <w:rsid w:val="00B97695"/>
    <w:rsid w:val="00BA0F98"/>
    <w:rsid w:val="00BA106C"/>
    <w:rsid w:val="00BA2CF5"/>
    <w:rsid w:val="00BA2EBE"/>
    <w:rsid w:val="00BA4822"/>
    <w:rsid w:val="00BA5683"/>
    <w:rsid w:val="00BA5CD9"/>
    <w:rsid w:val="00BA7A96"/>
    <w:rsid w:val="00BB1896"/>
    <w:rsid w:val="00BB3E31"/>
    <w:rsid w:val="00BB5257"/>
    <w:rsid w:val="00BB6B3D"/>
    <w:rsid w:val="00BC1AE7"/>
    <w:rsid w:val="00BC1FC1"/>
    <w:rsid w:val="00BC51FA"/>
    <w:rsid w:val="00BC5FC3"/>
    <w:rsid w:val="00BC737B"/>
    <w:rsid w:val="00BD3617"/>
    <w:rsid w:val="00BD3D40"/>
    <w:rsid w:val="00BD5373"/>
    <w:rsid w:val="00BD6288"/>
    <w:rsid w:val="00BD7D1E"/>
    <w:rsid w:val="00BE3944"/>
    <w:rsid w:val="00BE4FAF"/>
    <w:rsid w:val="00BE6DD3"/>
    <w:rsid w:val="00BE7239"/>
    <w:rsid w:val="00BF1772"/>
    <w:rsid w:val="00BF18FE"/>
    <w:rsid w:val="00BF1F25"/>
    <w:rsid w:val="00BF2F57"/>
    <w:rsid w:val="00BF3917"/>
    <w:rsid w:val="00BF477D"/>
    <w:rsid w:val="00BF4D32"/>
    <w:rsid w:val="00BF5BCB"/>
    <w:rsid w:val="00BF76ED"/>
    <w:rsid w:val="00C00B20"/>
    <w:rsid w:val="00C01119"/>
    <w:rsid w:val="00C0138D"/>
    <w:rsid w:val="00C043D0"/>
    <w:rsid w:val="00C0441D"/>
    <w:rsid w:val="00C051C1"/>
    <w:rsid w:val="00C07D89"/>
    <w:rsid w:val="00C1189D"/>
    <w:rsid w:val="00C11EFD"/>
    <w:rsid w:val="00C127F1"/>
    <w:rsid w:val="00C153B9"/>
    <w:rsid w:val="00C15601"/>
    <w:rsid w:val="00C159E1"/>
    <w:rsid w:val="00C1739F"/>
    <w:rsid w:val="00C21B5A"/>
    <w:rsid w:val="00C236CA"/>
    <w:rsid w:val="00C23ED2"/>
    <w:rsid w:val="00C30336"/>
    <w:rsid w:val="00C31A2F"/>
    <w:rsid w:val="00C340D2"/>
    <w:rsid w:val="00C3573B"/>
    <w:rsid w:val="00C3604E"/>
    <w:rsid w:val="00C404F4"/>
    <w:rsid w:val="00C41675"/>
    <w:rsid w:val="00C41AF7"/>
    <w:rsid w:val="00C41B3F"/>
    <w:rsid w:val="00C43D2A"/>
    <w:rsid w:val="00C44C23"/>
    <w:rsid w:val="00C45A1B"/>
    <w:rsid w:val="00C46997"/>
    <w:rsid w:val="00C4754E"/>
    <w:rsid w:val="00C47C3D"/>
    <w:rsid w:val="00C50832"/>
    <w:rsid w:val="00C5171D"/>
    <w:rsid w:val="00C5255E"/>
    <w:rsid w:val="00C52C6C"/>
    <w:rsid w:val="00C53050"/>
    <w:rsid w:val="00C545A8"/>
    <w:rsid w:val="00C55E8F"/>
    <w:rsid w:val="00C56390"/>
    <w:rsid w:val="00C61447"/>
    <w:rsid w:val="00C617B1"/>
    <w:rsid w:val="00C67832"/>
    <w:rsid w:val="00C70EF6"/>
    <w:rsid w:val="00C713AE"/>
    <w:rsid w:val="00C718D2"/>
    <w:rsid w:val="00C71F91"/>
    <w:rsid w:val="00C75D8B"/>
    <w:rsid w:val="00C80628"/>
    <w:rsid w:val="00C80A85"/>
    <w:rsid w:val="00C80F1B"/>
    <w:rsid w:val="00C849FF"/>
    <w:rsid w:val="00C8521A"/>
    <w:rsid w:val="00C85253"/>
    <w:rsid w:val="00C90507"/>
    <w:rsid w:val="00C90D6B"/>
    <w:rsid w:val="00C91612"/>
    <w:rsid w:val="00C97764"/>
    <w:rsid w:val="00CA0543"/>
    <w:rsid w:val="00CA6825"/>
    <w:rsid w:val="00CA77C7"/>
    <w:rsid w:val="00CB1504"/>
    <w:rsid w:val="00CB2448"/>
    <w:rsid w:val="00CB396F"/>
    <w:rsid w:val="00CB75D2"/>
    <w:rsid w:val="00CC1062"/>
    <w:rsid w:val="00CC2106"/>
    <w:rsid w:val="00CC32DB"/>
    <w:rsid w:val="00CC548A"/>
    <w:rsid w:val="00CC6644"/>
    <w:rsid w:val="00CC7DEE"/>
    <w:rsid w:val="00CD5785"/>
    <w:rsid w:val="00CD7263"/>
    <w:rsid w:val="00CD7571"/>
    <w:rsid w:val="00CE16D3"/>
    <w:rsid w:val="00CE179B"/>
    <w:rsid w:val="00CE20E4"/>
    <w:rsid w:val="00CE20F5"/>
    <w:rsid w:val="00CE4AA3"/>
    <w:rsid w:val="00CE4C52"/>
    <w:rsid w:val="00CE5FF4"/>
    <w:rsid w:val="00CE6289"/>
    <w:rsid w:val="00CF10B1"/>
    <w:rsid w:val="00CF3B59"/>
    <w:rsid w:val="00CF3C6E"/>
    <w:rsid w:val="00CF4331"/>
    <w:rsid w:val="00CF78B6"/>
    <w:rsid w:val="00D00E91"/>
    <w:rsid w:val="00D01239"/>
    <w:rsid w:val="00D01302"/>
    <w:rsid w:val="00D014A1"/>
    <w:rsid w:val="00D015A6"/>
    <w:rsid w:val="00D01F7E"/>
    <w:rsid w:val="00D03730"/>
    <w:rsid w:val="00D04379"/>
    <w:rsid w:val="00D0501A"/>
    <w:rsid w:val="00D0522D"/>
    <w:rsid w:val="00D06B00"/>
    <w:rsid w:val="00D07414"/>
    <w:rsid w:val="00D07548"/>
    <w:rsid w:val="00D10330"/>
    <w:rsid w:val="00D107BD"/>
    <w:rsid w:val="00D11267"/>
    <w:rsid w:val="00D12059"/>
    <w:rsid w:val="00D1225B"/>
    <w:rsid w:val="00D15045"/>
    <w:rsid w:val="00D21445"/>
    <w:rsid w:val="00D21E6B"/>
    <w:rsid w:val="00D235AE"/>
    <w:rsid w:val="00D23C76"/>
    <w:rsid w:val="00D253E4"/>
    <w:rsid w:val="00D25D50"/>
    <w:rsid w:val="00D26490"/>
    <w:rsid w:val="00D26E12"/>
    <w:rsid w:val="00D31C00"/>
    <w:rsid w:val="00D3270D"/>
    <w:rsid w:val="00D32CD4"/>
    <w:rsid w:val="00D33EFC"/>
    <w:rsid w:val="00D3411D"/>
    <w:rsid w:val="00D34C35"/>
    <w:rsid w:val="00D34C91"/>
    <w:rsid w:val="00D3583E"/>
    <w:rsid w:val="00D36E61"/>
    <w:rsid w:val="00D3785F"/>
    <w:rsid w:val="00D3799E"/>
    <w:rsid w:val="00D40553"/>
    <w:rsid w:val="00D414F2"/>
    <w:rsid w:val="00D4268C"/>
    <w:rsid w:val="00D428A2"/>
    <w:rsid w:val="00D443DC"/>
    <w:rsid w:val="00D45BEF"/>
    <w:rsid w:val="00D47A42"/>
    <w:rsid w:val="00D50282"/>
    <w:rsid w:val="00D52083"/>
    <w:rsid w:val="00D52784"/>
    <w:rsid w:val="00D52AE4"/>
    <w:rsid w:val="00D553E7"/>
    <w:rsid w:val="00D615A8"/>
    <w:rsid w:val="00D622A4"/>
    <w:rsid w:val="00D64628"/>
    <w:rsid w:val="00D66AA5"/>
    <w:rsid w:val="00D71919"/>
    <w:rsid w:val="00D74058"/>
    <w:rsid w:val="00D805B0"/>
    <w:rsid w:val="00D832DF"/>
    <w:rsid w:val="00D83621"/>
    <w:rsid w:val="00D84CBD"/>
    <w:rsid w:val="00D85A65"/>
    <w:rsid w:val="00D85D3C"/>
    <w:rsid w:val="00D87FC4"/>
    <w:rsid w:val="00D91E34"/>
    <w:rsid w:val="00D9347E"/>
    <w:rsid w:val="00D93B1D"/>
    <w:rsid w:val="00D94D2F"/>
    <w:rsid w:val="00D9595F"/>
    <w:rsid w:val="00D96AB6"/>
    <w:rsid w:val="00D96D97"/>
    <w:rsid w:val="00D9764F"/>
    <w:rsid w:val="00D97892"/>
    <w:rsid w:val="00D979AE"/>
    <w:rsid w:val="00D97A4C"/>
    <w:rsid w:val="00DA0C69"/>
    <w:rsid w:val="00DA3E45"/>
    <w:rsid w:val="00DA7DF1"/>
    <w:rsid w:val="00DB13AF"/>
    <w:rsid w:val="00DB1D33"/>
    <w:rsid w:val="00DB3B6A"/>
    <w:rsid w:val="00DB5032"/>
    <w:rsid w:val="00DB5754"/>
    <w:rsid w:val="00DB59A6"/>
    <w:rsid w:val="00DB5FA8"/>
    <w:rsid w:val="00DB631D"/>
    <w:rsid w:val="00DB6523"/>
    <w:rsid w:val="00DC1005"/>
    <w:rsid w:val="00DC267D"/>
    <w:rsid w:val="00DC293D"/>
    <w:rsid w:val="00DC31FE"/>
    <w:rsid w:val="00DC33C5"/>
    <w:rsid w:val="00DC55EB"/>
    <w:rsid w:val="00DC5C08"/>
    <w:rsid w:val="00DC62E1"/>
    <w:rsid w:val="00DC66E5"/>
    <w:rsid w:val="00DC6C19"/>
    <w:rsid w:val="00DC74F8"/>
    <w:rsid w:val="00DD010E"/>
    <w:rsid w:val="00DD1777"/>
    <w:rsid w:val="00DD1915"/>
    <w:rsid w:val="00DD21C1"/>
    <w:rsid w:val="00DD4683"/>
    <w:rsid w:val="00DD46E4"/>
    <w:rsid w:val="00DD753C"/>
    <w:rsid w:val="00DD7D05"/>
    <w:rsid w:val="00DE3B72"/>
    <w:rsid w:val="00DE3CAB"/>
    <w:rsid w:val="00DE47AD"/>
    <w:rsid w:val="00DE4A6D"/>
    <w:rsid w:val="00DE4BE4"/>
    <w:rsid w:val="00DE5CC7"/>
    <w:rsid w:val="00DE7878"/>
    <w:rsid w:val="00DF07A2"/>
    <w:rsid w:val="00DF0C16"/>
    <w:rsid w:val="00DF2A21"/>
    <w:rsid w:val="00DF4ACA"/>
    <w:rsid w:val="00DF4B0C"/>
    <w:rsid w:val="00DF5799"/>
    <w:rsid w:val="00DF65E0"/>
    <w:rsid w:val="00DF723F"/>
    <w:rsid w:val="00DF7285"/>
    <w:rsid w:val="00E00607"/>
    <w:rsid w:val="00E02BD6"/>
    <w:rsid w:val="00E0345C"/>
    <w:rsid w:val="00E0401A"/>
    <w:rsid w:val="00E04575"/>
    <w:rsid w:val="00E04B70"/>
    <w:rsid w:val="00E04D51"/>
    <w:rsid w:val="00E05C45"/>
    <w:rsid w:val="00E0624C"/>
    <w:rsid w:val="00E103C6"/>
    <w:rsid w:val="00E10ACF"/>
    <w:rsid w:val="00E1245E"/>
    <w:rsid w:val="00E12920"/>
    <w:rsid w:val="00E17518"/>
    <w:rsid w:val="00E1763D"/>
    <w:rsid w:val="00E20776"/>
    <w:rsid w:val="00E20887"/>
    <w:rsid w:val="00E21C71"/>
    <w:rsid w:val="00E22AB0"/>
    <w:rsid w:val="00E27710"/>
    <w:rsid w:val="00E30398"/>
    <w:rsid w:val="00E31AB6"/>
    <w:rsid w:val="00E32375"/>
    <w:rsid w:val="00E32B8B"/>
    <w:rsid w:val="00E37F5B"/>
    <w:rsid w:val="00E421BE"/>
    <w:rsid w:val="00E42F3B"/>
    <w:rsid w:val="00E4375A"/>
    <w:rsid w:val="00E43CC7"/>
    <w:rsid w:val="00E466A2"/>
    <w:rsid w:val="00E5451F"/>
    <w:rsid w:val="00E559D2"/>
    <w:rsid w:val="00E571D9"/>
    <w:rsid w:val="00E62157"/>
    <w:rsid w:val="00E66338"/>
    <w:rsid w:val="00E66377"/>
    <w:rsid w:val="00E710F6"/>
    <w:rsid w:val="00E71BA7"/>
    <w:rsid w:val="00E72F93"/>
    <w:rsid w:val="00E75737"/>
    <w:rsid w:val="00E77775"/>
    <w:rsid w:val="00E80164"/>
    <w:rsid w:val="00E83023"/>
    <w:rsid w:val="00E85953"/>
    <w:rsid w:val="00E85BA9"/>
    <w:rsid w:val="00E86C9B"/>
    <w:rsid w:val="00E87185"/>
    <w:rsid w:val="00E9139E"/>
    <w:rsid w:val="00E914D3"/>
    <w:rsid w:val="00E9218E"/>
    <w:rsid w:val="00E93265"/>
    <w:rsid w:val="00E97BD1"/>
    <w:rsid w:val="00EA0586"/>
    <w:rsid w:val="00EA09AD"/>
    <w:rsid w:val="00EA1277"/>
    <w:rsid w:val="00EA3136"/>
    <w:rsid w:val="00EA66E2"/>
    <w:rsid w:val="00EA6F5D"/>
    <w:rsid w:val="00EA715E"/>
    <w:rsid w:val="00EB03E2"/>
    <w:rsid w:val="00EB0E2F"/>
    <w:rsid w:val="00EB113E"/>
    <w:rsid w:val="00EB197A"/>
    <w:rsid w:val="00EB2FB1"/>
    <w:rsid w:val="00EB4154"/>
    <w:rsid w:val="00EB4762"/>
    <w:rsid w:val="00EB5565"/>
    <w:rsid w:val="00EB6612"/>
    <w:rsid w:val="00EB6D0C"/>
    <w:rsid w:val="00EC254D"/>
    <w:rsid w:val="00EC426B"/>
    <w:rsid w:val="00EC4948"/>
    <w:rsid w:val="00EC4ED3"/>
    <w:rsid w:val="00EC5771"/>
    <w:rsid w:val="00ED0789"/>
    <w:rsid w:val="00ED42B6"/>
    <w:rsid w:val="00ED4E49"/>
    <w:rsid w:val="00ED633E"/>
    <w:rsid w:val="00ED6A25"/>
    <w:rsid w:val="00ED7A99"/>
    <w:rsid w:val="00EE1BD0"/>
    <w:rsid w:val="00EE43FE"/>
    <w:rsid w:val="00EE4688"/>
    <w:rsid w:val="00EE47D3"/>
    <w:rsid w:val="00EE5AED"/>
    <w:rsid w:val="00EE7586"/>
    <w:rsid w:val="00EF0DBD"/>
    <w:rsid w:val="00EF0E64"/>
    <w:rsid w:val="00EF1359"/>
    <w:rsid w:val="00EF4274"/>
    <w:rsid w:val="00EF48CE"/>
    <w:rsid w:val="00EF651B"/>
    <w:rsid w:val="00F01109"/>
    <w:rsid w:val="00F018AA"/>
    <w:rsid w:val="00F023E0"/>
    <w:rsid w:val="00F02BF5"/>
    <w:rsid w:val="00F05A8C"/>
    <w:rsid w:val="00F0717B"/>
    <w:rsid w:val="00F11FA8"/>
    <w:rsid w:val="00F15111"/>
    <w:rsid w:val="00F16842"/>
    <w:rsid w:val="00F17852"/>
    <w:rsid w:val="00F22C4E"/>
    <w:rsid w:val="00F25D4F"/>
    <w:rsid w:val="00F25EEE"/>
    <w:rsid w:val="00F26045"/>
    <w:rsid w:val="00F26454"/>
    <w:rsid w:val="00F27329"/>
    <w:rsid w:val="00F30B6F"/>
    <w:rsid w:val="00F349AF"/>
    <w:rsid w:val="00F36520"/>
    <w:rsid w:val="00F37574"/>
    <w:rsid w:val="00F42267"/>
    <w:rsid w:val="00F422CC"/>
    <w:rsid w:val="00F50488"/>
    <w:rsid w:val="00F50ADD"/>
    <w:rsid w:val="00F50CF2"/>
    <w:rsid w:val="00F54118"/>
    <w:rsid w:val="00F542C8"/>
    <w:rsid w:val="00F5512A"/>
    <w:rsid w:val="00F55425"/>
    <w:rsid w:val="00F566AC"/>
    <w:rsid w:val="00F56E68"/>
    <w:rsid w:val="00F57F82"/>
    <w:rsid w:val="00F60E2F"/>
    <w:rsid w:val="00F60F9B"/>
    <w:rsid w:val="00F6130D"/>
    <w:rsid w:val="00F614AF"/>
    <w:rsid w:val="00F6358F"/>
    <w:rsid w:val="00F65BC4"/>
    <w:rsid w:val="00F65C69"/>
    <w:rsid w:val="00F66AAB"/>
    <w:rsid w:val="00F7011F"/>
    <w:rsid w:val="00F70494"/>
    <w:rsid w:val="00F71655"/>
    <w:rsid w:val="00F71E43"/>
    <w:rsid w:val="00F75FD1"/>
    <w:rsid w:val="00F76535"/>
    <w:rsid w:val="00F8045D"/>
    <w:rsid w:val="00F804A0"/>
    <w:rsid w:val="00F819FE"/>
    <w:rsid w:val="00F8255F"/>
    <w:rsid w:val="00F82A79"/>
    <w:rsid w:val="00F82DF7"/>
    <w:rsid w:val="00F8597A"/>
    <w:rsid w:val="00F87014"/>
    <w:rsid w:val="00F877BF"/>
    <w:rsid w:val="00F9368B"/>
    <w:rsid w:val="00F93CD7"/>
    <w:rsid w:val="00F969BF"/>
    <w:rsid w:val="00F972C6"/>
    <w:rsid w:val="00FA11D5"/>
    <w:rsid w:val="00FA3343"/>
    <w:rsid w:val="00FA3B2C"/>
    <w:rsid w:val="00FA5CDA"/>
    <w:rsid w:val="00FA7487"/>
    <w:rsid w:val="00FA749E"/>
    <w:rsid w:val="00FA78E0"/>
    <w:rsid w:val="00FA7D05"/>
    <w:rsid w:val="00FB0350"/>
    <w:rsid w:val="00FB0550"/>
    <w:rsid w:val="00FB0962"/>
    <w:rsid w:val="00FB0B75"/>
    <w:rsid w:val="00FB0BE8"/>
    <w:rsid w:val="00FB16AC"/>
    <w:rsid w:val="00FB2035"/>
    <w:rsid w:val="00FB3D4E"/>
    <w:rsid w:val="00FB43BF"/>
    <w:rsid w:val="00FB4FF2"/>
    <w:rsid w:val="00FB5CBC"/>
    <w:rsid w:val="00FB78E3"/>
    <w:rsid w:val="00FB7A03"/>
    <w:rsid w:val="00FB7DA5"/>
    <w:rsid w:val="00FC0315"/>
    <w:rsid w:val="00FC2D40"/>
    <w:rsid w:val="00FC312B"/>
    <w:rsid w:val="00FD0A7A"/>
    <w:rsid w:val="00FD0ED7"/>
    <w:rsid w:val="00FD1591"/>
    <w:rsid w:val="00FD67D6"/>
    <w:rsid w:val="00FE056C"/>
    <w:rsid w:val="00FE05A0"/>
    <w:rsid w:val="00FE1267"/>
    <w:rsid w:val="00FE430C"/>
    <w:rsid w:val="00FE53A8"/>
    <w:rsid w:val="00FE5B05"/>
    <w:rsid w:val="00FE619A"/>
    <w:rsid w:val="00FE7953"/>
    <w:rsid w:val="00FF0480"/>
    <w:rsid w:val="00FF0576"/>
    <w:rsid w:val="00FF1B18"/>
    <w:rsid w:val="00FF2898"/>
    <w:rsid w:val="00FF29D2"/>
    <w:rsid w:val="00FF2B18"/>
    <w:rsid w:val="00FF2C10"/>
    <w:rsid w:val="00FF3B6C"/>
    <w:rsid w:val="00FF40AB"/>
    <w:rsid w:val="00FF5CD1"/>
    <w:rsid w:val="00FF6E1D"/>
    <w:rsid w:val="00FF73F3"/>
    <w:rsid w:val="00FF7964"/>
    <w:rsid w:val="00FF7D1F"/>
    <w:rsid w:val="05656CF7"/>
    <w:rsid w:val="39403477"/>
    <w:rsid w:val="5B43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B3E48"/>
  <w15:docId w15:val="{DECD7504-FBD0-4ADC-9A10-CFCDE83C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paragraph" w:styleId="1">
    <w:name w:val="heading 1"/>
    <w:basedOn w:val="a0"/>
    <w:next w:val="a0"/>
    <w:link w:val="10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autoRedefine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0"/>
    <w:next w:val="a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autoRedefine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qFormat/>
    <w:pPr>
      <w:keepNext/>
      <w:keepLines/>
      <w:spacing w:before="240" w:after="64" w:line="320" w:lineRule="auto"/>
      <w:outlineLvl w:val="6"/>
    </w:pPr>
    <w:rPr>
      <w:rFonts w:eastAsia="宋体"/>
      <w:b/>
      <w:bCs/>
      <w:sz w:val="24"/>
    </w:rPr>
  </w:style>
  <w:style w:type="paragraph" w:styleId="8">
    <w:name w:val="heading 8"/>
    <w:basedOn w:val="a0"/>
    <w:next w:val="a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autoRedefine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Indent"/>
    <w:basedOn w:val="a0"/>
    <w:autoRedefine/>
    <w:qFormat/>
    <w:pPr>
      <w:ind w:firstLine="420"/>
    </w:pPr>
    <w:rPr>
      <w:rFonts w:eastAsia="宋体"/>
      <w:sz w:val="21"/>
      <w:szCs w:val="20"/>
    </w:rPr>
  </w:style>
  <w:style w:type="paragraph" w:styleId="a5">
    <w:name w:val="Document Map"/>
    <w:basedOn w:val="a0"/>
    <w:semiHidden/>
    <w:pPr>
      <w:shd w:val="clear" w:color="auto" w:fill="000080"/>
    </w:pPr>
  </w:style>
  <w:style w:type="paragraph" w:styleId="a6">
    <w:name w:val="annotation text"/>
    <w:basedOn w:val="a0"/>
    <w:link w:val="11"/>
    <w:autoRedefine/>
    <w:qFormat/>
    <w:pPr>
      <w:jc w:val="left"/>
    </w:pPr>
    <w:rPr>
      <w:lang w:val="zh-CN"/>
    </w:rPr>
  </w:style>
  <w:style w:type="paragraph" w:styleId="a">
    <w:name w:val="Body Text"/>
    <w:basedOn w:val="a0"/>
    <w:autoRedefine/>
    <w:qFormat/>
    <w:pPr>
      <w:numPr>
        <w:numId w:val="1"/>
      </w:numPr>
      <w:spacing w:after="120"/>
    </w:pPr>
    <w:rPr>
      <w:rFonts w:ascii="Calibri" w:eastAsia="宋体" w:hAnsi="Calibri"/>
      <w:sz w:val="21"/>
      <w:szCs w:val="22"/>
    </w:rPr>
  </w:style>
  <w:style w:type="paragraph" w:styleId="a7">
    <w:name w:val="Body Text Indent"/>
    <w:basedOn w:val="a0"/>
    <w:autoRedefine/>
    <w:qFormat/>
    <w:pPr>
      <w:spacing w:after="120"/>
      <w:ind w:leftChars="200" w:left="420"/>
    </w:pPr>
  </w:style>
  <w:style w:type="paragraph" w:styleId="20">
    <w:name w:val="Body Text Indent 2"/>
    <w:basedOn w:val="a0"/>
    <w:link w:val="21"/>
    <w:qFormat/>
    <w:pPr>
      <w:spacing w:after="120" w:line="480" w:lineRule="auto"/>
      <w:ind w:leftChars="200" w:left="420"/>
    </w:pPr>
    <w:rPr>
      <w:rFonts w:eastAsia="宋体"/>
      <w:sz w:val="21"/>
    </w:rPr>
  </w:style>
  <w:style w:type="paragraph" w:styleId="a8">
    <w:name w:val="Balloon Text"/>
    <w:basedOn w:val="a0"/>
    <w:autoRedefine/>
    <w:semiHidden/>
    <w:qFormat/>
    <w:rPr>
      <w:sz w:val="18"/>
      <w:szCs w:val="18"/>
    </w:rPr>
  </w:style>
  <w:style w:type="paragraph" w:styleId="a9">
    <w:name w:val="footer"/>
    <w:basedOn w:val="a0"/>
    <w:link w:val="12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18"/>
      <w:lang w:val="zh-CN"/>
    </w:rPr>
  </w:style>
  <w:style w:type="paragraph" w:styleId="aa">
    <w:name w:val="header"/>
    <w:basedOn w:val="a0"/>
    <w:link w:val="ab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13">
    <w:name w:val="toc 1"/>
    <w:basedOn w:val="a0"/>
    <w:next w:val="a0"/>
    <w:autoRedefine/>
    <w:uiPriority w:val="39"/>
    <w:qFormat/>
  </w:style>
  <w:style w:type="paragraph" w:styleId="ac">
    <w:name w:val="footnote text"/>
    <w:basedOn w:val="a0"/>
    <w:link w:val="ad"/>
    <w:autoRedefine/>
    <w:qFormat/>
    <w:pPr>
      <w:snapToGrid w:val="0"/>
      <w:jc w:val="left"/>
    </w:pPr>
    <w:rPr>
      <w:rFonts w:ascii="Calibri" w:eastAsia="宋体" w:hAnsi="Calibri"/>
      <w:kern w:val="0"/>
      <w:sz w:val="18"/>
      <w:szCs w:val="20"/>
    </w:rPr>
  </w:style>
  <w:style w:type="paragraph" w:styleId="30">
    <w:name w:val="Body Text Indent 3"/>
    <w:basedOn w:val="a0"/>
    <w:autoRedefine/>
    <w:qFormat/>
    <w:pPr>
      <w:spacing w:after="120"/>
      <w:ind w:leftChars="200" w:left="420"/>
    </w:pPr>
    <w:rPr>
      <w:sz w:val="16"/>
      <w:szCs w:val="16"/>
    </w:rPr>
  </w:style>
  <w:style w:type="paragraph" w:styleId="22">
    <w:name w:val="toc 2"/>
    <w:basedOn w:val="a0"/>
    <w:next w:val="a0"/>
    <w:autoRedefine/>
    <w:uiPriority w:val="39"/>
    <w:qFormat/>
    <w:pPr>
      <w:ind w:leftChars="200" w:left="420"/>
    </w:pPr>
  </w:style>
  <w:style w:type="paragraph" w:styleId="ae">
    <w:name w:val="Normal (Web)"/>
    <w:basedOn w:val="a0"/>
    <w:autoRedefine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 w:hint="eastAsia"/>
      <w:color w:val="000000"/>
      <w:kern w:val="0"/>
      <w:sz w:val="24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autoRedefine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autoRedefine/>
    <w:uiPriority w:val="99"/>
    <w:qFormat/>
    <w:rPr>
      <w:color w:val="0000FF"/>
      <w:u w:val="single"/>
    </w:rPr>
  </w:style>
  <w:style w:type="character" w:styleId="af2">
    <w:name w:val="annotation reference"/>
    <w:autoRedefine/>
    <w:qFormat/>
    <w:rPr>
      <w:sz w:val="21"/>
      <w:szCs w:val="21"/>
    </w:rPr>
  </w:style>
  <w:style w:type="character" w:styleId="af3">
    <w:name w:val="footnote reference"/>
    <w:autoRedefine/>
    <w:qFormat/>
    <w:rPr>
      <w:rFonts w:cs="Times New Roman"/>
      <w:vertAlign w:val="superscript"/>
    </w:rPr>
  </w:style>
  <w:style w:type="paragraph" w:customStyle="1" w:styleId="Char2">
    <w:name w:val="Char2"/>
    <w:basedOn w:val="a0"/>
    <w:autoRedefine/>
    <w:qFormat/>
    <w:pPr>
      <w:widowControl/>
      <w:spacing w:after="160" w:line="240" w:lineRule="exact"/>
      <w:jc w:val="left"/>
    </w:pPr>
    <w:rPr>
      <w:rFonts w:ascii="Verdana" w:hAnsi="Verdana"/>
      <w:kern w:val="0"/>
      <w:sz w:val="24"/>
      <w:szCs w:val="20"/>
      <w:lang w:eastAsia="en-US"/>
    </w:rPr>
  </w:style>
  <w:style w:type="paragraph" w:customStyle="1" w:styleId="Char1CharCharChar">
    <w:name w:val="Char1 Char Char Char"/>
    <w:basedOn w:val="a0"/>
    <w:autoRedefine/>
    <w:qFormat/>
    <w:pPr>
      <w:widowControl/>
      <w:spacing w:after="160" w:line="240" w:lineRule="exact"/>
      <w:jc w:val="left"/>
    </w:pPr>
    <w:rPr>
      <w:rFonts w:ascii="Verdana" w:hAnsi="Verdana"/>
      <w:kern w:val="0"/>
      <w:szCs w:val="30"/>
      <w:lang w:eastAsia="en-US"/>
    </w:rPr>
  </w:style>
  <w:style w:type="paragraph" w:customStyle="1" w:styleId="CharCharCharChar">
    <w:name w:val="Char Char Char Char"/>
    <w:basedOn w:val="a0"/>
    <w:autoRedefine/>
    <w:qFormat/>
    <w:pPr>
      <w:numPr>
        <w:numId w:val="2"/>
      </w:numPr>
    </w:pPr>
    <w:rPr>
      <w:rFonts w:eastAsia="宋体"/>
      <w:sz w:val="24"/>
    </w:rPr>
  </w:style>
  <w:style w:type="character" w:customStyle="1" w:styleId="21">
    <w:name w:val="正文文本缩进 2 字符"/>
    <w:link w:val="20"/>
    <w:autoRedefine/>
    <w:qFormat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Char1">
    <w:name w:val="Char1"/>
    <w:basedOn w:val="a0"/>
    <w:autoRedefine/>
    <w:qFormat/>
    <w:rPr>
      <w:rFonts w:ascii="宋体" w:eastAsia="宋体" w:hAnsi="宋体" w:cs="Courier New"/>
      <w:sz w:val="32"/>
      <w:szCs w:val="32"/>
    </w:rPr>
  </w:style>
  <w:style w:type="paragraph" w:customStyle="1" w:styleId="210">
    <w:name w:val="目录 21"/>
    <w:basedOn w:val="a0"/>
    <w:next w:val="a0"/>
    <w:autoRedefine/>
    <w:uiPriority w:val="39"/>
    <w:qFormat/>
    <w:pPr>
      <w:ind w:left="300"/>
      <w:jc w:val="left"/>
    </w:pPr>
    <w:rPr>
      <w:rFonts w:ascii="Calibri" w:hAnsi="Calibri" w:cs="Calibri"/>
      <w:smallCaps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0"/>
    <w:autoRedefine/>
    <w:qFormat/>
    <w:rPr>
      <w:rFonts w:ascii="宋体" w:eastAsia="宋体" w:hAnsi="宋体" w:cs="Courier New"/>
      <w:sz w:val="32"/>
      <w:szCs w:val="32"/>
    </w:rPr>
  </w:style>
  <w:style w:type="character" w:customStyle="1" w:styleId="12">
    <w:name w:val="页脚 字符1"/>
    <w:link w:val="a9"/>
    <w:autoRedefine/>
    <w:uiPriority w:val="99"/>
    <w:qFormat/>
    <w:rPr>
      <w:rFonts w:eastAsia="宋体"/>
      <w:sz w:val="18"/>
      <w:szCs w:val="18"/>
      <w:lang w:val="zh-CN" w:eastAsia="zh-CN" w:bidi="ar-SA"/>
    </w:rPr>
  </w:style>
  <w:style w:type="paragraph" w:customStyle="1" w:styleId="CharCharChar1CharCharCharChar">
    <w:name w:val="Char Char Char1 Char Char Char Char"/>
    <w:basedOn w:val="a0"/>
    <w:autoRedefine/>
    <w:qFormat/>
    <w:rPr>
      <w:rFonts w:ascii="Tahoma" w:eastAsia="宋体" w:hAnsi="Tahoma"/>
      <w:sz w:val="24"/>
      <w:szCs w:val="20"/>
    </w:rPr>
  </w:style>
  <w:style w:type="paragraph" w:customStyle="1" w:styleId="Char1CharChar">
    <w:name w:val="Char1 Char Char"/>
    <w:basedOn w:val="a0"/>
    <w:autoRedefine/>
    <w:qFormat/>
    <w:pPr>
      <w:widowControl/>
      <w:spacing w:after="160" w:line="240" w:lineRule="exact"/>
      <w:jc w:val="left"/>
    </w:pPr>
    <w:rPr>
      <w:rFonts w:ascii="Verdana" w:hAnsi="Verdana"/>
      <w:kern w:val="0"/>
      <w:sz w:val="24"/>
      <w:szCs w:val="20"/>
      <w:lang w:eastAsia="en-US"/>
    </w:rPr>
  </w:style>
  <w:style w:type="character" w:customStyle="1" w:styleId="ab">
    <w:name w:val="页眉 字符"/>
    <w:link w:val="aa"/>
    <w:autoRedefine/>
    <w:uiPriority w:val="99"/>
    <w:qFormat/>
    <w:rPr>
      <w:rFonts w:eastAsia="仿宋_GB2312"/>
      <w:kern w:val="2"/>
      <w:sz w:val="18"/>
      <w:szCs w:val="18"/>
    </w:rPr>
  </w:style>
  <w:style w:type="paragraph" w:customStyle="1" w:styleId="14">
    <w:name w:val="列出段落1"/>
    <w:basedOn w:val="a0"/>
    <w:autoRedefine/>
    <w:uiPriority w:val="34"/>
    <w:qFormat/>
    <w:pPr>
      <w:ind w:firstLineChars="200" w:firstLine="420"/>
    </w:pPr>
  </w:style>
  <w:style w:type="character" w:customStyle="1" w:styleId="11">
    <w:name w:val="批注文字 字符1"/>
    <w:link w:val="a6"/>
    <w:autoRedefine/>
    <w:qFormat/>
    <w:rPr>
      <w:rFonts w:eastAsia="仿宋_GB2312"/>
      <w:kern w:val="2"/>
      <w:sz w:val="30"/>
      <w:szCs w:val="24"/>
    </w:rPr>
  </w:style>
  <w:style w:type="paragraph" w:customStyle="1" w:styleId="15">
    <w:name w:val="修订1"/>
    <w:autoRedefine/>
    <w:hidden/>
    <w:uiPriority w:val="99"/>
    <w:semiHidden/>
    <w:qFormat/>
    <w:rPr>
      <w:rFonts w:eastAsia="仿宋_GB2312"/>
      <w:kern w:val="2"/>
      <w:sz w:val="30"/>
      <w:szCs w:val="24"/>
    </w:rPr>
  </w:style>
  <w:style w:type="character" w:customStyle="1" w:styleId="1Char">
    <w:name w:val="正文1 Char"/>
    <w:link w:val="16"/>
    <w:autoRedefine/>
    <w:qFormat/>
    <w:locked/>
    <w:rPr>
      <w:rFonts w:ascii="宋体" w:eastAsia="仿宋_GB2312" w:hAnsi="宋体"/>
      <w:spacing w:val="6"/>
      <w:sz w:val="24"/>
    </w:rPr>
  </w:style>
  <w:style w:type="paragraph" w:customStyle="1" w:styleId="16">
    <w:name w:val="正文1"/>
    <w:basedOn w:val="a0"/>
    <w:link w:val="1Char"/>
    <w:autoRedefine/>
    <w:qFormat/>
    <w:pPr>
      <w:autoSpaceDE w:val="0"/>
      <w:autoSpaceDN w:val="0"/>
      <w:adjustRightInd w:val="0"/>
      <w:snapToGrid w:val="0"/>
      <w:spacing w:line="600" w:lineRule="exact"/>
      <w:ind w:firstLineChars="200" w:firstLine="624"/>
    </w:pPr>
    <w:rPr>
      <w:rFonts w:ascii="宋体" w:hAnsi="宋体"/>
      <w:spacing w:val="6"/>
      <w:kern w:val="0"/>
      <w:sz w:val="24"/>
      <w:szCs w:val="20"/>
    </w:rPr>
  </w:style>
  <w:style w:type="character" w:customStyle="1" w:styleId="ad">
    <w:name w:val="脚注文本 字符"/>
    <w:link w:val="ac"/>
    <w:qFormat/>
    <w:rPr>
      <w:rFonts w:ascii="Calibri" w:hAnsi="Calibri"/>
      <w:sz w:val="18"/>
    </w:rPr>
  </w:style>
  <w:style w:type="character" w:customStyle="1" w:styleId="10">
    <w:name w:val="标题 1 字符"/>
    <w:link w:val="1"/>
    <w:autoRedefine/>
    <w:qFormat/>
    <w:rPr>
      <w:rFonts w:eastAsia="仿宋_GB2312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0"/>
    <w:autoRedefine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110">
    <w:name w:val="目录 11"/>
    <w:basedOn w:val="a0"/>
    <w:next w:val="a0"/>
    <w:autoRedefine/>
    <w:uiPriority w:val="39"/>
    <w:unhideWhenUsed/>
    <w:qFormat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31">
    <w:name w:val="目录 31"/>
    <w:basedOn w:val="a0"/>
    <w:next w:val="a0"/>
    <w:autoRedefine/>
    <w:uiPriority w:val="39"/>
    <w:unhideWhenUsed/>
    <w:qFormat/>
    <w:pPr>
      <w:ind w:left="60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41">
    <w:name w:val="目录 41"/>
    <w:basedOn w:val="a0"/>
    <w:next w:val="a0"/>
    <w:autoRedefine/>
    <w:qFormat/>
    <w:pPr>
      <w:ind w:left="900"/>
      <w:jc w:val="left"/>
    </w:pPr>
    <w:rPr>
      <w:rFonts w:ascii="Calibri" w:hAnsi="Calibri" w:cs="Calibri"/>
      <w:sz w:val="18"/>
      <w:szCs w:val="18"/>
    </w:rPr>
  </w:style>
  <w:style w:type="paragraph" w:customStyle="1" w:styleId="51">
    <w:name w:val="目录 51"/>
    <w:basedOn w:val="a0"/>
    <w:next w:val="a0"/>
    <w:autoRedefine/>
    <w:qFormat/>
    <w:pPr>
      <w:ind w:left="1200"/>
      <w:jc w:val="left"/>
    </w:pPr>
    <w:rPr>
      <w:rFonts w:ascii="Calibri" w:hAnsi="Calibri" w:cs="Calibri"/>
      <w:sz w:val="18"/>
      <w:szCs w:val="18"/>
    </w:rPr>
  </w:style>
  <w:style w:type="paragraph" w:customStyle="1" w:styleId="61">
    <w:name w:val="目录 61"/>
    <w:basedOn w:val="a0"/>
    <w:next w:val="a0"/>
    <w:autoRedefine/>
    <w:qFormat/>
    <w:pPr>
      <w:ind w:left="1500"/>
      <w:jc w:val="left"/>
    </w:pPr>
    <w:rPr>
      <w:rFonts w:ascii="Calibri" w:hAnsi="Calibri" w:cs="Calibri"/>
      <w:sz w:val="18"/>
      <w:szCs w:val="18"/>
    </w:rPr>
  </w:style>
  <w:style w:type="paragraph" w:customStyle="1" w:styleId="71">
    <w:name w:val="目录 71"/>
    <w:basedOn w:val="a0"/>
    <w:next w:val="a0"/>
    <w:autoRedefine/>
    <w:qFormat/>
    <w:pPr>
      <w:ind w:left="1800"/>
      <w:jc w:val="left"/>
    </w:pPr>
    <w:rPr>
      <w:rFonts w:ascii="Calibri" w:hAnsi="Calibri" w:cs="Calibri"/>
      <w:sz w:val="18"/>
      <w:szCs w:val="18"/>
    </w:rPr>
  </w:style>
  <w:style w:type="paragraph" w:customStyle="1" w:styleId="81">
    <w:name w:val="目录 81"/>
    <w:basedOn w:val="a0"/>
    <w:next w:val="a0"/>
    <w:autoRedefine/>
    <w:qFormat/>
    <w:pPr>
      <w:ind w:left="2100"/>
      <w:jc w:val="left"/>
    </w:pPr>
    <w:rPr>
      <w:rFonts w:ascii="Calibri" w:hAnsi="Calibri" w:cs="Calibri"/>
      <w:sz w:val="18"/>
      <w:szCs w:val="18"/>
    </w:rPr>
  </w:style>
  <w:style w:type="paragraph" w:customStyle="1" w:styleId="91">
    <w:name w:val="目录 91"/>
    <w:basedOn w:val="a0"/>
    <w:next w:val="a0"/>
    <w:autoRedefine/>
    <w:qFormat/>
    <w:pPr>
      <w:ind w:left="2400"/>
      <w:jc w:val="left"/>
    </w:pPr>
    <w:rPr>
      <w:rFonts w:ascii="Calibri" w:hAnsi="Calibri" w:cs="Calibri"/>
      <w:sz w:val="18"/>
      <w:szCs w:val="18"/>
    </w:rPr>
  </w:style>
  <w:style w:type="character" w:customStyle="1" w:styleId="211">
    <w:name w:val="正文文本缩进 2 字符1"/>
    <w:autoRedefine/>
    <w:qFormat/>
    <w:rPr>
      <w:kern w:val="2"/>
      <w:sz w:val="21"/>
      <w:szCs w:val="24"/>
    </w:rPr>
  </w:style>
  <w:style w:type="character" w:customStyle="1" w:styleId="af4">
    <w:name w:val="批注文字 字符"/>
    <w:basedOn w:val="a1"/>
    <w:autoRedefine/>
    <w:qFormat/>
  </w:style>
  <w:style w:type="character" w:customStyle="1" w:styleId="af5">
    <w:name w:val="页脚 字符"/>
    <w:basedOn w:val="a1"/>
    <w:autoRedefine/>
    <w:uiPriority w:val="99"/>
    <w:qFormat/>
  </w:style>
  <w:style w:type="paragraph" w:styleId="af6">
    <w:name w:val="List Paragraph"/>
    <w:basedOn w:val="a0"/>
    <w:autoRedefine/>
    <w:uiPriority w:val="34"/>
    <w:qFormat/>
    <w:pPr>
      <w:ind w:firstLineChars="200" w:firstLine="420"/>
    </w:pPr>
  </w:style>
  <w:style w:type="character" w:customStyle="1" w:styleId="150">
    <w:name w:val="15"/>
    <w:basedOn w:val="a1"/>
    <w:autoRedefine/>
    <w:qFormat/>
    <w:rPr>
      <w:rFonts w:ascii="仿宋_GB2312" w:eastAsia="仿宋_GB2312" w:hint="eastAsia"/>
      <w:color w:val="000000"/>
      <w:sz w:val="32"/>
      <w:szCs w:val="32"/>
    </w:rPr>
  </w:style>
  <w:style w:type="paragraph" w:customStyle="1" w:styleId="23">
    <w:name w:val="正文2"/>
    <w:autoRedefine/>
    <w:qFormat/>
    <w:pPr>
      <w:jc w:val="both"/>
    </w:pPr>
    <w:rPr>
      <w:rFonts w:ascii="Calibri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5854D-1E70-4C49-B5F4-9B9AE7D7A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15</Pages>
  <Words>1166</Words>
  <Characters>6647</Characters>
  <Application>Microsoft Office Word</Application>
  <DocSecurity>0</DocSecurity>
  <Lines>55</Lines>
  <Paragraphs>15</Paragraphs>
  <ScaleCrop>false</ScaleCrop>
  <Company>Microsoft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CW</cp:lastModifiedBy>
  <cp:revision>174</cp:revision>
  <cp:lastPrinted>2022-05-17T07:30:00Z</cp:lastPrinted>
  <dcterms:created xsi:type="dcterms:W3CDTF">2023-05-29T10:16:00Z</dcterms:created>
  <dcterms:modified xsi:type="dcterms:W3CDTF">2024-08-23T03:13:00Z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EBC434FC04AD4746BEAB20B3DA64DF99_12</vt:lpwstr>
  </property>
</Properties>
</file>