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AD6" w:rsidRDefault="004E5AD6">
      <w:pPr>
        <w:spacing w:line="560" w:lineRule="exact"/>
        <w:jc w:val="center"/>
        <w:rPr>
          <w:rFonts w:ascii="方正小标宋简体" w:eastAsia="方正小标宋简体"/>
          <w:sz w:val="36"/>
          <w:szCs w:val="36"/>
        </w:rPr>
      </w:pPr>
    </w:p>
    <w:p w:rsidR="004E5AD6" w:rsidRDefault="004E5AD6">
      <w:pPr>
        <w:spacing w:line="560" w:lineRule="exact"/>
        <w:jc w:val="center"/>
        <w:rPr>
          <w:rFonts w:ascii="方正小标宋简体" w:eastAsia="方正小标宋简体"/>
          <w:sz w:val="36"/>
          <w:szCs w:val="36"/>
        </w:rPr>
      </w:pPr>
    </w:p>
    <w:p w:rsidR="004E5AD6" w:rsidRDefault="004E5AD6">
      <w:pPr>
        <w:spacing w:line="560" w:lineRule="exact"/>
        <w:jc w:val="center"/>
        <w:rPr>
          <w:rFonts w:ascii="方正小标宋简体" w:eastAsia="方正小标宋简体"/>
          <w:sz w:val="36"/>
          <w:szCs w:val="36"/>
        </w:rPr>
      </w:pPr>
    </w:p>
    <w:p w:rsidR="004E5AD6" w:rsidRDefault="004E5AD6">
      <w:pPr>
        <w:spacing w:line="560" w:lineRule="exact"/>
        <w:jc w:val="center"/>
        <w:rPr>
          <w:rFonts w:ascii="方正小标宋简体" w:eastAsia="方正小标宋简体"/>
          <w:sz w:val="36"/>
          <w:szCs w:val="36"/>
        </w:rPr>
      </w:pPr>
    </w:p>
    <w:p w:rsidR="004E5AD6" w:rsidRDefault="004E5AD6">
      <w:pPr>
        <w:spacing w:line="560" w:lineRule="exact"/>
        <w:jc w:val="center"/>
        <w:rPr>
          <w:rFonts w:ascii="方正小标宋简体" w:eastAsia="方正小标宋简体"/>
          <w:sz w:val="36"/>
          <w:szCs w:val="36"/>
        </w:rPr>
      </w:pPr>
    </w:p>
    <w:p w:rsidR="004E5AD6" w:rsidRDefault="004E5AD6">
      <w:pPr>
        <w:spacing w:line="560" w:lineRule="exact"/>
        <w:jc w:val="center"/>
        <w:rPr>
          <w:rFonts w:ascii="方正小标宋简体" w:eastAsia="方正小标宋简体"/>
          <w:sz w:val="36"/>
          <w:szCs w:val="36"/>
        </w:rPr>
      </w:pPr>
    </w:p>
    <w:p w:rsidR="004E5AD6" w:rsidRDefault="004C48E5">
      <w:pPr>
        <w:adjustRightInd w:val="0"/>
        <w:snapToGrid w:val="0"/>
        <w:spacing w:line="360" w:lineRule="auto"/>
        <w:jc w:val="center"/>
        <w:rPr>
          <w:rFonts w:ascii="黑体" w:eastAsia="黑体" w:hAnsi="黑体"/>
          <w:b/>
          <w:sz w:val="56"/>
          <w:szCs w:val="56"/>
          <w:lang w:val="zh-CN"/>
        </w:rPr>
      </w:pPr>
      <w:r>
        <w:rPr>
          <w:rFonts w:ascii="黑体" w:eastAsia="黑体" w:hAnsi="黑体" w:hint="eastAsia"/>
          <w:b/>
          <w:sz w:val="56"/>
          <w:szCs w:val="56"/>
          <w:lang w:val="zh-CN"/>
        </w:rPr>
        <w:t>北京市人民政府参事室</w:t>
      </w:r>
    </w:p>
    <w:p w:rsidR="004E5AD6" w:rsidRDefault="004C48E5">
      <w:pPr>
        <w:adjustRightInd w:val="0"/>
        <w:snapToGrid w:val="0"/>
        <w:spacing w:line="360" w:lineRule="auto"/>
        <w:jc w:val="center"/>
        <w:rPr>
          <w:rFonts w:ascii="黑体" w:eastAsia="黑体" w:hAnsi="黑体"/>
          <w:b/>
          <w:sz w:val="56"/>
          <w:szCs w:val="56"/>
          <w:lang w:val="zh-CN"/>
        </w:rPr>
      </w:pPr>
      <w:r>
        <w:rPr>
          <w:rFonts w:ascii="黑体" w:eastAsia="黑体" w:hAnsi="黑体" w:hint="eastAsia"/>
          <w:b/>
          <w:sz w:val="56"/>
          <w:szCs w:val="56"/>
          <w:lang w:val="zh-CN"/>
        </w:rPr>
        <w:t>2</w:t>
      </w:r>
      <w:r>
        <w:rPr>
          <w:rFonts w:ascii="黑体" w:eastAsia="黑体" w:hAnsi="黑体"/>
          <w:b/>
          <w:sz w:val="56"/>
          <w:szCs w:val="56"/>
          <w:lang w:val="zh-CN"/>
        </w:rPr>
        <w:t>02</w:t>
      </w:r>
      <w:r>
        <w:rPr>
          <w:rFonts w:ascii="黑体" w:eastAsia="黑体" w:hAnsi="黑体" w:hint="eastAsia"/>
          <w:b/>
          <w:sz w:val="56"/>
          <w:szCs w:val="56"/>
          <w:lang w:val="zh-CN"/>
        </w:rPr>
        <w:t>3</w:t>
      </w:r>
      <w:r w:rsidR="00BF65C8">
        <w:rPr>
          <w:rFonts w:ascii="黑体" w:eastAsia="黑体" w:hAnsi="黑体" w:hint="eastAsia"/>
          <w:b/>
          <w:sz w:val="56"/>
          <w:szCs w:val="56"/>
          <w:lang w:val="zh-CN"/>
        </w:rPr>
        <w:t>年</w:t>
      </w:r>
      <w:r>
        <w:rPr>
          <w:rFonts w:ascii="黑体" w:eastAsia="黑体" w:hAnsi="黑体" w:hint="eastAsia"/>
          <w:b/>
          <w:sz w:val="56"/>
          <w:szCs w:val="56"/>
          <w:lang w:val="zh-CN"/>
        </w:rPr>
        <w:t>部门整体绩效评价报告</w:t>
      </w:r>
    </w:p>
    <w:p w:rsidR="004E5AD6" w:rsidRDefault="004E5AD6">
      <w:pPr>
        <w:spacing w:line="560" w:lineRule="exact"/>
        <w:jc w:val="center"/>
        <w:rPr>
          <w:rFonts w:ascii="方正小标宋简体" w:eastAsia="方正小标宋简体"/>
          <w:sz w:val="36"/>
          <w:szCs w:val="36"/>
        </w:rPr>
      </w:pPr>
    </w:p>
    <w:p w:rsidR="004E5AD6" w:rsidRDefault="004E5AD6">
      <w:pPr>
        <w:spacing w:line="560" w:lineRule="exact"/>
        <w:jc w:val="center"/>
        <w:rPr>
          <w:rFonts w:ascii="方正小标宋简体" w:eastAsia="方正小标宋简体"/>
          <w:sz w:val="36"/>
          <w:szCs w:val="36"/>
        </w:rPr>
      </w:pPr>
    </w:p>
    <w:p w:rsidR="004E5AD6" w:rsidRDefault="004E5AD6">
      <w:pPr>
        <w:spacing w:line="560" w:lineRule="exact"/>
        <w:jc w:val="center"/>
        <w:rPr>
          <w:rFonts w:ascii="方正小标宋简体" w:eastAsia="方正小标宋简体"/>
          <w:sz w:val="36"/>
          <w:szCs w:val="36"/>
        </w:rPr>
      </w:pPr>
    </w:p>
    <w:p w:rsidR="004E5AD6" w:rsidRDefault="004E5AD6">
      <w:pPr>
        <w:spacing w:line="560" w:lineRule="exact"/>
        <w:jc w:val="center"/>
        <w:rPr>
          <w:rFonts w:ascii="方正小标宋简体" w:eastAsia="方正小标宋简体"/>
          <w:sz w:val="36"/>
          <w:szCs w:val="36"/>
        </w:rPr>
      </w:pPr>
    </w:p>
    <w:p w:rsidR="004E5AD6" w:rsidRDefault="004E5AD6">
      <w:pPr>
        <w:spacing w:line="560" w:lineRule="exact"/>
        <w:jc w:val="center"/>
        <w:rPr>
          <w:rFonts w:ascii="方正小标宋简体" w:eastAsia="方正小标宋简体"/>
          <w:sz w:val="36"/>
          <w:szCs w:val="36"/>
        </w:rPr>
      </w:pPr>
    </w:p>
    <w:p w:rsidR="004E5AD6" w:rsidRDefault="004E5AD6">
      <w:pPr>
        <w:spacing w:line="560" w:lineRule="exact"/>
        <w:jc w:val="center"/>
        <w:rPr>
          <w:rFonts w:ascii="方正小标宋简体" w:eastAsia="方正小标宋简体"/>
          <w:sz w:val="36"/>
          <w:szCs w:val="36"/>
        </w:rPr>
      </w:pPr>
    </w:p>
    <w:p w:rsidR="004E5AD6" w:rsidRDefault="004E5AD6">
      <w:pPr>
        <w:spacing w:line="560" w:lineRule="exact"/>
        <w:jc w:val="center"/>
        <w:rPr>
          <w:rFonts w:ascii="方正小标宋简体" w:eastAsia="方正小标宋简体"/>
          <w:sz w:val="36"/>
          <w:szCs w:val="36"/>
        </w:rPr>
      </w:pPr>
    </w:p>
    <w:p w:rsidR="004E5AD6" w:rsidRDefault="004E5AD6">
      <w:pPr>
        <w:spacing w:line="560" w:lineRule="exact"/>
        <w:jc w:val="center"/>
        <w:rPr>
          <w:rFonts w:ascii="方正小标宋简体" w:eastAsia="方正小标宋简体"/>
          <w:sz w:val="36"/>
          <w:szCs w:val="36"/>
        </w:rPr>
      </w:pPr>
    </w:p>
    <w:p w:rsidR="004E5AD6" w:rsidRDefault="004E5AD6">
      <w:pPr>
        <w:spacing w:line="560" w:lineRule="exact"/>
        <w:jc w:val="center"/>
        <w:rPr>
          <w:rFonts w:ascii="方正小标宋简体" w:eastAsia="方正小标宋简体"/>
          <w:sz w:val="36"/>
          <w:szCs w:val="36"/>
        </w:rPr>
      </w:pPr>
    </w:p>
    <w:p w:rsidR="004E5AD6" w:rsidRDefault="004E5AD6">
      <w:pPr>
        <w:spacing w:line="560" w:lineRule="exact"/>
        <w:jc w:val="center"/>
        <w:rPr>
          <w:rFonts w:ascii="方正小标宋简体" w:eastAsia="方正小标宋简体"/>
          <w:sz w:val="36"/>
          <w:szCs w:val="36"/>
        </w:rPr>
      </w:pPr>
    </w:p>
    <w:p w:rsidR="004E5AD6" w:rsidRDefault="004E5AD6">
      <w:pPr>
        <w:spacing w:line="560" w:lineRule="exact"/>
        <w:jc w:val="center"/>
        <w:rPr>
          <w:rFonts w:ascii="方正小标宋简体" w:eastAsia="方正小标宋简体"/>
          <w:sz w:val="36"/>
          <w:szCs w:val="36"/>
        </w:rPr>
      </w:pPr>
    </w:p>
    <w:p w:rsidR="004E5AD6" w:rsidRDefault="004E5AD6">
      <w:pPr>
        <w:spacing w:line="560" w:lineRule="exact"/>
        <w:ind w:leftChars="600" w:left="1260"/>
        <w:jc w:val="center"/>
        <w:rPr>
          <w:rFonts w:ascii="方正小标宋简体" w:eastAsia="方正小标宋简体"/>
          <w:sz w:val="36"/>
          <w:szCs w:val="36"/>
        </w:rPr>
      </w:pPr>
    </w:p>
    <w:p w:rsidR="004E5AD6" w:rsidRDefault="004C48E5">
      <w:pPr>
        <w:spacing w:line="560" w:lineRule="exact"/>
        <w:jc w:val="center"/>
        <w:rPr>
          <w:rFonts w:ascii="仿宋_GB2312" w:eastAsia="仿宋_GB2312"/>
          <w:b/>
          <w:bCs/>
          <w:sz w:val="32"/>
          <w:szCs w:val="32"/>
        </w:rPr>
      </w:pPr>
      <w:r>
        <w:rPr>
          <w:rFonts w:ascii="仿宋_GB2312" w:eastAsia="仿宋_GB2312" w:hint="eastAsia"/>
          <w:b/>
          <w:bCs/>
          <w:sz w:val="32"/>
          <w:szCs w:val="32"/>
        </w:rPr>
        <w:t>填报时间：2024年5月</w:t>
      </w:r>
    </w:p>
    <w:p w:rsidR="004E5AD6" w:rsidRDefault="004E5AD6">
      <w:pPr>
        <w:spacing w:line="560" w:lineRule="exact"/>
        <w:jc w:val="center"/>
        <w:rPr>
          <w:rFonts w:ascii="方正小标宋简体" w:eastAsia="方正小标宋简体"/>
          <w:sz w:val="36"/>
          <w:szCs w:val="36"/>
        </w:rPr>
        <w:sectPr w:rsidR="004E5AD6">
          <w:footerReference w:type="default" r:id="rId6"/>
          <w:pgSz w:w="11906" w:h="16838"/>
          <w:pgMar w:top="1440" w:right="1800" w:bottom="1440" w:left="1800" w:header="851" w:footer="964" w:gutter="0"/>
          <w:pgNumType w:start="1"/>
          <w:cols w:space="425"/>
          <w:docGrid w:type="lines" w:linePitch="435"/>
        </w:sectPr>
      </w:pPr>
    </w:p>
    <w:p w:rsidR="004E5AD6" w:rsidRDefault="004C48E5">
      <w:pPr>
        <w:spacing w:line="560" w:lineRule="exact"/>
        <w:jc w:val="center"/>
        <w:rPr>
          <w:rFonts w:ascii="方正小标宋简体" w:eastAsia="方正小标宋简体"/>
          <w:sz w:val="36"/>
          <w:szCs w:val="36"/>
        </w:rPr>
      </w:pPr>
      <w:r>
        <w:rPr>
          <w:rFonts w:ascii="方正小标宋简体" w:eastAsia="方正小标宋简体" w:hint="eastAsia"/>
          <w:sz w:val="36"/>
          <w:szCs w:val="36"/>
        </w:rPr>
        <w:lastRenderedPageBreak/>
        <w:t>北京市人民政府参事室</w:t>
      </w:r>
    </w:p>
    <w:p w:rsidR="004E5AD6" w:rsidRDefault="004C48E5">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2</w:t>
      </w:r>
      <w:r>
        <w:rPr>
          <w:rFonts w:ascii="方正小标宋简体" w:eastAsia="方正小标宋简体"/>
          <w:sz w:val="36"/>
          <w:szCs w:val="36"/>
        </w:rPr>
        <w:t>02</w:t>
      </w:r>
      <w:r>
        <w:rPr>
          <w:rFonts w:ascii="方正小标宋简体" w:eastAsia="方正小标宋简体" w:hint="eastAsia"/>
          <w:sz w:val="36"/>
          <w:szCs w:val="36"/>
        </w:rPr>
        <w:t>3年部门整体绩效评价报告</w:t>
      </w:r>
    </w:p>
    <w:p w:rsidR="004E5AD6" w:rsidRDefault="004E5AD6">
      <w:pPr>
        <w:jc w:val="center"/>
        <w:rPr>
          <w:rFonts w:ascii="仿宋_GB2312"/>
          <w:szCs w:val="30"/>
        </w:rPr>
      </w:pPr>
    </w:p>
    <w:p w:rsidR="004E5AD6" w:rsidRDefault="004C48E5">
      <w:pPr>
        <w:adjustRightInd w:val="0"/>
        <w:snapToGrid w:val="0"/>
        <w:spacing w:line="56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4E5AD6" w:rsidRDefault="004C48E5">
      <w:pPr>
        <w:adjustRightInd w:val="0"/>
        <w:snapToGrid w:val="0"/>
        <w:spacing w:line="560" w:lineRule="exact"/>
        <w:ind w:firstLineChars="200" w:firstLine="640"/>
        <w:outlineLvl w:val="1"/>
        <w:rPr>
          <w:rFonts w:ascii="楷体_GB2312" w:eastAsia="楷体_GB2312"/>
          <w:sz w:val="32"/>
          <w:szCs w:val="32"/>
        </w:rPr>
      </w:pPr>
      <w:r>
        <w:rPr>
          <w:rFonts w:ascii="楷体_GB2312" w:eastAsia="楷体_GB2312" w:hint="eastAsia"/>
          <w:sz w:val="32"/>
          <w:szCs w:val="32"/>
        </w:rPr>
        <w:t>（一）机构设置及职责工作任务情况</w:t>
      </w:r>
    </w:p>
    <w:p w:rsidR="004E5AD6" w:rsidRDefault="004C48E5">
      <w:pPr>
        <w:adjustRightInd w:val="0"/>
        <w:snapToGrid w:val="0"/>
        <w:spacing w:line="560" w:lineRule="exact"/>
        <w:ind w:firstLineChars="200" w:firstLine="643"/>
        <w:outlineLvl w:val="2"/>
        <w:rPr>
          <w:rFonts w:ascii="仿宋_GB2312" w:eastAsia="仿宋_GB2312" w:hAnsi="仿宋"/>
          <w:b/>
          <w:bCs/>
          <w:sz w:val="32"/>
          <w:szCs w:val="32"/>
        </w:rPr>
      </w:pPr>
      <w:r>
        <w:rPr>
          <w:rFonts w:ascii="仿宋_GB2312" w:eastAsia="仿宋_GB2312" w:hAnsi="仿宋" w:hint="eastAsia"/>
          <w:b/>
          <w:bCs/>
          <w:sz w:val="32"/>
          <w:szCs w:val="32"/>
        </w:rPr>
        <w:t>1</w:t>
      </w:r>
      <w:r>
        <w:rPr>
          <w:rFonts w:ascii="仿宋_GB2312" w:eastAsia="仿宋_GB2312" w:hAnsi="仿宋"/>
          <w:b/>
          <w:bCs/>
          <w:sz w:val="32"/>
          <w:szCs w:val="32"/>
        </w:rPr>
        <w:t>.</w:t>
      </w:r>
      <w:r>
        <w:rPr>
          <w:rFonts w:ascii="仿宋_GB2312" w:eastAsia="仿宋_GB2312" w:hAnsi="仿宋" w:hint="eastAsia"/>
          <w:b/>
          <w:bCs/>
          <w:sz w:val="32"/>
          <w:szCs w:val="32"/>
        </w:rPr>
        <w:t>部门职责</w:t>
      </w:r>
    </w:p>
    <w:p w:rsidR="004E5AD6" w:rsidRDefault="004C48E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北京市人民政府参事室(简称“市政府参事室”)是北京市政府直属机构，与北京市文史研究馆(简称“市文史馆”)合署办公。市政府参事室贯彻落实党中央关于参事工作的方针政策、决策部署和北京市委有关工作要求，在履行职责过程中坚持和加强党对参事工作的集中统一领导，主要职责包括：（1）组织市政府参事对政府有关政策的实施情况进行调查研究、参政咨询，向市政府提出意见和建议；（2）组织市政府参事参与本市有关地方性法规草案的研究；（3）贯彻执行党的统一战线政策，支持、组织市政府参事和市文史馆馆员参加爱国统一战线工作；（4）组织市政府参事、市文史馆馆员及时了解和掌握党中央、国务院的方针政策及市委、市政府的决策部署；（5）支持市政府参事、市文史馆馆员同社会各界人士的联系，了解和反映社情民意；（6）组织市政府参事开展同国外相关机构交流与合作，组织市文史馆馆员开展对外文化交流等活动；（7）负责为市政府参事、市文史馆馆员履行职责提供服务；（8）承办市政府参事、市文史馆馆员的选聘工作；（9）完成市委、市政府交办的其他任务。</w:t>
      </w:r>
    </w:p>
    <w:p w:rsidR="004E5AD6" w:rsidRDefault="004C48E5">
      <w:pPr>
        <w:adjustRightInd w:val="0"/>
        <w:snapToGrid w:val="0"/>
        <w:spacing w:line="560" w:lineRule="exact"/>
        <w:ind w:firstLineChars="200" w:firstLine="643"/>
        <w:outlineLvl w:val="2"/>
        <w:rPr>
          <w:rFonts w:ascii="仿宋_GB2312" w:eastAsia="仿宋_GB2312" w:hAnsi="仿宋"/>
          <w:b/>
          <w:bCs/>
          <w:sz w:val="32"/>
          <w:szCs w:val="32"/>
        </w:rPr>
      </w:pPr>
      <w:r>
        <w:rPr>
          <w:rFonts w:ascii="仿宋_GB2312" w:eastAsia="仿宋_GB2312" w:hAnsi="仿宋" w:hint="eastAsia"/>
          <w:b/>
          <w:bCs/>
          <w:sz w:val="32"/>
          <w:szCs w:val="32"/>
        </w:rPr>
        <w:t>2</w:t>
      </w:r>
      <w:r>
        <w:rPr>
          <w:rFonts w:ascii="仿宋_GB2312" w:eastAsia="仿宋_GB2312" w:hAnsi="仿宋"/>
          <w:b/>
          <w:bCs/>
          <w:sz w:val="32"/>
          <w:szCs w:val="32"/>
        </w:rPr>
        <w:t>.</w:t>
      </w:r>
      <w:r>
        <w:rPr>
          <w:rFonts w:ascii="仿宋_GB2312" w:eastAsia="仿宋_GB2312" w:hAnsi="仿宋" w:hint="eastAsia"/>
          <w:b/>
          <w:bCs/>
          <w:sz w:val="32"/>
          <w:szCs w:val="32"/>
        </w:rPr>
        <w:t>机构设置</w:t>
      </w:r>
    </w:p>
    <w:p w:rsidR="004E5AD6" w:rsidRPr="002E52C8" w:rsidRDefault="002E52C8" w:rsidP="002E52C8">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市政府参事室</w:t>
      </w:r>
      <w:proofErr w:type="gramStart"/>
      <w:r>
        <w:rPr>
          <w:rFonts w:ascii="仿宋_GB2312" w:eastAsia="仿宋_GB2312" w:hAnsi="仿宋" w:hint="eastAsia"/>
          <w:sz w:val="32"/>
          <w:szCs w:val="32"/>
        </w:rPr>
        <w:t>设下列</w:t>
      </w:r>
      <w:proofErr w:type="gramEnd"/>
      <w:r>
        <w:rPr>
          <w:rFonts w:ascii="仿宋_GB2312" w:eastAsia="仿宋_GB2312" w:hAnsi="仿宋" w:hint="eastAsia"/>
          <w:sz w:val="32"/>
          <w:szCs w:val="32"/>
        </w:rPr>
        <w:t>内设机构：秘书处，人事处，参事</w:t>
      </w:r>
      <w:r>
        <w:rPr>
          <w:rFonts w:ascii="仿宋_GB2312" w:eastAsia="仿宋_GB2312" w:hAnsi="仿宋" w:hint="eastAsia"/>
          <w:sz w:val="32"/>
          <w:szCs w:val="32"/>
        </w:rPr>
        <w:lastRenderedPageBreak/>
        <w:t>处，文史处，机关党委单独设立；内设事业单位1个：文史研究中心。内设机构及事业单位具体职责情况见表1。</w:t>
      </w:r>
    </w:p>
    <w:p w:rsidR="004E5AD6" w:rsidRDefault="004C48E5">
      <w:pPr>
        <w:adjustRightInd w:val="0"/>
        <w:snapToGrid w:val="0"/>
        <w:spacing w:line="560" w:lineRule="exact"/>
        <w:jc w:val="center"/>
        <w:rPr>
          <w:rFonts w:ascii="黑体" w:eastAsia="黑体" w:hAnsi="黑体" w:cs="宋体"/>
          <w:color w:val="000000"/>
          <w:kern w:val="0"/>
          <w:sz w:val="28"/>
          <w:szCs w:val="28"/>
        </w:rPr>
      </w:pPr>
      <w:r>
        <w:rPr>
          <w:rFonts w:ascii="黑体" w:eastAsia="黑体" w:hAnsi="黑体" w:cs="宋体" w:hint="eastAsia"/>
          <w:color w:val="000000"/>
          <w:kern w:val="0"/>
          <w:sz w:val="28"/>
          <w:szCs w:val="28"/>
        </w:rPr>
        <w:t>表1：内设机构职责情况表</w:t>
      </w:r>
    </w:p>
    <w:tbl>
      <w:tblPr>
        <w:tblStyle w:val="ae"/>
        <w:tblW w:w="5000" w:type="pct"/>
        <w:jc w:val="center"/>
        <w:tblCellMar>
          <w:left w:w="28" w:type="dxa"/>
          <w:right w:w="28" w:type="dxa"/>
        </w:tblCellMar>
        <w:tblLook w:val="04A0" w:firstRow="1" w:lastRow="0" w:firstColumn="1" w:lastColumn="0" w:noHBand="0" w:noVBand="1"/>
      </w:tblPr>
      <w:tblGrid>
        <w:gridCol w:w="563"/>
        <w:gridCol w:w="1133"/>
        <w:gridCol w:w="6600"/>
      </w:tblGrid>
      <w:tr w:rsidR="004E5AD6">
        <w:trPr>
          <w:trHeight w:val="454"/>
          <w:tblHeader/>
          <w:jc w:val="center"/>
        </w:trPr>
        <w:tc>
          <w:tcPr>
            <w:tcW w:w="339" w:type="pct"/>
            <w:vAlign w:val="center"/>
          </w:tcPr>
          <w:p w:rsidR="004E5AD6" w:rsidRDefault="004C48E5">
            <w:pPr>
              <w:pStyle w:val="ab"/>
              <w:widowControl/>
              <w:adjustRightInd w:val="0"/>
              <w:snapToGrid w:val="0"/>
              <w:spacing w:beforeAutospacing="0" w:afterAutospacing="0"/>
              <w:jc w:val="center"/>
              <w:rPr>
                <w:rFonts w:ascii="宋体" w:hAnsi="宋体"/>
                <w:b/>
                <w:bCs/>
                <w:kern w:val="2"/>
                <w:sz w:val="22"/>
                <w:szCs w:val="22"/>
              </w:rPr>
            </w:pPr>
            <w:r>
              <w:rPr>
                <w:rFonts w:ascii="宋体" w:hAnsi="宋体" w:hint="eastAsia"/>
                <w:b/>
                <w:bCs/>
                <w:kern w:val="2"/>
                <w:sz w:val="22"/>
                <w:szCs w:val="22"/>
              </w:rPr>
              <w:t>序号</w:t>
            </w:r>
          </w:p>
        </w:tc>
        <w:tc>
          <w:tcPr>
            <w:tcW w:w="683" w:type="pct"/>
            <w:vAlign w:val="center"/>
          </w:tcPr>
          <w:p w:rsidR="004E5AD6" w:rsidRDefault="004C48E5">
            <w:pPr>
              <w:pStyle w:val="ab"/>
              <w:widowControl/>
              <w:adjustRightInd w:val="0"/>
              <w:snapToGrid w:val="0"/>
              <w:spacing w:beforeAutospacing="0" w:afterAutospacing="0"/>
              <w:jc w:val="center"/>
              <w:rPr>
                <w:rFonts w:ascii="宋体" w:hAnsi="宋体"/>
                <w:b/>
                <w:bCs/>
                <w:kern w:val="2"/>
                <w:sz w:val="22"/>
                <w:szCs w:val="22"/>
              </w:rPr>
            </w:pPr>
            <w:r>
              <w:rPr>
                <w:rFonts w:ascii="宋体" w:hAnsi="宋体" w:hint="eastAsia"/>
                <w:b/>
                <w:bCs/>
                <w:kern w:val="2"/>
                <w:sz w:val="22"/>
                <w:szCs w:val="22"/>
              </w:rPr>
              <w:t>机构/事业单位名称</w:t>
            </w:r>
          </w:p>
        </w:tc>
        <w:tc>
          <w:tcPr>
            <w:tcW w:w="3978" w:type="pct"/>
            <w:vAlign w:val="center"/>
          </w:tcPr>
          <w:p w:rsidR="004E5AD6" w:rsidRDefault="004C48E5">
            <w:pPr>
              <w:pStyle w:val="ab"/>
              <w:widowControl/>
              <w:adjustRightInd w:val="0"/>
              <w:snapToGrid w:val="0"/>
              <w:spacing w:beforeAutospacing="0" w:afterAutospacing="0"/>
              <w:jc w:val="center"/>
              <w:rPr>
                <w:rFonts w:ascii="宋体" w:hAnsi="宋体"/>
                <w:b/>
                <w:bCs/>
                <w:kern w:val="2"/>
                <w:sz w:val="22"/>
                <w:szCs w:val="22"/>
              </w:rPr>
            </w:pPr>
            <w:r>
              <w:rPr>
                <w:rFonts w:ascii="宋体" w:hAnsi="宋体" w:hint="eastAsia"/>
                <w:b/>
                <w:bCs/>
                <w:kern w:val="2"/>
                <w:sz w:val="22"/>
                <w:szCs w:val="22"/>
              </w:rPr>
              <w:t>具体职责</w:t>
            </w:r>
          </w:p>
        </w:tc>
      </w:tr>
      <w:tr w:rsidR="004E5AD6">
        <w:trPr>
          <w:trHeight w:val="454"/>
          <w:jc w:val="center"/>
        </w:trPr>
        <w:tc>
          <w:tcPr>
            <w:tcW w:w="339" w:type="pct"/>
            <w:vAlign w:val="center"/>
          </w:tcPr>
          <w:p w:rsidR="004E5AD6" w:rsidRDefault="004C48E5">
            <w:pPr>
              <w:pStyle w:val="ab"/>
              <w:widowControl/>
              <w:adjustRightInd w:val="0"/>
              <w:snapToGrid w:val="0"/>
              <w:spacing w:beforeAutospacing="0" w:afterAutospacing="0"/>
              <w:jc w:val="center"/>
              <w:rPr>
                <w:rFonts w:ascii="宋体" w:hAnsi="宋体"/>
                <w:kern w:val="2"/>
                <w:sz w:val="22"/>
                <w:szCs w:val="22"/>
              </w:rPr>
            </w:pPr>
            <w:r>
              <w:rPr>
                <w:rFonts w:ascii="宋体" w:hAnsi="宋体" w:hint="eastAsia"/>
                <w:kern w:val="2"/>
                <w:sz w:val="22"/>
                <w:szCs w:val="22"/>
              </w:rPr>
              <w:t>1</w:t>
            </w:r>
          </w:p>
        </w:tc>
        <w:tc>
          <w:tcPr>
            <w:tcW w:w="683" w:type="pct"/>
            <w:vAlign w:val="center"/>
          </w:tcPr>
          <w:p w:rsidR="004E5AD6" w:rsidRDefault="004C48E5">
            <w:pPr>
              <w:pStyle w:val="ab"/>
              <w:widowControl/>
              <w:adjustRightInd w:val="0"/>
              <w:snapToGrid w:val="0"/>
              <w:spacing w:beforeAutospacing="0" w:afterAutospacing="0"/>
              <w:jc w:val="center"/>
              <w:rPr>
                <w:rFonts w:ascii="宋体" w:hAnsi="宋体"/>
                <w:kern w:val="2"/>
                <w:sz w:val="22"/>
                <w:szCs w:val="22"/>
              </w:rPr>
            </w:pPr>
            <w:r>
              <w:rPr>
                <w:rFonts w:ascii="宋体" w:hAnsi="宋体" w:hint="eastAsia"/>
                <w:kern w:val="2"/>
                <w:sz w:val="22"/>
                <w:szCs w:val="22"/>
              </w:rPr>
              <w:t>秘书处</w:t>
            </w:r>
          </w:p>
        </w:tc>
        <w:tc>
          <w:tcPr>
            <w:tcW w:w="3978" w:type="pct"/>
            <w:vAlign w:val="center"/>
          </w:tcPr>
          <w:p w:rsidR="004E5AD6" w:rsidRDefault="004C48E5">
            <w:pPr>
              <w:pStyle w:val="ab"/>
              <w:widowControl/>
              <w:adjustRightInd w:val="0"/>
              <w:snapToGrid w:val="0"/>
              <w:spacing w:beforeAutospacing="0" w:afterAutospacing="0"/>
              <w:jc w:val="both"/>
              <w:rPr>
                <w:rFonts w:ascii="宋体" w:hAnsi="宋体"/>
                <w:kern w:val="2"/>
                <w:sz w:val="22"/>
                <w:szCs w:val="22"/>
              </w:rPr>
            </w:pPr>
            <w:r>
              <w:rPr>
                <w:rFonts w:ascii="宋体" w:hAnsi="宋体" w:hint="eastAsia"/>
                <w:kern w:val="2"/>
                <w:sz w:val="22"/>
                <w:szCs w:val="22"/>
              </w:rPr>
              <w:t>负责机关政务工作；负责公文处理、信息、档案、保密等工作以及重要会议的组织工作；负责重要文件和会议决定事项的督查工作；负责机关的财务、资产管理、安全保卫和接待联络工作。</w:t>
            </w:r>
          </w:p>
        </w:tc>
      </w:tr>
      <w:tr w:rsidR="004E5AD6">
        <w:trPr>
          <w:trHeight w:val="454"/>
          <w:jc w:val="center"/>
        </w:trPr>
        <w:tc>
          <w:tcPr>
            <w:tcW w:w="339" w:type="pct"/>
            <w:vAlign w:val="center"/>
          </w:tcPr>
          <w:p w:rsidR="004E5AD6" w:rsidRDefault="004C48E5">
            <w:pPr>
              <w:pStyle w:val="ab"/>
              <w:widowControl/>
              <w:adjustRightInd w:val="0"/>
              <w:snapToGrid w:val="0"/>
              <w:spacing w:beforeAutospacing="0" w:afterAutospacing="0"/>
              <w:jc w:val="center"/>
              <w:rPr>
                <w:rFonts w:ascii="宋体" w:hAnsi="宋体"/>
                <w:kern w:val="2"/>
                <w:sz w:val="22"/>
                <w:szCs w:val="22"/>
              </w:rPr>
            </w:pPr>
            <w:r>
              <w:rPr>
                <w:rFonts w:ascii="宋体" w:hAnsi="宋体" w:hint="eastAsia"/>
                <w:kern w:val="2"/>
                <w:sz w:val="22"/>
                <w:szCs w:val="22"/>
              </w:rPr>
              <w:t>2</w:t>
            </w:r>
          </w:p>
        </w:tc>
        <w:tc>
          <w:tcPr>
            <w:tcW w:w="683" w:type="pct"/>
            <w:vAlign w:val="center"/>
          </w:tcPr>
          <w:p w:rsidR="004E5AD6" w:rsidRDefault="004C48E5">
            <w:pPr>
              <w:pStyle w:val="ab"/>
              <w:widowControl/>
              <w:adjustRightInd w:val="0"/>
              <w:snapToGrid w:val="0"/>
              <w:spacing w:beforeAutospacing="0" w:afterAutospacing="0"/>
              <w:jc w:val="center"/>
              <w:rPr>
                <w:rFonts w:ascii="宋体" w:hAnsi="宋体"/>
                <w:kern w:val="2"/>
                <w:sz w:val="22"/>
                <w:szCs w:val="22"/>
              </w:rPr>
            </w:pPr>
            <w:r>
              <w:rPr>
                <w:rFonts w:ascii="宋体" w:hAnsi="宋体" w:hint="eastAsia"/>
                <w:kern w:val="2"/>
                <w:sz w:val="22"/>
                <w:szCs w:val="22"/>
              </w:rPr>
              <w:t>人事处</w:t>
            </w:r>
          </w:p>
        </w:tc>
        <w:tc>
          <w:tcPr>
            <w:tcW w:w="3978" w:type="pct"/>
            <w:vAlign w:val="center"/>
          </w:tcPr>
          <w:p w:rsidR="004E5AD6" w:rsidRDefault="004C48E5">
            <w:pPr>
              <w:pStyle w:val="ab"/>
              <w:widowControl/>
              <w:adjustRightInd w:val="0"/>
              <w:snapToGrid w:val="0"/>
              <w:spacing w:beforeAutospacing="0" w:afterAutospacing="0"/>
              <w:jc w:val="both"/>
              <w:rPr>
                <w:rFonts w:ascii="宋体" w:hAnsi="宋体"/>
                <w:kern w:val="2"/>
                <w:sz w:val="22"/>
                <w:szCs w:val="22"/>
              </w:rPr>
            </w:pPr>
            <w:r>
              <w:rPr>
                <w:rFonts w:ascii="宋体" w:hAnsi="宋体" w:hint="eastAsia"/>
                <w:kern w:val="2"/>
                <w:sz w:val="22"/>
                <w:szCs w:val="22"/>
              </w:rPr>
              <w:t>负责机关及所属单位的人事、外事、离退休人员管理和机构编制管理工作，承办市政府参事、市文史馆馆员的选聘工作。</w:t>
            </w:r>
          </w:p>
        </w:tc>
      </w:tr>
      <w:tr w:rsidR="004E5AD6">
        <w:trPr>
          <w:trHeight w:val="454"/>
          <w:jc w:val="center"/>
        </w:trPr>
        <w:tc>
          <w:tcPr>
            <w:tcW w:w="339" w:type="pct"/>
            <w:vAlign w:val="center"/>
          </w:tcPr>
          <w:p w:rsidR="004E5AD6" w:rsidRDefault="004C48E5">
            <w:pPr>
              <w:pStyle w:val="ab"/>
              <w:widowControl/>
              <w:adjustRightInd w:val="0"/>
              <w:snapToGrid w:val="0"/>
              <w:spacing w:beforeAutospacing="0" w:afterAutospacing="0"/>
              <w:jc w:val="center"/>
              <w:rPr>
                <w:rFonts w:ascii="宋体" w:hAnsi="宋体"/>
                <w:kern w:val="2"/>
                <w:sz w:val="22"/>
                <w:szCs w:val="22"/>
              </w:rPr>
            </w:pPr>
            <w:r>
              <w:rPr>
                <w:rFonts w:ascii="宋体" w:hAnsi="宋体" w:hint="eastAsia"/>
                <w:kern w:val="2"/>
                <w:sz w:val="22"/>
                <w:szCs w:val="22"/>
              </w:rPr>
              <w:t>3</w:t>
            </w:r>
          </w:p>
        </w:tc>
        <w:tc>
          <w:tcPr>
            <w:tcW w:w="683" w:type="pct"/>
            <w:vAlign w:val="center"/>
          </w:tcPr>
          <w:p w:rsidR="004E5AD6" w:rsidRDefault="004C48E5">
            <w:pPr>
              <w:pStyle w:val="ab"/>
              <w:widowControl/>
              <w:adjustRightInd w:val="0"/>
              <w:snapToGrid w:val="0"/>
              <w:spacing w:beforeAutospacing="0" w:afterAutospacing="0"/>
              <w:jc w:val="center"/>
              <w:rPr>
                <w:rFonts w:ascii="宋体" w:hAnsi="宋体"/>
                <w:kern w:val="2"/>
                <w:sz w:val="22"/>
                <w:szCs w:val="22"/>
              </w:rPr>
            </w:pPr>
            <w:r>
              <w:rPr>
                <w:rFonts w:ascii="宋体" w:hAnsi="宋体" w:hint="eastAsia"/>
                <w:sz w:val="22"/>
                <w:szCs w:val="22"/>
              </w:rPr>
              <w:t>参事处</w:t>
            </w:r>
          </w:p>
        </w:tc>
        <w:tc>
          <w:tcPr>
            <w:tcW w:w="3978" w:type="pct"/>
            <w:vAlign w:val="center"/>
          </w:tcPr>
          <w:p w:rsidR="004E5AD6" w:rsidRDefault="004C48E5">
            <w:pPr>
              <w:adjustRightInd w:val="0"/>
              <w:snapToGrid w:val="0"/>
              <w:rPr>
                <w:rFonts w:ascii="宋体" w:hAnsi="宋体"/>
                <w:kern w:val="0"/>
                <w:sz w:val="22"/>
                <w:szCs w:val="22"/>
              </w:rPr>
            </w:pPr>
            <w:r>
              <w:rPr>
                <w:rFonts w:ascii="宋体" w:hAnsi="宋体" w:hint="eastAsia"/>
                <w:kern w:val="0"/>
                <w:sz w:val="22"/>
                <w:szCs w:val="22"/>
              </w:rPr>
              <w:t>负责组织市政府参事学习、考察和调研等工作；负责整理市政府参事参政咨询的意见和建议，承担资料的汇集、编审和报送工作；负责市政府参事的业务档案管理工作；组织市政府参事开展对外交流和联谊活动；帮助解决市政府参事在工作、生活中的实际困难。</w:t>
            </w:r>
          </w:p>
        </w:tc>
      </w:tr>
      <w:tr w:rsidR="004E5AD6">
        <w:trPr>
          <w:trHeight w:val="454"/>
          <w:jc w:val="center"/>
        </w:trPr>
        <w:tc>
          <w:tcPr>
            <w:tcW w:w="339" w:type="pct"/>
            <w:vAlign w:val="center"/>
          </w:tcPr>
          <w:p w:rsidR="004E5AD6" w:rsidRDefault="004C48E5">
            <w:pPr>
              <w:pStyle w:val="ab"/>
              <w:widowControl/>
              <w:adjustRightInd w:val="0"/>
              <w:snapToGrid w:val="0"/>
              <w:spacing w:beforeAutospacing="0" w:afterAutospacing="0"/>
              <w:jc w:val="center"/>
              <w:rPr>
                <w:rFonts w:ascii="宋体" w:hAnsi="宋体"/>
                <w:kern w:val="2"/>
                <w:sz w:val="22"/>
                <w:szCs w:val="22"/>
              </w:rPr>
            </w:pPr>
            <w:r>
              <w:rPr>
                <w:rFonts w:ascii="宋体" w:hAnsi="宋体" w:hint="eastAsia"/>
                <w:kern w:val="2"/>
                <w:sz w:val="22"/>
                <w:szCs w:val="22"/>
              </w:rPr>
              <w:t>4</w:t>
            </w:r>
          </w:p>
        </w:tc>
        <w:tc>
          <w:tcPr>
            <w:tcW w:w="683" w:type="pct"/>
            <w:vAlign w:val="center"/>
          </w:tcPr>
          <w:p w:rsidR="004E5AD6" w:rsidRDefault="004C48E5">
            <w:pPr>
              <w:pStyle w:val="ab"/>
              <w:widowControl/>
              <w:adjustRightInd w:val="0"/>
              <w:snapToGrid w:val="0"/>
              <w:spacing w:beforeAutospacing="0" w:afterAutospacing="0"/>
              <w:jc w:val="center"/>
              <w:rPr>
                <w:rFonts w:ascii="宋体" w:hAnsi="宋体"/>
                <w:kern w:val="2"/>
                <w:sz w:val="22"/>
                <w:szCs w:val="22"/>
              </w:rPr>
            </w:pPr>
            <w:r>
              <w:rPr>
                <w:rFonts w:ascii="宋体" w:hAnsi="宋体" w:hint="eastAsia"/>
                <w:kern w:val="2"/>
                <w:sz w:val="22"/>
                <w:szCs w:val="22"/>
              </w:rPr>
              <w:t>文史处</w:t>
            </w:r>
          </w:p>
        </w:tc>
        <w:tc>
          <w:tcPr>
            <w:tcW w:w="3978" w:type="pct"/>
            <w:vAlign w:val="center"/>
          </w:tcPr>
          <w:p w:rsidR="004E5AD6" w:rsidRDefault="004C48E5">
            <w:pPr>
              <w:pStyle w:val="ab"/>
              <w:widowControl/>
              <w:adjustRightInd w:val="0"/>
              <w:snapToGrid w:val="0"/>
              <w:spacing w:beforeAutospacing="0" w:afterAutospacing="0"/>
              <w:jc w:val="both"/>
              <w:rPr>
                <w:rFonts w:ascii="宋体" w:hAnsi="宋体"/>
                <w:kern w:val="2"/>
                <w:sz w:val="22"/>
                <w:szCs w:val="22"/>
              </w:rPr>
            </w:pPr>
            <w:r>
              <w:rPr>
                <w:rFonts w:ascii="宋体" w:hAnsi="宋体" w:hint="eastAsia"/>
                <w:kern w:val="2"/>
                <w:sz w:val="22"/>
                <w:szCs w:val="22"/>
              </w:rPr>
              <w:t>负责组织市文史馆馆员学习和开展有关业务工作；组织市文史馆馆员进行文史研究、书画创作等弘扬中华文化的活动；负责市文史馆馆员的业务档案及资料的收集、整理和保管工作；组织市文史馆馆员开展对外交流和联谊活动；帮助解决市文史馆馆员在工作、生活中的实际困难。</w:t>
            </w:r>
          </w:p>
        </w:tc>
      </w:tr>
      <w:tr w:rsidR="004E5AD6">
        <w:trPr>
          <w:trHeight w:val="454"/>
          <w:jc w:val="center"/>
        </w:trPr>
        <w:tc>
          <w:tcPr>
            <w:tcW w:w="339" w:type="pct"/>
            <w:vAlign w:val="center"/>
          </w:tcPr>
          <w:p w:rsidR="004E5AD6" w:rsidRDefault="004C48E5">
            <w:pPr>
              <w:pStyle w:val="ab"/>
              <w:widowControl/>
              <w:adjustRightInd w:val="0"/>
              <w:snapToGrid w:val="0"/>
              <w:spacing w:beforeAutospacing="0" w:afterAutospacing="0"/>
              <w:jc w:val="center"/>
              <w:rPr>
                <w:rFonts w:ascii="宋体" w:hAnsi="宋体"/>
                <w:kern w:val="2"/>
                <w:sz w:val="22"/>
                <w:szCs w:val="22"/>
              </w:rPr>
            </w:pPr>
            <w:r>
              <w:rPr>
                <w:rFonts w:ascii="宋体" w:hAnsi="宋体" w:hint="eastAsia"/>
                <w:kern w:val="2"/>
                <w:sz w:val="22"/>
                <w:szCs w:val="22"/>
              </w:rPr>
              <w:t>5</w:t>
            </w:r>
          </w:p>
        </w:tc>
        <w:tc>
          <w:tcPr>
            <w:tcW w:w="683" w:type="pct"/>
            <w:vAlign w:val="center"/>
          </w:tcPr>
          <w:p w:rsidR="004E5AD6" w:rsidRDefault="004C48E5">
            <w:pPr>
              <w:pStyle w:val="ab"/>
              <w:widowControl/>
              <w:adjustRightInd w:val="0"/>
              <w:snapToGrid w:val="0"/>
              <w:spacing w:beforeAutospacing="0" w:afterAutospacing="0"/>
              <w:jc w:val="center"/>
              <w:rPr>
                <w:rFonts w:ascii="宋体" w:hAnsi="宋体"/>
                <w:kern w:val="2"/>
                <w:sz w:val="22"/>
                <w:szCs w:val="22"/>
              </w:rPr>
            </w:pPr>
            <w:r>
              <w:rPr>
                <w:rFonts w:ascii="宋体" w:hAnsi="宋体" w:hint="eastAsia"/>
                <w:kern w:val="2"/>
                <w:sz w:val="22"/>
                <w:szCs w:val="22"/>
              </w:rPr>
              <w:t>机关党委</w:t>
            </w:r>
          </w:p>
        </w:tc>
        <w:tc>
          <w:tcPr>
            <w:tcW w:w="3978" w:type="pct"/>
            <w:vAlign w:val="center"/>
          </w:tcPr>
          <w:p w:rsidR="004E5AD6" w:rsidRDefault="004C48E5">
            <w:pPr>
              <w:pStyle w:val="ab"/>
              <w:widowControl/>
              <w:adjustRightInd w:val="0"/>
              <w:snapToGrid w:val="0"/>
              <w:spacing w:beforeAutospacing="0" w:afterAutospacing="0"/>
              <w:jc w:val="both"/>
              <w:rPr>
                <w:rFonts w:ascii="宋体" w:hAnsi="宋体"/>
                <w:kern w:val="2"/>
                <w:sz w:val="22"/>
                <w:szCs w:val="22"/>
              </w:rPr>
            </w:pPr>
            <w:r>
              <w:rPr>
                <w:rFonts w:ascii="宋体" w:hAnsi="宋体" w:hint="eastAsia"/>
                <w:kern w:val="2"/>
                <w:sz w:val="22"/>
                <w:szCs w:val="22"/>
              </w:rPr>
              <w:t>负责机关及所属单位的党群工作；承担市政府参事室党组落实党要管党、从严治党责任和党风廉政建设主体责任的具体工作。</w:t>
            </w:r>
          </w:p>
        </w:tc>
      </w:tr>
      <w:tr w:rsidR="004E5AD6">
        <w:trPr>
          <w:trHeight w:val="454"/>
          <w:jc w:val="center"/>
        </w:trPr>
        <w:tc>
          <w:tcPr>
            <w:tcW w:w="339" w:type="pct"/>
            <w:vAlign w:val="center"/>
          </w:tcPr>
          <w:p w:rsidR="004E5AD6" w:rsidRDefault="004C48E5">
            <w:pPr>
              <w:pStyle w:val="ab"/>
              <w:widowControl/>
              <w:adjustRightInd w:val="0"/>
              <w:snapToGrid w:val="0"/>
              <w:spacing w:beforeAutospacing="0" w:afterAutospacing="0"/>
              <w:jc w:val="center"/>
              <w:rPr>
                <w:rFonts w:ascii="宋体" w:hAnsi="宋体"/>
                <w:kern w:val="2"/>
                <w:sz w:val="22"/>
                <w:szCs w:val="22"/>
              </w:rPr>
            </w:pPr>
            <w:r>
              <w:rPr>
                <w:rFonts w:ascii="宋体" w:hAnsi="宋体" w:hint="eastAsia"/>
                <w:kern w:val="2"/>
                <w:sz w:val="22"/>
                <w:szCs w:val="22"/>
              </w:rPr>
              <w:t>6</w:t>
            </w:r>
          </w:p>
        </w:tc>
        <w:tc>
          <w:tcPr>
            <w:tcW w:w="683" w:type="pct"/>
            <w:vAlign w:val="center"/>
          </w:tcPr>
          <w:p w:rsidR="004E5AD6" w:rsidRDefault="004C48E5">
            <w:pPr>
              <w:pStyle w:val="ab"/>
              <w:widowControl/>
              <w:adjustRightInd w:val="0"/>
              <w:snapToGrid w:val="0"/>
              <w:spacing w:beforeAutospacing="0" w:afterAutospacing="0"/>
              <w:jc w:val="center"/>
              <w:rPr>
                <w:rFonts w:ascii="宋体" w:hAnsi="宋体"/>
                <w:kern w:val="2"/>
                <w:sz w:val="22"/>
                <w:szCs w:val="22"/>
              </w:rPr>
            </w:pPr>
            <w:r>
              <w:rPr>
                <w:rFonts w:ascii="宋体" w:hAnsi="宋体" w:hint="eastAsia"/>
                <w:kern w:val="2"/>
                <w:sz w:val="22"/>
                <w:szCs w:val="22"/>
              </w:rPr>
              <w:t>文史研究中心</w:t>
            </w:r>
          </w:p>
        </w:tc>
        <w:tc>
          <w:tcPr>
            <w:tcW w:w="3978" w:type="pct"/>
            <w:vAlign w:val="center"/>
          </w:tcPr>
          <w:p w:rsidR="004E5AD6" w:rsidRDefault="004C48E5">
            <w:pPr>
              <w:pStyle w:val="ab"/>
              <w:widowControl/>
              <w:adjustRightInd w:val="0"/>
              <w:snapToGrid w:val="0"/>
              <w:spacing w:beforeAutospacing="0" w:afterAutospacing="0"/>
              <w:jc w:val="both"/>
              <w:rPr>
                <w:rFonts w:ascii="宋体" w:hAnsi="宋体"/>
                <w:kern w:val="2"/>
                <w:sz w:val="22"/>
                <w:szCs w:val="22"/>
              </w:rPr>
            </w:pPr>
            <w:r>
              <w:rPr>
                <w:rFonts w:ascii="宋体" w:hAnsi="宋体" w:hint="eastAsia"/>
                <w:kern w:val="2"/>
                <w:sz w:val="22"/>
                <w:szCs w:val="22"/>
              </w:rPr>
              <w:t>承担《北京文史》编辑出版以及文史资料搜集、整理、编辑等工作；开展文史研究和文化交流；承担市政府参事室(市文史馆)信息网络管理维护、机关综合服务保障等事务性工作。</w:t>
            </w:r>
          </w:p>
        </w:tc>
      </w:tr>
    </w:tbl>
    <w:p w:rsidR="004E5AD6" w:rsidRDefault="004C48E5">
      <w:pPr>
        <w:adjustRightInd w:val="0"/>
        <w:snapToGrid w:val="0"/>
        <w:spacing w:beforeLines="50" w:before="156" w:line="560" w:lineRule="exact"/>
        <w:ind w:firstLineChars="200" w:firstLine="643"/>
        <w:outlineLvl w:val="2"/>
        <w:rPr>
          <w:rFonts w:ascii="仿宋_GB2312" w:eastAsia="仿宋_GB2312" w:hAnsi="仿宋"/>
          <w:b/>
          <w:bCs/>
          <w:sz w:val="32"/>
          <w:szCs w:val="32"/>
        </w:rPr>
      </w:pPr>
      <w:r>
        <w:rPr>
          <w:rFonts w:ascii="仿宋_GB2312" w:eastAsia="仿宋_GB2312" w:hAnsi="仿宋" w:hint="eastAsia"/>
          <w:b/>
          <w:bCs/>
          <w:sz w:val="32"/>
          <w:szCs w:val="32"/>
        </w:rPr>
        <w:t>3</w:t>
      </w:r>
      <w:r>
        <w:rPr>
          <w:rFonts w:ascii="仿宋_GB2312" w:eastAsia="仿宋_GB2312" w:hAnsi="仿宋"/>
          <w:b/>
          <w:bCs/>
          <w:sz w:val="32"/>
          <w:szCs w:val="32"/>
        </w:rPr>
        <w:t>.</w:t>
      </w:r>
      <w:r>
        <w:rPr>
          <w:rFonts w:ascii="仿宋_GB2312" w:eastAsia="仿宋_GB2312" w:hAnsi="仿宋" w:hint="eastAsia"/>
          <w:b/>
          <w:bCs/>
          <w:sz w:val="32"/>
          <w:szCs w:val="32"/>
        </w:rPr>
        <w:t>人员情况</w:t>
      </w:r>
    </w:p>
    <w:p w:rsidR="004E5AD6" w:rsidRPr="00C34E64" w:rsidRDefault="00C34E64" w:rsidP="00C34E64">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市政府参事室共有行政编制25人，实有人数25人；事业编制12人，实有人数12人。离退休人员30人，其中：离休1人，退休29人。</w:t>
      </w:r>
    </w:p>
    <w:p w:rsidR="004E5AD6" w:rsidRDefault="004C48E5">
      <w:pPr>
        <w:adjustRightInd w:val="0"/>
        <w:snapToGrid w:val="0"/>
        <w:spacing w:line="560" w:lineRule="exact"/>
        <w:ind w:firstLineChars="200" w:firstLine="643"/>
        <w:outlineLvl w:val="2"/>
        <w:rPr>
          <w:rFonts w:ascii="仿宋_GB2312" w:eastAsia="仿宋_GB2312" w:hAnsi="仿宋"/>
          <w:b/>
          <w:bCs/>
          <w:sz w:val="32"/>
          <w:szCs w:val="32"/>
        </w:rPr>
      </w:pPr>
      <w:bookmarkStart w:id="0" w:name="_Toc135231089"/>
      <w:r>
        <w:rPr>
          <w:rFonts w:ascii="仿宋_GB2312" w:eastAsia="仿宋_GB2312" w:hAnsi="仿宋" w:hint="eastAsia"/>
          <w:b/>
          <w:bCs/>
          <w:sz w:val="32"/>
          <w:szCs w:val="32"/>
        </w:rPr>
        <w:t>4</w:t>
      </w:r>
      <w:r>
        <w:rPr>
          <w:rFonts w:ascii="仿宋_GB2312" w:eastAsia="仿宋_GB2312" w:hAnsi="仿宋"/>
          <w:b/>
          <w:bCs/>
          <w:sz w:val="32"/>
          <w:szCs w:val="32"/>
        </w:rPr>
        <w:t>.</w:t>
      </w:r>
      <w:r>
        <w:rPr>
          <w:rFonts w:ascii="仿宋_GB2312" w:eastAsia="仿宋_GB2312" w:hAnsi="仿宋" w:hint="eastAsia"/>
          <w:b/>
          <w:bCs/>
          <w:sz w:val="32"/>
          <w:szCs w:val="32"/>
        </w:rPr>
        <w:t>年度工作任务</w:t>
      </w:r>
      <w:bookmarkEnd w:id="0"/>
    </w:p>
    <w:p w:rsidR="004E5AD6" w:rsidRDefault="004C48E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以全面落实中央和市委关于坚持和完善新时代政府参事制度文史馆员制度的意见为主线，为充分发挥参事、馆员、特约研究员作用，围绕市政府参事室主要工作职能，2023年度统筹确定“强化理论武装，加强政治引领”“抓好本市《实施方案》的贯彻落实”“加强参事、馆员队伍建设”等7方面</w:t>
      </w:r>
      <w:r>
        <w:rPr>
          <w:rFonts w:ascii="仿宋_GB2312" w:eastAsia="仿宋_GB2312" w:hAnsi="仿宋" w:hint="eastAsia"/>
          <w:sz w:val="32"/>
          <w:szCs w:val="32"/>
        </w:rPr>
        <w:lastRenderedPageBreak/>
        <w:t>重点工作任务，具体见表2。</w:t>
      </w:r>
    </w:p>
    <w:p w:rsidR="004E5AD6" w:rsidRDefault="004C48E5">
      <w:pPr>
        <w:adjustRightInd w:val="0"/>
        <w:snapToGrid w:val="0"/>
        <w:spacing w:line="560" w:lineRule="exact"/>
        <w:jc w:val="center"/>
        <w:rPr>
          <w:rFonts w:ascii="黑体" w:eastAsia="黑体" w:hAnsi="黑体" w:cs="宋体"/>
          <w:color w:val="000000"/>
          <w:kern w:val="0"/>
          <w:sz w:val="28"/>
          <w:szCs w:val="28"/>
        </w:rPr>
      </w:pPr>
      <w:r>
        <w:rPr>
          <w:rFonts w:ascii="黑体" w:eastAsia="黑体" w:hAnsi="黑体" w:cs="宋体" w:hint="eastAsia"/>
          <w:color w:val="000000"/>
          <w:kern w:val="0"/>
          <w:sz w:val="28"/>
          <w:szCs w:val="28"/>
        </w:rPr>
        <w:t>表</w:t>
      </w:r>
      <w:r>
        <w:rPr>
          <w:rFonts w:ascii="黑体" w:eastAsia="黑体" w:hAnsi="黑体" w:cs="宋体"/>
          <w:color w:val="000000"/>
          <w:kern w:val="0"/>
          <w:sz w:val="28"/>
          <w:szCs w:val="28"/>
        </w:rPr>
        <w:t>2</w:t>
      </w:r>
      <w:r>
        <w:rPr>
          <w:rFonts w:ascii="黑体" w:eastAsia="黑体" w:hAnsi="黑体" w:cs="宋体" w:hint="eastAsia"/>
          <w:color w:val="000000"/>
          <w:kern w:val="0"/>
          <w:sz w:val="28"/>
          <w:szCs w:val="28"/>
        </w:rPr>
        <w:t>：2023年度工作任务情况表</w:t>
      </w:r>
    </w:p>
    <w:tbl>
      <w:tblPr>
        <w:tblStyle w:val="ae"/>
        <w:tblW w:w="0" w:type="auto"/>
        <w:jc w:val="center"/>
        <w:tblCellMar>
          <w:left w:w="28" w:type="dxa"/>
          <w:right w:w="28" w:type="dxa"/>
        </w:tblCellMar>
        <w:tblLook w:val="04A0" w:firstRow="1" w:lastRow="0" w:firstColumn="1" w:lastColumn="0" w:noHBand="0" w:noVBand="1"/>
      </w:tblPr>
      <w:tblGrid>
        <w:gridCol w:w="562"/>
        <w:gridCol w:w="1276"/>
        <w:gridCol w:w="6458"/>
      </w:tblGrid>
      <w:tr w:rsidR="004E5AD6">
        <w:trPr>
          <w:trHeight w:val="567"/>
          <w:tblHeader/>
          <w:jc w:val="center"/>
        </w:trPr>
        <w:tc>
          <w:tcPr>
            <w:tcW w:w="562" w:type="dxa"/>
            <w:vAlign w:val="center"/>
          </w:tcPr>
          <w:p w:rsidR="004E5AD6" w:rsidRDefault="004C48E5">
            <w:pPr>
              <w:pStyle w:val="ab"/>
              <w:widowControl/>
              <w:adjustRightInd w:val="0"/>
              <w:snapToGrid w:val="0"/>
              <w:spacing w:beforeAutospacing="0" w:afterAutospacing="0"/>
              <w:jc w:val="center"/>
              <w:rPr>
                <w:rFonts w:ascii="宋体" w:hAnsi="宋体"/>
                <w:b/>
                <w:bCs/>
                <w:kern w:val="2"/>
                <w:sz w:val="20"/>
                <w:szCs w:val="20"/>
              </w:rPr>
            </w:pPr>
            <w:r>
              <w:rPr>
                <w:rFonts w:ascii="宋体" w:hAnsi="宋体" w:hint="eastAsia"/>
                <w:b/>
                <w:bCs/>
                <w:kern w:val="2"/>
                <w:sz w:val="20"/>
                <w:szCs w:val="20"/>
              </w:rPr>
              <w:t>序号</w:t>
            </w:r>
          </w:p>
        </w:tc>
        <w:tc>
          <w:tcPr>
            <w:tcW w:w="1276" w:type="dxa"/>
            <w:vAlign w:val="center"/>
          </w:tcPr>
          <w:p w:rsidR="004E5AD6" w:rsidRDefault="004C48E5">
            <w:pPr>
              <w:pStyle w:val="ab"/>
              <w:widowControl/>
              <w:adjustRightInd w:val="0"/>
              <w:snapToGrid w:val="0"/>
              <w:spacing w:beforeAutospacing="0" w:afterAutospacing="0"/>
              <w:jc w:val="center"/>
              <w:rPr>
                <w:rFonts w:ascii="宋体" w:hAnsi="宋体"/>
                <w:b/>
                <w:bCs/>
                <w:kern w:val="2"/>
                <w:sz w:val="20"/>
                <w:szCs w:val="20"/>
              </w:rPr>
            </w:pPr>
            <w:r>
              <w:rPr>
                <w:rFonts w:ascii="宋体" w:hAnsi="宋体" w:hint="eastAsia"/>
                <w:b/>
                <w:bCs/>
                <w:kern w:val="2"/>
                <w:sz w:val="20"/>
                <w:szCs w:val="20"/>
              </w:rPr>
              <w:t>重点任务</w:t>
            </w:r>
          </w:p>
        </w:tc>
        <w:tc>
          <w:tcPr>
            <w:tcW w:w="6458" w:type="dxa"/>
            <w:vAlign w:val="center"/>
          </w:tcPr>
          <w:p w:rsidR="004E5AD6" w:rsidRDefault="004C48E5">
            <w:pPr>
              <w:pStyle w:val="ab"/>
              <w:widowControl/>
              <w:adjustRightInd w:val="0"/>
              <w:snapToGrid w:val="0"/>
              <w:spacing w:beforeAutospacing="0" w:afterAutospacing="0"/>
              <w:jc w:val="center"/>
              <w:rPr>
                <w:rFonts w:ascii="宋体" w:hAnsi="宋体"/>
                <w:b/>
                <w:bCs/>
                <w:kern w:val="2"/>
                <w:sz w:val="20"/>
                <w:szCs w:val="20"/>
              </w:rPr>
            </w:pPr>
            <w:r>
              <w:rPr>
                <w:rFonts w:ascii="宋体" w:hAnsi="宋体" w:hint="eastAsia"/>
                <w:b/>
                <w:bCs/>
                <w:kern w:val="2"/>
                <w:sz w:val="20"/>
                <w:szCs w:val="20"/>
              </w:rPr>
              <w:t>具体工作任务</w:t>
            </w:r>
          </w:p>
        </w:tc>
      </w:tr>
      <w:tr w:rsidR="004E5AD6">
        <w:trPr>
          <w:trHeight w:val="567"/>
          <w:jc w:val="center"/>
        </w:trPr>
        <w:tc>
          <w:tcPr>
            <w:tcW w:w="562" w:type="dxa"/>
            <w:vAlign w:val="center"/>
          </w:tcPr>
          <w:p w:rsidR="004E5AD6" w:rsidRDefault="004C48E5">
            <w:pPr>
              <w:pStyle w:val="ab"/>
              <w:widowControl/>
              <w:adjustRightInd w:val="0"/>
              <w:snapToGrid w:val="0"/>
              <w:spacing w:beforeAutospacing="0" w:afterAutospacing="0"/>
              <w:jc w:val="center"/>
              <w:rPr>
                <w:rFonts w:ascii="宋体" w:hAnsi="宋体"/>
                <w:kern w:val="2"/>
                <w:sz w:val="20"/>
                <w:szCs w:val="20"/>
              </w:rPr>
            </w:pPr>
            <w:r>
              <w:rPr>
                <w:rFonts w:ascii="宋体" w:hAnsi="宋体" w:hint="eastAsia"/>
                <w:kern w:val="2"/>
                <w:sz w:val="20"/>
                <w:szCs w:val="20"/>
              </w:rPr>
              <w:t>1</w:t>
            </w:r>
          </w:p>
        </w:tc>
        <w:tc>
          <w:tcPr>
            <w:tcW w:w="1276" w:type="dxa"/>
            <w:vAlign w:val="center"/>
          </w:tcPr>
          <w:p w:rsidR="004E5AD6" w:rsidRDefault="004C48E5">
            <w:pPr>
              <w:pStyle w:val="ab"/>
              <w:widowControl/>
              <w:adjustRightInd w:val="0"/>
              <w:snapToGrid w:val="0"/>
              <w:spacing w:beforeAutospacing="0" w:afterAutospacing="0"/>
              <w:jc w:val="center"/>
              <w:rPr>
                <w:rFonts w:ascii="宋体" w:hAnsi="宋体"/>
                <w:kern w:val="2"/>
                <w:sz w:val="20"/>
                <w:szCs w:val="20"/>
              </w:rPr>
            </w:pPr>
            <w:bookmarkStart w:id="1" w:name="_Hlk166679079"/>
            <w:r>
              <w:rPr>
                <w:rFonts w:ascii="宋体" w:hAnsi="宋体" w:hint="eastAsia"/>
                <w:kern w:val="2"/>
                <w:sz w:val="20"/>
                <w:szCs w:val="20"/>
              </w:rPr>
              <w:t>强化理论武装，加强政治引领</w:t>
            </w:r>
            <w:bookmarkEnd w:id="1"/>
          </w:p>
        </w:tc>
        <w:tc>
          <w:tcPr>
            <w:tcW w:w="6458" w:type="dxa"/>
            <w:vAlign w:val="center"/>
          </w:tcPr>
          <w:p w:rsidR="004E5AD6" w:rsidRDefault="004C48E5">
            <w:pPr>
              <w:pStyle w:val="ab"/>
              <w:widowControl/>
              <w:adjustRightInd w:val="0"/>
              <w:snapToGrid w:val="0"/>
              <w:spacing w:beforeAutospacing="0" w:afterAutospacing="0"/>
              <w:rPr>
                <w:rFonts w:ascii="宋体" w:hAnsi="宋体"/>
                <w:kern w:val="2"/>
                <w:sz w:val="20"/>
                <w:szCs w:val="20"/>
              </w:rPr>
            </w:pPr>
            <w:r>
              <w:rPr>
                <w:rFonts w:ascii="宋体" w:hAnsi="宋体" w:hint="eastAsia"/>
                <w:kern w:val="2"/>
                <w:sz w:val="20"/>
                <w:szCs w:val="20"/>
              </w:rPr>
              <w:t>组织参事馆员和党员干部继续深入学</w:t>
            </w:r>
            <w:proofErr w:type="gramStart"/>
            <w:r>
              <w:rPr>
                <w:rFonts w:ascii="宋体" w:hAnsi="宋体" w:hint="eastAsia"/>
                <w:kern w:val="2"/>
                <w:sz w:val="20"/>
                <w:szCs w:val="20"/>
              </w:rPr>
              <w:t>习习近</w:t>
            </w:r>
            <w:proofErr w:type="gramEnd"/>
            <w:r>
              <w:rPr>
                <w:rFonts w:ascii="宋体" w:hAnsi="宋体" w:hint="eastAsia"/>
                <w:kern w:val="2"/>
                <w:sz w:val="20"/>
                <w:szCs w:val="20"/>
              </w:rPr>
              <w:t>平新时代中国特色社会主义思想和党的二十大会议精神，深入学习宣传贯彻市第十三次党代会精神，不断加强对参事馆员的思想政治引领，充分凝聚共识。</w:t>
            </w:r>
          </w:p>
        </w:tc>
      </w:tr>
      <w:tr w:rsidR="004E5AD6">
        <w:trPr>
          <w:trHeight w:val="567"/>
          <w:jc w:val="center"/>
        </w:trPr>
        <w:tc>
          <w:tcPr>
            <w:tcW w:w="562" w:type="dxa"/>
            <w:vAlign w:val="center"/>
          </w:tcPr>
          <w:p w:rsidR="004E5AD6" w:rsidRDefault="004C48E5">
            <w:pPr>
              <w:pStyle w:val="ab"/>
              <w:widowControl/>
              <w:adjustRightInd w:val="0"/>
              <w:snapToGrid w:val="0"/>
              <w:spacing w:beforeAutospacing="0" w:afterAutospacing="0"/>
              <w:jc w:val="center"/>
              <w:rPr>
                <w:rFonts w:ascii="宋体" w:hAnsi="宋体"/>
                <w:kern w:val="2"/>
                <w:sz w:val="20"/>
                <w:szCs w:val="20"/>
              </w:rPr>
            </w:pPr>
            <w:r>
              <w:rPr>
                <w:rFonts w:ascii="宋体" w:hAnsi="宋体" w:hint="eastAsia"/>
                <w:kern w:val="2"/>
                <w:sz w:val="20"/>
                <w:szCs w:val="20"/>
              </w:rPr>
              <w:t>2</w:t>
            </w:r>
          </w:p>
        </w:tc>
        <w:tc>
          <w:tcPr>
            <w:tcW w:w="1276" w:type="dxa"/>
            <w:vAlign w:val="center"/>
          </w:tcPr>
          <w:p w:rsidR="004E5AD6" w:rsidRDefault="004C48E5">
            <w:pPr>
              <w:pStyle w:val="ab"/>
              <w:widowControl/>
              <w:adjustRightInd w:val="0"/>
              <w:snapToGrid w:val="0"/>
              <w:spacing w:beforeAutospacing="0" w:afterAutospacing="0"/>
              <w:jc w:val="center"/>
              <w:rPr>
                <w:rFonts w:ascii="宋体" w:hAnsi="宋体"/>
                <w:kern w:val="2"/>
                <w:sz w:val="20"/>
                <w:szCs w:val="20"/>
              </w:rPr>
            </w:pPr>
            <w:bookmarkStart w:id="2" w:name="_Hlk166679098"/>
            <w:r>
              <w:rPr>
                <w:rFonts w:ascii="宋体" w:hAnsi="宋体" w:hint="eastAsia"/>
                <w:kern w:val="2"/>
                <w:sz w:val="20"/>
                <w:szCs w:val="20"/>
              </w:rPr>
              <w:t>抓好本市《实施方案》的贯彻落实</w:t>
            </w:r>
            <w:bookmarkEnd w:id="2"/>
          </w:p>
        </w:tc>
        <w:tc>
          <w:tcPr>
            <w:tcW w:w="6458" w:type="dxa"/>
            <w:vAlign w:val="center"/>
          </w:tcPr>
          <w:p w:rsidR="004E5AD6" w:rsidRDefault="004C48E5">
            <w:pPr>
              <w:pStyle w:val="ab"/>
              <w:widowControl/>
              <w:adjustRightInd w:val="0"/>
              <w:snapToGrid w:val="0"/>
              <w:spacing w:beforeAutospacing="0" w:afterAutospacing="0"/>
              <w:rPr>
                <w:rFonts w:ascii="宋体" w:hAnsi="宋体"/>
                <w:kern w:val="2"/>
                <w:sz w:val="20"/>
                <w:szCs w:val="20"/>
              </w:rPr>
            </w:pPr>
            <w:r>
              <w:rPr>
                <w:rFonts w:ascii="宋体" w:hAnsi="宋体" w:hint="eastAsia"/>
                <w:kern w:val="2"/>
                <w:sz w:val="20"/>
                <w:szCs w:val="20"/>
              </w:rPr>
              <w:t>认真贯彻落实《中共北京市委办公厅北京市人民政府办公厅印发&lt;关于坚持新时代政府参事制度文史馆员制度的实施方案&gt;的通知》具体要求，探索建立参事、特约研究员与市委市政府主要领导面对面协商机制、参事参与政府重大决策、重点工作和重要事项督查督办工作机制以及年度决策咨询会制度等。</w:t>
            </w:r>
          </w:p>
        </w:tc>
      </w:tr>
      <w:tr w:rsidR="004E5AD6">
        <w:trPr>
          <w:trHeight w:val="567"/>
          <w:jc w:val="center"/>
        </w:trPr>
        <w:tc>
          <w:tcPr>
            <w:tcW w:w="562" w:type="dxa"/>
            <w:vAlign w:val="center"/>
          </w:tcPr>
          <w:p w:rsidR="004E5AD6" w:rsidRDefault="004C48E5">
            <w:pPr>
              <w:pStyle w:val="ab"/>
              <w:widowControl/>
              <w:adjustRightInd w:val="0"/>
              <w:snapToGrid w:val="0"/>
              <w:spacing w:beforeAutospacing="0" w:afterAutospacing="0"/>
              <w:jc w:val="center"/>
              <w:rPr>
                <w:rFonts w:ascii="宋体" w:hAnsi="宋体"/>
                <w:kern w:val="2"/>
                <w:sz w:val="20"/>
                <w:szCs w:val="20"/>
              </w:rPr>
            </w:pPr>
            <w:r>
              <w:rPr>
                <w:rFonts w:ascii="宋体" w:hAnsi="宋体" w:hint="eastAsia"/>
                <w:kern w:val="2"/>
                <w:sz w:val="20"/>
                <w:szCs w:val="20"/>
              </w:rPr>
              <w:t>3</w:t>
            </w:r>
          </w:p>
        </w:tc>
        <w:tc>
          <w:tcPr>
            <w:tcW w:w="1276" w:type="dxa"/>
            <w:vAlign w:val="center"/>
          </w:tcPr>
          <w:p w:rsidR="004E5AD6" w:rsidRDefault="004C48E5">
            <w:pPr>
              <w:pStyle w:val="ab"/>
              <w:widowControl/>
              <w:adjustRightInd w:val="0"/>
              <w:snapToGrid w:val="0"/>
              <w:spacing w:beforeAutospacing="0" w:afterAutospacing="0"/>
              <w:jc w:val="center"/>
              <w:rPr>
                <w:rFonts w:ascii="宋体" w:hAnsi="宋体"/>
                <w:kern w:val="2"/>
                <w:sz w:val="20"/>
                <w:szCs w:val="20"/>
              </w:rPr>
            </w:pPr>
            <w:r>
              <w:rPr>
                <w:rFonts w:ascii="宋体" w:hAnsi="宋体" w:hint="eastAsia"/>
                <w:kern w:val="2"/>
                <w:sz w:val="20"/>
                <w:szCs w:val="20"/>
              </w:rPr>
              <w:t>加强参事、馆员队伍建设</w:t>
            </w:r>
          </w:p>
        </w:tc>
        <w:tc>
          <w:tcPr>
            <w:tcW w:w="6458" w:type="dxa"/>
            <w:vAlign w:val="center"/>
          </w:tcPr>
          <w:p w:rsidR="004E5AD6" w:rsidRDefault="004C48E5">
            <w:pPr>
              <w:pStyle w:val="ab"/>
              <w:widowControl/>
              <w:adjustRightInd w:val="0"/>
              <w:snapToGrid w:val="0"/>
              <w:spacing w:beforeAutospacing="0" w:afterAutospacing="0"/>
              <w:rPr>
                <w:rFonts w:ascii="宋体" w:hAnsi="宋体"/>
                <w:kern w:val="2"/>
                <w:sz w:val="20"/>
                <w:szCs w:val="20"/>
              </w:rPr>
            </w:pPr>
            <w:r>
              <w:rPr>
                <w:rFonts w:ascii="宋体" w:hAnsi="宋体" w:hint="eastAsia"/>
                <w:kern w:val="2"/>
                <w:sz w:val="20"/>
                <w:szCs w:val="20"/>
              </w:rPr>
              <w:t>做好新聘参事、馆员和特约研究员的任职培训工作，尽快适应并投入工作，壮大资政建言力量，提高调查研究和建言献策水平。同时，做好参事、馆员、特约研究员的年度选聘工作。</w:t>
            </w:r>
          </w:p>
        </w:tc>
      </w:tr>
      <w:tr w:rsidR="004E5AD6">
        <w:trPr>
          <w:trHeight w:val="567"/>
          <w:jc w:val="center"/>
        </w:trPr>
        <w:tc>
          <w:tcPr>
            <w:tcW w:w="562" w:type="dxa"/>
            <w:vAlign w:val="center"/>
          </w:tcPr>
          <w:p w:rsidR="004E5AD6" w:rsidRDefault="004C48E5">
            <w:pPr>
              <w:pStyle w:val="ab"/>
              <w:widowControl/>
              <w:adjustRightInd w:val="0"/>
              <w:snapToGrid w:val="0"/>
              <w:spacing w:beforeAutospacing="0" w:afterAutospacing="0"/>
              <w:jc w:val="center"/>
              <w:rPr>
                <w:rFonts w:ascii="宋体" w:hAnsi="宋体"/>
                <w:kern w:val="2"/>
                <w:sz w:val="20"/>
                <w:szCs w:val="20"/>
              </w:rPr>
            </w:pPr>
            <w:r>
              <w:rPr>
                <w:rFonts w:ascii="宋体" w:hAnsi="宋体" w:hint="eastAsia"/>
                <w:kern w:val="2"/>
                <w:sz w:val="20"/>
                <w:szCs w:val="20"/>
              </w:rPr>
              <w:t>4</w:t>
            </w:r>
          </w:p>
        </w:tc>
        <w:tc>
          <w:tcPr>
            <w:tcW w:w="1276" w:type="dxa"/>
            <w:vAlign w:val="center"/>
          </w:tcPr>
          <w:p w:rsidR="004E5AD6" w:rsidRDefault="004C48E5">
            <w:pPr>
              <w:pStyle w:val="ab"/>
              <w:widowControl/>
              <w:adjustRightInd w:val="0"/>
              <w:snapToGrid w:val="0"/>
              <w:spacing w:beforeAutospacing="0" w:afterAutospacing="0"/>
              <w:jc w:val="center"/>
              <w:rPr>
                <w:rFonts w:ascii="宋体" w:hAnsi="宋体"/>
                <w:kern w:val="2"/>
                <w:sz w:val="20"/>
                <w:szCs w:val="20"/>
              </w:rPr>
            </w:pPr>
            <w:r>
              <w:rPr>
                <w:rFonts w:ascii="宋体" w:hAnsi="宋体" w:hint="eastAsia"/>
                <w:kern w:val="2"/>
                <w:sz w:val="20"/>
                <w:szCs w:val="20"/>
              </w:rPr>
              <w:t>继续发挥好</w:t>
            </w:r>
            <w:proofErr w:type="gramStart"/>
            <w:r>
              <w:rPr>
                <w:rFonts w:ascii="宋体" w:hAnsi="宋体" w:hint="eastAsia"/>
                <w:kern w:val="2"/>
                <w:sz w:val="20"/>
                <w:szCs w:val="20"/>
              </w:rPr>
              <w:t>资政建</w:t>
            </w:r>
            <w:proofErr w:type="gramEnd"/>
            <w:r>
              <w:rPr>
                <w:rFonts w:ascii="宋体" w:hAnsi="宋体" w:hint="eastAsia"/>
                <w:kern w:val="2"/>
                <w:sz w:val="20"/>
                <w:szCs w:val="20"/>
              </w:rPr>
              <w:t>言和民主监督职能</w:t>
            </w:r>
          </w:p>
        </w:tc>
        <w:tc>
          <w:tcPr>
            <w:tcW w:w="6458" w:type="dxa"/>
            <w:vAlign w:val="center"/>
          </w:tcPr>
          <w:p w:rsidR="004E5AD6" w:rsidRDefault="004C48E5">
            <w:pPr>
              <w:pStyle w:val="ab"/>
              <w:widowControl/>
              <w:adjustRightInd w:val="0"/>
              <w:snapToGrid w:val="0"/>
              <w:spacing w:beforeAutospacing="0" w:afterAutospacing="0"/>
              <w:jc w:val="both"/>
              <w:rPr>
                <w:rFonts w:ascii="宋体" w:hAnsi="宋体"/>
                <w:kern w:val="2"/>
                <w:sz w:val="20"/>
                <w:szCs w:val="20"/>
              </w:rPr>
            </w:pPr>
            <w:r>
              <w:rPr>
                <w:rFonts w:ascii="宋体" w:hAnsi="宋体" w:hint="eastAsia"/>
                <w:kern w:val="2"/>
                <w:sz w:val="20"/>
                <w:szCs w:val="20"/>
              </w:rPr>
              <w:t>集中精力抓好市长指定的重点课题调研，围绕首都高质量发展、“五子”联动融入新发展格局、构建现代化首都城市圈、碳</w:t>
            </w:r>
            <w:proofErr w:type="gramStart"/>
            <w:r>
              <w:rPr>
                <w:rFonts w:ascii="宋体" w:hAnsi="宋体" w:hint="eastAsia"/>
                <w:kern w:val="2"/>
                <w:sz w:val="20"/>
                <w:szCs w:val="20"/>
              </w:rPr>
              <w:t>中和碳达峰</w:t>
            </w:r>
            <w:proofErr w:type="gramEnd"/>
            <w:r>
              <w:rPr>
                <w:rFonts w:ascii="宋体" w:hAnsi="宋体" w:hint="eastAsia"/>
                <w:kern w:val="2"/>
                <w:sz w:val="20"/>
                <w:szCs w:val="20"/>
              </w:rPr>
              <w:t>、</w:t>
            </w:r>
            <w:proofErr w:type="gramStart"/>
            <w:r>
              <w:rPr>
                <w:rFonts w:ascii="宋体" w:hAnsi="宋体" w:hint="eastAsia"/>
                <w:kern w:val="2"/>
                <w:sz w:val="20"/>
                <w:szCs w:val="20"/>
              </w:rPr>
              <w:t>科创中心</w:t>
            </w:r>
            <w:proofErr w:type="gramEnd"/>
            <w:r>
              <w:rPr>
                <w:rFonts w:ascii="宋体" w:hAnsi="宋体" w:hint="eastAsia"/>
                <w:kern w:val="2"/>
                <w:sz w:val="20"/>
                <w:szCs w:val="20"/>
              </w:rPr>
              <w:t>建设和城市更新等方向开展调研。同时，围绕自贸区建设、农业农村现代化建设、文化中心建设等已提前布局的课题开展调研、提出意见建议。组织好社情民意信息的撰写和上报，组织参事和特约研究员参加市政协议政会，列席市两会，参与修改政府工作报告和有关法律法规草案等。</w:t>
            </w:r>
          </w:p>
        </w:tc>
      </w:tr>
      <w:tr w:rsidR="004E5AD6">
        <w:trPr>
          <w:trHeight w:val="567"/>
          <w:jc w:val="center"/>
        </w:trPr>
        <w:tc>
          <w:tcPr>
            <w:tcW w:w="562" w:type="dxa"/>
            <w:vAlign w:val="center"/>
          </w:tcPr>
          <w:p w:rsidR="004E5AD6" w:rsidRDefault="004C48E5">
            <w:pPr>
              <w:pStyle w:val="ab"/>
              <w:widowControl/>
              <w:adjustRightInd w:val="0"/>
              <w:snapToGrid w:val="0"/>
              <w:spacing w:beforeAutospacing="0" w:afterAutospacing="0"/>
              <w:jc w:val="center"/>
              <w:rPr>
                <w:rFonts w:ascii="宋体" w:hAnsi="宋体"/>
                <w:kern w:val="2"/>
                <w:sz w:val="20"/>
                <w:szCs w:val="20"/>
              </w:rPr>
            </w:pPr>
            <w:r>
              <w:rPr>
                <w:rFonts w:ascii="宋体" w:hAnsi="宋体" w:hint="eastAsia"/>
                <w:kern w:val="2"/>
                <w:sz w:val="20"/>
                <w:szCs w:val="20"/>
              </w:rPr>
              <w:t>5</w:t>
            </w:r>
          </w:p>
        </w:tc>
        <w:tc>
          <w:tcPr>
            <w:tcW w:w="1276" w:type="dxa"/>
            <w:vAlign w:val="center"/>
          </w:tcPr>
          <w:p w:rsidR="004E5AD6" w:rsidRDefault="004C48E5">
            <w:pPr>
              <w:pStyle w:val="ab"/>
              <w:widowControl/>
              <w:adjustRightInd w:val="0"/>
              <w:snapToGrid w:val="0"/>
              <w:spacing w:beforeAutospacing="0" w:afterAutospacing="0"/>
              <w:jc w:val="center"/>
              <w:rPr>
                <w:rFonts w:ascii="宋体" w:hAnsi="宋体"/>
                <w:kern w:val="2"/>
                <w:sz w:val="20"/>
                <w:szCs w:val="20"/>
              </w:rPr>
            </w:pPr>
            <w:r>
              <w:rPr>
                <w:rFonts w:ascii="宋体" w:hAnsi="宋体" w:hint="eastAsia"/>
                <w:kern w:val="2"/>
                <w:sz w:val="20"/>
                <w:szCs w:val="20"/>
              </w:rPr>
              <w:t>拓宽平台，持续做好交流合作</w:t>
            </w:r>
          </w:p>
        </w:tc>
        <w:tc>
          <w:tcPr>
            <w:tcW w:w="6458" w:type="dxa"/>
            <w:vAlign w:val="center"/>
          </w:tcPr>
          <w:p w:rsidR="004E5AD6" w:rsidRDefault="004C48E5">
            <w:pPr>
              <w:pStyle w:val="ab"/>
              <w:widowControl/>
              <w:adjustRightInd w:val="0"/>
              <w:snapToGrid w:val="0"/>
              <w:spacing w:beforeAutospacing="0" w:afterAutospacing="0"/>
              <w:jc w:val="both"/>
              <w:rPr>
                <w:rFonts w:ascii="宋体" w:hAnsi="宋体"/>
                <w:kern w:val="2"/>
                <w:sz w:val="20"/>
                <w:szCs w:val="20"/>
              </w:rPr>
            </w:pPr>
            <w:r>
              <w:rPr>
                <w:rFonts w:ascii="宋体" w:hAnsi="宋体" w:hint="eastAsia"/>
                <w:kern w:val="2"/>
                <w:sz w:val="20"/>
                <w:szCs w:val="20"/>
              </w:rPr>
              <w:t>继续完善与高校、智库、研究机构和头部企业等合作的机制，更好地发挥参政咨询作用。拟与天津、河北参事室签订京津冀参事室战略合作协议，在继续联合主办京津冀协同发展参事研讨会的基础上进一步深化合作，更好地为京津冀协同发展提供具有前瞻性、战略性、创新性的建议。为加快构建新发展格局贡献智慧和力量。</w:t>
            </w:r>
          </w:p>
        </w:tc>
      </w:tr>
      <w:tr w:rsidR="004E5AD6">
        <w:trPr>
          <w:trHeight w:val="567"/>
          <w:jc w:val="center"/>
        </w:trPr>
        <w:tc>
          <w:tcPr>
            <w:tcW w:w="562" w:type="dxa"/>
            <w:vAlign w:val="center"/>
          </w:tcPr>
          <w:p w:rsidR="004E5AD6" w:rsidRDefault="004C48E5">
            <w:pPr>
              <w:pStyle w:val="ab"/>
              <w:widowControl/>
              <w:adjustRightInd w:val="0"/>
              <w:snapToGrid w:val="0"/>
              <w:spacing w:beforeAutospacing="0" w:afterAutospacing="0"/>
              <w:jc w:val="center"/>
              <w:rPr>
                <w:rFonts w:ascii="宋体" w:hAnsi="宋体"/>
                <w:kern w:val="2"/>
                <w:sz w:val="20"/>
                <w:szCs w:val="20"/>
              </w:rPr>
            </w:pPr>
            <w:r>
              <w:rPr>
                <w:rFonts w:ascii="宋体" w:hAnsi="宋体" w:hint="eastAsia"/>
                <w:kern w:val="2"/>
                <w:sz w:val="20"/>
                <w:szCs w:val="20"/>
              </w:rPr>
              <w:t>6</w:t>
            </w:r>
          </w:p>
        </w:tc>
        <w:tc>
          <w:tcPr>
            <w:tcW w:w="1276" w:type="dxa"/>
            <w:vAlign w:val="center"/>
          </w:tcPr>
          <w:p w:rsidR="004E5AD6" w:rsidRDefault="004C48E5">
            <w:pPr>
              <w:pStyle w:val="ab"/>
              <w:widowControl/>
              <w:adjustRightInd w:val="0"/>
              <w:snapToGrid w:val="0"/>
              <w:spacing w:beforeAutospacing="0" w:afterAutospacing="0"/>
              <w:jc w:val="center"/>
              <w:rPr>
                <w:rFonts w:ascii="宋体" w:hAnsi="宋体"/>
                <w:kern w:val="2"/>
                <w:sz w:val="20"/>
                <w:szCs w:val="20"/>
              </w:rPr>
            </w:pPr>
            <w:r>
              <w:rPr>
                <w:rFonts w:ascii="宋体" w:hAnsi="宋体" w:hint="eastAsia"/>
                <w:kern w:val="2"/>
                <w:sz w:val="20"/>
                <w:szCs w:val="20"/>
              </w:rPr>
              <w:t>深入开展文史研究，发挥崇文鉴</w:t>
            </w:r>
            <w:proofErr w:type="gramStart"/>
            <w:r>
              <w:rPr>
                <w:rFonts w:ascii="宋体" w:hAnsi="宋体" w:hint="eastAsia"/>
                <w:kern w:val="2"/>
                <w:sz w:val="20"/>
                <w:szCs w:val="20"/>
              </w:rPr>
              <w:t>史作用</w:t>
            </w:r>
            <w:proofErr w:type="gramEnd"/>
          </w:p>
        </w:tc>
        <w:tc>
          <w:tcPr>
            <w:tcW w:w="6458" w:type="dxa"/>
            <w:vAlign w:val="center"/>
          </w:tcPr>
          <w:p w:rsidR="004E5AD6" w:rsidRDefault="004C48E5">
            <w:pPr>
              <w:pStyle w:val="ab"/>
              <w:widowControl/>
              <w:adjustRightInd w:val="0"/>
              <w:snapToGrid w:val="0"/>
              <w:spacing w:beforeAutospacing="0" w:afterAutospacing="0"/>
              <w:jc w:val="both"/>
              <w:rPr>
                <w:rFonts w:ascii="宋体" w:hAnsi="宋体"/>
                <w:kern w:val="2"/>
                <w:sz w:val="20"/>
                <w:szCs w:val="20"/>
              </w:rPr>
            </w:pPr>
            <w:r>
              <w:rPr>
                <w:rFonts w:ascii="宋体" w:hAnsi="宋体" w:hint="eastAsia"/>
                <w:kern w:val="2"/>
                <w:sz w:val="20"/>
                <w:szCs w:val="20"/>
              </w:rPr>
              <w:t>开展中轴线历史文化宣讲活动，按计划落实本年度50场的宣讲任务。组织协调好《北京地域文化通览·西城卷》的编撰工作。联合北京市文物局、民盟北京市委，牵头举办第四届北京中轴线保护、传承、利用学术研讨会。创作重大题材山水画作品。编辑出版文化专辑《燕京八绝》、戏剧专辑《京剧行当之生行》、四期《北京文史》刊物、《京华万象》（暂定名）中英</w:t>
            </w:r>
            <w:proofErr w:type="gramStart"/>
            <w:r>
              <w:rPr>
                <w:rFonts w:ascii="宋体" w:hAnsi="宋体" w:hint="eastAsia"/>
                <w:kern w:val="2"/>
                <w:sz w:val="20"/>
                <w:szCs w:val="20"/>
              </w:rPr>
              <w:t>双语绘本等</w:t>
            </w:r>
            <w:proofErr w:type="gramEnd"/>
            <w:r>
              <w:rPr>
                <w:rFonts w:ascii="宋体" w:hAnsi="宋体" w:hint="eastAsia"/>
                <w:kern w:val="2"/>
                <w:sz w:val="20"/>
                <w:szCs w:val="20"/>
              </w:rPr>
              <w:t>。</w:t>
            </w:r>
          </w:p>
        </w:tc>
      </w:tr>
      <w:tr w:rsidR="004E5AD6">
        <w:trPr>
          <w:trHeight w:val="567"/>
          <w:jc w:val="center"/>
        </w:trPr>
        <w:tc>
          <w:tcPr>
            <w:tcW w:w="562" w:type="dxa"/>
            <w:vAlign w:val="center"/>
          </w:tcPr>
          <w:p w:rsidR="004E5AD6" w:rsidRDefault="004C48E5">
            <w:pPr>
              <w:pStyle w:val="ab"/>
              <w:widowControl/>
              <w:adjustRightInd w:val="0"/>
              <w:snapToGrid w:val="0"/>
              <w:spacing w:beforeAutospacing="0" w:afterAutospacing="0"/>
              <w:jc w:val="center"/>
              <w:rPr>
                <w:rFonts w:ascii="宋体" w:hAnsi="宋体"/>
                <w:kern w:val="2"/>
                <w:sz w:val="20"/>
                <w:szCs w:val="20"/>
              </w:rPr>
            </w:pPr>
            <w:r>
              <w:rPr>
                <w:rFonts w:ascii="宋体" w:hAnsi="宋体" w:hint="eastAsia"/>
                <w:kern w:val="2"/>
                <w:sz w:val="20"/>
                <w:szCs w:val="20"/>
              </w:rPr>
              <w:t>7</w:t>
            </w:r>
          </w:p>
        </w:tc>
        <w:tc>
          <w:tcPr>
            <w:tcW w:w="1276" w:type="dxa"/>
            <w:vAlign w:val="center"/>
          </w:tcPr>
          <w:p w:rsidR="004E5AD6" w:rsidRDefault="004C48E5">
            <w:pPr>
              <w:pStyle w:val="ab"/>
              <w:widowControl/>
              <w:adjustRightInd w:val="0"/>
              <w:snapToGrid w:val="0"/>
              <w:spacing w:beforeAutospacing="0" w:afterAutospacing="0"/>
              <w:jc w:val="center"/>
              <w:rPr>
                <w:rFonts w:ascii="宋体" w:hAnsi="宋体"/>
                <w:kern w:val="2"/>
                <w:sz w:val="20"/>
                <w:szCs w:val="20"/>
              </w:rPr>
            </w:pPr>
            <w:r>
              <w:rPr>
                <w:rFonts w:ascii="宋体" w:hAnsi="宋体" w:hint="eastAsia"/>
                <w:kern w:val="2"/>
                <w:sz w:val="20"/>
                <w:szCs w:val="20"/>
              </w:rPr>
              <w:t>全面加强党的建设，推动全面从严治党向纵深发展</w:t>
            </w:r>
          </w:p>
        </w:tc>
        <w:tc>
          <w:tcPr>
            <w:tcW w:w="6458" w:type="dxa"/>
            <w:vAlign w:val="center"/>
          </w:tcPr>
          <w:p w:rsidR="004E5AD6" w:rsidRDefault="004C48E5">
            <w:pPr>
              <w:pStyle w:val="ab"/>
              <w:widowControl/>
              <w:adjustRightInd w:val="0"/>
              <w:snapToGrid w:val="0"/>
              <w:spacing w:beforeAutospacing="0" w:afterAutospacing="0"/>
              <w:jc w:val="both"/>
              <w:rPr>
                <w:rFonts w:ascii="宋体" w:hAnsi="宋体"/>
                <w:kern w:val="2"/>
                <w:sz w:val="20"/>
                <w:szCs w:val="20"/>
              </w:rPr>
            </w:pPr>
            <w:r>
              <w:rPr>
                <w:rFonts w:ascii="宋体" w:hAnsi="宋体" w:hint="eastAsia"/>
                <w:kern w:val="2"/>
                <w:sz w:val="20"/>
                <w:szCs w:val="20"/>
              </w:rPr>
              <w:t>持续强化思想理论武装，做好党的二十大精神的学习宣传贯彻工作，深入学习贯彻习近平新时代中国特色社会主义思想，深入开展党章党规党纪教育。认真履行管党治党主体责任，持续做好全面从严治党、意识形态安全、分析</w:t>
            </w:r>
            <w:proofErr w:type="gramStart"/>
            <w:r>
              <w:rPr>
                <w:rFonts w:ascii="宋体" w:hAnsi="宋体" w:hint="eastAsia"/>
                <w:kern w:val="2"/>
                <w:sz w:val="20"/>
                <w:szCs w:val="20"/>
              </w:rPr>
              <w:t>研判室馆政治</w:t>
            </w:r>
            <w:proofErr w:type="gramEnd"/>
            <w:r>
              <w:rPr>
                <w:rFonts w:ascii="宋体" w:hAnsi="宋体" w:hint="eastAsia"/>
                <w:kern w:val="2"/>
                <w:sz w:val="20"/>
                <w:szCs w:val="20"/>
              </w:rPr>
              <w:t>生态等工作任务，抓严抓实“一岗双责”工作，高质量完成巡视整改任务。全面加强机关党的建设和基层党支部建设。不断加强党风廉政建设，锲而不舍落实中央八项规定精神。</w:t>
            </w:r>
          </w:p>
        </w:tc>
      </w:tr>
    </w:tbl>
    <w:p w:rsidR="004E5AD6" w:rsidRDefault="004C48E5">
      <w:pPr>
        <w:adjustRightInd w:val="0"/>
        <w:snapToGrid w:val="0"/>
        <w:spacing w:line="560" w:lineRule="exact"/>
        <w:ind w:firstLineChars="200" w:firstLine="640"/>
        <w:outlineLvl w:val="1"/>
        <w:rPr>
          <w:rFonts w:ascii="楷体_GB2312" w:eastAsia="楷体_GB2312"/>
          <w:sz w:val="32"/>
          <w:szCs w:val="32"/>
        </w:rPr>
      </w:pPr>
      <w:bookmarkStart w:id="3" w:name="_Toc135402098"/>
      <w:bookmarkStart w:id="4" w:name="_Toc135231090"/>
      <w:r>
        <w:rPr>
          <w:rFonts w:ascii="楷体_GB2312" w:eastAsia="楷体_GB2312" w:hint="eastAsia"/>
          <w:sz w:val="32"/>
          <w:szCs w:val="32"/>
        </w:rPr>
        <w:t>（二）部门整体绩效目标设立情况</w:t>
      </w:r>
      <w:bookmarkEnd w:id="3"/>
      <w:bookmarkEnd w:id="4"/>
    </w:p>
    <w:p w:rsidR="004E5AD6" w:rsidRDefault="004C48E5">
      <w:pPr>
        <w:adjustRightInd w:val="0"/>
        <w:snapToGrid w:val="0"/>
        <w:spacing w:line="560" w:lineRule="exact"/>
        <w:ind w:firstLineChars="200" w:firstLine="643"/>
        <w:outlineLvl w:val="2"/>
        <w:rPr>
          <w:rFonts w:ascii="仿宋_GB2312" w:eastAsia="仿宋_GB2312" w:hAnsi="宋体" w:cs="宋体"/>
          <w:b/>
          <w:bCs/>
          <w:color w:val="000000"/>
          <w:kern w:val="0"/>
          <w:sz w:val="32"/>
          <w:szCs w:val="32"/>
        </w:rPr>
      </w:pPr>
      <w:bookmarkStart w:id="5" w:name="_Toc135231091"/>
      <w:r>
        <w:rPr>
          <w:rFonts w:ascii="仿宋_GB2312" w:eastAsia="仿宋_GB2312" w:hAnsi="宋体" w:cs="宋体"/>
          <w:b/>
          <w:bCs/>
          <w:color w:val="000000"/>
          <w:kern w:val="0"/>
          <w:sz w:val="32"/>
          <w:szCs w:val="32"/>
        </w:rPr>
        <w:t>1.</w:t>
      </w:r>
      <w:r>
        <w:rPr>
          <w:rFonts w:ascii="仿宋_GB2312" w:eastAsia="仿宋_GB2312" w:hAnsi="宋体" w:cs="宋体" w:hint="eastAsia"/>
          <w:b/>
          <w:bCs/>
          <w:color w:val="000000"/>
          <w:kern w:val="0"/>
          <w:sz w:val="32"/>
          <w:szCs w:val="32"/>
        </w:rPr>
        <w:t>绩效目标设立依据</w:t>
      </w:r>
      <w:bookmarkEnd w:id="5"/>
    </w:p>
    <w:p w:rsidR="004E5AD6" w:rsidRDefault="004C48E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市政府参事室按照北京市财政局（简称“市财政局”）部门预算编报要求设置了2</w:t>
      </w:r>
      <w:r>
        <w:rPr>
          <w:rFonts w:ascii="仿宋_GB2312" w:eastAsia="仿宋_GB2312" w:hAnsi="仿宋"/>
          <w:sz w:val="32"/>
          <w:szCs w:val="32"/>
        </w:rPr>
        <w:t>02</w:t>
      </w:r>
      <w:r>
        <w:rPr>
          <w:rFonts w:ascii="仿宋_GB2312" w:eastAsia="仿宋_GB2312" w:hAnsi="仿宋" w:hint="eastAsia"/>
          <w:sz w:val="32"/>
          <w:szCs w:val="32"/>
        </w:rPr>
        <w:t>3年度部门整体绩效目标，主要依据包括：</w:t>
      </w:r>
    </w:p>
    <w:p w:rsidR="004E5AD6" w:rsidRDefault="004C48E5">
      <w:pPr>
        <w:adjustRightInd w:val="0"/>
        <w:snapToGrid w:val="0"/>
        <w:spacing w:line="560" w:lineRule="exact"/>
        <w:ind w:left="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（1）北京市委市政府重点工作</w:t>
      </w:r>
    </w:p>
    <w:p w:rsidR="004E5AD6" w:rsidRDefault="004C48E5">
      <w:pPr>
        <w:adjustRightInd w:val="0"/>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（2）《中共北京市委办公厅北京市人民政府办公厅印发&lt;关于坚持新时代政府参事制度文史馆员制度的实施方案&gt;的通知》</w:t>
      </w:r>
    </w:p>
    <w:p w:rsidR="004E5AD6" w:rsidRDefault="004C48E5">
      <w:pPr>
        <w:adjustRightInd w:val="0"/>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（3）市政府参事室内设机构职能配置</w:t>
      </w:r>
    </w:p>
    <w:p w:rsidR="004E5AD6" w:rsidRDefault="004C48E5">
      <w:pPr>
        <w:adjustRightInd w:val="0"/>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（4）《北京市政府参事室（市文史馆）“十四五”时期事业发展规划和二</w:t>
      </w:r>
      <w:r>
        <w:rPr>
          <w:rFonts w:ascii="微软雅黑" w:eastAsia="微软雅黑" w:hAnsi="微软雅黑" w:cs="微软雅黑" w:hint="eastAsia"/>
          <w:color w:val="000000"/>
          <w:kern w:val="0"/>
          <w:sz w:val="32"/>
          <w:szCs w:val="32"/>
        </w:rPr>
        <w:t>〇</w:t>
      </w:r>
      <w:r>
        <w:rPr>
          <w:rFonts w:ascii="仿宋_GB2312" w:eastAsia="仿宋_GB2312" w:hAnsi="仿宋_GB2312" w:cs="仿宋_GB2312" w:hint="eastAsia"/>
          <w:color w:val="000000"/>
          <w:kern w:val="0"/>
          <w:sz w:val="32"/>
          <w:szCs w:val="32"/>
        </w:rPr>
        <w:t>三五年远景目标</w:t>
      </w:r>
      <w:r>
        <w:rPr>
          <w:rFonts w:ascii="仿宋_GB2312" w:eastAsia="仿宋_GB2312" w:hAnsi="宋体" w:cs="宋体" w:hint="eastAsia"/>
          <w:color w:val="000000"/>
          <w:kern w:val="0"/>
          <w:sz w:val="32"/>
          <w:szCs w:val="32"/>
        </w:rPr>
        <w:t>》</w:t>
      </w:r>
    </w:p>
    <w:p w:rsidR="004E5AD6" w:rsidRDefault="004C48E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（5</w:t>
      </w:r>
      <w:r>
        <w:rPr>
          <w:rFonts w:ascii="仿宋_GB2312" w:eastAsia="仿宋_GB2312" w:hAnsi="仿宋"/>
          <w:sz w:val="32"/>
          <w:szCs w:val="32"/>
        </w:rPr>
        <w:t>）</w:t>
      </w:r>
      <w:r>
        <w:rPr>
          <w:rFonts w:ascii="仿宋_GB2312" w:eastAsia="仿宋_GB2312" w:hAnsi="宋体" w:cs="宋体" w:hint="eastAsia"/>
          <w:color w:val="000000"/>
          <w:kern w:val="0"/>
          <w:sz w:val="32"/>
          <w:szCs w:val="32"/>
        </w:rPr>
        <w:t>市政府参事室</w:t>
      </w:r>
      <w:r>
        <w:rPr>
          <w:rFonts w:ascii="仿宋_GB2312" w:eastAsia="仿宋_GB2312" w:hAnsi="仿宋" w:hint="eastAsia"/>
          <w:sz w:val="32"/>
          <w:szCs w:val="32"/>
        </w:rPr>
        <w:t>2</w:t>
      </w:r>
      <w:r>
        <w:rPr>
          <w:rFonts w:ascii="仿宋_GB2312" w:eastAsia="仿宋_GB2312" w:hAnsi="仿宋"/>
          <w:sz w:val="32"/>
          <w:szCs w:val="32"/>
        </w:rPr>
        <w:t>02</w:t>
      </w:r>
      <w:r>
        <w:rPr>
          <w:rFonts w:ascii="仿宋_GB2312" w:eastAsia="仿宋_GB2312" w:hAnsi="仿宋" w:hint="eastAsia"/>
          <w:sz w:val="32"/>
          <w:szCs w:val="32"/>
        </w:rPr>
        <w:t>3年度</w:t>
      </w:r>
      <w:r>
        <w:rPr>
          <w:rFonts w:ascii="仿宋_GB2312" w:eastAsia="仿宋_GB2312" w:hAnsi="仿宋"/>
          <w:sz w:val="32"/>
          <w:szCs w:val="32"/>
        </w:rPr>
        <w:t>工作重点</w:t>
      </w:r>
    </w:p>
    <w:p w:rsidR="004E5AD6" w:rsidRDefault="004C48E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（6）</w:t>
      </w:r>
      <w:r>
        <w:rPr>
          <w:rFonts w:ascii="仿宋_GB2312" w:eastAsia="仿宋_GB2312" w:hAnsi="宋体" w:cs="宋体" w:hint="eastAsia"/>
          <w:color w:val="000000"/>
          <w:kern w:val="0"/>
          <w:sz w:val="32"/>
          <w:szCs w:val="32"/>
        </w:rPr>
        <w:t>市政府参事室</w:t>
      </w:r>
      <w:r>
        <w:rPr>
          <w:rFonts w:ascii="仿宋_GB2312" w:eastAsia="仿宋_GB2312" w:hAnsi="仿宋" w:hint="eastAsia"/>
          <w:sz w:val="32"/>
          <w:szCs w:val="32"/>
        </w:rPr>
        <w:t>各处室2</w:t>
      </w:r>
      <w:r>
        <w:rPr>
          <w:rFonts w:ascii="仿宋_GB2312" w:eastAsia="仿宋_GB2312" w:hAnsi="仿宋"/>
          <w:sz w:val="32"/>
          <w:szCs w:val="32"/>
        </w:rPr>
        <w:t>02</w:t>
      </w:r>
      <w:r>
        <w:rPr>
          <w:rFonts w:ascii="仿宋_GB2312" w:eastAsia="仿宋_GB2312" w:hAnsi="仿宋" w:hint="eastAsia"/>
          <w:sz w:val="32"/>
          <w:szCs w:val="32"/>
        </w:rPr>
        <w:t>3年度工作计划</w:t>
      </w:r>
    </w:p>
    <w:p w:rsidR="004E5AD6" w:rsidRDefault="004C48E5">
      <w:pPr>
        <w:adjustRightInd w:val="0"/>
        <w:snapToGrid w:val="0"/>
        <w:spacing w:line="560" w:lineRule="exact"/>
        <w:ind w:firstLineChars="200" w:firstLine="643"/>
        <w:outlineLvl w:val="2"/>
        <w:rPr>
          <w:rFonts w:ascii="仿宋_GB2312" w:eastAsia="仿宋_GB2312"/>
          <w:b/>
          <w:bCs/>
          <w:sz w:val="32"/>
          <w:szCs w:val="32"/>
        </w:rPr>
      </w:pPr>
      <w:bookmarkStart w:id="6" w:name="_Toc135231092"/>
      <w:r>
        <w:rPr>
          <w:rFonts w:ascii="仿宋_GB2312" w:eastAsia="仿宋_GB2312"/>
          <w:b/>
          <w:bCs/>
          <w:sz w:val="32"/>
          <w:szCs w:val="32"/>
        </w:rPr>
        <w:t>2.</w:t>
      </w:r>
      <w:r>
        <w:rPr>
          <w:rFonts w:ascii="仿宋_GB2312" w:eastAsia="仿宋_GB2312" w:hint="eastAsia"/>
          <w:b/>
          <w:bCs/>
          <w:sz w:val="32"/>
          <w:szCs w:val="32"/>
        </w:rPr>
        <w:t>绩效目标与职责任务匹配情况及绩效目标合理性</w:t>
      </w:r>
      <w:bookmarkEnd w:id="6"/>
    </w:p>
    <w:p w:rsidR="004E5AD6" w:rsidRDefault="004C48E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在上述文件依据基础上，我单位围绕支持组织市政府参事和市文史馆馆员参加爱国统一战线工作、支持市政府参事及市文史馆馆员同社会各界人士的联系、为市政府参事及市文史馆馆员履行职责提供服务等职能，按照“明确部门工作职责”“确定任务及总目标”“细化形成绩效指标”“确定绩效指标数值”的思路制定了部门整体绩效目标，见图1。</w:t>
      </w:r>
    </w:p>
    <w:p w:rsidR="004E5AD6" w:rsidRDefault="004C48E5">
      <w:pPr>
        <w:adjustRightInd w:val="0"/>
        <w:snapToGrid w:val="0"/>
        <w:jc w:val="center"/>
        <w:rPr>
          <w:rFonts w:ascii="仿宋_GB2312" w:eastAsia="仿宋_GB2312" w:hAnsi="仿宋"/>
          <w:sz w:val="32"/>
          <w:szCs w:val="32"/>
        </w:rPr>
      </w:pPr>
      <w:r>
        <w:rPr>
          <w:rFonts w:ascii="仿宋_GB2312" w:eastAsia="仿宋_GB2312" w:hAnsi="仿宋" w:hint="eastAsia"/>
          <w:noProof/>
          <w:sz w:val="32"/>
          <w:szCs w:val="32"/>
        </w:rPr>
        <w:drawing>
          <wp:inline distT="0" distB="0" distL="0" distR="0">
            <wp:extent cx="5274310" cy="1781175"/>
            <wp:effectExtent l="38100" t="0" r="21590" b="9525"/>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4E5AD6" w:rsidRDefault="004C48E5">
      <w:pPr>
        <w:adjustRightInd w:val="0"/>
        <w:snapToGrid w:val="0"/>
        <w:spacing w:line="560" w:lineRule="exact"/>
        <w:jc w:val="center"/>
        <w:rPr>
          <w:rFonts w:ascii="黑体" w:eastAsia="黑体" w:hAnsi="黑体" w:cs="宋体"/>
          <w:color w:val="000000"/>
          <w:kern w:val="0"/>
          <w:sz w:val="28"/>
          <w:szCs w:val="28"/>
        </w:rPr>
      </w:pPr>
      <w:r>
        <w:rPr>
          <w:rFonts w:ascii="黑体" w:eastAsia="黑体" w:hAnsi="黑体" w:cs="宋体" w:hint="eastAsia"/>
          <w:color w:val="000000"/>
          <w:kern w:val="0"/>
          <w:sz w:val="28"/>
          <w:szCs w:val="28"/>
        </w:rPr>
        <w:t>图1：部门整体支出绩效目标设置思路</w:t>
      </w:r>
    </w:p>
    <w:p w:rsidR="004E5AD6" w:rsidRDefault="004C48E5">
      <w:pPr>
        <w:spacing w:line="560" w:lineRule="exact"/>
        <w:ind w:firstLineChars="200" w:firstLine="640"/>
        <w:rPr>
          <w:rFonts w:ascii="仿宋_GB2312" w:eastAsia="仿宋_GB2312"/>
          <w:sz w:val="32"/>
          <w:szCs w:val="32"/>
        </w:rPr>
      </w:pPr>
      <w:r>
        <w:rPr>
          <w:rFonts w:ascii="仿宋_GB2312" w:eastAsia="仿宋_GB2312" w:hint="eastAsia"/>
          <w:sz w:val="32"/>
          <w:szCs w:val="32"/>
        </w:rPr>
        <w:t>绩效目标设置方面。部门（单位）绩效目标中明确的“开展北京文史研究、重大历史题材创作、系列精品图书编撰等工作”等内容均是我单位主要职能职责，且分别与文史处、</w:t>
      </w:r>
      <w:r>
        <w:rPr>
          <w:rFonts w:ascii="仿宋_GB2312" w:eastAsia="仿宋_GB2312" w:hint="eastAsia"/>
          <w:sz w:val="32"/>
          <w:szCs w:val="32"/>
        </w:rPr>
        <w:lastRenderedPageBreak/>
        <w:t>参事处、文史研究中心等处室或下属单位职能职责相匹配。</w:t>
      </w:r>
    </w:p>
    <w:p w:rsidR="004E5AD6" w:rsidRDefault="004C48E5">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绩效指标设置方面。依据部门职能及年度重点工作任务，从组织参事活动、组织馆员活动、文史编辑出版3个方面对绩效目标进行了分解与细化，设置了相应的绩效指标。</w:t>
      </w:r>
    </w:p>
    <w:p w:rsidR="004E5AD6" w:rsidRDefault="004C48E5">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总体上，部门绩效目标内容较为全面、合理，分解后的绩效指标与我单位部门职责、年度重点工作任务匹配性较好。</w:t>
      </w:r>
    </w:p>
    <w:p w:rsidR="004E5AD6" w:rsidRDefault="004C48E5">
      <w:pPr>
        <w:adjustRightInd w:val="0"/>
        <w:snapToGrid w:val="0"/>
        <w:spacing w:line="560" w:lineRule="exact"/>
        <w:ind w:firstLineChars="200" w:firstLine="640"/>
        <w:outlineLvl w:val="0"/>
        <w:rPr>
          <w:rFonts w:ascii="黑体" w:eastAsia="黑体" w:hAnsi="黑体" w:cs="宋体"/>
          <w:color w:val="000000"/>
          <w:kern w:val="0"/>
          <w:sz w:val="32"/>
          <w:szCs w:val="32"/>
        </w:rPr>
      </w:pPr>
      <w:bookmarkStart w:id="7" w:name="_Toc135231093"/>
      <w:bookmarkStart w:id="8" w:name="_Toc135402099"/>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bookmarkEnd w:id="7"/>
      <w:bookmarkEnd w:id="8"/>
    </w:p>
    <w:p w:rsidR="004E5AD6" w:rsidRDefault="004C48E5">
      <w:p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2023年</w:t>
      </w:r>
      <w:r>
        <w:rPr>
          <w:rFonts w:ascii="仿宋_GB2312" w:eastAsia="仿宋_GB2312" w:hAnsi="宋体" w:cs="宋体"/>
          <w:color w:val="000000"/>
          <w:kern w:val="0"/>
          <w:sz w:val="32"/>
          <w:szCs w:val="32"/>
        </w:rPr>
        <w:t>全年</w:t>
      </w:r>
      <w:r>
        <w:rPr>
          <w:rFonts w:ascii="仿宋_GB2312" w:eastAsia="仿宋_GB2312" w:hAnsi="宋体" w:cs="宋体" w:hint="eastAsia"/>
          <w:color w:val="000000"/>
          <w:kern w:val="0"/>
          <w:sz w:val="32"/>
          <w:szCs w:val="32"/>
        </w:rPr>
        <w:t>预算数3032.59万元</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其中</w:t>
      </w:r>
      <w:r>
        <w:rPr>
          <w:rFonts w:ascii="仿宋_GB2312" w:eastAsia="仿宋_GB2312" w:hAnsi="宋体" w:cs="宋体"/>
          <w:color w:val="000000"/>
          <w:kern w:val="0"/>
          <w:sz w:val="32"/>
          <w:szCs w:val="32"/>
        </w:rPr>
        <w:t>，基本</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预算数</w:t>
      </w:r>
      <w:r>
        <w:rPr>
          <w:rFonts w:ascii="仿宋_GB2312" w:eastAsia="仿宋_GB2312" w:hAnsi="宋体" w:cs="宋体" w:hint="eastAsia"/>
          <w:color w:val="000000"/>
          <w:kern w:val="0"/>
          <w:sz w:val="32"/>
          <w:szCs w:val="32"/>
        </w:rPr>
        <w:t>1789.48</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项目支出预算数1243.11</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资金总体</w:t>
      </w:r>
      <w:r>
        <w:rPr>
          <w:rFonts w:ascii="仿宋_GB2312" w:eastAsia="仿宋_GB2312" w:hAnsi="宋体" w:cs="宋体" w:hint="eastAsia"/>
          <w:color w:val="000000"/>
          <w:kern w:val="0"/>
          <w:sz w:val="32"/>
          <w:szCs w:val="32"/>
        </w:rPr>
        <w:t>支出2738.00</w:t>
      </w:r>
      <w:r>
        <w:rPr>
          <w:rFonts w:ascii="仿宋_GB2312" w:eastAsia="仿宋_GB2312" w:hAnsi="宋体" w:cs="宋体"/>
          <w:color w:val="000000"/>
          <w:kern w:val="0"/>
          <w:sz w:val="32"/>
          <w:szCs w:val="32"/>
        </w:rPr>
        <w:t>万元，其中，基本支出</w:t>
      </w:r>
      <w:r>
        <w:rPr>
          <w:rFonts w:ascii="仿宋_GB2312" w:eastAsia="仿宋_GB2312" w:hAnsi="宋体" w:cs="宋体" w:hint="eastAsia"/>
          <w:color w:val="000000"/>
          <w:kern w:val="0"/>
          <w:sz w:val="32"/>
          <w:szCs w:val="32"/>
        </w:rPr>
        <w:t>1649.74</w:t>
      </w:r>
      <w:r>
        <w:rPr>
          <w:rFonts w:ascii="仿宋_GB2312" w:eastAsia="仿宋_GB2312" w:hAnsi="宋体" w:cs="宋体"/>
          <w:color w:val="000000"/>
          <w:kern w:val="0"/>
          <w:sz w:val="32"/>
          <w:szCs w:val="32"/>
        </w:rPr>
        <w:t>万元，项目</w:t>
      </w:r>
      <w:r>
        <w:rPr>
          <w:rFonts w:ascii="仿宋_GB2312" w:eastAsia="仿宋_GB2312" w:hAnsi="宋体" w:cs="宋体" w:hint="eastAsia"/>
          <w:color w:val="000000"/>
          <w:kern w:val="0"/>
          <w:sz w:val="32"/>
          <w:szCs w:val="32"/>
        </w:rPr>
        <w:t>支出1088.26</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预算</w:t>
      </w:r>
      <w:r>
        <w:rPr>
          <w:rFonts w:ascii="仿宋_GB2312" w:eastAsia="仿宋_GB2312" w:hAnsi="宋体" w:cs="宋体"/>
          <w:color w:val="000000"/>
          <w:kern w:val="0"/>
          <w:sz w:val="32"/>
          <w:szCs w:val="32"/>
        </w:rPr>
        <w:t>执行率为</w:t>
      </w:r>
      <w:r>
        <w:rPr>
          <w:rFonts w:ascii="仿宋_GB2312" w:eastAsia="仿宋_GB2312" w:hAnsi="宋体" w:cs="宋体" w:hint="eastAsia"/>
          <w:color w:val="000000"/>
          <w:kern w:val="0"/>
          <w:sz w:val="32"/>
          <w:szCs w:val="32"/>
        </w:rPr>
        <w:t>90.29%。</w:t>
      </w:r>
    </w:p>
    <w:p w:rsidR="004E5AD6" w:rsidRDefault="004C48E5">
      <w:pPr>
        <w:adjustRightInd w:val="0"/>
        <w:snapToGrid w:val="0"/>
        <w:spacing w:line="560" w:lineRule="exact"/>
        <w:ind w:firstLineChars="200" w:firstLine="640"/>
        <w:outlineLvl w:val="0"/>
        <w:rPr>
          <w:rFonts w:ascii="黑体" w:eastAsia="黑体" w:hAnsi="黑体" w:cs="宋体"/>
          <w:color w:val="000000"/>
          <w:kern w:val="0"/>
          <w:sz w:val="32"/>
          <w:szCs w:val="32"/>
        </w:rPr>
      </w:pPr>
      <w:bookmarkStart w:id="9" w:name="_Toc135231094"/>
      <w:bookmarkStart w:id="10" w:name="_Toc135402100"/>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bookmarkEnd w:id="9"/>
      <w:bookmarkEnd w:id="10"/>
    </w:p>
    <w:p w:rsidR="004E5AD6" w:rsidRDefault="004C48E5">
      <w:pPr>
        <w:adjustRightInd w:val="0"/>
        <w:snapToGrid w:val="0"/>
        <w:spacing w:line="560" w:lineRule="exact"/>
        <w:ind w:firstLineChars="200" w:firstLine="640"/>
        <w:outlineLvl w:val="1"/>
        <w:rPr>
          <w:rFonts w:ascii="楷体_GB2312" w:eastAsia="楷体_GB2312"/>
          <w:sz w:val="32"/>
          <w:szCs w:val="32"/>
        </w:rPr>
      </w:pPr>
      <w:bookmarkStart w:id="11" w:name="_Toc135402101"/>
      <w:bookmarkStart w:id="12" w:name="_Toc135231095"/>
      <w:r>
        <w:rPr>
          <w:rFonts w:ascii="楷体_GB2312" w:eastAsia="楷体_GB2312" w:hint="eastAsia"/>
          <w:sz w:val="32"/>
          <w:szCs w:val="32"/>
        </w:rPr>
        <w:t>（一）产出完成情况分析</w:t>
      </w:r>
      <w:bookmarkEnd w:id="11"/>
      <w:bookmarkEnd w:id="12"/>
    </w:p>
    <w:p w:rsidR="004E5AD6" w:rsidRDefault="004C48E5">
      <w:pPr>
        <w:spacing w:line="600" w:lineRule="exact"/>
        <w:ind w:firstLineChars="200" w:firstLine="640"/>
        <w:rPr>
          <w:rFonts w:ascii="仿宋_GB2312" w:eastAsia="仿宋_GB2312" w:hAnsi="宋体" w:cs="宋体"/>
          <w:color w:val="000000"/>
          <w:kern w:val="0"/>
          <w:sz w:val="32"/>
          <w:szCs w:val="32"/>
        </w:rPr>
      </w:pPr>
      <w:bookmarkStart w:id="13" w:name="_Toc135231096"/>
      <w:r>
        <w:rPr>
          <w:rFonts w:ascii="仿宋_GB2312" w:eastAsia="仿宋_GB2312" w:hAnsi="宋体" w:cs="宋体" w:hint="eastAsia"/>
          <w:color w:val="000000"/>
          <w:kern w:val="0"/>
          <w:sz w:val="32"/>
          <w:szCs w:val="32"/>
        </w:rPr>
        <w:t>2023年,市政府参事室坚持以习近平新时代中国特色社会主义思想为指导，全面贯彻落实党的二十大精神，按照中办、国办关于坚持和完善新时代政府参事制度文史馆员制度文件和北京市《实施方案》要求，围绕党和国家事业发展大局，聚焦首都经济社会发展，高质量建</w:t>
      </w:r>
      <w:r w:rsidR="00574527">
        <w:rPr>
          <w:rFonts w:ascii="仿宋_GB2312" w:eastAsia="仿宋_GB2312" w:hAnsi="宋体" w:cs="宋体" w:hint="eastAsia"/>
          <w:color w:val="000000"/>
          <w:kern w:val="0"/>
          <w:sz w:val="32"/>
          <w:szCs w:val="32"/>
        </w:rPr>
        <w:t>言</w:t>
      </w:r>
      <w:proofErr w:type="gramStart"/>
      <w:r w:rsidR="00574527">
        <w:rPr>
          <w:rFonts w:ascii="仿宋_GB2312" w:eastAsia="仿宋_GB2312" w:hAnsi="宋体" w:cs="宋体" w:hint="eastAsia"/>
          <w:color w:val="000000"/>
          <w:kern w:val="0"/>
          <w:sz w:val="32"/>
          <w:szCs w:val="32"/>
        </w:rPr>
        <w:t>咨</w:t>
      </w:r>
      <w:proofErr w:type="gramEnd"/>
      <w:r w:rsidR="00574527">
        <w:rPr>
          <w:rFonts w:ascii="仿宋_GB2312" w:eastAsia="仿宋_GB2312" w:hAnsi="宋体" w:cs="宋体" w:hint="eastAsia"/>
          <w:color w:val="000000"/>
          <w:kern w:val="0"/>
          <w:sz w:val="32"/>
          <w:szCs w:val="32"/>
        </w:rPr>
        <w:t>政</w:t>
      </w:r>
      <w:r>
        <w:rPr>
          <w:rFonts w:ascii="仿宋_GB2312" w:eastAsia="仿宋_GB2312" w:hAnsi="宋体" w:cs="宋体" w:hint="eastAsia"/>
          <w:color w:val="000000"/>
          <w:kern w:val="0"/>
          <w:sz w:val="32"/>
          <w:szCs w:val="32"/>
        </w:rPr>
        <w:t>，坚持守正创新，高水平崇文鉴史，顺利完成组织参事活动、组织馆员活动、文史作品编辑出版等年度工作任务目标。各项任务具体产出情况如下：</w:t>
      </w:r>
    </w:p>
    <w:p w:rsidR="004E5AD6" w:rsidRDefault="004C48E5">
      <w:pPr>
        <w:adjustRightInd w:val="0"/>
        <w:snapToGrid w:val="0"/>
        <w:spacing w:line="560" w:lineRule="exact"/>
        <w:ind w:firstLineChars="200" w:firstLine="643"/>
        <w:outlineLvl w:val="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1.产出数量</w:t>
      </w:r>
      <w:bookmarkEnd w:id="13"/>
    </w:p>
    <w:p w:rsidR="004E5AD6" w:rsidRDefault="004C48E5">
      <w:pPr>
        <w:adjustRightInd w:val="0"/>
        <w:snapToGrid w:val="0"/>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（1）组织参事活动方面</w:t>
      </w:r>
    </w:p>
    <w:p w:rsidR="004E5AD6" w:rsidRDefault="004C48E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全年累计组织市政府参事、市政府参事室特约研究员开</w:t>
      </w:r>
      <w:r>
        <w:rPr>
          <w:rFonts w:ascii="仿宋_GB2312" w:eastAsia="仿宋_GB2312" w:hAnsi="仿宋" w:hint="eastAsia"/>
          <w:sz w:val="32"/>
          <w:szCs w:val="32"/>
        </w:rPr>
        <w:lastRenderedPageBreak/>
        <w:t>展本市及外省市调研活动40余次，召开专家座谈会32场，通过调研研讨共计报送参事建议10篇、社情民意信息26篇。完成“推动京津冀智能网联汽车产业协作”“聚焦‘三城一区’建设，推进产学研深度融合，加快建设具有全球影响力的国际科技创新中心”“探索以街区一体化模式推动城市更新工作”3项重点调研课题，形成调研课题报告5篇。</w:t>
      </w:r>
    </w:p>
    <w:p w:rsidR="004E5AD6" w:rsidRDefault="004C48E5">
      <w:pPr>
        <w:adjustRightInd w:val="0"/>
        <w:snapToGrid w:val="0"/>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（2）组织馆员活动方面</w:t>
      </w:r>
    </w:p>
    <w:p w:rsidR="004E5AD6" w:rsidRPr="00574527" w:rsidRDefault="00574527" w:rsidP="00574527">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一是以习近平总书记给建设和守护密云水库乡亲们的回信为主题，组织书画名家馆员创作了1幅大型山水画。二是为助力中轴线申遗，2023年继续在西班牙、塞尔维亚等国播出纪录片《永恒之轴》，组织参事、馆员走进学校、机关、社区，开展宣讲50余场，联合市文物局等五家单位，成功举办第四届中轴线保护传承利用研讨会。</w:t>
      </w:r>
    </w:p>
    <w:p w:rsidR="004E5AD6" w:rsidRDefault="004C48E5">
      <w:pPr>
        <w:adjustRightInd w:val="0"/>
        <w:snapToGrid w:val="0"/>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（3）文史作品编辑出版方面</w:t>
      </w:r>
    </w:p>
    <w:p w:rsidR="00574527" w:rsidRDefault="00574527" w:rsidP="00574527">
      <w:pPr>
        <w:adjustRightInd w:val="0"/>
        <w:snapToGrid w:val="0"/>
        <w:spacing w:line="560" w:lineRule="exact"/>
        <w:ind w:firstLineChars="200" w:firstLine="640"/>
        <w:rPr>
          <w:rFonts w:ascii="仿宋_GB2312" w:eastAsia="仿宋_GB2312" w:hAnsi="仿宋"/>
          <w:sz w:val="32"/>
          <w:szCs w:val="32"/>
        </w:rPr>
      </w:pPr>
      <w:bookmarkStart w:id="14" w:name="_Toc135231097"/>
      <w:r>
        <w:rPr>
          <w:rFonts w:ascii="仿宋_GB2312" w:eastAsia="仿宋_GB2312" w:hAnsi="仿宋" w:hint="eastAsia"/>
          <w:sz w:val="32"/>
          <w:szCs w:val="32"/>
        </w:rPr>
        <w:t>北京文史·历史文化专辑《燕京八绝》正式出版，全书共计编辑12万字，图片300幅，全年印制4000册。完成《京剧行当之生行》出版工作，该部分共计240页、2.6万字，全年印制4000册。继续编辑出版《北京地域文化通览·分区卷》，在去年出版《东城卷》基础上，本年度完成了《西城卷》的编写工作。完成4期《北京文史》编辑出版，每期刊印7000册。</w:t>
      </w:r>
    </w:p>
    <w:p w:rsidR="004E5AD6" w:rsidRDefault="004C48E5">
      <w:pPr>
        <w:adjustRightInd w:val="0"/>
        <w:snapToGrid w:val="0"/>
        <w:spacing w:line="560" w:lineRule="exact"/>
        <w:ind w:firstLineChars="200" w:firstLine="643"/>
        <w:outlineLvl w:val="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2.产出</w:t>
      </w:r>
      <w:r>
        <w:rPr>
          <w:rFonts w:ascii="仿宋_GB2312" w:eastAsia="仿宋_GB2312" w:hAnsi="宋体" w:cs="宋体"/>
          <w:b/>
          <w:bCs/>
          <w:color w:val="000000"/>
          <w:kern w:val="0"/>
          <w:sz w:val="32"/>
          <w:szCs w:val="32"/>
        </w:rPr>
        <w:t>质量</w:t>
      </w:r>
      <w:bookmarkEnd w:id="14"/>
    </w:p>
    <w:p w:rsidR="004E5AD6" w:rsidRDefault="004C48E5">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2023年部门工作完成质量较好。参事活动方面，参事、特约研究员参与率79.1%，达到了年初设置指标（70%）；各</w:t>
      </w:r>
      <w:r>
        <w:rPr>
          <w:rFonts w:ascii="仿宋_GB2312" w:eastAsia="仿宋_GB2312" w:hAnsi="宋体" w:cs="宋体" w:hint="eastAsia"/>
          <w:color w:val="000000"/>
          <w:kern w:val="0"/>
          <w:sz w:val="32"/>
          <w:szCs w:val="32"/>
        </w:rPr>
        <w:lastRenderedPageBreak/>
        <w:t>项调研课题均组织了多场研讨论证会议，课题研究成果获得市委、市政府领导批示23次，多篇社情民意信息被市委市政府内参采用刊登。馆员活动方面，</w:t>
      </w:r>
      <w:r w:rsidR="00574527">
        <w:rPr>
          <w:rFonts w:ascii="仿宋_GB2312" w:eastAsia="仿宋_GB2312" w:hAnsi="宋体" w:cs="宋体" w:hint="eastAsia"/>
          <w:color w:val="000000"/>
          <w:kern w:val="0"/>
          <w:sz w:val="32"/>
          <w:szCs w:val="32"/>
        </w:rPr>
        <w:t>大型</w:t>
      </w:r>
      <w:r>
        <w:rPr>
          <w:rFonts w:ascii="仿宋_GB2312" w:eastAsia="仿宋_GB2312" w:hAnsi="宋体" w:cs="宋体" w:hint="eastAsia"/>
          <w:color w:val="000000"/>
          <w:kern w:val="0"/>
          <w:sz w:val="32"/>
          <w:szCs w:val="32"/>
        </w:rPr>
        <w:t>山水画按预期规格完成，并通过了专家验收；中轴线与北京历史文化宣讲围绕北京中轴线的发展变化、文化内涵、启示作用等内容开展，每场宣讲活动时长均在1.5小时以上。综上，各方面工作的完成质量均达到了预期目标。</w:t>
      </w:r>
    </w:p>
    <w:p w:rsidR="004E5AD6" w:rsidRDefault="004C48E5">
      <w:pPr>
        <w:adjustRightInd w:val="0"/>
        <w:snapToGrid w:val="0"/>
        <w:spacing w:line="560" w:lineRule="exact"/>
        <w:ind w:firstLineChars="200" w:firstLine="643"/>
        <w:outlineLvl w:val="2"/>
        <w:rPr>
          <w:rFonts w:ascii="仿宋_GB2312" w:eastAsia="仿宋_GB2312" w:hAnsi="宋体" w:cs="宋体"/>
          <w:b/>
          <w:bCs/>
          <w:color w:val="000000"/>
          <w:kern w:val="0"/>
          <w:sz w:val="32"/>
          <w:szCs w:val="32"/>
        </w:rPr>
      </w:pPr>
      <w:bookmarkStart w:id="15" w:name="_Toc135231098"/>
      <w:r>
        <w:rPr>
          <w:rFonts w:ascii="仿宋_GB2312" w:eastAsia="仿宋_GB2312" w:hAnsi="宋体" w:cs="宋体" w:hint="eastAsia"/>
          <w:b/>
          <w:bCs/>
          <w:color w:val="000000"/>
          <w:kern w:val="0"/>
          <w:sz w:val="32"/>
          <w:szCs w:val="32"/>
        </w:rPr>
        <w:t>3.产出</w:t>
      </w:r>
      <w:r>
        <w:rPr>
          <w:rFonts w:ascii="仿宋_GB2312" w:eastAsia="仿宋_GB2312" w:hAnsi="宋体" w:cs="宋体"/>
          <w:b/>
          <w:bCs/>
          <w:color w:val="000000"/>
          <w:kern w:val="0"/>
          <w:sz w:val="32"/>
          <w:szCs w:val="32"/>
        </w:rPr>
        <w:t>进度</w:t>
      </w:r>
      <w:bookmarkEnd w:id="15"/>
    </w:p>
    <w:p w:rsidR="004E5AD6" w:rsidRDefault="004C48E5">
      <w:p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2023年部门工作任务产出进度总体符合计划要求，仅个别工作</w:t>
      </w:r>
      <w:proofErr w:type="gramStart"/>
      <w:r>
        <w:rPr>
          <w:rFonts w:ascii="仿宋_GB2312" w:eastAsia="仿宋_GB2312" w:hAnsi="宋体" w:cs="宋体" w:hint="eastAsia"/>
          <w:color w:val="000000"/>
          <w:kern w:val="0"/>
          <w:sz w:val="32"/>
          <w:szCs w:val="32"/>
        </w:rPr>
        <w:t>受推进</w:t>
      </w:r>
      <w:proofErr w:type="gramEnd"/>
      <w:r>
        <w:rPr>
          <w:rFonts w:ascii="仿宋_GB2312" w:eastAsia="仿宋_GB2312" w:hAnsi="宋体" w:cs="宋体" w:hint="eastAsia"/>
          <w:color w:val="000000"/>
          <w:kern w:val="0"/>
          <w:sz w:val="32"/>
          <w:szCs w:val="32"/>
        </w:rPr>
        <w:t>过程中不确定因素影响，进度稍有滞后。</w:t>
      </w:r>
    </w:p>
    <w:p w:rsidR="004E5AD6" w:rsidRDefault="004C48E5">
      <w:pPr>
        <w:adjustRightInd w:val="0"/>
        <w:snapToGrid w:val="0"/>
        <w:spacing w:line="560" w:lineRule="exact"/>
        <w:ind w:firstLineChars="200" w:firstLine="643"/>
        <w:outlineLvl w:val="2"/>
        <w:rPr>
          <w:rFonts w:ascii="仿宋_GB2312" w:eastAsia="仿宋_GB2312" w:hAnsi="宋体" w:cs="宋体"/>
          <w:b/>
          <w:bCs/>
          <w:color w:val="000000"/>
          <w:kern w:val="0"/>
          <w:sz w:val="32"/>
          <w:szCs w:val="32"/>
        </w:rPr>
      </w:pPr>
      <w:r>
        <w:rPr>
          <w:rFonts w:ascii="仿宋_GB2312" w:eastAsia="仿宋_GB2312" w:hAnsi="宋体" w:cs="宋体"/>
          <w:b/>
          <w:bCs/>
          <w:color w:val="000000"/>
          <w:kern w:val="0"/>
          <w:sz w:val="32"/>
          <w:szCs w:val="32"/>
        </w:rPr>
        <w:t>4.</w:t>
      </w:r>
      <w:r>
        <w:rPr>
          <w:rFonts w:ascii="仿宋_GB2312" w:eastAsia="仿宋_GB2312" w:hAnsi="宋体" w:cs="宋体" w:hint="eastAsia"/>
          <w:b/>
          <w:bCs/>
          <w:color w:val="000000"/>
          <w:kern w:val="0"/>
          <w:sz w:val="32"/>
          <w:szCs w:val="32"/>
        </w:rPr>
        <w:t>产出</w:t>
      </w:r>
      <w:r>
        <w:rPr>
          <w:rFonts w:ascii="仿宋_GB2312" w:eastAsia="仿宋_GB2312" w:hAnsi="宋体" w:cs="宋体"/>
          <w:b/>
          <w:bCs/>
          <w:color w:val="000000"/>
          <w:kern w:val="0"/>
          <w:sz w:val="32"/>
          <w:szCs w:val="32"/>
        </w:rPr>
        <w:t>成本</w:t>
      </w:r>
    </w:p>
    <w:p w:rsidR="004E5AD6" w:rsidRDefault="004C48E5">
      <w:pPr>
        <w:adjustRightInd w:val="0"/>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仿宋_GB2312" w:cs="仿宋_GB2312" w:hint="eastAsia"/>
          <w:sz w:val="32"/>
          <w:szCs w:val="32"/>
        </w:rPr>
        <w:t>总体上，我单位基本支出及各项目支出均控制在年度预算范围内，部门整体运行成本为</w:t>
      </w:r>
      <w:r>
        <w:rPr>
          <w:rFonts w:ascii="仿宋_GB2312" w:eastAsia="仿宋_GB2312" w:hAnsi="宋体" w:cs="宋体" w:hint="eastAsia"/>
          <w:color w:val="000000"/>
          <w:kern w:val="0"/>
          <w:sz w:val="32"/>
          <w:szCs w:val="32"/>
        </w:rPr>
        <w:t>2738.00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其中</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基本支出</w:t>
      </w:r>
      <w:r>
        <w:rPr>
          <w:rFonts w:ascii="仿宋_GB2312" w:eastAsia="仿宋_GB2312" w:hAnsi="宋体" w:cs="宋体" w:hint="eastAsia"/>
          <w:color w:val="000000"/>
          <w:kern w:val="0"/>
          <w:sz w:val="32"/>
          <w:szCs w:val="32"/>
        </w:rPr>
        <w:t>1649.74</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，占支出合计的60.25%；</w:t>
      </w:r>
      <w:r>
        <w:rPr>
          <w:rFonts w:ascii="仿宋_GB2312" w:eastAsia="仿宋_GB2312" w:hAnsi="宋体" w:cs="宋体"/>
          <w:color w:val="000000"/>
          <w:kern w:val="0"/>
          <w:sz w:val="32"/>
          <w:szCs w:val="32"/>
        </w:rPr>
        <w:t>项目</w:t>
      </w:r>
      <w:r>
        <w:rPr>
          <w:rFonts w:ascii="仿宋_GB2312" w:eastAsia="仿宋_GB2312" w:hAnsi="宋体" w:cs="宋体" w:hint="eastAsia"/>
          <w:color w:val="000000"/>
          <w:kern w:val="0"/>
          <w:sz w:val="32"/>
          <w:szCs w:val="32"/>
        </w:rPr>
        <w:t>支出1088.26</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占支出合计的39.75%。</w:t>
      </w:r>
    </w:p>
    <w:p w:rsidR="004E5AD6" w:rsidRDefault="004C48E5">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年度预算执行中，根据</w:t>
      </w:r>
      <w:r>
        <w:rPr>
          <w:rFonts w:ascii="仿宋_GB2312" w:eastAsia="仿宋_GB2312" w:hAnsi="仿宋_GB2312" w:cs="仿宋_GB2312"/>
          <w:sz w:val="32"/>
          <w:szCs w:val="32"/>
        </w:rPr>
        <w:t>“厉行节约,反对浪费”</w:t>
      </w:r>
      <w:r>
        <w:rPr>
          <w:rFonts w:ascii="仿宋_GB2312" w:eastAsia="仿宋_GB2312" w:hAnsi="仿宋_GB2312" w:cs="仿宋_GB2312" w:hint="eastAsia"/>
          <w:sz w:val="32"/>
          <w:szCs w:val="32"/>
        </w:rPr>
        <w:t>的原则，严格按照相关制度要求控制运行成本，以无纸化办公、物品循环再利用等方式降低成本支出，以公开招标、比选等竞争性采购方式节约财政资金，未出现单项成本明显高于市场价格的情况。</w:t>
      </w:r>
    </w:p>
    <w:p w:rsidR="004E5AD6" w:rsidRDefault="004C48E5">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公用经费方面，年初申报公用经费预算342.12万元，实际支出247.31万元，占年初申报金额的72.29%。年初申报“三公”经费</w:t>
      </w:r>
      <w:r>
        <w:rPr>
          <w:rFonts w:ascii="仿宋_GB2312" w:eastAsia="仿宋_GB2312" w:hAnsi="仿宋_GB2312" w:cs="仿宋_GB2312"/>
          <w:sz w:val="32"/>
          <w:szCs w:val="32"/>
        </w:rPr>
        <w:t>106.13</w:t>
      </w:r>
      <w:r>
        <w:rPr>
          <w:rFonts w:ascii="仿宋_GB2312" w:eastAsia="仿宋_GB2312" w:hAnsi="仿宋_GB2312" w:cs="仿宋_GB2312" w:hint="eastAsia"/>
          <w:sz w:val="32"/>
          <w:szCs w:val="32"/>
        </w:rPr>
        <w:t>万元，在执行中牢固树立过紧日子的思想，强化“三公”经费管理，大力压减非必须、非刚性支出，</w:t>
      </w:r>
      <w:r>
        <w:rPr>
          <w:rFonts w:ascii="仿宋_GB2312" w:eastAsia="仿宋_GB2312" w:hAnsi="仿宋_GB2312" w:cs="仿宋_GB2312" w:hint="eastAsia"/>
          <w:sz w:val="32"/>
          <w:szCs w:val="32"/>
        </w:rPr>
        <w:lastRenderedPageBreak/>
        <w:t>从严从紧控制“三公”经费支出，2</w:t>
      </w:r>
      <w:r>
        <w:rPr>
          <w:rFonts w:ascii="仿宋_GB2312" w:eastAsia="仿宋_GB2312" w:hAnsi="仿宋_GB2312" w:cs="仿宋_GB2312"/>
          <w:sz w:val="32"/>
          <w:szCs w:val="32"/>
        </w:rPr>
        <w:t>02</w:t>
      </w:r>
      <w:r>
        <w:rPr>
          <w:rFonts w:ascii="仿宋_GB2312" w:eastAsia="仿宋_GB2312" w:hAnsi="仿宋_GB2312" w:cs="仿宋_GB2312" w:hint="eastAsia"/>
          <w:sz w:val="32"/>
          <w:szCs w:val="32"/>
        </w:rPr>
        <w:t>3年实际发生“三公”经费支出22.02万元。</w:t>
      </w:r>
    </w:p>
    <w:p w:rsidR="004E5AD6" w:rsidRDefault="004C48E5">
      <w:pPr>
        <w:adjustRightInd w:val="0"/>
        <w:snapToGrid w:val="0"/>
        <w:spacing w:line="560" w:lineRule="exact"/>
        <w:ind w:firstLineChars="200" w:firstLine="640"/>
        <w:outlineLvl w:val="1"/>
        <w:rPr>
          <w:rFonts w:ascii="楷体_GB2312" w:eastAsia="楷体_GB2312"/>
          <w:sz w:val="32"/>
          <w:szCs w:val="32"/>
        </w:rPr>
      </w:pPr>
      <w:bookmarkStart w:id="16" w:name="_Toc135402102"/>
      <w:bookmarkStart w:id="17" w:name="_Toc135231100"/>
      <w:r>
        <w:rPr>
          <w:rFonts w:ascii="楷体_GB2312" w:eastAsia="楷体_GB2312" w:hint="eastAsia"/>
          <w:sz w:val="32"/>
          <w:szCs w:val="32"/>
        </w:rPr>
        <w:t>（二）效果</w:t>
      </w:r>
      <w:r>
        <w:rPr>
          <w:rFonts w:ascii="楷体_GB2312" w:eastAsia="楷体_GB2312"/>
          <w:sz w:val="32"/>
          <w:szCs w:val="32"/>
        </w:rPr>
        <w:t>实现情况分析</w:t>
      </w:r>
      <w:bookmarkEnd w:id="16"/>
      <w:bookmarkEnd w:id="17"/>
    </w:p>
    <w:p w:rsidR="004E5AD6" w:rsidRDefault="004C48E5">
      <w:pPr>
        <w:adjustRightInd w:val="0"/>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02</w:t>
      </w:r>
      <w:r>
        <w:rPr>
          <w:rFonts w:ascii="仿宋_GB2312" w:eastAsia="仿宋_GB2312" w:hAnsi="宋体" w:cs="宋体" w:hint="eastAsia"/>
          <w:color w:val="000000"/>
          <w:kern w:val="0"/>
          <w:sz w:val="32"/>
          <w:szCs w:val="32"/>
        </w:rPr>
        <w:t>3年度各项工作取得了显著成效，具体如下：</w:t>
      </w:r>
    </w:p>
    <w:p w:rsidR="004E5AD6" w:rsidRDefault="004C48E5">
      <w:pPr>
        <w:adjustRightInd w:val="0"/>
        <w:snapToGrid w:val="0"/>
        <w:spacing w:line="560" w:lineRule="exact"/>
        <w:ind w:firstLineChars="200" w:firstLine="643"/>
        <w:outlineLvl w:val="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1.落实队伍建设年有关要求，队伍建设水平显著提升</w:t>
      </w:r>
    </w:p>
    <w:p w:rsidR="004E5AD6" w:rsidRDefault="004C48E5">
      <w:pPr>
        <w:adjustRightInd w:val="0"/>
        <w:snapToGrid w:val="0"/>
        <w:spacing w:line="560" w:lineRule="exact"/>
        <w:ind w:firstLineChars="200" w:firstLine="643"/>
        <w:rPr>
          <w:rFonts w:eastAsia="仿宋_GB2312"/>
          <w:sz w:val="32"/>
          <w:szCs w:val="32"/>
        </w:rPr>
      </w:pPr>
      <w:r>
        <w:rPr>
          <w:rFonts w:eastAsia="仿宋_GB2312" w:hint="eastAsia"/>
          <w:b/>
          <w:bCs/>
          <w:sz w:val="32"/>
          <w:szCs w:val="32"/>
        </w:rPr>
        <w:t>一是领导班子战略谋划力进一步增强。</w:t>
      </w:r>
      <w:r>
        <w:rPr>
          <w:rFonts w:eastAsia="仿宋_GB2312" w:hint="eastAsia"/>
          <w:sz w:val="32"/>
          <w:szCs w:val="32"/>
        </w:rPr>
        <w:t>领导班子</w:t>
      </w:r>
      <w:r>
        <w:rPr>
          <w:rFonts w:eastAsia="仿宋_GB2312"/>
          <w:sz w:val="32"/>
          <w:szCs w:val="32"/>
        </w:rPr>
        <w:t>带头深入学</w:t>
      </w:r>
      <w:proofErr w:type="gramStart"/>
      <w:r>
        <w:rPr>
          <w:rFonts w:eastAsia="仿宋_GB2312"/>
          <w:sz w:val="32"/>
          <w:szCs w:val="32"/>
        </w:rPr>
        <w:t>习习近</w:t>
      </w:r>
      <w:proofErr w:type="gramEnd"/>
      <w:r>
        <w:rPr>
          <w:rFonts w:eastAsia="仿宋_GB2312"/>
          <w:sz w:val="32"/>
          <w:szCs w:val="32"/>
        </w:rPr>
        <w:t>平新时代中国特色社会主义思想和党的二十大精神，</w:t>
      </w:r>
      <w:r>
        <w:rPr>
          <w:rFonts w:eastAsia="仿宋_GB2312" w:hint="eastAsia"/>
          <w:sz w:val="32"/>
          <w:szCs w:val="32"/>
        </w:rPr>
        <w:t>积极</w:t>
      </w:r>
      <w:r>
        <w:rPr>
          <w:rFonts w:eastAsia="仿宋_GB2312"/>
          <w:sz w:val="32"/>
          <w:szCs w:val="32"/>
        </w:rPr>
        <w:t>围绕市委市政府中心工作进行前瞻性思考、全局性谋划，</w:t>
      </w:r>
      <w:r>
        <w:rPr>
          <w:rFonts w:eastAsia="仿宋_GB2312" w:hint="eastAsia"/>
          <w:sz w:val="32"/>
          <w:szCs w:val="32"/>
        </w:rPr>
        <w:t>对年度重大课题和项目进行系统谋划、通盘考虑，聚焦参事室文史馆发展的深层次问题，深入开展调查研究，</w:t>
      </w:r>
      <w:r>
        <w:rPr>
          <w:rFonts w:eastAsia="仿宋_GB2312"/>
          <w:sz w:val="32"/>
          <w:szCs w:val="32"/>
        </w:rPr>
        <w:t>进一步推动首都参事文史事业发展。</w:t>
      </w:r>
    </w:p>
    <w:p w:rsidR="004E5AD6" w:rsidRDefault="004C48E5">
      <w:pPr>
        <w:adjustRightInd w:val="0"/>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二是参事馆员队伍建设进一步加强。</w:t>
      </w:r>
      <w:r>
        <w:rPr>
          <w:rFonts w:ascii="仿宋_GB2312" w:eastAsia="仿宋_GB2312" w:hAnsi="仿宋_GB2312" w:cs="仿宋_GB2312" w:hint="eastAsia"/>
          <w:sz w:val="32"/>
          <w:szCs w:val="32"/>
        </w:rPr>
        <w:t>建立健全了《市政府参事履职考评办法》《北京市文史研究馆资深馆员制度》等9项制度，规范了参事、馆员和特约研究员的履职管理。通过新一批参事、馆员的招聘与培训工作，进一步改善了队伍结构，更好地适应新时期首都高质量发展对参事、文史工作的要求，提升</w:t>
      </w:r>
      <w:proofErr w:type="gramStart"/>
      <w:r>
        <w:rPr>
          <w:rFonts w:ascii="仿宋_GB2312" w:eastAsia="仿宋_GB2312" w:hAnsi="仿宋_GB2312" w:cs="仿宋_GB2312" w:hint="eastAsia"/>
          <w:sz w:val="32"/>
          <w:szCs w:val="32"/>
        </w:rPr>
        <w:t>履</w:t>
      </w:r>
      <w:proofErr w:type="gramEnd"/>
      <w:r>
        <w:rPr>
          <w:rFonts w:ascii="仿宋_GB2312" w:eastAsia="仿宋_GB2312" w:hAnsi="仿宋_GB2312" w:cs="仿宋_GB2312" w:hint="eastAsia"/>
          <w:sz w:val="32"/>
          <w:szCs w:val="32"/>
        </w:rPr>
        <w:t>职能力。</w:t>
      </w:r>
    </w:p>
    <w:p w:rsidR="004E5AD6" w:rsidRDefault="004C48E5">
      <w:pPr>
        <w:adjustRightInd w:val="0"/>
        <w:snapToGrid w:val="0"/>
        <w:spacing w:line="560" w:lineRule="exact"/>
        <w:ind w:firstLineChars="200" w:firstLine="643"/>
        <w:rPr>
          <w:rFonts w:ascii="仿宋_GB2312" w:eastAsia="仿宋_GB2312" w:hAnsi="仿宋_GB2312" w:cs="仿宋_GB2312"/>
          <w:sz w:val="32"/>
          <w:szCs w:val="32"/>
        </w:rPr>
      </w:pPr>
      <w:r>
        <w:rPr>
          <w:rFonts w:eastAsia="仿宋_GB2312" w:hint="eastAsia"/>
          <w:b/>
          <w:bCs/>
          <w:sz w:val="32"/>
          <w:szCs w:val="32"/>
        </w:rPr>
        <w:t>三是机关</w:t>
      </w:r>
      <w:r>
        <w:rPr>
          <w:rFonts w:ascii="仿宋_GB2312" w:eastAsia="仿宋_GB2312" w:hAnsi="仿宋_GB2312" w:cs="仿宋_GB2312" w:hint="eastAsia"/>
          <w:b/>
          <w:bCs/>
          <w:sz w:val="32"/>
          <w:szCs w:val="32"/>
        </w:rPr>
        <w:t>干部队伍整体能力素质进一步提高。</w:t>
      </w:r>
      <w:r>
        <w:rPr>
          <w:rFonts w:ascii="仿宋_GB2312" w:eastAsia="仿宋_GB2312" w:hAnsi="仿宋_GB2312" w:cs="仿宋_GB2312" w:hint="eastAsia"/>
          <w:sz w:val="32"/>
          <w:szCs w:val="32"/>
        </w:rPr>
        <w:t xml:space="preserve">贯穿全年持续举办年轻干部能力提升系列专题培训活动28次，提升年轻干部政治素养、业务水平和服务参事馆员本领。  </w:t>
      </w:r>
    </w:p>
    <w:p w:rsidR="004E5AD6" w:rsidRDefault="004C48E5">
      <w:pPr>
        <w:adjustRightInd w:val="0"/>
        <w:snapToGrid w:val="0"/>
        <w:spacing w:line="560" w:lineRule="exact"/>
        <w:ind w:firstLineChars="200" w:firstLine="643"/>
        <w:outlineLvl w:val="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2.聚焦首都经济社会发展，高质量建言资政</w:t>
      </w:r>
    </w:p>
    <w:p w:rsidR="004E5AD6" w:rsidRDefault="004C48E5">
      <w:pPr>
        <w:pStyle w:val="2"/>
        <w:adjustRightInd w:val="0"/>
        <w:snapToGrid w:val="0"/>
        <w:spacing w:line="560" w:lineRule="exact"/>
        <w:ind w:firstLine="643"/>
        <w:rPr>
          <w:rFonts w:hAnsi="楷体" w:cs="楷体"/>
          <w:sz w:val="32"/>
          <w:szCs w:val="32"/>
        </w:rPr>
      </w:pPr>
      <w:r>
        <w:rPr>
          <w:rFonts w:hAnsi="楷体" w:cs="楷体" w:hint="eastAsia"/>
          <w:b/>
          <w:bCs/>
          <w:sz w:val="32"/>
          <w:szCs w:val="32"/>
        </w:rPr>
        <w:t>一是扎实做好课题调研，形成多项建言成果。</w:t>
      </w:r>
      <w:r>
        <w:rPr>
          <w:rFonts w:hAnsi="仿宋_GB2312" w:cs="仿宋_GB2312" w:hint="eastAsia"/>
          <w:sz w:val="32"/>
          <w:szCs w:val="32"/>
        </w:rPr>
        <w:t>重点课题方面，</w:t>
      </w:r>
      <w:r>
        <w:rPr>
          <w:rFonts w:hAnsi="仿宋_GB2312" w:cs="仿宋_GB2312" w:hint="eastAsia"/>
          <w:b/>
          <w:bCs/>
          <w:kern w:val="0"/>
          <w:sz w:val="32"/>
          <w:szCs w:val="32"/>
        </w:rPr>
        <w:t>“推动京津冀智能网联汽车产业协作”</w:t>
      </w:r>
      <w:r>
        <w:rPr>
          <w:rFonts w:hAnsi="仿宋_GB2312" w:cs="仿宋_GB2312" w:hint="eastAsia"/>
          <w:kern w:val="0"/>
          <w:sz w:val="32"/>
          <w:szCs w:val="32"/>
        </w:rPr>
        <w:t>课题研究成果</w:t>
      </w:r>
      <w:r>
        <w:rPr>
          <w:rFonts w:hAnsi="Times New Roman" w:cs="Times New Roman" w:hint="eastAsia"/>
          <w:sz w:val="32"/>
          <w:szCs w:val="32"/>
        </w:rPr>
        <w:t>获三省市省部级领导批示7人次，并成立专项工作组推动相</w:t>
      </w:r>
      <w:r>
        <w:rPr>
          <w:rFonts w:hAnsi="Times New Roman" w:cs="Times New Roman" w:hint="eastAsia"/>
          <w:sz w:val="32"/>
          <w:szCs w:val="32"/>
        </w:rPr>
        <w:lastRenderedPageBreak/>
        <w:t>关建议落地见效。</w:t>
      </w:r>
      <w:r>
        <w:rPr>
          <w:rFonts w:hAnsi="仿宋_GB2312" w:cs="仿宋_GB2312" w:hint="eastAsia"/>
          <w:b/>
          <w:bCs/>
          <w:kern w:val="0"/>
          <w:sz w:val="32"/>
          <w:szCs w:val="32"/>
        </w:rPr>
        <w:t>“聚焦‘三城一区’建设，推进产学研深度融合，加快建设具有全球影响力的国际科技创新中心”</w:t>
      </w:r>
      <w:r>
        <w:rPr>
          <w:rFonts w:hAnsi="仿宋_GB2312" w:cs="仿宋_GB2312" w:hint="eastAsia"/>
          <w:kern w:val="0"/>
          <w:sz w:val="32"/>
          <w:szCs w:val="32"/>
        </w:rPr>
        <w:t>课题组上报《</w:t>
      </w:r>
      <w:r>
        <w:rPr>
          <w:rFonts w:hAnsi="仿宋_GB2312" w:cs="仿宋_GB2312" w:hint="eastAsia"/>
          <w:sz w:val="32"/>
          <w:szCs w:val="32"/>
        </w:rPr>
        <w:t>围绕主导产业布局创新链 促进地区经济高质量发展</w:t>
      </w:r>
      <w:r>
        <w:rPr>
          <w:rFonts w:hAnsi="仿宋_GB2312" w:cs="仿宋_GB2312" w:hint="eastAsia"/>
          <w:kern w:val="0"/>
          <w:sz w:val="32"/>
          <w:szCs w:val="32"/>
        </w:rPr>
        <w:t>》，</w:t>
      </w:r>
      <w:proofErr w:type="gramStart"/>
      <w:r>
        <w:rPr>
          <w:rFonts w:hAnsi="仿宋_GB2312" w:cs="仿宋_GB2312" w:hint="eastAsia"/>
          <w:kern w:val="0"/>
          <w:sz w:val="32"/>
          <w:szCs w:val="32"/>
        </w:rPr>
        <w:t>获副市长</w:t>
      </w:r>
      <w:proofErr w:type="gramEnd"/>
      <w:r>
        <w:rPr>
          <w:rFonts w:hAnsi="仿宋_GB2312" w:cs="仿宋_GB2312" w:hint="eastAsia"/>
          <w:kern w:val="0"/>
          <w:sz w:val="32"/>
          <w:szCs w:val="32"/>
        </w:rPr>
        <w:t>肯定并转市科协等单位参阅。</w:t>
      </w:r>
      <w:r>
        <w:rPr>
          <w:rFonts w:hAnsi="仿宋_GB2312" w:cs="仿宋_GB2312" w:hint="eastAsia"/>
          <w:b/>
          <w:bCs/>
          <w:kern w:val="0"/>
          <w:sz w:val="32"/>
          <w:szCs w:val="32"/>
        </w:rPr>
        <w:t>“探索以街区一体化模式推动城市更新工作”</w:t>
      </w:r>
      <w:r>
        <w:rPr>
          <w:rFonts w:hAnsi="仿宋_GB2312" w:cs="仿宋_GB2312" w:hint="eastAsia"/>
          <w:kern w:val="0"/>
          <w:sz w:val="32"/>
          <w:szCs w:val="32"/>
        </w:rPr>
        <w:t>课题形成《</w:t>
      </w:r>
      <w:r>
        <w:rPr>
          <w:rFonts w:hAnsi="仿宋_GB2312" w:cs="仿宋_GB2312" w:hint="eastAsia"/>
          <w:sz w:val="32"/>
          <w:szCs w:val="32"/>
        </w:rPr>
        <w:t>关于以“街区一体化”模式推进首都核心区历史文化街区更新保护的建议</w:t>
      </w:r>
      <w:r>
        <w:rPr>
          <w:rFonts w:hAnsi="仿宋_GB2312" w:cs="仿宋_GB2312" w:hint="eastAsia"/>
          <w:kern w:val="0"/>
          <w:sz w:val="32"/>
          <w:szCs w:val="32"/>
        </w:rPr>
        <w:t>》，得到多位市政府主要领导</w:t>
      </w:r>
      <w:r>
        <w:rPr>
          <w:rFonts w:hAnsi="仿宋_GB2312" w:cs="仿宋_GB2312" w:hint="eastAsia"/>
          <w:sz w:val="32"/>
          <w:szCs w:val="32"/>
        </w:rPr>
        <w:t>批示</w:t>
      </w:r>
      <w:r>
        <w:rPr>
          <w:rFonts w:hAnsi="仿宋_GB2312" w:cs="仿宋_GB2312" w:hint="eastAsia"/>
          <w:kern w:val="0"/>
          <w:sz w:val="32"/>
          <w:szCs w:val="32"/>
        </w:rPr>
        <w:t>。</w:t>
      </w:r>
    </w:p>
    <w:p w:rsidR="004E5AD6" w:rsidRDefault="004C48E5">
      <w:pPr>
        <w:pStyle w:val="2"/>
        <w:adjustRightInd w:val="0"/>
        <w:snapToGrid w:val="0"/>
        <w:spacing w:line="560" w:lineRule="exact"/>
        <w:ind w:firstLine="640"/>
        <w:rPr>
          <w:rFonts w:hAnsi="仿宋_GB2312" w:cs="仿宋_GB2312"/>
          <w:b/>
          <w:bCs/>
          <w:sz w:val="32"/>
          <w:szCs w:val="32"/>
        </w:rPr>
      </w:pPr>
      <w:r>
        <w:rPr>
          <w:rFonts w:hAnsi="仿宋_GB2312" w:cs="仿宋_GB2312" w:hint="eastAsia"/>
          <w:sz w:val="32"/>
          <w:szCs w:val="32"/>
        </w:rPr>
        <w:t>除重点课题外，还</w:t>
      </w:r>
      <w:r>
        <w:rPr>
          <w:rFonts w:hAnsi="仿宋_GB2312" w:cs="仿宋_GB2312" w:hint="eastAsia"/>
          <w:kern w:val="0"/>
          <w:sz w:val="32"/>
          <w:szCs w:val="32"/>
        </w:rPr>
        <w:t>围绕历史文化遗产保护利用、专精特新企业发展、“23.7”特大暴雨灾害、</w:t>
      </w:r>
      <w:proofErr w:type="gramStart"/>
      <w:r>
        <w:rPr>
          <w:rFonts w:hAnsi="仿宋_GB2312" w:cs="仿宋_GB2312" w:hint="eastAsia"/>
          <w:kern w:val="0"/>
          <w:sz w:val="32"/>
          <w:szCs w:val="32"/>
        </w:rPr>
        <w:t>双碳与</w:t>
      </w:r>
      <w:proofErr w:type="gramEnd"/>
      <w:r>
        <w:rPr>
          <w:rFonts w:hAnsi="仿宋_GB2312" w:cs="仿宋_GB2312" w:hint="eastAsia"/>
          <w:kern w:val="0"/>
          <w:sz w:val="32"/>
          <w:szCs w:val="32"/>
        </w:rPr>
        <w:t>能源转型、提升基层医疗服务等</w:t>
      </w:r>
      <w:r>
        <w:rPr>
          <w:rFonts w:hAnsi="仿宋_GB2312" w:cs="仿宋_GB2312" w:hint="eastAsia"/>
          <w:sz w:val="32"/>
          <w:szCs w:val="32"/>
        </w:rPr>
        <w:t>全市中心工作及民生领域热点、难点问题开展课题调研，报送多篇建议及社情民意信息，</w:t>
      </w:r>
      <w:r>
        <w:rPr>
          <w:rFonts w:hAnsi="仿宋_GB2312" w:cs="仿宋_GB2312" w:hint="eastAsia"/>
          <w:kern w:val="0"/>
          <w:sz w:val="32"/>
          <w:szCs w:val="32"/>
        </w:rPr>
        <w:t>得到多位</w:t>
      </w:r>
      <w:r>
        <w:rPr>
          <w:rFonts w:hAnsi="仿宋_GB2312" w:cs="仿宋_GB2312" w:hint="eastAsia"/>
          <w:sz w:val="32"/>
          <w:szCs w:val="32"/>
        </w:rPr>
        <w:t>市领导批示，并要求相关部门落实</w:t>
      </w:r>
      <w:r>
        <w:rPr>
          <w:rFonts w:hint="eastAsia"/>
          <w:sz w:val="32"/>
          <w:szCs w:val="24"/>
        </w:rPr>
        <w:t>。</w:t>
      </w:r>
      <w:r>
        <w:rPr>
          <w:rFonts w:hAnsi="仿宋_GB2312" w:cs="仿宋_GB2312" w:hint="eastAsia"/>
          <w:kern w:val="0"/>
          <w:sz w:val="32"/>
          <w:szCs w:val="32"/>
        </w:rPr>
        <w:t>2023年，累计组织开展各类调研活动40余次，报送参事建议10篇，社情民意信息26篇，调研报告5册，据不完全统计，共获得尹力、殷勇等市委、市政府领导批示23次，多篇社情民意信息被市委市政府内参采用刊登。</w:t>
      </w:r>
    </w:p>
    <w:p w:rsidR="004E5AD6" w:rsidRDefault="004C48E5">
      <w:pPr>
        <w:pStyle w:val="2"/>
        <w:adjustRightInd w:val="0"/>
        <w:snapToGrid w:val="0"/>
        <w:spacing w:line="560" w:lineRule="exact"/>
        <w:ind w:firstLine="643"/>
        <w:rPr>
          <w:rFonts w:hAnsi="黑体" w:cs="黑体"/>
          <w:sz w:val="32"/>
          <w:szCs w:val="32"/>
        </w:rPr>
      </w:pPr>
      <w:r>
        <w:rPr>
          <w:rFonts w:hAnsi="楷体" w:cs="楷体" w:hint="eastAsia"/>
          <w:b/>
          <w:bCs/>
          <w:sz w:val="32"/>
          <w:szCs w:val="32"/>
          <w:lang w:val="en"/>
        </w:rPr>
        <w:t>二是拓宽工作平台，多渠道建言献策。</w:t>
      </w:r>
      <w:r>
        <w:rPr>
          <w:rFonts w:hAnsi="仿宋_GB2312" w:cs="仿宋_GB2312" w:hint="eastAsia"/>
          <w:sz w:val="32"/>
          <w:szCs w:val="32"/>
        </w:rPr>
        <w:t>通过组织年度参事、馆员决策咨询会面对面向市长建言献策，进一步畅通了建言献策的渠道。持续加强与中外智库、高等院校和头部企业的深入合作，有关专题报告得到市委市政府主要领导肯定性批示，并转有关部门参阅。与首都经贸大学和阿里研究院签订战略合作框架协议，研究成果上报市委市政府。</w:t>
      </w:r>
    </w:p>
    <w:p w:rsidR="004E5AD6" w:rsidRDefault="004C48E5">
      <w:pPr>
        <w:pStyle w:val="2"/>
        <w:adjustRightInd w:val="0"/>
        <w:snapToGrid w:val="0"/>
        <w:spacing w:line="560" w:lineRule="exact"/>
        <w:ind w:firstLine="643"/>
        <w:rPr>
          <w:rFonts w:hAnsi="仿宋_GB2312" w:cs="仿宋_GB2312"/>
          <w:b/>
          <w:bCs/>
          <w:sz w:val="32"/>
          <w:szCs w:val="32"/>
        </w:rPr>
      </w:pPr>
      <w:r>
        <w:rPr>
          <w:rFonts w:hAnsi="楷体" w:cs="楷体" w:hint="eastAsia"/>
          <w:b/>
          <w:bCs/>
          <w:sz w:val="32"/>
          <w:szCs w:val="32"/>
        </w:rPr>
        <w:t>三是与市级单位跨部门合作，进一步提升参事工作影响力。</w:t>
      </w:r>
      <w:r>
        <w:rPr>
          <w:rFonts w:hAnsi="仿宋_GB2312" w:cs="仿宋_GB2312" w:hint="eastAsia"/>
          <w:sz w:val="32"/>
          <w:szCs w:val="32"/>
        </w:rPr>
        <w:t>受市发展改革委委托，承担《北京市“十四五”规划（纲</w:t>
      </w:r>
      <w:r>
        <w:rPr>
          <w:rFonts w:hAnsi="仿宋_GB2312" w:cs="仿宋_GB2312" w:hint="eastAsia"/>
          <w:sz w:val="32"/>
          <w:szCs w:val="32"/>
        </w:rPr>
        <w:lastRenderedPageBreak/>
        <w:t>要）》实施情况中期评估工作，形成</w:t>
      </w:r>
      <w:r>
        <w:rPr>
          <w:rFonts w:hAnsi="宋体" w:hint="eastAsia"/>
          <w:sz w:val="32"/>
          <w:szCs w:val="32"/>
        </w:rPr>
        <w:t>调研报告</w:t>
      </w:r>
      <w:r>
        <w:rPr>
          <w:rFonts w:hAnsi="仿宋_GB2312" w:cs="仿宋_GB2312" w:hint="eastAsia"/>
          <w:sz w:val="32"/>
          <w:szCs w:val="32"/>
        </w:rPr>
        <w:t>。受首</w:t>
      </w:r>
      <w:proofErr w:type="gramStart"/>
      <w:r>
        <w:rPr>
          <w:rFonts w:hAnsi="仿宋_GB2312" w:cs="仿宋_GB2312" w:hint="eastAsia"/>
          <w:sz w:val="32"/>
          <w:szCs w:val="32"/>
        </w:rPr>
        <w:t>规</w:t>
      </w:r>
      <w:proofErr w:type="gramEnd"/>
      <w:r>
        <w:rPr>
          <w:rFonts w:hAnsi="仿宋_GB2312" w:cs="仿宋_GB2312" w:hint="eastAsia"/>
          <w:sz w:val="32"/>
          <w:szCs w:val="32"/>
        </w:rPr>
        <w:t>委办委托，组织《北京历史保护传承体系规划》论证工作会，提出专业修改意见。组织对</w:t>
      </w:r>
      <w:r>
        <w:rPr>
          <w:rFonts w:hAnsi="仿宋_GB2312" w:cs="仿宋_GB2312" w:hint="eastAsia"/>
          <w:kern w:val="0"/>
          <w:sz w:val="32"/>
          <w:szCs w:val="32"/>
          <w:shd w:val="clear" w:color="auto" w:fill="FFFFFF"/>
          <w:lang w:bidi="ar"/>
        </w:rPr>
        <w:t>《北京国际科技创新中心建设条例》《冬小麦农情监测技术规范》</w:t>
      </w:r>
      <w:r>
        <w:rPr>
          <w:rFonts w:hAnsi="仿宋_GB2312" w:cs="仿宋_GB2312" w:hint="eastAsia"/>
          <w:kern w:val="0"/>
          <w:sz w:val="32"/>
          <w:szCs w:val="32"/>
          <w:lang w:bidi="ar"/>
        </w:rPr>
        <w:t>《北京市建筑绿色发展条例（草案）》等北京市地方法规草案进行意见</w:t>
      </w:r>
      <w:proofErr w:type="gramStart"/>
      <w:r>
        <w:rPr>
          <w:rFonts w:hAnsi="仿宋_GB2312" w:cs="仿宋_GB2312" w:hint="eastAsia"/>
          <w:kern w:val="0"/>
          <w:sz w:val="32"/>
          <w:szCs w:val="32"/>
          <w:lang w:bidi="ar"/>
        </w:rPr>
        <w:t>研</w:t>
      </w:r>
      <w:proofErr w:type="gramEnd"/>
      <w:r>
        <w:rPr>
          <w:rFonts w:hAnsi="仿宋_GB2312" w:cs="仿宋_GB2312" w:hint="eastAsia"/>
          <w:kern w:val="0"/>
          <w:sz w:val="32"/>
          <w:szCs w:val="32"/>
          <w:lang w:bidi="ar"/>
        </w:rPr>
        <w:t>提，其中8条建议被相关部门采纳。</w:t>
      </w:r>
    </w:p>
    <w:p w:rsidR="004E5AD6" w:rsidRDefault="004C48E5">
      <w:pPr>
        <w:adjustRightInd w:val="0"/>
        <w:snapToGrid w:val="0"/>
        <w:spacing w:line="560" w:lineRule="exact"/>
        <w:ind w:firstLineChars="200" w:firstLine="643"/>
        <w:outlineLvl w:val="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3.积极担当作为，自觉肩负起新的文化使命</w:t>
      </w:r>
    </w:p>
    <w:p w:rsidR="004E5AD6" w:rsidRDefault="004C48E5">
      <w:pPr>
        <w:pStyle w:val="ql-align-center"/>
        <w:adjustRightInd w:val="0"/>
        <w:snapToGrid w:val="0"/>
        <w:spacing w:before="0" w:beforeAutospacing="0" w:after="0" w:afterAutospacing="0" w:line="560" w:lineRule="exact"/>
        <w:ind w:firstLineChars="200" w:firstLine="643"/>
        <w:jc w:val="both"/>
        <w:rPr>
          <w:rFonts w:ascii="仿宋_GB2312" w:eastAsia="仿宋_GB2312" w:hAnsi="楷体_GB2312"/>
          <w:sz w:val="32"/>
          <w:szCs w:val="32"/>
        </w:rPr>
      </w:pPr>
      <w:r>
        <w:rPr>
          <w:rFonts w:ascii="仿宋_GB2312" w:eastAsia="仿宋_GB2312" w:hAnsi="楷体_GB2312" w:hint="eastAsia"/>
          <w:b/>
          <w:bCs/>
          <w:sz w:val="32"/>
          <w:szCs w:val="32"/>
        </w:rPr>
        <w:t>一是坚持守正创新，打造文化精品。</w:t>
      </w:r>
      <w:r>
        <w:rPr>
          <w:rFonts w:ascii="仿宋_GB2312" w:eastAsia="仿宋_GB2312" w:hAnsi="仿宋_GB2312" w:hint="eastAsia"/>
          <w:sz w:val="32"/>
          <w:szCs w:val="32"/>
        </w:rPr>
        <w:t>与各区政府</w:t>
      </w:r>
      <w:proofErr w:type="gramStart"/>
      <w:r>
        <w:rPr>
          <w:rFonts w:ascii="仿宋_GB2312" w:eastAsia="仿宋_GB2312" w:hAnsi="仿宋_GB2312" w:hint="eastAsia"/>
          <w:sz w:val="32"/>
          <w:szCs w:val="32"/>
        </w:rPr>
        <w:t>文旅部门</w:t>
      </w:r>
      <w:proofErr w:type="gramEnd"/>
      <w:r>
        <w:rPr>
          <w:rFonts w:ascii="仿宋_GB2312" w:eastAsia="仿宋_GB2312" w:hAnsi="仿宋_GB2312" w:hint="eastAsia"/>
          <w:sz w:val="32"/>
          <w:szCs w:val="32"/>
        </w:rPr>
        <w:t>合作，分区梳理地域文化特色亮点，在去年出版《东城卷》基础上，今年完成了《西城卷》编写工作。</w:t>
      </w:r>
      <w:r>
        <w:rPr>
          <w:rFonts w:ascii="仿宋_GB2312" w:eastAsia="仿宋_GB2312" w:hAnsi="仿宋_GB2312" w:hint="eastAsia"/>
          <w:kern w:val="2"/>
          <w:sz w:val="32"/>
          <w:szCs w:val="32"/>
        </w:rPr>
        <w:t>编辑出版了《燕京八绝》《京剧生行》专辑以及</w:t>
      </w:r>
      <w:r>
        <w:rPr>
          <w:rFonts w:ascii="仿宋_GB2312" w:eastAsia="仿宋_GB2312" w:hAnsi="仿宋_GB2312" w:hint="eastAsia"/>
          <w:sz w:val="32"/>
          <w:szCs w:val="32"/>
        </w:rPr>
        <w:t>中英</w:t>
      </w:r>
      <w:proofErr w:type="gramStart"/>
      <w:r>
        <w:rPr>
          <w:rFonts w:ascii="仿宋_GB2312" w:eastAsia="仿宋_GB2312" w:hAnsi="仿宋_GB2312" w:hint="eastAsia"/>
          <w:sz w:val="32"/>
          <w:szCs w:val="32"/>
        </w:rPr>
        <w:t>双语绘本《京华万象》</w:t>
      </w:r>
      <w:proofErr w:type="gramEnd"/>
      <w:r>
        <w:rPr>
          <w:rFonts w:ascii="仿宋_GB2312" w:eastAsia="仿宋_GB2312" w:hAnsi="仿宋_GB2312" w:hint="eastAsia"/>
          <w:sz w:val="32"/>
          <w:szCs w:val="32"/>
        </w:rPr>
        <w:t>精品图书，</w:t>
      </w:r>
      <w:r>
        <w:rPr>
          <w:rFonts w:ascii="仿宋_GB2312" w:eastAsia="仿宋_GB2312" w:hAnsi="仿宋_GB2312" w:hint="eastAsia"/>
          <w:kern w:val="2"/>
          <w:sz w:val="32"/>
          <w:szCs w:val="32"/>
        </w:rPr>
        <w:t>传承古都历史文脉，</w:t>
      </w:r>
      <w:r>
        <w:rPr>
          <w:rFonts w:ascii="仿宋_GB2312" w:eastAsia="仿宋_GB2312" w:hAnsi="仿宋_GB2312" w:hint="eastAsia"/>
          <w:sz w:val="32"/>
          <w:szCs w:val="32"/>
        </w:rPr>
        <w:t>服务中外文明交流互鉴。以习近平总书记给建设和守护密云水库乡亲们的回信为主题，组织书画名家馆员创作了一幅大型山水画，形象展示习近平生态文明思想在京华大地的生动实践。</w:t>
      </w:r>
    </w:p>
    <w:p w:rsidR="004E5AD6" w:rsidRDefault="004C48E5">
      <w:pPr>
        <w:pStyle w:val="ql-align-center"/>
        <w:adjustRightInd w:val="0"/>
        <w:snapToGrid w:val="0"/>
        <w:spacing w:before="0" w:beforeAutospacing="0" w:after="0" w:afterAutospacing="0" w:line="560" w:lineRule="exact"/>
        <w:ind w:firstLineChars="200" w:firstLine="643"/>
        <w:jc w:val="both"/>
        <w:rPr>
          <w:rFonts w:ascii="仿宋_GB2312" w:eastAsia="仿宋_GB2312" w:hAnsi="楷体_GB2312"/>
          <w:sz w:val="32"/>
          <w:szCs w:val="32"/>
        </w:rPr>
      </w:pPr>
      <w:r>
        <w:rPr>
          <w:rFonts w:ascii="仿宋_GB2312" w:eastAsia="仿宋_GB2312" w:hAnsi="楷体_GB2312" w:hint="eastAsia"/>
          <w:b/>
          <w:bCs/>
          <w:sz w:val="32"/>
          <w:szCs w:val="32"/>
        </w:rPr>
        <w:t>二是</w:t>
      </w:r>
      <w:proofErr w:type="gramStart"/>
      <w:r>
        <w:rPr>
          <w:rFonts w:ascii="仿宋_GB2312" w:eastAsia="仿宋_GB2312" w:hAnsi="楷体_GB2312" w:hint="eastAsia"/>
          <w:b/>
          <w:bCs/>
          <w:sz w:val="32"/>
          <w:szCs w:val="32"/>
        </w:rPr>
        <w:t>心怀国</w:t>
      </w:r>
      <w:proofErr w:type="gramEnd"/>
      <w:r>
        <w:rPr>
          <w:rFonts w:ascii="仿宋_GB2312" w:eastAsia="仿宋_GB2312" w:hAnsi="楷体_GB2312" w:hint="eastAsia"/>
          <w:b/>
          <w:bCs/>
          <w:sz w:val="32"/>
          <w:szCs w:val="32"/>
        </w:rPr>
        <w:t>之大者，建言首都发展。</w:t>
      </w:r>
      <w:r>
        <w:rPr>
          <w:rFonts w:ascii="仿宋_GB2312" w:eastAsia="仿宋_GB2312" w:hAnsi="仿宋_GB2312" w:hint="eastAsia"/>
          <w:sz w:val="32"/>
        </w:rPr>
        <w:t>充分发挥馆员学术造诣高，社会影响大，研究成果丰硕</w:t>
      </w:r>
      <w:r>
        <w:rPr>
          <w:rFonts w:ascii="仿宋_GB2312" w:eastAsia="仿宋_GB2312" w:hAnsi="仿宋_GB2312" w:hint="eastAsia"/>
          <w:sz w:val="32"/>
          <w:szCs w:val="32"/>
        </w:rPr>
        <w:t>的优势，为北京文化中心建设献计献策。</w:t>
      </w:r>
      <w:r>
        <w:rPr>
          <w:rFonts w:ascii="仿宋_GB2312" w:eastAsia="仿宋_GB2312" w:hAnsi="仿宋_GB2312" w:hint="eastAsia"/>
          <w:kern w:val="2"/>
          <w:sz w:val="32"/>
          <w:szCs w:val="32"/>
        </w:rPr>
        <w:t>部分馆员提出的建设京津</w:t>
      </w:r>
      <w:proofErr w:type="gramStart"/>
      <w:r>
        <w:rPr>
          <w:rFonts w:ascii="仿宋_GB2312" w:eastAsia="仿宋_GB2312" w:hAnsi="仿宋_GB2312" w:hint="eastAsia"/>
          <w:kern w:val="2"/>
          <w:sz w:val="32"/>
          <w:szCs w:val="32"/>
        </w:rPr>
        <w:t>冀历史</w:t>
      </w:r>
      <w:proofErr w:type="gramEnd"/>
      <w:r>
        <w:rPr>
          <w:rFonts w:ascii="仿宋_GB2312" w:eastAsia="仿宋_GB2312" w:hAnsi="仿宋_GB2312" w:hint="eastAsia"/>
          <w:kern w:val="2"/>
          <w:sz w:val="32"/>
          <w:szCs w:val="32"/>
        </w:rPr>
        <w:t>名人博物馆、中国戏曲博物馆的建议，受到有关部门高度关注。</w:t>
      </w:r>
    </w:p>
    <w:p w:rsidR="004E5AD6" w:rsidRDefault="004C48E5">
      <w:pPr>
        <w:pStyle w:val="ql-align-center"/>
        <w:adjustRightInd w:val="0"/>
        <w:snapToGrid w:val="0"/>
        <w:spacing w:before="0" w:beforeAutospacing="0" w:after="0" w:afterAutospacing="0" w:line="560" w:lineRule="exact"/>
        <w:ind w:firstLineChars="200" w:firstLine="643"/>
        <w:jc w:val="both"/>
        <w:rPr>
          <w:rFonts w:ascii="仿宋_GB2312" w:eastAsia="仿宋_GB2312" w:hAnsi="楷体_GB2312"/>
          <w:sz w:val="32"/>
          <w:szCs w:val="32"/>
        </w:rPr>
      </w:pPr>
      <w:r>
        <w:rPr>
          <w:rFonts w:ascii="仿宋_GB2312" w:eastAsia="仿宋_GB2312" w:hAnsi="楷体_GB2312" w:hint="eastAsia"/>
          <w:b/>
          <w:bCs/>
          <w:sz w:val="32"/>
          <w:szCs w:val="32"/>
        </w:rPr>
        <w:t>三是发挥文史馆优势，助力重点文化工程。</w:t>
      </w:r>
      <w:r>
        <w:rPr>
          <w:rFonts w:ascii="仿宋_GB2312" w:eastAsia="仿宋_GB2312" w:hAnsi="仿宋_GB2312" w:cs="仿宋_GB2312" w:hint="eastAsia"/>
          <w:sz w:val="32"/>
          <w:szCs w:val="32"/>
        </w:rPr>
        <w:t>与中央新影集团</w:t>
      </w:r>
      <w:r>
        <w:rPr>
          <w:rFonts w:ascii="仿宋_GB2312" w:eastAsia="仿宋_GB2312" w:hAnsi="仿宋_GB2312" w:cs="仿宋_GB2312" w:hint="eastAsia"/>
          <w:sz w:val="32"/>
          <w:szCs w:val="40"/>
        </w:rPr>
        <w:t>合作</w:t>
      </w:r>
      <w:r>
        <w:rPr>
          <w:rFonts w:ascii="仿宋_GB2312" w:eastAsia="仿宋_GB2312" w:hAnsi="仿宋_GB2312" w:cs="仿宋_GB2312" w:hint="eastAsia"/>
          <w:sz w:val="32"/>
          <w:szCs w:val="32"/>
        </w:rPr>
        <w:t>拍摄5集纪录片《永恒之轴》，先后在世界多国展播，持续助力国际交往中心建设。</w:t>
      </w:r>
      <w:r>
        <w:rPr>
          <w:rFonts w:ascii="仿宋_GB2312" w:eastAsia="仿宋_GB2312" w:hAnsi="仿宋_GB2312" w:hint="eastAsia"/>
          <w:sz w:val="32"/>
          <w:szCs w:val="32"/>
        </w:rPr>
        <w:t>组织</w:t>
      </w:r>
      <w:r>
        <w:rPr>
          <w:rFonts w:ascii="仿宋_GB2312" w:eastAsia="仿宋_GB2312" w:hAnsi="Calibri" w:hint="eastAsia"/>
          <w:sz w:val="32"/>
          <w:szCs w:val="32"/>
        </w:rPr>
        <w:t>参事、馆员走进学校、机关、社区</w:t>
      </w:r>
      <w:r>
        <w:rPr>
          <w:rFonts w:ascii="仿宋_GB2312" w:eastAsia="仿宋_GB2312" w:hint="eastAsia"/>
          <w:sz w:val="32"/>
          <w:szCs w:val="32"/>
        </w:rPr>
        <w:t>，开展</w:t>
      </w:r>
      <w:r>
        <w:rPr>
          <w:rFonts w:ascii="仿宋_GB2312" w:eastAsia="仿宋_GB2312" w:hAnsi="Calibri" w:hint="eastAsia"/>
          <w:sz w:val="32"/>
          <w:szCs w:val="32"/>
        </w:rPr>
        <w:t>宣讲</w:t>
      </w:r>
      <w:r w:rsidR="00937544">
        <w:rPr>
          <w:rFonts w:ascii="仿宋_GB2312" w:eastAsia="仿宋_GB2312" w:hAnsi="Calibri" w:hint="eastAsia"/>
          <w:sz w:val="32"/>
          <w:szCs w:val="32"/>
        </w:rPr>
        <w:t>5</w:t>
      </w:r>
      <w:r>
        <w:rPr>
          <w:rFonts w:ascii="仿宋_GB2312" w:eastAsia="仿宋_GB2312" w:hint="eastAsia"/>
          <w:sz w:val="32"/>
          <w:szCs w:val="32"/>
        </w:rPr>
        <w:t>0余场，</w:t>
      </w:r>
      <w:r>
        <w:rPr>
          <w:rFonts w:ascii="仿宋_GB2312" w:eastAsia="仿宋_GB2312" w:hAnsi="仿宋_GB2312" w:hint="eastAsia"/>
          <w:sz w:val="32"/>
          <w:szCs w:val="32"/>
        </w:rPr>
        <w:t>深化了社会各界对中轴线的认识。联合市文物局等五家单位，成功举办第四届中轴线保</w:t>
      </w:r>
      <w:r>
        <w:rPr>
          <w:rFonts w:ascii="仿宋_GB2312" w:eastAsia="仿宋_GB2312" w:hAnsi="仿宋_GB2312" w:hint="eastAsia"/>
          <w:sz w:val="32"/>
          <w:szCs w:val="32"/>
        </w:rPr>
        <w:lastRenderedPageBreak/>
        <w:t>护传承利用研讨会</w:t>
      </w:r>
      <w:r>
        <w:rPr>
          <w:rFonts w:ascii="仿宋_GB2312" w:eastAsia="仿宋_GB2312" w:hAnsi="仿宋_GB2312" w:hint="eastAsia"/>
          <w:sz w:val="32"/>
        </w:rPr>
        <w:t>，主流媒体相继</w:t>
      </w:r>
      <w:r>
        <w:rPr>
          <w:rFonts w:ascii="仿宋_GB2312" w:eastAsia="仿宋_GB2312" w:hAnsi="仿宋_GB2312" w:hint="eastAsia"/>
          <w:sz w:val="32"/>
          <w:szCs w:val="32"/>
        </w:rPr>
        <w:t>报道，</w:t>
      </w:r>
      <w:r>
        <w:rPr>
          <w:rFonts w:ascii="仿宋_GB2312" w:eastAsia="仿宋_GB2312" w:hAnsi="仿宋_GB2312" w:hint="eastAsia"/>
          <w:sz w:val="32"/>
        </w:rPr>
        <w:t>部分成果被申遗文本采纳</w:t>
      </w:r>
      <w:r>
        <w:rPr>
          <w:rFonts w:ascii="仿宋_GB2312" w:eastAsia="仿宋_GB2312" w:hAnsi="仿宋_GB2312" w:hint="eastAsia"/>
          <w:sz w:val="32"/>
          <w:szCs w:val="32"/>
        </w:rPr>
        <w:t>。</w:t>
      </w:r>
    </w:p>
    <w:p w:rsidR="004E5AD6" w:rsidRDefault="004C48E5">
      <w:pPr>
        <w:adjustRightInd w:val="0"/>
        <w:snapToGrid w:val="0"/>
        <w:spacing w:line="560" w:lineRule="exact"/>
        <w:ind w:firstLineChars="200" w:firstLine="643"/>
        <w:outlineLvl w:val="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4.服务对象</w:t>
      </w:r>
      <w:r>
        <w:rPr>
          <w:rFonts w:ascii="仿宋_GB2312" w:eastAsia="仿宋_GB2312" w:hAnsi="宋体" w:cs="宋体"/>
          <w:b/>
          <w:bCs/>
          <w:color w:val="000000"/>
          <w:kern w:val="0"/>
          <w:sz w:val="32"/>
          <w:szCs w:val="32"/>
        </w:rPr>
        <w:t>满意度</w:t>
      </w:r>
    </w:p>
    <w:p w:rsidR="004E5AD6" w:rsidRDefault="004C48E5">
      <w:pPr>
        <w:adjustRightInd w:val="0"/>
        <w:snapToGrid w:val="0"/>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经调研了解，市政府参事及特约研究员对参事室2023年度工作未提出不满意情况，专家、学者及各界读者对《燕京八绝》《京剧行当之生行》的满意度为90%以上。</w:t>
      </w:r>
    </w:p>
    <w:p w:rsidR="004E5AD6" w:rsidRDefault="004C48E5">
      <w:pPr>
        <w:adjustRightInd w:val="0"/>
        <w:snapToGrid w:val="0"/>
        <w:spacing w:line="560" w:lineRule="exact"/>
        <w:ind w:firstLineChars="200" w:firstLine="640"/>
        <w:outlineLvl w:val="0"/>
        <w:rPr>
          <w:rFonts w:ascii="黑体" w:eastAsia="黑体" w:hAnsi="黑体" w:cs="宋体"/>
          <w:color w:val="000000"/>
          <w:kern w:val="0"/>
          <w:sz w:val="32"/>
          <w:szCs w:val="32"/>
        </w:rPr>
      </w:pPr>
      <w:bookmarkStart w:id="18" w:name="_Toc135402103"/>
      <w:bookmarkStart w:id="19" w:name="_Toc135231101"/>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bookmarkEnd w:id="18"/>
      <w:bookmarkEnd w:id="19"/>
    </w:p>
    <w:p w:rsidR="004E5AD6" w:rsidRDefault="004C48E5">
      <w:pPr>
        <w:adjustRightInd w:val="0"/>
        <w:snapToGrid w:val="0"/>
        <w:spacing w:line="560" w:lineRule="exact"/>
        <w:ind w:firstLineChars="200" w:firstLine="640"/>
        <w:outlineLvl w:val="1"/>
        <w:rPr>
          <w:rFonts w:ascii="楷体_GB2312" w:eastAsia="楷体_GB2312"/>
          <w:sz w:val="32"/>
          <w:szCs w:val="32"/>
        </w:rPr>
      </w:pPr>
      <w:bookmarkStart w:id="20" w:name="_Toc135402104"/>
      <w:bookmarkStart w:id="21" w:name="_Toc135231102"/>
      <w:r>
        <w:rPr>
          <w:rFonts w:ascii="楷体_GB2312" w:eastAsia="楷体_GB2312" w:hint="eastAsia"/>
          <w:sz w:val="32"/>
          <w:szCs w:val="32"/>
        </w:rPr>
        <w:t>（一）财务管理</w:t>
      </w:r>
      <w:bookmarkEnd w:id="20"/>
      <w:bookmarkEnd w:id="21"/>
    </w:p>
    <w:p w:rsidR="004E5AD6" w:rsidRDefault="004C48E5">
      <w:pPr>
        <w:adjustRightInd w:val="0"/>
        <w:snapToGrid w:val="0"/>
        <w:spacing w:line="560" w:lineRule="exact"/>
        <w:ind w:firstLineChars="200" w:firstLine="643"/>
        <w:outlineLvl w:val="2"/>
        <w:rPr>
          <w:rFonts w:ascii="仿宋_GB2312" w:eastAsia="仿宋_GB2312" w:hAnsi="宋体" w:cs="宋体"/>
          <w:b/>
          <w:bCs/>
          <w:color w:val="000000"/>
          <w:kern w:val="0"/>
          <w:sz w:val="32"/>
          <w:szCs w:val="32"/>
        </w:rPr>
      </w:pPr>
      <w:bookmarkStart w:id="22" w:name="_Toc135231103"/>
      <w:r>
        <w:rPr>
          <w:rFonts w:ascii="仿宋_GB2312" w:eastAsia="仿宋_GB2312" w:hAnsi="宋体" w:cs="宋体" w:hint="eastAsia"/>
          <w:b/>
          <w:bCs/>
          <w:color w:val="000000"/>
          <w:kern w:val="0"/>
          <w:sz w:val="32"/>
          <w:szCs w:val="32"/>
        </w:rPr>
        <w:t>1.财务</w:t>
      </w:r>
      <w:r>
        <w:rPr>
          <w:rFonts w:ascii="仿宋_GB2312" w:eastAsia="仿宋_GB2312" w:hAnsi="宋体" w:cs="宋体"/>
          <w:b/>
          <w:bCs/>
          <w:color w:val="000000"/>
          <w:kern w:val="0"/>
          <w:sz w:val="32"/>
          <w:szCs w:val="32"/>
        </w:rPr>
        <w:t>管理制度健全性</w:t>
      </w:r>
      <w:bookmarkEnd w:id="22"/>
    </w:p>
    <w:p w:rsidR="004E5AD6" w:rsidRDefault="004C48E5">
      <w:pPr>
        <w:adjustRightInd w:val="0"/>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根据财政部、市财政局相关规范要求，结合单位实际情况，全面梳理单位经济活动，制定了《北京市人民政府参事室（北京市文史研究馆）内部控制手册（试行）》，以制度形式明确了单位预算管理、绩效跟踪管理、资产管理、内部财务管理、会计核算等方面要求。总体上，财务管理制度较为健全。</w:t>
      </w:r>
    </w:p>
    <w:p w:rsidR="004E5AD6" w:rsidRDefault="004C48E5">
      <w:pPr>
        <w:adjustRightInd w:val="0"/>
        <w:snapToGrid w:val="0"/>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预算管理方面。</w:t>
      </w:r>
      <w:r>
        <w:rPr>
          <w:rFonts w:ascii="仿宋_GB2312" w:eastAsia="仿宋_GB2312" w:hAnsi="宋体" w:cs="宋体" w:hint="eastAsia"/>
          <w:color w:val="000000"/>
          <w:kern w:val="0"/>
          <w:sz w:val="32"/>
          <w:szCs w:val="32"/>
        </w:rPr>
        <w:t>一是明确了涵盖预算编报、批复下达、执行、追加调整、决算、绩效评价等程序的工作流程及风险控制文档；二是制定了《参事室（文史馆）预算管理办法（试行）》，对预算管理职责、预算编制、预算执行与分析、预算调整、决算与评价等提出了具体要求。</w:t>
      </w:r>
    </w:p>
    <w:p w:rsidR="004E5AD6" w:rsidRDefault="004C48E5">
      <w:pPr>
        <w:adjustRightInd w:val="0"/>
        <w:snapToGrid w:val="0"/>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绩效跟踪管理方面。</w:t>
      </w:r>
      <w:r>
        <w:rPr>
          <w:rFonts w:ascii="仿宋_GB2312" w:eastAsia="仿宋_GB2312" w:hAnsi="宋体" w:cs="宋体" w:hint="eastAsia"/>
          <w:color w:val="000000"/>
          <w:kern w:val="0"/>
          <w:sz w:val="32"/>
          <w:szCs w:val="32"/>
        </w:rPr>
        <w:t>主要根据预算资金管理工作流程、《参事室（文史馆）预算绩效管理办法（试行）》中关于绩效评价、绩效管理等方面的管理要求，按照市财政局印发的《北京市预算绩效管理办法》《北京市市级财政支出事前绩</w:t>
      </w:r>
      <w:r>
        <w:rPr>
          <w:rFonts w:ascii="仿宋_GB2312" w:eastAsia="仿宋_GB2312" w:hAnsi="宋体" w:cs="宋体" w:hint="eastAsia"/>
          <w:color w:val="000000"/>
          <w:kern w:val="0"/>
          <w:sz w:val="32"/>
          <w:szCs w:val="32"/>
        </w:rPr>
        <w:lastRenderedPageBreak/>
        <w:t>效评估管理办法》《北京市预算绩效目标管理办法》《北京市市级部门预算绩效运行监控管理办法》《北京市项目支出绩效评价管理办法》《北京市市级财政支出成本预算绩效分析操作流程》等制度文件执行。</w:t>
      </w:r>
    </w:p>
    <w:p w:rsidR="004E5AD6" w:rsidRDefault="004C48E5">
      <w:pPr>
        <w:adjustRightInd w:val="0"/>
        <w:snapToGrid w:val="0"/>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资产管理方面。</w:t>
      </w:r>
      <w:r>
        <w:rPr>
          <w:rFonts w:ascii="仿宋_GB2312" w:eastAsia="仿宋_GB2312" w:hAnsi="宋体" w:cs="宋体" w:hint="eastAsia"/>
          <w:color w:val="000000"/>
          <w:kern w:val="0"/>
          <w:sz w:val="32"/>
          <w:szCs w:val="32"/>
        </w:rPr>
        <w:t>一是明确了固定资产、书画作品等资产的购置、入库、管理及处置等方面的详细工作流程及风险控制文档；二是制定了《参事室固定资产管理办法（试行）》，对固定资产的范围及分类、管理机构和职责、固定资产的增加、领用、日常管理和处置等方面提出了具体要求。同时制定了《办公用品及低值易耗品管理制度（试行）》《参事室（文史馆）货币资金管理办法（试行）》《参事室（文史馆）馆藏书画作品管理制度（试行）》《室馆刊物出入库管理制度（征求意见稿）》等系列实物资产管理制度，为各方面实物资产的管理提供了明确依据。</w:t>
      </w:r>
    </w:p>
    <w:p w:rsidR="004E5AD6" w:rsidRDefault="004C48E5">
      <w:pPr>
        <w:adjustRightInd w:val="0"/>
        <w:snapToGrid w:val="0"/>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财务及资金管理方面。</w:t>
      </w:r>
      <w:r>
        <w:rPr>
          <w:rFonts w:ascii="仿宋_GB2312" w:eastAsia="仿宋_GB2312" w:hAnsi="宋体" w:cs="宋体" w:hint="eastAsia"/>
          <w:color w:val="000000"/>
          <w:kern w:val="0"/>
          <w:sz w:val="32"/>
          <w:szCs w:val="32"/>
        </w:rPr>
        <w:t>一是明确了采购管理、合同管理、资金管理工作流程及风险控制文档；二是制定了《参事室（文史馆）采购工作管理办法（试行）》《参事室（文史馆）合同管理办法（试行）》《参事室（文史馆）资金支出管理办法（试行）》《参事室（文史馆）差旅费管理办法（试行）》《参事室（文史馆）公务卡管理办法（试行）》等管理制度，为财务管理工作提供了明确依据。</w:t>
      </w:r>
    </w:p>
    <w:p w:rsidR="004E5AD6" w:rsidRDefault="004C48E5">
      <w:pPr>
        <w:adjustRightInd w:val="0"/>
        <w:snapToGrid w:val="0"/>
        <w:spacing w:line="560" w:lineRule="exact"/>
        <w:ind w:firstLineChars="200" w:firstLine="643"/>
        <w:outlineLvl w:val="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2.资金使用合</w:t>
      </w:r>
      <w:proofErr w:type="gramStart"/>
      <w:r>
        <w:rPr>
          <w:rFonts w:ascii="仿宋_GB2312" w:eastAsia="仿宋_GB2312" w:hAnsi="宋体" w:cs="宋体" w:hint="eastAsia"/>
          <w:b/>
          <w:bCs/>
          <w:color w:val="000000"/>
          <w:kern w:val="0"/>
          <w:sz w:val="32"/>
          <w:szCs w:val="32"/>
        </w:rPr>
        <w:t>规</w:t>
      </w:r>
      <w:proofErr w:type="gramEnd"/>
      <w:r>
        <w:rPr>
          <w:rFonts w:ascii="仿宋_GB2312" w:eastAsia="仿宋_GB2312" w:hAnsi="宋体" w:cs="宋体" w:hint="eastAsia"/>
          <w:b/>
          <w:bCs/>
          <w:color w:val="000000"/>
          <w:kern w:val="0"/>
          <w:sz w:val="32"/>
          <w:szCs w:val="32"/>
        </w:rPr>
        <w:t>性</w:t>
      </w:r>
      <w:r>
        <w:rPr>
          <w:rFonts w:ascii="仿宋_GB2312" w:eastAsia="仿宋_GB2312" w:hAnsi="宋体" w:cs="宋体"/>
          <w:b/>
          <w:bCs/>
          <w:color w:val="000000"/>
          <w:kern w:val="0"/>
          <w:sz w:val="32"/>
          <w:szCs w:val="32"/>
        </w:rPr>
        <w:t>和安全性</w:t>
      </w:r>
    </w:p>
    <w:p w:rsidR="004E5AD6" w:rsidRDefault="004C48E5">
      <w:pPr>
        <w:adjustRightInd w:val="0"/>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我单位严格按照财政部、市财政局及本单位相关财务管理制度使用和支出资金。资金支出时，</w:t>
      </w:r>
      <w:r w:rsidR="00761CDF">
        <w:rPr>
          <w:rFonts w:ascii="仿宋_GB2312" w:eastAsia="仿宋_GB2312" w:hAnsi="宋体" w:cs="宋体" w:hint="eastAsia"/>
          <w:color w:val="000000"/>
          <w:kern w:val="0"/>
          <w:sz w:val="32"/>
          <w:szCs w:val="32"/>
        </w:rPr>
        <w:t>5</w:t>
      </w:r>
      <w:r>
        <w:rPr>
          <w:rFonts w:ascii="仿宋_GB2312" w:eastAsia="仿宋_GB2312" w:hAnsi="宋体" w:cs="宋体" w:hint="eastAsia"/>
          <w:color w:val="000000"/>
          <w:kern w:val="0"/>
          <w:sz w:val="32"/>
          <w:szCs w:val="32"/>
        </w:rPr>
        <w:t>000元（不含</w:t>
      </w:r>
      <w:r w:rsidR="00761CDF">
        <w:rPr>
          <w:rFonts w:ascii="仿宋_GB2312" w:eastAsia="仿宋_GB2312" w:hAnsi="宋体" w:cs="宋体" w:hint="eastAsia"/>
          <w:color w:val="000000"/>
          <w:kern w:val="0"/>
          <w:sz w:val="32"/>
          <w:szCs w:val="32"/>
        </w:rPr>
        <w:t>5</w:t>
      </w:r>
      <w:r>
        <w:rPr>
          <w:rFonts w:ascii="仿宋_GB2312" w:eastAsia="仿宋_GB2312" w:hAnsi="宋体" w:cs="宋体" w:hint="eastAsia"/>
          <w:color w:val="000000"/>
          <w:kern w:val="0"/>
          <w:sz w:val="32"/>
          <w:szCs w:val="32"/>
        </w:rPr>
        <w:t>000</w:t>
      </w:r>
      <w:r>
        <w:rPr>
          <w:rFonts w:ascii="仿宋_GB2312" w:eastAsia="仿宋_GB2312" w:hAnsi="宋体" w:cs="宋体" w:hint="eastAsia"/>
          <w:color w:val="000000"/>
          <w:kern w:val="0"/>
          <w:sz w:val="32"/>
          <w:szCs w:val="32"/>
        </w:rPr>
        <w:lastRenderedPageBreak/>
        <w:t>元）以下经费开支，由申请处处长，秘书处处长批准；</w:t>
      </w:r>
      <w:r w:rsidR="00761CDF" w:rsidRPr="00761CDF">
        <w:rPr>
          <w:rFonts w:ascii="仿宋_GB2312" w:eastAsia="仿宋_GB2312" w:hAnsi="宋体" w:cs="宋体" w:hint="eastAsia"/>
          <w:color w:val="000000"/>
          <w:kern w:val="0"/>
          <w:sz w:val="32"/>
          <w:szCs w:val="32"/>
        </w:rPr>
        <w:t>申请使用5000元（含5000元）至100000元（不含100000元）经费开支，填写《市政府参事室、市文史馆使用5000元以上经费审批单》，由申请处室处长、秘书处处长、分管业务</w:t>
      </w:r>
      <w:r w:rsidR="00761CDF">
        <w:rPr>
          <w:rFonts w:ascii="仿宋_GB2312" w:eastAsia="仿宋_GB2312" w:hAnsi="宋体" w:cs="宋体" w:hint="eastAsia"/>
          <w:color w:val="000000"/>
          <w:kern w:val="0"/>
          <w:sz w:val="32"/>
          <w:szCs w:val="32"/>
        </w:rPr>
        <w:t>和财务的领导批准</w:t>
      </w:r>
      <w:r>
        <w:rPr>
          <w:rFonts w:ascii="仿宋_GB2312" w:eastAsia="仿宋_GB2312" w:hAnsi="宋体" w:cs="宋体" w:hint="eastAsia"/>
          <w:color w:val="000000"/>
          <w:kern w:val="0"/>
          <w:sz w:val="32"/>
          <w:szCs w:val="32"/>
        </w:rPr>
        <w:t>；</w:t>
      </w:r>
      <w:r w:rsidR="00761CDF" w:rsidRPr="00761CDF">
        <w:rPr>
          <w:rFonts w:ascii="仿宋_GB2312" w:eastAsia="仿宋_GB2312" w:hAnsi="宋体" w:cs="宋体" w:hint="eastAsia"/>
          <w:color w:val="000000"/>
          <w:kern w:val="0"/>
          <w:sz w:val="32"/>
          <w:szCs w:val="32"/>
        </w:rPr>
        <w:t>申请使用100000元以上经费开支，经主任办公会同意后，填写《市政府参事室、市文史馆使用5000元以上经费</w:t>
      </w:r>
      <w:r w:rsidR="00761CDF">
        <w:rPr>
          <w:rFonts w:ascii="仿宋_GB2312" w:eastAsia="仿宋_GB2312" w:hAnsi="宋体" w:cs="宋体" w:hint="eastAsia"/>
          <w:color w:val="000000"/>
          <w:kern w:val="0"/>
          <w:sz w:val="32"/>
          <w:szCs w:val="32"/>
        </w:rPr>
        <w:t>审批单》，由申请处室处长、秘书处处长、分管业务和财务的领导批准</w:t>
      </w:r>
      <w:bookmarkStart w:id="23" w:name="_GoBack"/>
      <w:bookmarkEnd w:id="23"/>
      <w:r>
        <w:rPr>
          <w:rFonts w:ascii="仿宋_GB2312" w:eastAsia="仿宋_GB2312" w:hAnsi="宋体" w:cs="宋体" w:hint="eastAsia"/>
          <w:color w:val="000000"/>
          <w:kern w:val="0"/>
          <w:sz w:val="32"/>
          <w:szCs w:val="32"/>
        </w:rPr>
        <w:t>。</w:t>
      </w:r>
    </w:p>
    <w:p w:rsidR="004E5AD6" w:rsidRDefault="004C48E5">
      <w:pPr>
        <w:adjustRightInd w:val="0"/>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2023年度资金拨付</w:t>
      </w:r>
      <w:proofErr w:type="gramStart"/>
      <w:r>
        <w:rPr>
          <w:rFonts w:ascii="仿宋_GB2312" w:eastAsia="仿宋_GB2312" w:hAnsi="宋体" w:cs="宋体" w:hint="eastAsia"/>
          <w:color w:val="000000"/>
          <w:kern w:val="0"/>
          <w:sz w:val="32"/>
          <w:szCs w:val="32"/>
        </w:rPr>
        <w:t>均履行</w:t>
      </w:r>
      <w:proofErr w:type="gramEnd"/>
      <w:r>
        <w:rPr>
          <w:rFonts w:ascii="仿宋_GB2312" w:eastAsia="仿宋_GB2312" w:hAnsi="宋体" w:cs="宋体" w:hint="eastAsia"/>
          <w:color w:val="000000"/>
          <w:kern w:val="0"/>
          <w:sz w:val="32"/>
          <w:szCs w:val="32"/>
        </w:rPr>
        <w:t>了完整的审批程序和手续，资金支出方向与部门预算批复用途基本一致，不存在截留、挤占、挪用的情况，资金使用符合政府采购程序与流程，符合公务卡结算相关制度和规定。</w:t>
      </w:r>
    </w:p>
    <w:p w:rsidR="004E5AD6" w:rsidRDefault="004C48E5">
      <w:pPr>
        <w:adjustRightInd w:val="0"/>
        <w:snapToGrid w:val="0"/>
        <w:spacing w:line="560" w:lineRule="exact"/>
        <w:ind w:firstLineChars="200" w:firstLine="643"/>
        <w:outlineLvl w:val="2"/>
        <w:rPr>
          <w:rFonts w:ascii="仿宋_GB2312" w:eastAsia="仿宋_GB2312" w:hAnsi="宋体" w:cs="宋体"/>
          <w:b/>
          <w:bCs/>
          <w:color w:val="000000"/>
          <w:kern w:val="0"/>
          <w:sz w:val="32"/>
          <w:szCs w:val="32"/>
        </w:rPr>
      </w:pPr>
      <w:r>
        <w:rPr>
          <w:rFonts w:ascii="仿宋_GB2312" w:eastAsia="仿宋_GB2312" w:hAnsi="宋体" w:cs="宋体"/>
          <w:b/>
          <w:bCs/>
          <w:color w:val="000000"/>
          <w:kern w:val="0"/>
          <w:sz w:val="32"/>
          <w:szCs w:val="32"/>
        </w:rPr>
        <w:t>3.</w:t>
      </w:r>
      <w:r>
        <w:rPr>
          <w:rFonts w:ascii="仿宋_GB2312" w:eastAsia="仿宋_GB2312" w:hAnsi="宋体" w:cs="宋体" w:hint="eastAsia"/>
          <w:b/>
          <w:bCs/>
          <w:color w:val="000000"/>
          <w:kern w:val="0"/>
          <w:sz w:val="32"/>
          <w:szCs w:val="32"/>
        </w:rPr>
        <w:t>会计</w:t>
      </w:r>
      <w:r>
        <w:rPr>
          <w:rFonts w:ascii="仿宋_GB2312" w:eastAsia="仿宋_GB2312" w:hAnsi="宋体" w:cs="宋体"/>
          <w:b/>
          <w:bCs/>
          <w:color w:val="000000"/>
          <w:kern w:val="0"/>
          <w:sz w:val="32"/>
          <w:szCs w:val="32"/>
        </w:rPr>
        <w:t>基础信息完善性</w:t>
      </w:r>
    </w:p>
    <w:p w:rsidR="004E5AD6" w:rsidRDefault="004C48E5">
      <w:pPr>
        <w:adjustRightInd w:val="0"/>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市政府参事室严格按照《中华人民共和国会计法》《中华人民共和国预算法》《政府会计准则——基本准则》《政府会计制度——行政事业单位会计科目和报表》等要求，对市政府参事室发生的各项经济业务或事项进行会计核算，具备财务会计与预算会计双重功能。</w:t>
      </w:r>
    </w:p>
    <w:p w:rsidR="004E5AD6" w:rsidRDefault="004C48E5">
      <w:pPr>
        <w:adjustRightInd w:val="0"/>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根据市财政局关于开展行政事业单位内部控制报告编制的有关要求，经自查，部门六个业务板块，即“预算管理、合同管理、采购管理、收支管理、项目管理、资产管理”所涉及的基础数据信息和会计信息资料留存真实、完整、准确。</w:t>
      </w:r>
    </w:p>
    <w:p w:rsidR="004E5AD6" w:rsidRDefault="004C48E5">
      <w:pPr>
        <w:adjustRightInd w:val="0"/>
        <w:snapToGrid w:val="0"/>
        <w:spacing w:line="560" w:lineRule="exact"/>
        <w:ind w:firstLineChars="200" w:firstLine="640"/>
        <w:outlineLvl w:val="1"/>
        <w:rPr>
          <w:rFonts w:ascii="楷体_GB2312" w:eastAsia="楷体_GB2312"/>
          <w:sz w:val="32"/>
          <w:szCs w:val="32"/>
        </w:rPr>
      </w:pPr>
      <w:bookmarkStart w:id="24" w:name="_Toc135402105"/>
      <w:bookmarkStart w:id="25" w:name="_Toc135231106"/>
      <w:r>
        <w:rPr>
          <w:rFonts w:ascii="楷体_GB2312" w:eastAsia="楷体_GB2312" w:hint="eastAsia"/>
          <w:sz w:val="32"/>
          <w:szCs w:val="32"/>
        </w:rPr>
        <w:t>（二）资产管理</w:t>
      </w:r>
      <w:bookmarkEnd w:id="24"/>
      <w:bookmarkEnd w:id="25"/>
    </w:p>
    <w:p w:rsidR="004E5AD6" w:rsidRDefault="004C48E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我单位</w:t>
      </w:r>
      <w:r>
        <w:rPr>
          <w:rFonts w:ascii="仿宋_GB2312" w:eastAsia="仿宋_GB2312" w:hAnsi="宋体" w:cs="宋体" w:hint="eastAsia"/>
          <w:color w:val="000000"/>
          <w:kern w:val="0"/>
          <w:sz w:val="32"/>
          <w:szCs w:val="32"/>
        </w:rPr>
        <w:t>严格按照《参事室固定资产管理办法（试行）》</w:t>
      </w:r>
      <w:r>
        <w:rPr>
          <w:rFonts w:ascii="仿宋_GB2312" w:eastAsia="仿宋_GB2312" w:hAnsi="宋体" w:cs="宋体" w:hint="eastAsia"/>
          <w:color w:val="000000"/>
          <w:kern w:val="0"/>
          <w:sz w:val="32"/>
          <w:szCs w:val="32"/>
        </w:rPr>
        <w:lastRenderedPageBreak/>
        <w:t>等制度要求进行资产管理。</w:t>
      </w:r>
      <w:r>
        <w:rPr>
          <w:rFonts w:ascii="仿宋_GB2312" w:eastAsia="仿宋_GB2312" w:hAnsi="仿宋" w:hint="eastAsia"/>
          <w:sz w:val="32"/>
          <w:szCs w:val="32"/>
        </w:rPr>
        <w:t>各处室在年度终了前对固定资产进行全面清查，形成固定资产盘点表并对盘亏、盘盈资产查明原因，说明情况，报秘书处资产组备案。秘书处资产组汇总单位固定资产清查情况，同时抽取部分固定资产实物进行现场盘点。</w:t>
      </w:r>
    </w:p>
    <w:p w:rsidR="004E5AD6" w:rsidRDefault="004C48E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截至2023年12月31日，资产总额（账面净值）18192.11万元，较上年增长-0.37%。负债总额152.22万元,较上年增长37.95%。净资产</w:t>
      </w:r>
      <w:r w:rsidR="000C5545">
        <w:rPr>
          <w:rFonts w:ascii="仿宋_GB2312" w:eastAsia="仿宋_GB2312" w:hAnsi="仿宋" w:hint="eastAsia"/>
          <w:sz w:val="32"/>
          <w:szCs w:val="32"/>
        </w:rPr>
        <w:t>18</w:t>
      </w:r>
      <w:r>
        <w:rPr>
          <w:rFonts w:ascii="仿宋_GB2312" w:eastAsia="仿宋_GB2312" w:hAnsi="仿宋" w:hint="eastAsia"/>
          <w:sz w:val="32"/>
          <w:szCs w:val="32"/>
        </w:rPr>
        <w:t>039.89万元,较上年增长-0.60%。固定资产中，房屋和构筑物3365.86万元，占固定资产的92.32%（其中，房屋3365.86万元，占固定资产的92.32%）；设备194.85万元，占5.34%（其中，车辆24.47万元，占0.67%，单价100万（含）以上（不含车辆）设备0.00万元，占0.00%）；文物和陈列品0.68万元，占0.02%；图书和档案0.00万元，占0.00%；家具和用具84.31万元，占2.31%；特种动植物0.00万元，占0.00%。</w:t>
      </w:r>
    </w:p>
    <w:p w:rsidR="004E5AD6" w:rsidRDefault="004C48E5">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2023年度资产使用规范，资产账实一致，无盘盈盘亏问题。不存在超标准配置资产，不存在未经批准擅自出租、出借资产行为，不存在不按要求进行报批或资产不公开处置行为，不存在对外投资行为，未因管理不当发生严重资产损失和丢失情况。</w:t>
      </w:r>
    </w:p>
    <w:p w:rsidR="004E5AD6" w:rsidRDefault="004C48E5">
      <w:pPr>
        <w:adjustRightInd w:val="0"/>
        <w:snapToGrid w:val="0"/>
        <w:spacing w:line="560" w:lineRule="exact"/>
        <w:ind w:firstLineChars="200" w:firstLine="640"/>
        <w:outlineLvl w:val="1"/>
        <w:rPr>
          <w:rFonts w:ascii="楷体_GB2312" w:eastAsia="楷体_GB2312"/>
          <w:sz w:val="32"/>
          <w:szCs w:val="32"/>
        </w:rPr>
      </w:pPr>
      <w:bookmarkStart w:id="26" w:name="_Toc135231107"/>
      <w:bookmarkStart w:id="27" w:name="_Toc135402106"/>
      <w:r>
        <w:rPr>
          <w:rFonts w:ascii="楷体_GB2312" w:eastAsia="楷体_GB2312" w:hint="eastAsia"/>
          <w:sz w:val="32"/>
          <w:szCs w:val="32"/>
        </w:rPr>
        <w:t>（三）绩效</w:t>
      </w:r>
      <w:r>
        <w:rPr>
          <w:rFonts w:ascii="楷体_GB2312" w:eastAsia="楷体_GB2312"/>
          <w:sz w:val="32"/>
          <w:szCs w:val="32"/>
        </w:rPr>
        <w:t>管理</w:t>
      </w:r>
      <w:bookmarkEnd w:id="26"/>
      <w:bookmarkEnd w:id="27"/>
    </w:p>
    <w:p w:rsidR="004E5AD6" w:rsidRDefault="004C48E5">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02</w:t>
      </w:r>
      <w:r>
        <w:rPr>
          <w:rFonts w:ascii="仿宋_GB2312" w:eastAsia="仿宋_GB2312" w:hAnsi="宋体" w:cs="宋体" w:hint="eastAsia"/>
          <w:color w:val="000000"/>
          <w:kern w:val="0"/>
          <w:sz w:val="32"/>
          <w:szCs w:val="32"/>
        </w:rPr>
        <w:t>3年，我单位根据市财政局全面预算绩效管理的相关要求及内部有关制度开展绩效管理工作，及时进行绩效信息汇总分析、绩效目标纠偏工作。具体情况如下：</w:t>
      </w:r>
    </w:p>
    <w:p w:rsidR="004E5AD6" w:rsidRDefault="004C48E5">
      <w:pPr>
        <w:spacing w:line="600" w:lineRule="exact"/>
        <w:ind w:leftChars="50" w:left="105" w:firstLineChars="150" w:firstLine="482"/>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lastRenderedPageBreak/>
        <w:t>组织机构设置方面。</w:t>
      </w:r>
      <w:r>
        <w:rPr>
          <w:rFonts w:ascii="仿宋_GB2312" w:eastAsia="仿宋_GB2312" w:hAnsi="宋体" w:cs="宋体" w:hint="eastAsia"/>
          <w:color w:val="000000"/>
          <w:kern w:val="0"/>
          <w:sz w:val="32"/>
          <w:szCs w:val="32"/>
        </w:rPr>
        <w:t>成立绩效评价工作组，制定了实施方案，由主要领导担任工作组组长，负责协调、处理、决定绩效评价工作中的重大事项，研究解决工作中遇到的重大问题。秘书处及项目实施部门作为成员单位，其中秘书处为牵头部门，负责具体组织绩效评价工作，组织审核相关资料、撰写报告等。项目实施部门负责项目资料的归集和整理，并填写项目支出绩效自评表，由秘书处审核。</w:t>
      </w:r>
    </w:p>
    <w:p w:rsidR="004E5AD6" w:rsidRDefault="004C48E5">
      <w:pPr>
        <w:spacing w:line="600" w:lineRule="exact"/>
        <w:ind w:leftChars="50" w:left="105" w:firstLineChars="150" w:firstLine="482"/>
        <w:rPr>
          <w:rFonts w:ascii="仿宋_GB2312" w:eastAsia="仿宋_GB2312"/>
          <w:sz w:val="32"/>
          <w:szCs w:val="32"/>
        </w:rPr>
      </w:pPr>
      <w:r>
        <w:rPr>
          <w:rFonts w:ascii="仿宋_GB2312" w:eastAsia="仿宋_GB2312" w:hAnsi="宋体" w:cs="宋体" w:hint="eastAsia"/>
          <w:b/>
          <w:bCs/>
          <w:color w:val="000000"/>
          <w:kern w:val="0"/>
          <w:sz w:val="32"/>
          <w:szCs w:val="32"/>
        </w:rPr>
        <w:t>绩效管理工作开展方面。</w:t>
      </w:r>
      <w:r>
        <w:rPr>
          <w:rFonts w:ascii="仿宋_GB2312" w:eastAsia="仿宋_GB2312" w:hAnsi="宋体" w:cs="宋体" w:hint="eastAsia"/>
          <w:color w:val="000000"/>
          <w:kern w:val="0"/>
          <w:sz w:val="32"/>
          <w:szCs w:val="32"/>
        </w:rPr>
        <w:t>2023年4月-5月，对2022年度设定绩效目标的16个项目全部开展了绩效评价，其中15个项目为单位自评，编写出版《北京地域文化通览》项目为部门重点评价（评价得分87.60分，绩效评定结论为“良”），同步开展了部门整体绩效评价，形成自评表、项目绩效评价报告、部门整体绩效评价报告等成果上报市财政局。</w:t>
      </w:r>
      <w:r>
        <w:rPr>
          <w:rFonts w:ascii="仿宋_GB2312" w:eastAsia="仿宋_GB2312" w:hint="eastAsia"/>
          <w:sz w:val="32"/>
          <w:szCs w:val="32"/>
        </w:rPr>
        <w:t>8月，对2</w:t>
      </w:r>
      <w:r>
        <w:rPr>
          <w:rFonts w:ascii="仿宋_GB2312" w:eastAsia="仿宋_GB2312"/>
          <w:sz w:val="32"/>
          <w:szCs w:val="32"/>
        </w:rPr>
        <w:t>02</w:t>
      </w:r>
      <w:r>
        <w:rPr>
          <w:rFonts w:ascii="仿宋_GB2312" w:eastAsia="仿宋_GB2312" w:hint="eastAsia"/>
          <w:sz w:val="32"/>
          <w:szCs w:val="32"/>
        </w:rPr>
        <w:t>3年部门预算涉及的18个项目在1-6月份的预算执行和绩效目标实现程度开展绩效监控分析，形成监控报告、监控汇总表上报市财政局。1</w:t>
      </w:r>
      <w:r>
        <w:rPr>
          <w:rFonts w:ascii="仿宋_GB2312" w:eastAsia="仿宋_GB2312"/>
          <w:sz w:val="32"/>
          <w:szCs w:val="32"/>
        </w:rPr>
        <w:t>0</w:t>
      </w:r>
      <w:r>
        <w:rPr>
          <w:rFonts w:ascii="仿宋_GB2312" w:eastAsia="仿宋_GB2312" w:hint="eastAsia"/>
          <w:sz w:val="32"/>
          <w:szCs w:val="32"/>
        </w:rPr>
        <w:t>月-</w:t>
      </w:r>
      <w:r>
        <w:rPr>
          <w:rFonts w:ascii="仿宋_GB2312" w:eastAsia="仿宋_GB2312"/>
          <w:sz w:val="32"/>
          <w:szCs w:val="32"/>
        </w:rPr>
        <w:t>11</w:t>
      </w:r>
      <w:r>
        <w:rPr>
          <w:rFonts w:ascii="仿宋_GB2312" w:eastAsia="仿宋_GB2312" w:hint="eastAsia"/>
          <w:sz w:val="32"/>
          <w:szCs w:val="32"/>
        </w:rPr>
        <w:t>月，梳理我单</w:t>
      </w:r>
      <w:proofErr w:type="gramStart"/>
      <w:r>
        <w:rPr>
          <w:rFonts w:ascii="仿宋_GB2312" w:eastAsia="仿宋_GB2312" w:hint="eastAsia"/>
          <w:sz w:val="32"/>
          <w:szCs w:val="32"/>
        </w:rPr>
        <w:t>位拟</w:t>
      </w:r>
      <w:proofErr w:type="gramEnd"/>
      <w:r>
        <w:rPr>
          <w:rFonts w:ascii="仿宋_GB2312" w:eastAsia="仿宋_GB2312" w:hint="eastAsia"/>
          <w:sz w:val="32"/>
          <w:szCs w:val="32"/>
        </w:rPr>
        <w:t>申报的2</w:t>
      </w:r>
      <w:r>
        <w:rPr>
          <w:rFonts w:ascii="仿宋_GB2312" w:eastAsia="仿宋_GB2312"/>
          <w:sz w:val="32"/>
          <w:szCs w:val="32"/>
        </w:rPr>
        <w:t>02</w:t>
      </w:r>
      <w:r>
        <w:rPr>
          <w:rFonts w:ascii="仿宋_GB2312" w:eastAsia="仿宋_GB2312" w:hint="eastAsia"/>
          <w:sz w:val="32"/>
          <w:szCs w:val="32"/>
        </w:rPr>
        <w:t>4年度部门预算项目，编制了项目申报书、绩效目标申报表等资料，随部门预算上报市财政局。</w:t>
      </w:r>
    </w:p>
    <w:p w:rsidR="004E5AD6" w:rsidRDefault="004C48E5">
      <w:pPr>
        <w:adjustRightInd w:val="0"/>
        <w:snapToGrid w:val="0"/>
        <w:spacing w:line="560" w:lineRule="exact"/>
        <w:ind w:firstLineChars="200" w:firstLine="640"/>
        <w:outlineLvl w:val="1"/>
        <w:rPr>
          <w:rFonts w:ascii="楷体_GB2312" w:eastAsia="楷体_GB2312"/>
          <w:sz w:val="32"/>
          <w:szCs w:val="32"/>
        </w:rPr>
      </w:pPr>
      <w:bookmarkStart w:id="28" w:name="_Toc135402107"/>
      <w:bookmarkStart w:id="29" w:name="_Toc135231108"/>
      <w:r>
        <w:rPr>
          <w:rFonts w:ascii="楷体_GB2312" w:eastAsia="楷体_GB2312" w:hint="eastAsia"/>
          <w:sz w:val="32"/>
          <w:szCs w:val="32"/>
        </w:rPr>
        <w:t>（四）结转结余率</w:t>
      </w:r>
      <w:bookmarkEnd w:id="28"/>
      <w:bookmarkEnd w:id="29"/>
    </w:p>
    <w:p w:rsidR="004E5AD6" w:rsidRDefault="004C48E5">
      <w:pPr>
        <w:adjustRightInd w:val="0"/>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02</w:t>
      </w:r>
      <w:r>
        <w:rPr>
          <w:rFonts w:ascii="仿宋_GB2312" w:eastAsia="仿宋_GB2312" w:hAnsi="宋体" w:cs="宋体" w:hint="eastAsia"/>
          <w:color w:val="000000"/>
          <w:kern w:val="0"/>
          <w:sz w:val="32"/>
          <w:szCs w:val="32"/>
        </w:rPr>
        <w:t>3年度，一般公共预算部门整体结转结余资金294.59万元，占支出预算数3032.59万元的9.71</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。资金执行情况较好，结转结余率较上年有所下降</w:t>
      </w:r>
      <w:r>
        <w:rPr>
          <w:rFonts w:ascii="仿宋_GB2312" w:eastAsia="仿宋_GB2312" w:hint="eastAsia"/>
          <w:sz w:val="32"/>
          <w:szCs w:val="32"/>
        </w:rPr>
        <w:t>。</w:t>
      </w:r>
    </w:p>
    <w:p w:rsidR="004E5AD6" w:rsidRDefault="004C48E5">
      <w:pPr>
        <w:adjustRightInd w:val="0"/>
        <w:snapToGrid w:val="0"/>
        <w:spacing w:line="560" w:lineRule="exact"/>
        <w:jc w:val="center"/>
        <w:rPr>
          <w:rFonts w:ascii="黑体" w:eastAsia="黑体" w:hAnsi="黑体" w:cs="宋体"/>
          <w:color w:val="000000"/>
          <w:kern w:val="0"/>
          <w:sz w:val="28"/>
          <w:szCs w:val="28"/>
        </w:rPr>
      </w:pPr>
      <w:r>
        <w:rPr>
          <w:rFonts w:ascii="黑体" w:eastAsia="黑体" w:hAnsi="黑体" w:cs="宋体" w:hint="eastAsia"/>
          <w:color w:val="000000"/>
          <w:kern w:val="0"/>
          <w:sz w:val="28"/>
          <w:szCs w:val="28"/>
        </w:rPr>
        <w:t>表3：2</w:t>
      </w:r>
      <w:r>
        <w:rPr>
          <w:rFonts w:ascii="黑体" w:eastAsia="黑体" w:hAnsi="黑体" w:cs="宋体"/>
          <w:color w:val="000000"/>
          <w:kern w:val="0"/>
          <w:sz w:val="28"/>
          <w:szCs w:val="28"/>
        </w:rPr>
        <w:t>02</w:t>
      </w:r>
      <w:r>
        <w:rPr>
          <w:rFonts w:ascii="黑体" w:eastAsia="黑体" w:hAnsi="黑体" w:cs="宋体" w:hint="eastAsia"/>
          <w:color w:val="000000"/>
          <w:kern w:val="0"/>
          <w:sz w:val="28"/>
          <w:szCs w:val="28"/>
        </w:rPr>
        <w:t>2年度、</w:t>
      </w:r>
      <w:r>
        <w:rPr>
          <w:rFonts w:ascii="黑体" w:eastAsia="黑体" w:hAnsi="黑体" w:cs="宋体"/>
          <w:color w:val="000000"/>
          <w:kern w:val="0"/>
          <w:sz w:val="28"/>
          <w:szCs w:val="28"/>
        </w:rPr>
        <w:t>202</w:t>
      </w:r>
      <w:r>
        <w:rPr>
          <w:rFonts w:ascii="黑体" w:eastAsia="黑体" w:hAnsi="黑体" w:cs="宋体" w:hint="eastAsia"/>
          <w:color w:val="000000"/>
          <w:kern w:val="0"/>
          <w:sz w:val="28"/>
          <w:szCs w:val="28"/>
        </w:rPr>
        <w:t>3年度一般公共预算结转结余情况对比表</w:t>
      </w:r>
    </w:p>
    <w:p w:rsidR="004E5AD6" w:rsidRDefault="004C48E5">
      <w:pPr>
        <w:adjustRightInd w:val="0"/>
        <w:snapToGrid w:val="0"/>
        <w:spacing w:line="560" w:lineRule="exact"/>
        <w:ind w:firstLineChars="200" w:firstLine="440"/>
        <w:jc w:val="right"/>
        <w:rPr>
          <w:rFonts w:ascii="宋体" w:hAnsi="宋体" w:cs="宋体"/>
          <w:color w:val="000000"/>
          <w:kern w:val="0"/>
          <w:sz w:val="22"/>
          <w:szCs w:val="22"/>
        </w:rPr>
      </w:pPr>
      <w:r>
        <w:rPr>
          <w:rFonts w:ascii="宋体" w:hAnsi="宋体" w:cs="宋体" w:hint="eastAsia"/>
          <w:color w:val="000000"/>
          <w:kern w:val="0"/>
          <w:sz w:val="22"/>
          <w:szCs w:val="22"/>
        </w:rPr>
        <w:lastRenderedPageBreak/>
        <w:t>单位：万元</w:t>
      </w:r>
    </w:p>
    <w:tbl>
      <w:tblPr>
        <w:tblStyle w:val="ae"/>
        <w:tblW w:w="5000" w:type="pct"/>
        <w:jc w:val="center"/>
        <w:tblLook w:val="04A0" w:firstRow="1" w:lastRow="0" w:firstColumn="1" w:lastColumn="0" w:noHBand="0" w:noVBand="1"/>
      </w:tblPr>
      <w:tblGrid>
        <w:gridCol w:w="1660"/>
        <w:gridCol w:w="1659"/>
        <w:gridCol w:w="1659"/>
        <w:gridCol w:w="1659"/>
        <w:gridCol w:w="1659"/>
      </w:tblGrid>
      <w:tr w:rsidR="004E5AD6">
        <w:trPr>
          <w:trHeight w:val="454"/>
          <w:jc w:val="center"/>
        </w:trPr>
        <w:tc>
          <w:tcPr>
            <w:tcW w:w="1000" w:type="pct"/>
            <w:vAlign w:val="center"/>
          </w:tcPr>
          <w:p w:rsidR="004E5AD6" w:rsidRDefault="004C48E5">
            <w:pPr>
              <w:adjustRightInd w:val="0"/>
              <w:snapToGrid w:val="0"/>
              <w:jc w:val="center"/>
              <w:rPr>
                <w:rFonts w:ascii="宋体" w:hAnsi="宋体" w:cs="宋体"/>
                <w:b/>
                <w:bCs/>
                <w:color w:val="000000"/>
                <w:kern w:val="0"/>
                <w:sz w:val="20"/>
                <w:szCs w:val="20"/>
              </w:rPr>
            </w:pPr>
            <w:r>
              <w:rPr>
                <w:rFonts w:ascii="宋体" w:hAnsi="宋体" w:cs="宋体" w:hint="eastAsia"/>
                <w:b/>
                <w:bCs/>
                <w:color w:val="000000"/>
                <w:kern w:val="0"/>
                <w:sz w:val="20"/>
                <w:szCs w:val="20"/>
              </w:rPr>
              <w:t>年度</w:t>
            </w:r>
          </w:p>
        </w:tc>
        <w:tc>
          <w:tcPr>
            <w:tcW w:w="1000" w:type="pct"/>
            <w:vAlign w:val="center"/>
          </w:tcPr>
          <w:p w:rsidR="004E5AD6" w:rsidRDefault="004C48E5">
            <w:pPr>
              <w:adjustRightInd w:val="0"/>
              <w:snapToGrid w:val="0"/>
              <w:jc w:val="center"/>
              <w:rPr>
                <w:rFonts w:ascii="宋体" w:hAnsi="宋体" w:cs="宋体"/>
                <w:b/>
                <w:bCs/>
                <w:color w:val="000000"/>
                <w:kern w:val="0"/>
                <w:sz w:val="20"/>
                <w:szCs w:val="20"/>
              </w:rPr>
            </w:pPr>
            <w:r>
              <w:rPr>
                <w:rFonts w:ascii="宋体" w:hAnsi="宋体" w:cs="宋体" w:hint="eastAsia"/>
                <w:b/>
                <w:bCs/>
                <w:color w:val="000000"/>
                <w:kern w:val="0"/>
                <w:sz w:val="20"/>
                <w:szCs w:val="20"/>
              </w:rPr>
              <w:t>全年预算数</w:t>
            </w:r>
          </w:p>
        </w:tc>
        <w:tc>
          <w:tcPr>
            <w:tcW w:w="1000" w:type="pct"/>
            <w:vAlign w:val="center"/>
          </w:tcPr>
          <w:p w:rsidR="004E5AD6" w:rsidRDefault="004C48E5">
            <w:pPr>
              <w:adjustRightInd w:val="0"/>
              <w:snapToGrid w:val="0"/>
              <w:jc w:val="center"/>
              <w:rPr>
                <w:rFonts w:ascii="宋体" w:hAnsi="宋体" w:cs="宋体"/>
                <w:b/>
                <w:bCs/>
                <w:color w:val="000000"/>
                <w:kern w:val="0"/>
                <w:sz w:val="20"/>
                <w:szCs w:val="20"/>
              </w:rPr>
            </w:pPr>
            <w:r>
              <w:rPr>
                <w:rFonts w:ascii="宋体" w:hAnsi="宋体" w:cs="宋体" w:hint="eastAsia"/>
                <w:b/>
                <w:bCs/>
                <w:color w:val="000000"/>
                <w:kern w:val="0"/>
                <w:sz w:val="20"/>
                <w:szCs w:val="20"/>
              </w:rPr>
              <w:t>全年执行数</w:t>
            </w:r>
          </w:p>
        </w:tc>
        <w:tc>
          <w:tcPr>
            <w:tcW w:w="1000" w:type="pct"/>
            <w:vAlign w:val="center"/>
          </w:tcPr>
          <w:p w:rsidR="004E5AD6" w:rsidRDefault="004C48E5">
            <w:pPr>
              <w:adjustRightInd w:val="0"/>
              <w:snapToGrid w:val="0"/>
              <w:jc w:val="center"/>
              <w:rPr>
                <w:rFonts w:ascii="宋体" w:hAnsi="宋体" w:cs="宋体"/>
                <w:b/>
                <w:bCs/>
                <w:color w:val="000000"/>
                <w:kern w:val="0"/>
                <w:sz w:val="20"/>
                <w:szCs w:val="20"/>
              </w:rPr>
            </w:pPr>
            <w:r>
              <w:rPr>
                <w:rFonts w:ascii="宋体" w:hAnsi="宋体" w:cs="宋体" w:hint="eastAsia"/>
                <w:b/>
                <w:bCs/>
                <w:color w:val="000000"/>
                <w:kern w:val="0"/>
                <w:sz w:val="20"/>
                <w:szCs w:val="20"/>
              </w:rPr>
              <w:t>结转结余金额</w:t>
            </w:r>
          </w:p>
        </w:tc>
        <w:tc>
          <w:tcPr>
            <w:tcW w:w="1000" w:type="pct"/>
            <w:vAlign w:val="center"/>
          </w:tcPr>
          <w:p w:rsidR="004E5AD6" w:rsidRDefault="004C48E5">
            <w:pPr>
              <w:adjustRightInd w:val="0"/>
              <w:snapToGrid w:val="0"/>
              <w:jc w:val="center"/>
              <w:rPr>
                <w:rFonts w:ascii="宋体" w:hAnsi="宋体" w:cs="宋体"/>
                <w:b/>
                <w:bCs/>
                <w:color w:val="000000"/>
                <w:kern w:val="0"/>
                <w:sz w:val="20"/>
                <w:szCs w:val="20"/>
              </w:rPr>
            </w:pPr>
            <w:r>
              <w:rPr>
                <w:rFonts w:ascii="宋体" w:hAnsi="宋体" w:cs="宋体" w:hint="eastAsia"/>
                <w:b/>
                <w:bCs/>
                <w:color w:val="000000"/>
                <w:kern w:val="0"/>
                <w:sz w:val="20"/>
                <w:szCs w:val="20"/>
              </w:rPr>
              <w:t>结转结余率</w:t>
            </w:r>
          </w:p>
        </w:tc>
      </w:tr>
      <w:tr w:rsidR="004E5AD6">
        <w:trPr>
          <w:trHeight w:val="454"/>
          <w:jc w:val="center"/>
        </w:trPr>
        <w:tc>
          <w:tcPr>
            <w:tcW w:w="1000" w:type="pct"/>
            <w:vAlign w:val="center"/>
          </w:tcPr>
          <w:p w:rsidR="004E5AD6" w:rsidRDefault="004C48E5">
            <w:pPr>
              <w:adjustRightInd w:val="0"/>
              <w:snapToGrid w:val="0"/>
              <w:jc w:val="center"/>
              <w:rPr>
                <w:rFonts w:ascii="宋体" w:hAnsi="宋体" w:cs="宋体"/>
                <w:color w:val="000000"/>
                <w:kern w:val="0"/>
                <w:sz w:val="20"/>
                <w:szCs w:val="20"/>
              </w:rPr>
            </w:pPr>
            <w:r>
              <w:rPr>
                <w:rFonts w:ascii="宋体" w:hAnsi="宋体" w:cs="宋体" w:hint="eastAsia"/>
                <w:color w:val="000000"/>
                <w:kern w:val="0"/>
                <w:sz w:val="20"/>
                <w:szCs w:val="20"/>
              </w:rPr>
              <w:t>2022年</w:t>
            </w:r>
          </w:p>
        </w:tc>
        <w:tc>
          <w:tcPr>
            <w:tcW w:w="1000" w:type="pct"/>
            <w:vAlign w:val="center"/>
          </w:tcPr>
          <w:p w:rsidR="004E5AD6" w:rsidRDefault="004C48E5">
            <w:pPr>
              <w:adjustRightInd w:val="0"/>
              <w:snapToGrid w:val="0"/>
              <w:jc w:val="right"/>
              <w:rPr>
                <w:rFonts w:ascii="宋体" w:hAnsi="宋体" w:cs="宋体"/>
                <w:color w:val="000000"/>
                <w:kern w:val="0"/>
                <w:sz w:val="20"/>
                <w:szCs w:val="20"/>
              </w:rPr>
            </w:pPr>
            <w:r>
              <w:rPr>
                <w:rFonts w:ascii="宋体" w:hAnsi="宋体" w:cs="宋体" w:hint="eastAsia"/>
                <w:color w:val="000000"/>
                <w:kern w:val="0"/>
                <w:sz w:val="20"/>
                <w:szCs w:val="20"/>
              </w:rPr>
              <w:t>2973.29</w:t>
            </w:r>
          </w:p>
        </w:tc>
        <w:tc>
          <w:tcPr>
            <w:tcW w:w="1000" w:type="pct"/>
            <w:vAlign w:val="center"/>
          </w:tcPr>
          <w:p w:rsidR="004E5AD6" w:rsidRDefault="004C48E5">
            <w:pPr>
              <w:adjustRightInd w:val="0"/>
              <w:snapToGrid w:val="0"/>
              <w:jc w:val="right"/>
              <w:rPr>
                <w:rFonts w:ascii="宋体" w:hAnsi="宋体" w:cs="宋体"/>
                <w:color w:val="000000"/>
                <w:kern w:val="0"/>
                <w:sz w:val="20"/>
                <w:szCs w:val="20"/>
              </w:rPr>
            </w:pPr>
            <w:r>
              <w:rPr>
                <w:rFonts w:ascii="宋体" w:hAnsi="宋体" w:cs="宋体" w:hint="eastAsia"/>
                <w:color w:val="000000"/>
                <w:kern w:val="0"/>
                <w:sz w:val="20"/>
                <w:szCs w:val="20"/>
              </w:rPr>
              <w:t>2648.66</w:t>
            </w:r>
          </w:p>
        </w:tc>
        <w:tc>
          <w:tcPr>
            <w:tcW w:w="1000" w:type="pct"/>
            <w:vAlign w:val="center"/>
          </w:tcPr>
          <w:p w:rsidR="004E5AD6" w:rsidRDefault="004C48E5">
            <w:pPr>
              <w:adjustRightInd w:val="0"/>
              <w:snapToGrid w:val="0"/>
              <w:jc w:val="right"/>
              <w:rPr>
                <w:rFonts w:ascii="宋体" w:hAnsi="宋体" w:cs="宋体"/>
                <w:color w:val="000000"/>
                <w:kern w:val="0"/>
                <w:sz w:val="20"/>
                <w:szCs w:val="20"/>
              </w:rPr>
            </w:pPr>
            <w:r>
              <w:rPr>
                <w:rFonts w:ascii="宋体" w:hAnsi="宋体" w:cs="宋体" w:hint="eastAsia"/>
                <w:color w:val="000000"/>
                <w:kern w:val="0"/>
                <w:sz w:val="20"/>
                <w:szCs w:val="20"/>
              </w:rPr>
              <w:t>324.63</w:t>
            </w:r>
          </w:p>
        </w:tc>
        <w:tc>
          <w:tcPr>
            <w:tcW w:w="1000" w:type="pct"/>
            <w:vAlign w:val="center"/>
          </w:tcPr>
          <w:p w:rsidR="004E5AD6" w:rsidRDefault="004C48E5">
            <w:pPr>
              <w:adjustRightInd w:val="0"/>
              <w:snapToGrid w:val="0"/>
              <w:jc w:val="center"/>
              <w:rPr>
                <w:rFonts w:ascii="宋体" w:hAnsi="宋体" w:cs="宋体"/>
                <w:color w:val="000000"/>
                <w:kern w:val="0"/>
                <w:sz w:val="20"/>
                <w:szCs w:val="20"/>
              </w:rPr>
            </w:pPr>
            <w:r>
              <w:rPr>
                <w:rFonts w:ascii="宋体" w:hAnsi="宋体" w:cs="宋体" w:hint="eastAsia"/>
                <w:color w:val="000000"/>
                <w:kern w:val="0"/>
                <w:sz w:val="20"/>
                <w:szCs w:val="20"/>
              </w:rPr>
              <w:t>10.92%</w:t>
            </w:r>
          </w:p>
        </w:tc>
      </w:tr>
      <w:tr w:rsidR="004E5AD6">
        <w:trPr>
          <w:trHeight w:val="454"/>
          <w:jc w:val="center"/>
        </w:trPr>
        <w:tc>
          <w:tcPr>
            <w:tcW w:w="1000" w:type="pct"/>
            <w:vAlign w:val="center"/>
          </w:tcPr>
          <w:p w:rsidR="004E5AD6" w:rsidRDefault="004C48E5">
            <w:pPr>
              <w:adjustRightInd w:val="0"/>
              <w:snapToGrid w:val="0"/>
              <w:jc w:val="center"/>
              <w:rPr>
                <w:rFonts w:ascii="宋体" w:hAnsi="宋体" w:cs="宋体"/>
                <w:color w:val="000000"/>
                <w:kern w:val="0"/>
                <w:sz w:val="20"/>
                <w:szCs w:val="20"/>
              </w:rPr>
            </w:pPr>
            <w:r>
              <w:rPr>
                <w:rFonts w:ascii="宋体" w:hAnsi="宋体" w:cs="宋体" w:hint="eastAsia"/>
                <w:color w:val="000000"/>
                <w:kern w:val="0"/>
                <w:sz w:val="20"/>
                <w:szCs w:val="20"/>
              </w:rPr>
              <w:t>2023年</w:t>
            </w:r>
          </w:p>
        </w:tc>
        <w:tc>
          <w:tcPr>
            <w:tcW w:w="1000" w:type="pct"/>
            <w:vAlign w:val="center"/>
          </w:tcPr>
          <w:p w:rsidR="004E5AD6" w:rsidRDefault="004C48E5">
            <w:pPr>
              <w:adjustRightInd w:val="0"/>
              <w:snapToGrid w:val="0"/>
              <w:jc w:val="right"/>
              <w:rPr>
                <w:rFonts w:ascii="宋体" w:hAnsi="宋体" w:cs="宋体"/>
                <w:color w:val="000000"/>
                <w:kern w:val="0"/>
                <w:sz w:val="20"/>
                <w:szCs w:val="20"/>
              </w:rPr>
            </w:pPr>
            <w:r>
              <w:rPr>
                <w:rFonts w:ascii="宋体" w:hAnsi="宋体" w:cs="宋体" w:hint="eastAsia"/>
                <w:color w:val="000000"/>
                <w:kern w:val="0"/>
                <w:sz w:val="20"/>
                <w:szCs w:val="20"/>
              </w:rPr>
              <w:t>3032.59</w:t>
            </w:r>
          </w:p>
        </w:tc>
        <w:tc>
          <w:tcPr>
            <w:tcW w:w="1000" w:type="pct"/>
            <w:vAlign w:val="center"/>
          </w:tcPr>
          <w:p w:rsidR="004E5AD6" w:rsidRDefault="004C48E5">
            <w:pPr>
              <w:adjustRightInd w:val="0"/>
              <w:snapToGrid w:val="0"/>
              <w:jc w:val="right"/>
              <w:rPr>
                <w:rFonts w:ascii="宋体" w:hAnsi="宋体" w:cs="宋体"/>
                <w:color w:val="000000"/>
                <w:kern w:val="0"/>
                <w:sz w:val="20"/>
                <w:szCs w:val="20"/>
              </w:rPr>
            </w:pPr>
            <w:r>
              <w:rPr>
                <w:rFonts w:ascii="宋体" w:hAnsi="宋体" w:cs="宋体" w:hint="eastAsia"/>
                <w:color w:val="000000"/>
                <w:kern w:val="0"/>
                <w:sz w:val="20"/>
                <w:szCs w:val="20"/>
              </w:rPr>
              <w:t>2738.00</w:t>
            </w:r>
          </w:p>
        </w:tc>
        <w:tc>
          <w:tcPr>
            <w:tcW w:w="1000" w:type="pct"/>
            <w:vAlign w:val="center"/>
          </w:tcPr>
          <w:p w:rsidR="004E5AD6" w:rsidRDefault="004C48E5">
            <w:pPr>
              <w:adjustRightInd w:val="0"/>
              <w:snapToGrid w:val="0"/>
              <w:jc w:val="right"/>
              <w:rPr>
                <w:rFonts w:ascii="宋体" w:hAnsi="宋体" w:cs="宋体"/>
                <w:color w:val="000000"/>
                <w:kern w:val="0"/>
                <w:sz w:val="20"/>
                <w:szCs w:val="20"/>
              </w:rPr>
            </w:pPr>
            <w:r>
              <w:rPr>
                <w:rFonts w:ascii="宋体" w:hAnsi="宋体" w:cs="宋体" w:hint="eastAsia"/>
                <w:color w:val="000000"/>
                <w:kern w:val="0"/>
                <w:sz w:val="20"/>
                <w:szCs w:val="20"/>
              </w:rPr>
              <w:t>294.59</w:t>
            </w:r>
          </w:p>
        </w:tc>
        <w:tc>
          <w:tcPr>
            <w:tcW w:w="1000" w:type="pct"/>
            <w:vAlign w:val="center"/>
          </w:tcPr>
          <w:p w:rsidR="004E5AD6" w:rsidRDefault="004C48E5">
            <w:pPr>
              <w:adjustRightInd w:val="0"/>
              <w:snapToGrid w:val="0"/>
              <w:jc w:val="center"/>
              <w:rPr>
                <w:rFonts w:ascii="宋体" w:hAnsi="宋体" w:cs="宋体"/>
                <w:color w:val="000000"/>
                <w:kern w:val="0"/>
                <w:sz w:val="20"/>
                <w:szCs w:val="20"/>
              </w:rPr>
            </w:pPr>
            <w:r>
              <w:rPr>
                <w:rFonts w:ascii="宋体" w:hAnsi="宋体" w:cs="宋体" w:hint="eastAsia"/>
                <w:color w:val="000000"/>
                <w:kern w:val="0"/>
                <w:sz w:val="20"/>
                <w:szCs w:val="20"/>
              </w:rPr>
              <w:t>9.71%</w:t>
            </w:r>
          </w:p>
        </w:tc>
      </w:tr>
    </w:tbl>
    <w:p w:rsidR="004E5AD6" w:rsidRDefault="004C48E5">
      <w:pPr>
        <w:adjustRightInd w:val="0"/>
        <w:snapToGrid w:val="0"/>
        <w:spacing w:line="560" w:lineRule="exact"/>
        <w:ind w:firstLineChars="200" w:firstLine="640"/>
        <w:outlineLvl w:val="1"/>
        <w:rPr>
          <w:rFonts w:ascii="楷体_GB2312" w:eastAsia="楷体_GB2312"/>
          <w:sz w:val="32"/>
          <w:szCs w:val="32"/>
        </w:rPr>
      </w:pPr>
      <w:bookmarkStart w:id="30" w:name="_Toc135402108"/>
      <w:bookmarkStart w:id="31" w:name="_Toc135231109"/>
      <w:r>
        <w:rPr>
          <w:rFonts w:ascii="楷体_GB2312" w:eastAsia="楷体_GB2312" w:hint="eastAsia"/>
          <w:sz w:val="32"/>
          <w:szCs w:val="32"/>
        </w:rPr>
        <w:t>（五）部门</w:t>
      </w:r>
      <w:r>
        <w:rPr>
          <w:rFonts w:ascii="楷体_GB2312" w:eastAsia="楷体_GB2312"/>
          <w:sz w:val="32"/>
          <w:szCs w:val="32"/>
        </w:rPr>
        <w:t>预决算差异率</w:t>
      </w:r>
      <w:bookmarkEnd w:id="30"/>
      <w:bookmarkEnd w:id="31"/>
    </w:p>
    <w:p w:rsidR="004E5AD6" w:rsidRDefault="004C48E5">
      <w:pPr>
        <w:adjustRightInd w:val="0"/>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02</w:t>
      </w:r>
      <w:r>
        <w:rPr>
          <w:rFonts w:ascii="仿宋_GB2312" w:eastAsia="仿宋_GB2312" w:hAnsi="宋体" w:cs="宋体" w:hint="eastAsia"/>
          <w:color w:val="000000"/>
          <w:kern w:val="0"/>
          <w:sz w:val="32"/>
          <w:szCs w:val="32"/>
        </w:rPr>
        <w:t>3年初部门总体预算数为3067.79万元（全部为一般公共预算），全年执行数为2738.00万元，部门预决算差异率为10.75</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，低于市级平均差异率（28.3</w:t>
      </w:r>
      <w:r>
        <w:rPr>
          <w:rFonts w:ascii="仿宋_GB2312" w:eastAsia="仿宋_GB2312" w:hAnsi="宋体" w:cs="宋体"/>
          <w:color w:val="000000"/>
          <w:kern w:val="0"/>
          <w:sz w:val="32"/>
          <w:szCs w:val="32"/>
        </w:rPr>
        <w:t>0</w:t>
      </w:r>
      <w:r>
        <w:rPr>
          <w:rFonts w:ascii="仿宋_GB2312" w:eastAsia="仿宋_GB2312" w:hAnsi="宋体" w:cs="宋体" w:hint="eastAsia"/>
          <w:color w:val="000000"/>
          <w:kern w:val="0"/>
          <w:sz w:val="32"/>
          <w:szCs w:val="32"/>
        </w:rPr>
        <w:t>%），部门整体预算编制及执行约束情况较好。</w:t>
      </w:r>
    </w:p>
    <w:p w:rsidR="004E5AD6" w:rsidRDefault="004C48E5">
      <w:pPr>
        <w:adjustRightInd w:val="0"/>
        <w:snapToGrid w:val="0"/>
        <w:spacing w:line="560" w:lineRule="exact"/>
        <w:ind w:firstLineChars="200" w:firstLine="640"/>
        <w:outlineLvl w:val="0"/>
        <w:rPr>
          <w:rFonts w:ascii="黑体" w:eastAsia="黑体" w:hAnsi="黑体" w:cs="宋体"/>
          <w:color w:val="000000"/>
          <w:kern w:val="0"/>
          <w:sz w:val="32"/>
          <w:szCs w:val="32"/>
        </w:rPr>
      </w:pPr>
      <w:bookmarkStart w:id="32" w:name="_Toc135402109"/>
      <w:bookmarkStart w:id="33" w:name="_Toc135231110"/>
      <w:r>
        <w:rPr>
          <w:rFonts w:ascii="黑体" w:eastAsia="黑体" w:hAnsi="黑体" w:cs="宋体" w:hint="eastAsia"/>
          <w:color w:val="000000"/>
          <w:kern w:val="0"/>
          <w:sz w:val="32"/>
          <w:szCs w:val="32"/>
        </w:rPr>
        <w:t>五、总体</w:t>
      </w:r>
      <w:r>
        <w:rPr>
          <w:rFonts w:ascii="黑体" w:eastAsia="黑体" w:hAnsi="黑体" w:cs="宋体"/>
          <w:color w:val="000000"/>
          <w:kern w:val="0"/>
          <w:sz w:val="32"/>
          <w:szCs w:val="32"/>
        </w:rPr>
        <w:t>评价结论</w:t>
      </w:r>
      <w:bookmarkEnd w:id="32"/>
      <w:bookmarkEnd w:id="33"/>
    </w:p>
    <w:p w:rsidR="004E5AD6" w:rsidRDefault="004C48E5">
      <w:pPr>
        <w:adjustRightInd w:val="0"/>
        <w:snapToGrid w:val="0"/>
        <w:spacing w:line="560" w:lineRule="exact"/>
        <w:ind w:firstLineChars="200" w:firstLine="640"/>
        <w:outlineLvl w:val="1"/>
        <w:rPr>
          <w:rFonts w:ascii="楷体_GB2312" w:eastAsia="楷体_GB2312"/>
          <w:sz w:val="32"/>
          <w:szCs w:val="32"/>
        </w:rPr>
      </w:pPr>
      <w:bookmarkStart w:id="34" w:name="_Toc135231111"/>
      <w:bookmarkStart w:id="35" w:name="_Toc135402110"/>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bookmarkEnd w:id="34"/>
      <w:bookmarkEnd w:id="35"/>
    </w:p>
    <w:p w:rsidR="004E5AD6" w:rsidRDefault="004C48E5">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2023年，市政府参事室按照中办、国办关于坚持和完善新时代政府参事制度文史馆员制度文件和北京市《实施方案》要求，围绕党和国家事业发展大局，聚焦首都经济社会发展，高质量建言</w:t>
      </w:r>
      <w:r w:rsidR="00937544">
        <w:rPr>
          <w:rFonts w:ascii="仿宋_GB2312" w:eastAsia="仿宋_GB2312" w:hint="eastAsia"/>
          <w:sz w:val="32"/>
          <w:szCs w:val="32"/>
        </w:rPr>
        <w:t>咨政</w:t>
      </w:r>
      <w:r>
        <w:rPr>
          <w:rFonts w:ascii="仿宋_GB2312" w:eastAsia="仿宋_GB2312" w:hint="eastAsia"/>
          <w:sz w:val="32"/>
          <w:szCs w:val="32"/>
        </w:rPr>
        <w:t>，高水平崇文鉴史，全面履行了支持组织市政府参事和市文史馆馆员参加爱国统一战线工作、支持市政府参事及市文史馆馆员同社会各界人士的联系、为市政府参事及市文史馆馆员履行职责提供服务等职能，围绕年度整体目标有序开展各项工作，工作任务完成度较高，取得丰富的新进展与新成效。部门整体综合评价得分</w:t>
      </w:r>
      <w:r>
        <w:rPr>
          <w:rFonts w:ascii="仿宋_GB2312" w:eastAsia="仿宋_GB2312"/>
          <w:sz w:val="32"/>
          <w:szCs w:val="32"/>
        </w:rPr>
        <w:t>9</w:t>
      </w:r>
      <w:r>
        <w:rPr>
          <w:rFonts w:ascii="仿宋_GB2312" w:eastAsia="仿宋_GB2312" w:hint="eastAsia"/>
          <w:sz w:val="32"/>
          <w:szCs w:val="32"/>
        </w:rPr>
        <w:t>3.06分，</w:t>
      </w:r>
      <w:r>
        <w:rPr>
          <w:rFonts w:ascii="仿宋_GB2312" w:eastAsia="仿宋_GB2312"/>
          <w:sz w:val="32"/>
          <w:szCs w:val="32"/>
        </w:rPr>
        <w:t>具体得分情况见</w:t>
      </w:r>
      <w:r>
        <w:rPr>
          <w:rFonts w:ascii="仿宋_GB2312" w:eastAsia="仿宋_GB2312" w:hint="eastAsia"/>
          <w:sz w:val="32"/>
          <w:szCs w:val="32"/>
        </w:rPr>
        <w:t>表4</w:t>
      </w:r>
      <w:r>
        <w:rPr>
          <w:rFonts w:ascii="仿宋_GB2312" w:eastAsia="仿宋_GB2312"/>
          <w:sz w:val="32"/>
          <w:szCs w:val="32"/>
        </w:rPr>
        <w:t>。</w:t>
      </w:r>
    </w:p>
    <w:p w:rsidR="004E5AD6" w:rsidRDefault="004C48E5">
      <w:pPr>
        <w:snapToGrid w:val="0"/>
        <w:spacing w:line="560" w:lineRule="exact"/>
        <w:jc w:val="center"/>
        <w:rPr>
          <w:rFonts w:ascii="黑体" w:eastAsia="黑体" w:hAnsi="黑体"/>
          <w:sz w:val="28"/>
          <w:szCs w:val="28"/>
        </w:rPr>
      </w:pPr>
      <w:r>
        <w:rPr>
          <w:rFonts w:ascii="黑体" w:eastAsia="黑体" w:hAnsi="黑体" w:hint="eastAsia"/>
          <w:sz w:val="28"/>
          <w:szCs w:val="28"/>
        </w:rPr>
        <w:t>表4：综合评价得分情况表</w:t>
      </w:r>
    </w:p>
    <w:tbl>
      <w:tblPr>
        <w:tblW w:w="8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27"/>
        <w:gridCol w:w="10"/>
        <w:gridCol w:w="1407"/>
        <w:gridCol w:w="10"/>
        <w:gridCol w:w="1408"/>
        <w:gridCol w:w="10"/>
        <w:gridCol w:w="1549"/>
        <w:gridCol w:w="10"/>
      </w:tblGrid>
      <w:tr w:rsidR="004E5AD6">
        <w:trPr>
          <w:gridAfter w:val="1"/>
          <w:wAfter w:w="10" w:type="dxa"/>
          <w:trHeight w:val="454"/>
          <w:tblHeader/>
          <w:jc w:val="center"/>
        </w:trPr>
        <w:tc>
          <w:tcPr>
            <w:tcW w:w="1838" w:type="dxa"/>
            <w:shd w:val="clear" w:color="auto" w:fill="auto"/>
            <w:vAlign w:val="center"/>
          </w:tcPr>
          <w:p w:rsidR="004E5AD6" w:rsidRDefault="004C48E5">
            <w:pPr>
              <w:widowControl/>
              <w:adjustRightInd w:val="0"/>
              <w:snapToGrid w:val="0"/>
              <w:jc w:val="center"/>
              <w:rPr>
                <w:rFonts w:ascii="宋体" w:hAnsi="宋体" w:cs="宋体"/>
                <w:b/>
                <w:bCs/>
                <w:color w:val="000000"/>
                <w:kern w:val="0"/>
                <w:sz w:val="20"/>
                <w:szCs w:val="20"/>
              </w:rPr>
            </w:pPr>
            <w:r>
              <w:rPr>
                <w:rFonts w:ascii="宋体" w:hAnsi="宋体" w:cs="宋体" w:hint="eastAsia"/>
                <w:b/>
                <w:bCs/>
                <w:color w:val="000000"/>
                <w:kern w:val="0"/>
                <w:sz w:val="20"/>
                <w:szCs w:val="20"/>
              </w:rPr>
              <w:t>一级指标</w:t>
            </w:r>
          </w:p>
        </w:tc>
        <w:tc>
          <w:tcPr>
            <w:tcW w:w="2127" w:type="dxa"/>
            <w:shd w:val="clear" w:color="auto" w:fill="auto"/>
            <w:vAlign w:val="center"/>
          </w:tcPr>
          <w:p w:rsidR="004E5AD6" w:rsidRDefault="004C48E5">
            <w:pPr>
              <w:widowControl/>
              <w:adjustRightInd w:val="0"/>
              <w:snapToGrid w:val="0"/>
              <w:jc w:val="center"/>
              <w:rPr>
                <w:rFonts w:ascii="宋体" w:hAnsi="宋体" w:cs="宋体"/>
                <w:b/>
                <w:bCs/>
                <w:color w:val="000000"/>
                <w:kern w:val="0"/>
                <w:sz w:val="20"/>
                <w:szCs w:val="20"/>
              </w:rPr>
            </w:pPr>
            <w:r>
              <w:rPr>
                <w:rFonts w:ascii="宋体" w:hAnsi="宋体" w:cs="宋体" w:hint="eastAsia"/>
                <w:b/>
                <w:bCs/>
                <w:color w:val="000000"/>
                <w:kern w:val="0"/>
                <w:sz w:val="20"/>
                <w:szCs w:val="20"/>
              </w:rPr>
              <w:t>二级指标</w:t>
            </w:r>
          </w:p>
        </w:tc>
        <w:tc>
          <w:tcPr>
            <w:tcW w:w="1417" w:type="dxa"/>
            <w:gridSpan w:val="2"/>
            <w:shd w:val="clear" w:color="auto" w:fill="auto"/>
            <w:vAlign w:val="center"/>
          </w:tcPr>
          <w:p w:rsidR="004E5AD6" w:rsidRDefault="004C48E5">
            <w:pPr>
              <w:widowControl/>
              <w:adjustRightInd w:val="0"/>
              <w:snapToGrid w:val="0"/>
              <w:jc w:val="center"/>
              <w:rPr>
                <w:rFonts w:ascii="宋体" w:hAnsi="宋体" w:cs="宋体"/>
                <w:b/>
                <w:bCs/>
                <w:color w:val="000000"/>
                <w:kern w:val="0"/>
                <w:sz w:val="20"/>
                <w:szCs w:val="20"/>
              </w:rPr>
            </w:pPr>
            <w:r>
              <w:rPr>
                <w:rFonts w:ascii="宋体" w:hAnsi="宋体" w:cs="宋体" w:hint="eastAsia"/>
                <w:b/>
                <w:bCs/>
                <w:color w:val="000000"/>
                <w:kern w:val="0"/>
                <w:sz w:val="20"/>
                <w:szCs w:val="20"/>
              </w:rPr>
              <w:t>分值</w:t>
            </w:r>
          </w:p>
        </w:tc>
        <w:tc>
          <w:tcPr>
            <w:tcW w:w="1418" w:type="dxa"/>
            <w:gridSpan w:val="2"/>
            <w:shd w:val="clear" w:color="auto" w:fill="auto"/>
            <w:vAlign w:val="center"/>
          </w:tcPr>
          <w:p w:rsidR="004E5AD6" w:rsidRDefault="004C48E5">
            <w:pPr>
              <w:widowControl/>
              <w:adjustRightInd w:val="0"/>
              <w:snapToGrid w:val="0"/>
              <w:jc w:val="center"/>
              <w:rPr>
                <w:rFonts w:ascii="宋体" w:hAnsi="宋体" w:cs="宋体"/>
                <w:b/>
                <w:bCs/>
                <w:color w:val="000000"/>
                <w:kern w:val="0"/>
                <w:sz w:val="20"/>
                <w:szCs w:val="20"/>
              </w:rPr>
            </w:pPr>
            <w:r>
              <w:rPr>
                <w:rFonts w:ascii="宋体" w:hAnsi="宋体" w:cs="宋体" w:hint="eastAsia"/>
                <w:b/>
                <w:bCs/>
                <w:color w:val="000000"/>
                <w:kern w:val="0"/>
                <w:sz w:val="20"/>
                <w:szCs w:val="20"/>
              </w:rPr>
              <w:t>得分</w:t>
            </w:r>
          </w:p>
        </w:tc>
        <w:tc>
          <w:tcPr>
            <w:tcW w:w="1559" w:type="dxa"/>
            <w:gridSpan w:val="2"/>
            <w:shd w:val="clear" w:color="auto" w:fill="auto"/>
            <w:vAlign w:val="center"/>
          </w:tcPr>
          <w:p w:rsidR="004E5AD6" w:rsidRDefault="004C48E5">
            <w:pPr>
              <w:widowControl/>
              <w:adjustRightInd w:val="0"/>
              <w:snapToGrid w:val="0"/>
              <w:jc w:val="center"/>
              <w:rPr>
                <w:rFonts w:ascii="宋体" w:hAnsi="宋体" w:cs="宋体"/>
                <w:b/>
                <w:bCs/>
                <w:color w:val="000000"/>
                <w:kern w:val="0"/>
                <w:sz w:val="20"/>
                <w:szCs w:val="20"/>
              </w:rPr>
            </w:pPr>
            <w:r>
              <w:rPr>
                <w:rFonts w:ascii="宋体" w:hAnsi="宋体" w:cs="宋体" w:hint="eastAsia"/>
                <w:b/>
                <w:bCs/>
                <w:color w:val="000000"/>
                <w:kern w:val="0"/>
                <w:sz w:val="20"/>
                <w:szCs w:val="20"/>
              </w:rPr>
              <w:t>得分率</w:t>
            </w:r>
          </w:p>
        </w:tc>
      </w:tr>
      <w:tr w:rsidR="004E5AD6">
        <w:trPr>
          <w:gridAfter w:val="1"/>
          <w:wAfter w:w="10" w:type="dxa"/>
          <w:trHeight w:val="454"/>
          <w:jc w:val="center"/>
        </w:trPr>
        <w:tc>
          <w:tcPr>
            <w:tcW w:w="1838" w:type="dxa"/>
            <w:shd w:val="clear" w:color="auto" w:fill="auto"/>
            <w:vAlign w:val="center"/>
          </w:tcPr>
          <w:p w:rsidR="004E5AD6" w:rsidRDefault="004C48E5">
            <w:pPr>
              <w:widowControl/>
              <w:adjustRightInd w:val="0"/>
              <w:snapToGrid w:val="0"/>
              <w:jc w:val="center"/>
              <w:rPr>
                <w:rFonts w:ascii="宋体" w:hAnsi="宋体" w:cs="宋体"/>
                <w:color w:val="000000"/>
                <w:kern w:val="0"/>
                <w:sz w:val="20"/>
                <w:szCs w:val="20"/>
              </w:rPr>
            </w:pPr>
            <w:r>
              <w:rPr>
                <w:rFonts w:ascii="宋体" w:hAnsi="宋体" w:cs="宋体" w:hint="eastAsia"/>
                <w:color w:val="000000"/>
                <w:kern w:val="0"/>
                <w:sz w:val="20"/>
                <w:szCs w:val="20"/>
              </w:rPr>
              <w:t>当年预算执行情况</w:t>
            </w:r>
          </w:p>
        </w:tc>
        <w:tc>
          <w:tcPr>
            <w:tcW w:w="2127" w:type="dxa"/>
            <w:shd w:val="clear" w:color="auto" w:fill="auto"/>
            <w:vAlign w:val="center"/>
          </w:tcPr>
          <w:p w:rsidR="004E5AD6" w:rsidRDefault="004C48E5">
            <w:pPr>
              <w:widowControl/>
              <w:adjustRightInd w:val="0"/>
              <w:snapToGrid w:val="0"/>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1417"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20</w:t>
            </w:r>
          </w:p>
        </w:tc>
        <w:tc>
          <w:tcPr>
            <w:tcW w:w="1418"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18.06</w:t>
            </w:r>
          </w:p>
        </w:tc>
        <w:tc>
          <w:tcPr>
            <w:tcW w:w="1559" w:type="dxa"/>
            <w:gridSpan w:val="2"/>
            <w:shd w:val="clear" w:color="auto" w:fill="auto"/>
            <w:noWrap/>
            <w:vAlign w:val="center"/>
          </w:tcPr>
          <w:p w:rsidR="004E5AD6" w:rsidRDefault="004C48E5">
            <w:pPr>
              <w:widowControl/>
              <w:adjustRightInd w:val="0"/>
              <w:snapToGrid w:val="0"/>
              <w:jc w:val="center"/>
              <w:rPr>
                <w:color w:val="000000"/>
                <w:sz w:val="20"/>
                <w:szCs w:val="20"/>
              </w:rPr>
            </w:pPr>
            <w:r>
              <w:rPr>
                <w:color w:val="000000"/>
                <w:sz w:val="20"/>
                <w:szCs w:val="20"/>
              </w:rPr>
              <w:t>90.3%</w:t>
            </w:r>
          </w:p>
        </w:tc>
      </w:tr>
      <w:tr w:rsidR="004E5AD6">
        <w:trPr>
          <w:gridAfter w:val="1"/>
          <w:wAfter w:w="10" w:type="dxa"/>
          <w:trHeight w:val="454"/>
          <w:jc w:val="center"/>
        </w:trPr>
        <w:tc>
          <w:tcPr>
            <w:tcW w:w="1838" w:type="dxa"/>
            <w:vMerge w:val="restart"/>
            <w:shd w:val="clear" w:color="auto" w:fill="auto"/>
            <w:vAlign w:val="center"/>
          </w:tcPr>
          <w:p w:rsidR="004E5AD6" w:rsidRDefault="004C48E5">
            <w:pPr>
              <w:widowControl/>
              <w:adjustRightInd w:val="0"/>
              <w:snapToGrid w:val="0"/>
              <w:jc w:val="center"/>
              <w:rPr>
                <w:rFonts w:ascii="宋体" w:hAnsi="宋体" w:cs="宋体"/>
                <w:color w:val="000000"/>
                <w:kern w:val="0"/>
                <w:sz w:val="20"/>
                <w:szCs w:val="20"/>
              </w:rPr>
            </w:pPr>
            <w:r>
              <w:rPr>
                <w:rFonts w:ascii="宋体" w:hAnsi="宋体" w:cs="宋体" w:hint="eastAsia"/>
                <w:color w:val="000000"/>
                <w:kern w:val="0"/>
                <w:sz w:val="20"/>
                <w:szCs w:val="20"/>
              </w:rPr>
              <w:t>整体绩效目标实现情况</w:t>
            </w:r>
          </w:p>
        </w:tc>
        <w:tc>
          <w:tcPr>
            <w:tcW w:w="2127" w:type="dxa"/>
            <w:shd w:val="clear" w:color="auto" w:fill="auto"/>
            <w:vAlign w:val="center"/>
          </w:tcPr>
          <w:p w:rsidR="004E5AD6" w:rsidRDefault="004C48E5">
            <w:pPr>
              <w:widowControl/>
              <w:adjustRightInd w:val="0"/>
              <w:snapToGrid w:val="0"/>
              <w:jc w:val="center"/>
              <w:rPr>
                <w:rFonts w:ascii="宋体" w:hAnsi="宋体" w:cs="宋体"/>
                <w:color w:val="000000"/>
                <w:kern w:val="0"/>
                <w:sz w:val="20"/>
                <w:szCs w:val="20"/>
              </w:rPr>
            </w:pPr>
            <w:r>
              <w:rPr>
                <w:rFonts w:ascii="宋体" w:hAnsi="宋体" w:cs="宋体" w:hint="eastAsia"/>
                <w:color w:val="000000"/>
                <w:kern w:val="0"/>
                <w:sz w:val="20"/>
                <w:szCs w:val="20"/>
              </w:rPr>
              <w:t>小计</w:t>
            </w:r>
          </w:p>
        </w:tc>
        <w:tc>
          <w:tcPr>
            <w:tcW w:w="1417"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60</w:t>
            </w:r>
          </w:p>
        </w:tc>
        <w:tc>
          <w:tcPr>
            <w:tcW w:w="1418"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57</w:t>
            </w:r>
          </w:p>
        </w:tc>
        <w:tc>
          <w:tcPr>
            <w:tcW w:w="1559" w:type="dxa"/>
            <w:gridSpan w:val="2"/>
            <w:shd w:val="clear" w:color="auto" w:fill="auto"/>
            <w:noWrap/>
            <w:vAlign w:val="center"/>
          </w:tcPr>
          <w:p w:rsidR="004E5AD6" w:rsidRDefault="004C48E5">
            <w:pPr>
              <w:widowControl/>
              <w:adjustRightInd w:val="0"/>
              <w:snapToGrid w:val="0"/>
              <w:jc w:val="center"/>
              <w:rPr>
                <w:color w:val="000000"/>
                <w:sz w:val="20"/>
                <w:szCs w:val="20"/>
              </w:rPr>
            </w:pPr>
            <w:r>
              <w:rPr>
                <w:color w:val="000000"/>
                <w:sz w:val="20"/>
                <w:szCs w:val="20"/>
              </w:rPr>
              <w:t>95%</w:t>
            </w:r>
          </w:p>
        </w:tc>
      </w:tr>
      <w:tr w:rsidR="004E5AD6">
        <w:trPr>
          <w:gridAfter w:val="1"/>
          <w:wAfter w:w="10" w:type="dxa"/>
          <w:trHeight w:val="454"/>
          <w:jc w:val="center"/>
        </w:trPr>
        <w:tc>
          <w:tcPr>
            <w:tcW w:w="1838" w:type="dxa"/>
            <w:vMerge/>
            <w:vAlign w:val="center"/>
          </w:tcPr>
          <w:p w:rsidR="004E5AD6" w:rsidRDefault="004E5AD6">
            <w:pPr>
              <w:widowControl/>
              <w:adjustRightInd w:val="0"/>
              <w:snapToGrid w:val="0"/>
              <w:jc w:val="center"/>
              <w:rPr>
                <w:rFonts w:ascii="宋体" w:hAnsi="宋体" w:cs="宋体"/>
                <w:color w:val="000000"/>
                <w:kern w:val="0"/>
                <w:sz w:val="20"/>
                <w:szCs w:val="20"/>
              </w:rPr>
            </w:pPr>
          </w:p>
        </w:tc>
        <w:tc>
          <w:tcPr>
            <w:tcW w:w="2127" w:type="dxa"/>
            <w:shd w:val="clear" w:color="auto" w:fill="auto"/>
            <w:noWrap/>
            <w:vAlign w:val="center"/>
          </w:tcPr>
          <w:p w:rsidR="004E5AD6" w:rsidRDefault="004C48E5">
            <w:pPr>
              <w:widowControl/>
              <w:adjustRightInd w:val="0"/>
              <w:snapToGrid w:val="0"/>
              <w:jc w:val="center"/>
              <w:rPr>
                <w:rFonts w:ascii="宋体" w:hAnsi="宋体" w:cs="宋体"/>
                <w:color w:val="000000"/>
                <w:kern w:val="0"/>
                <w:sz w:val="20"/>
                <w:szCs w:val="20"/>
              </w:rPr>
            </w:pPr>
            <w:r>
              <w:rPr>
                <w:rFonts w:ascii="宋体" w:hAnsi="宋体" w:cs="宋体" w:hint="eastAsia"/>
                <w:color w:val="000000"/>
                <w:kern w:val="0"/>
                <w:sz w:val="20"/>
                <w:szCs w:val="20"/>
              </w:rPr>
              <w:t>产出</w:t>
            </w:r>
          </w:p>
        </w:tc>
        <w:tc>
          <w:tcPr>
            <w:tcW w:w="1417"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30</w:t>
            </w:r>
          </w:p>
        </w:tc>
        <w:tc>
          <w:tcPr>
            <w:tcW w:w="1418"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28</w:t>
            </w:r>
          </w:p>
        </w:tc>
        <w:tc>
          <w:tcPr>
            <w:tcW w:w="1559" w:type="dxa"/>
            <w:gridSpan w:val="2"/>
            <w:shd w:val="clear" w:color="auto" w:fill="auto"/>
            <w:noWrap/>
            <w:vAlign w:val="center"/>
          </w:tcPr>
          <w:p w:rsidR="004E5AD6" w:rsidRDefault="004C48E5">
            <w:pPr>
              <w:widowControl/>
              <w:adjustRightInd w:val="0"/>
              <w:snapToGrid w:val="0"/>
              <w:jc w:val="center"/>
              <w:rPr>
                <w:color w:val="000000"/>
                <w:sz w:val="20"/>
                <w:szCs w:val="20"/>
              </w:rPr>
            </w:pPr>
            <w:r>
              <w:rPr>
                <w:color w:val="000000"/>
                <w:sz w:val="20"/>
                <w:szCs w:val="20"/>
              </w:rPr>
              <w:t>93.33%</w:t>
            </w:r>
          </w:p>
        </w:tc>
      </w:tr>
      <w:tr w:rsidR="004E5AD6">
        <w:trPr>
          <w:gridAfter w:val="1"/>
          <w:wAfter w:w="10" w:type="dxa"/>
          <w:trHeight w:val="454"/>
          <w:jc w:val="center"/>
        </w:trPr>
        <w:tc>
          <w:tcPr>
            <w:tcW w:w="1838" w:type="dxa"/>
            <w:vMerge/>
            <w:vAlign w:val="center"/>
          </w:tcPr>
          <w:p w:rsidR="004E5AD6" w:rsidRDefault="004E5AD6">
            <w:pPr>
              <w:widowControl/>
              <w:adjustRightInd w:val="0"/>
              <w:snapToGrid w:val="0"/>
              <w:jc w:val="center"/>
              <w:rPr>
                <w:rFonts w:ascii="宋体" w:hAnsi="宋体" w:cs="宋体"/>
                <w:color w:val="000000"/>
                <w:kern w:val="0"/>
                <w:sz w:val="20"/>
                <w:szCs w:val="20"/>
              </w:rPr>
            </w:pPr>
          </w:p>
        </w:tc>
        <w:tc>
          <w:tcPr>
            <w:tcW w:w="2127" w:type="dxa"/>
            <w:shd w:val="clear" w:color="auto" w:fill="auto"/>
            <w:noWrap/>
            <w:vAlign w:val="center"/>
          </w:tcPr>
          <w:p w:rsidR="004E5AD6" w:rsidRDefault="004C48E5">
            <w:pPr>
              <w:widowControl/>
              <w:adjustRightInd w:val="0"/>
              <w:snapToGrid w:val="0"/>
              <w:jc w:val="center"/>
              <w:rPr>
                <w:rFonts w:ascii="宋体" w:hAnsi="宋体" w:cs="宋体"/>
                <w:color w:val="000000"/>
                <w:kern w:val="0"/>
                <w:sz w:val="20"/>
                <w:szCs w:val="20"/>
              </w:rPr>
            </w:pPr>
            <w:r>
              <w:rPr>
                <w:rFonts w:ascii="宋体" w:hAnsi="宋体" w:cs="宋体" w:hint="eastAsia"/>
                <w:color w:val="000000"/>
                <w:kern w:val="0"/>
                <w:sz w:val="20"/>
                <w:szCs w:val="20"/>
              </w:rPr>
              <w:t>效果</w:t>
            </w:r>
          </w:p>
        </w:tc>
        <w:tc>
          <w:tcPr>
            <w:tcW w:w="1417"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30</w:t>
            </w:r>
          </w:p>
        </w:tc>
        <w:tc>
          <w:tcPr>
            <w:tcW w:w="1418"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29</w:t>
            </w:r>
          </w:p>
        </w:tc>
        <w:tc>
          <w:tcPr>
            <w:tcW w:w="1559" w:type="dxa"/>
            <w:gridSpan w:val="2"/>
            <w:shd w:val="clear" w:color="auto" w:fill="auto"/>
            <w:noWrap/>
            <w:vAlign w:val="center"/>
          </w:tcPr>
          <w:p w:rsidR="004E5AD6" w:rsidRDefault="004C48E5">
            <w:pPr>
              <w:widowControl/>
              <w:adjustRightInd w:val="0"/>
              <w:snapToGrid w:val="0"/>
              <w:jc w:val="center"/>
              <w:rPr>
                <w:color w:val="000000"/>
                <w:sz w:val="20"/>
                <w:szCs w:val="20"/>
              </w:rPr>
            </w:pPr>
            <w:r>
              <w:rPr>
                <w:color w:val="000000"/>
                <w:sz w:val="20"/>
                <w:szCs w:val="20"/>
              </w:rPr>
              <w:t>96.67%</w:t>
            </w:r>
          </w:p>
        </w:tc>
      </w:tr>
      <w:tr w:rsidR="004E5AD6">
        <w:trPr>
          <w:gridAfter w:val="1"/>
          <w:wAfter w:w="10" w:type="dxa"/>
          <w:trHeight w:val="454"/>
          <w:jc w:val="center"/>
        </w:trPr>
        <w:tc>
          <w:tcPr>
            <w:tcW w:w="1838" w:type="dxa"/>
            <w:vMerge w:val="restart"/>
            <w:shd w:val="clear" w:color="auto" w:fill="auto"/>
            <w:noWrap/>
            <w:vAlign w:val="center"/>
          </w:tcPr>
          <w:p w:rsidR="004E5AD6" w:rsidRDefault="004C48E5">
            <w:pPr>
              <w:widowControl/>
              <w:adjustRightInd w:val="0"/>
              <w:snapToGrid w:val="0"/>
              <w:jc w:val="center"/>
              <w:rPr>
                <w:rFonts w:ascii="宋体" w:hAnsi="宋体" w:cs="宋体"/>
                <w:color w:val="000000"/>
                <w:kern w:val="0"/>
                <w:sz w:val="20"/>
                <w:szCs w:val="20"/>
              </w:rPr>
            </w:pPr>
            <w:r>
              <w:rPr>
                <w:rFonts w:ascii="宋体" w:hAnsi="宋体" w:cs="宋体" w:hint="eastAsia"/>
                <w:color w:val="000000"/>
                <w:kern w:val="0"/>
                <w:sz w:val="20"/>
                <w:szCs w:val="20"/>
              </w:rPr>
              <w:t>预算管理情况</w:t>
            </w:r>
          </w:p>
        </w:tc>
        <w:tc>
          <w:tcPr>
            <w:tcW w:w="2127" w:type="dxa"/>
            <w:shd w:val="clear" w:color="auto" w:fill="auto"/>
            <w:vAlign w:val="center"/>
          </w:tcPr>
          <w:p w:rsidR="004E5AD6" w:rsidRDefault="004C48E5">
            <w:pPr>
              <w:widowControl/>
              <w:adjustRightInd w:val="0"/>
              <w:snapToGrid w:val="0"/>
              <w:jc w:val="center"/>
              <w:rPr>
                <w:rFonts w:ascii="宋体" w:hAnsi="宋体" w:cs="宋体"/>
                <w:color w:val="000000"/>
                <w:kern w:val="0"/>
                <w:sz w:val="20"/>
                <w:szCs w:val="20"/>
              </w:rPr>
            </w:pPr>
            <w:r>
              <w:rPr>
                <w:rFonts w:ascii="宋体" w:hAnsi="宋体" w:cs="宋体" w:hint="eastAsia"/>
                <w:color w:val="000000"/>
                <w:kern w:val="0"/>
                <w:sz w:val="20"/>
                <w:szCs w:val="20"/>
              </w:rPr>
              <w:t>小计</w:t>
            </w:r>
          </w:p>
        </w:tc>
        <w:tc>
          <w:tcPr>
            <w:tcW w:w="1417"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20</w:t>
            </w:r>
          </w:p>
        </w:tc>
        <w:tc>
          <w:tcPr>
            <w:tcW w:w="1418"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18</w:t>
            </w:r>
          </w:p>
        </w:tc>
        <w:tc>
          <w:tcPr>
            <w:tcW w:w="1559" w:type="dxa"/>
            <w:gridSpan w:val="2"/>
            <w:shd w:val="clear" w:color="auto" w:fill="auto"/>
            <w:noWrap/>
            <w:vAlign w:val="center"/>
          </w:tcPr>
          <w:p w:rsidR="004E5AD6" w:rsidRDefault="004C48E5">
            <w:pPr>
              <w:widowControl/>
              <w:adjustRightInd w:val="0"/>
              <w:snapToGrid w:val="0"/>
              <w:jc w:val="center"/>
              <w:rPr>
                <w:color w:val="000000"/>
                <w:sz w:val="20"/>
                <w:szCs w:val="20"/>
              </w:rPr>
            </w:pPr>
            <w:r>
              <w:rPr>
                <w:color w:val="000000"/>
                <w:sz w:val="20"/>
                <w:szCs w:val="20"/>
              </w:rPr>
              <w:t>90%</w:t>
            </w:r>
          </w:p>
        </w:tc>
      </w:tr>
      <w:tr w:rsidR="004E5AD6">
        <w:trPr>
          <w:gridAfter w:val="1"/>
          <w:wAfter w:w="10" w:type="dxa"/>
          <w:trHeight w:val="454"/>
          <w:jc w:val="center"/>
        </w:trPr>
        <w:tc>
          <w:tcPr>
            <w:tcW w:w="1838" w:type="dxa"/>
            <w:vMerge/>
            <w:vAlign w:val="center"/>
          </w:tcPr>
          <w:p w:rsidR="004E5AD6" w:rsidRDefault="004E5AD6">
            <w:pPr>
              <w:widowControl/>
              <w:adjustRightInd w:val="0"/>
              <w:snapToGrid w:val="0"/>
              <w:jc w:val="center"/>
              <w:rPr>
                <w:rFonts w:ascii="宋体" w:hAnsi="宋体" w:cs="宋体"/>
                <w:color w:val="000000"/>
                <w:kern w:val="0"/>
                <w:sz w:val="20"/>
                <w:szCs w:val="20"/>
              </w:rPr>
            </w:pPr>
          </w:p>
        </w:tc>
        <w:tc>
          <w:tcPr>
            <w:tcW w:w="2127" w:type="dxa"/>
            <w:shd w:val="clear" w:color="auto" w:fill="auto"/>
            <w:noWrap/>
            <w:vAlign w:val="center"/>
          </w:tcPr>
          <w:p w:rsidR="004E5AD6" w:rsidRDefault="004C48E5">
            <w:pPr>
              <w:widowControl/>
              <w:adjustRightInd w:val="0"/>
              <w:snapToGrid w:val="0"/>
              <w:jc w:val="center"/>
              <w:rPr>
                <w:rFonts w:ascii="宋体" w:hAnsi="宋体" w:cs="宋体"/>
                <w:color w:val="000000"/>
                <w:kern w:val="0"/>
                <w:sz w:val="20"/>
                <w:szCs w:val="20"/>
              </w:rPr>
            </w:pPr>
            <w:r>
              <w:rPr>
                <w:rFonts w:ascii="宋体" w:hAnsi="宋体" w:cs="宋体" w:hint="eastAsia"/>
                <w:color w:val="000000"/>
                <w:kern w:val="0"/>
                <w:sz w:val="20"/>
                <w:szCs w:val="20"/>
              </w:rPr>
              <w:t>财务管理</w:t>
            </w:r>
          </w:p>
        </w:tc>
        <w:tc>
          <w:tcPr>
            <w:tcW w:w="1417"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4</w:t>
            </w:r>
          </w:p>
        </w:tc>
        <w:tc>
          <w:tcPr>
            <w:tcW w:w="1418"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4</w:t>
            </w:r>
          </w:p>
        </w:tc>
        <w:tc>
          <w:tcPr>
            <w:tcW w:w="1559" w:type="dxa"/>
            <w:gridSpan w:val="2"/>
            <w:shd w:val="clear" w:color="auto" w:fill="auto"/>
            <w:noWrap/>
            <w:vAlign w:val="center"/>
          </w:tcPr>
          <w:p w:rsidR="004E5AD6" w:rsidRDefault="004C48E5">
            <w:pPr>
              <w:widowControl/>
              <w:adjustRightInd w:val="0"/>
              <w:snapToGrid w:val="0"/>
              <w:jc w:val="center"/>
              <w:rPr>
                <w:color w:val="000000"/>
                <w:sz w:val="20"/>
                <w:szCs w:val="20"/>
              </w:rPr>
            </w:pPr>
            <w:r>
              <w:rPr>
                <w:color w:val="000000"/>
                <w:sz w:val="20"/>
                <w:szCs w:val="20"/>
              </w:rPr>
              <w:t>100%</w:t>
            </w:r>
          </w:p>
        </w:tc>
      </w:tr>
      <w:tr w:rsidR="004E5AD6">
        <w:trPr>
          <w:gridAfter w:val="1"/>
          <w:wAfter w:w="10" w:type="dxa"/>
          <w:trHeight w:val="454"/>
          <w:jc w:val="center"/>
        </w:trPr>
        <w:tc>
          <w:tcPr>
            <w:tcW w:w="1838" w:type="dxa"/>
            <w:vMerge/>
            <w:vAlign w:val="center"/>
          </w:tcPr>
          <w:p w:rsidR="004E5AD6" w:rsidRDefault="004E5AD6">
            <w:pPr>
              <w:widowControl/>
              <w:adjustRightInd w:val="0"/>
              <w:snapToGrid w:val="0"/>
              <w:jc w:val="center"/>
              <w:rPr>
                <w:rFonts w:ascii="宋体" w:hAnsi="宋体" w:cs="宋体"/>
                <w:color w:val="000000"/>
                <w:kern w:val="0"/>
                <w:sz w:val="20"/>
                <w:szCs w:val="20"/>
              </w:rPr>
            </w:pPr>
          </w:p>
        </w:tc>
        <w:tc>
          <w:tcPr>
            <w:tcW w:w="2127" w:type="dxa"/>
            <w:shd w:val="clear" w:color="auto" w:fill="auto"/>
            <w:noWrap/>
            <w:vAlign w:val="center"/>
          </w:tcPr>
          <w:p w:rsidR="004E5AD6" w:rsidRDefault="004C48E5">
            <w:pPr>
              <w:widowControl/>
              <w:adjustRightInd w:val="0"/>
              <w:snapToGrid w:val="0"/>
              <w:jc w:val="center"/>
              <w:rPr>
                <w:rFonts w:ascii="宋体" w:hAnsi="宋体" w:cs="宋体"/>
                <w:color w:val="000000"/>
                <w:kern w:val="0"/>
                <w:sz w:val="20"/>
                <w:szCs w:val="20"/>
              </w:rPr>
            </w:pPr>
            <w:r>
              <w:rPr>
                <w:rFonts w:ascii="宋体" w:hAnsi="宋体" w:cs="宋体" w:hint="eastAsia"/>
                <w:color w:val="000000"/>
                <w:kern w:val="0"/>
                <w:sz w:val="20"/>
                <w:szCs w:val="20"/>
              </w:rPr>
              <w:t>资产管理</w:t>
            </w:r>
          </w:p>
        </w:tc>
        <w:tc>
          <w:tcPr>
            <w:tcW w:w="1417"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4</w:t>
            </w:r>
          </w:p>
        </w:tc>
        <w:tc>
          <w:tcPr>
            <w:tcW w:w="1418"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4</w:t>
            </w:r>
          </w:p>
        </w:tc>
        <w:tc>
          <w:tcPr>
            <w:tcW w:w="1559" w:type="dxa"/>
            <w:gridSpan w:val="2"/>
            <w:shd w:val="clear" w:color="auto" w:fill="auto"/>
            <w:noWrap/>
            <w:vAlign w:val="center"/>
          </w:tcPr>
          <w:p w:rsidR="004E5AD6" w:rsidRDefault="004C48E5">
            <w:pPr>
              <w:widowControl/>
              <w:adjustRightInd w:val="0"/>
              <w:snapToGrid w:val="0"/>
              <w:jc w:val="center"/>
              <w:rPr>
                <w:color w:val="000000"/>
                <w:sz w:val="20"/>
                <w:szCs w:val="20"/>
              </w:rPr>
            </w:pPr>
            <w:r>
              <w:rPr>
                <w:color w:val="000000"/>
                <w:sz w:val="20"/>
                <w:szCs w:val="20"/>
              </w:rPr>
              <w:t>100%</w:t>
            </w:r>
          </w:p>
        </w:tc>
      </w:tr>
      <w:tr w:rsidR="004E5AD6">
        <w:trPr>
          <w:gridAfter w:val="1"/>
          <w:wAfter w:w="10" w:type="dxa"/>
          <w:trHeight w:val="454"/>
          <w:jc w:val="center"/>
        </w:trPr>
        <w:tc>
          <w:tcPr>
            <w:tcW w:w="1838" w:type="dxa"/>
            <w:vMerge/>
            <w:vAlign w:val="center"/>
          </w:tcPr>
          <w:p w:rsidR="004E5AD6" w:rsidRDefault="004E5AD6">
            <w:pPr>
              <w:widowControl/>
              <w:adjustRightInd w:val="0"/>
              <w:snapToGrid w:val="0"/>
              <w:jc w:val="center"/>
              <w:rPr>
                <w:rFonts w:ascii="宋体" w:hAnsi="宋体" w:cs="宋体"/>
                <w:color w:val="000000"/>
                <w:kern w:val="0"/>
                <w:sz w:val="20"/>
                <w:szCs w:val="20"/>
              </w:rPr>
            </w:pPr>
          </w:p>
        </w:tc>
        <w:tc>
          <w:tcPr>
            <w:tcW w:w="2127" w:type="dxa"/>
            <w:shd w:val="clear" w:color="auto" w:fill="auto"/>
            <w:noWrap/>
            <w:vAlign w:val="center"/>
          </w:tcPr>
          <w:p w:rsidR="004E5AD6" w:rsidRDefault="004C48E5">
            <w:pPr>
              <w:widowControl/>
              <w:adjustRightInd w:val="0"/>
              <w:snapToGrid w:val="0"/>
              <w:jc w:val="center"/>
              <w:rPr>
                <w:rFonts w:ascii="宋体" w:hAnsi="宋体" w:cs="宋体"/>
                <w:color w:val="000000"/>
                <w:kern w:val="0"/>
                <w:sz w:val="20"/>
                <w:szCs w:val="20"/>
              </w:rPr>
            </w:pPr>
            <w:r>
              <w:rPr>
                <w:rFonts w:ascii="宋体" w:hAnsi="宋体" w:cs="宋体" w:hint="eastAsia"/>
                <w:color w:val="000000"/>
                <w:kern w:val="0"/>
                <w:sz w:val="20"/>
                <w:szCs w:val="20"/>
              </w:rPr>
              <w:t>绩效管理</w:t>
            </w:r>
          </w:p>
        </w:tc>
        <w:tc>
          <w:tcPr>
            <w:tcW w:w="1417"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4</w:t>
            </w:r>
          </w:p>
        </w:tc>
        <w:tc>
          <w:tcPr>
            <w:tcW w:w="1418"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2</w:t>
            </w:r>
          </w:p>
        </w:tc>
        <w:tc>
          <w:tcPr>
            <w:tcW w:w="1559" w:type="dxa"/>
            <w:gridSpan w:val="2"/>
            <w:shd w:val="clear" w:color="auto" w:fill="auto"/>
            <w:noWrap/>
            <w:vAlign w:val="center"/>
          </w:tcPr>
          <w:p w:rsidR="004E5AD6" w:rsidRDefault="004C48E5">
            <w:pPr>
              <w:widowControl/>
              <w:adjustRightInd w:val="0"/>
              <w:snapToGrid w:val="0"/>
              <w:jc w:val="center"/>
              <w:rPr>
                <w:color w:val="000000"/>
                <w:sz w:val="20"/>
                <w:szCs w:val="20"/>
              </w:rPr>
            </w:pPr>
            <w:r>
              <w:rPr>
                <w:color w:val="000000"/>
                <w:sz w:val="20"/>
                <w:szCs w:val="20"/>
              </w:rPr>
              <w:t>50%</w:t>
            </w:r>
          </w:p>
        </w:tc>
      </w:tr>
      <w:tr w:rsidR="004E5AD6">
        <w:trPr>
          <w:gridAfter w:val="1"/>
          <w:wAfter w:w="10" w:type="dxa"/>
          <w:trHeight w:val="454"/>
          <w:jc w:val="center"/>
        </w:trPr>
        <w:tc>
          <w:tcPr>
            <w:tcW w:w="1838" w:type="dxa"/>
            <w:vMerge/>
            <w:vAlign w:val="center"/>
          </w:tcPr>
          <w:p w:rsidR="004E5AD6" w:rsidRDefault="004E5AD6">
            <w:pPr>
              <w:widowControl/>
              <w:adjustRightInd w:val="0"/>
              <w:snapToGrid w:val="0"/>
              <w:jc w:val="center"/>
              <w:rPr>
                <w:rFonts w:ascii="宋体" w:hAnsi="宋体" w:cs="宋体"/>
                <w:color w:val="000000"/>
                <w:kern w:val="0"/>
                <w:sz w:val="20"/>
                <w:szCs w:val="20"/>
              </w:rPr>
            </w:pPr>
          </w:p>
        </w:tc>
        <w:tc>
          <w:tcPr>
            <w:tcW w:w="2127" w:type="dxa"/>
            <w:shd w:val="clear" w:color="auto" w:fill="auto"/>
            <w:noWrap/>
            <w:vAlign w:val="center"/>
          </w:tcPr>
          <w:p w:rsidR="004E5AD6" w:rsidRDefault="004C48E5">
            <w:pPr>
              <w:widowControl/>
              <w:adjustRightInd w:val="0"/>
              <w:snapToGrid w:val="0"/>
              <w:jc w:val="center"/>
              <w:rPr>
                <w:rFonts w:ascii="宋体" w:hAnsi="宋体" w:cs="宋体"/>
                <w:color w:val="000000"/>
                <w:kern w:val="0"/>
                <w:sz w:val="20"/>
                <w:szCs w:val="20"/>
              </w:rPr>
            </w:pPr>
            <w:r>
              <w:rPr>
                <w:rFonts w:ascii="宋体" w:hAnsi="宋体" w:cs="宋体" w:hint="eastAsia"/>
                <w:color w:val="000000"/>
                <w:kern w:val="0"/>
                <w:sz w:val="20"/>
                <w:szCs w:val="20"/>
              </w:rPr>
              <w:t>结转结余率</w:t>
            </w:r>
          </w:p>
        </w:tc>
        <w:tc>
          <w:tcPr>
            <w:tcW w:w="1417"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4</w:t>
            </w:r>
          </w:p>
        </w:tc>
        <w:tc>
          <w:tcPr>
            <w:tcW w:w="1418"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4</w:t>
            </w:r>
          </w:p>
        </w:tc>
        <w:tc>
          <w:tcPr>
            <w:tcW w:w="1559" w:type="dxa"/>
            <w:gridSpan w:val="2"/>
            <w:shd w:val="clear" w:color="auto" w:fill="auto"/>
            <w:noWrap/>
            <w:vAlign w:val="center"/>
          </w:tcPr>
          <w:p w:rsidR="004E5AD6" w:rsidRDefault="004C48E5">
            <w:pPr>
              <w:widowControl/>
              <w:adjustRightInd w:val="0"/>
              <w:snapToGrid w:val="0"/>
              <w:jc w:val="center"/>
              <w:rPr>
                <w:color w:val="000000"/>
                <w:sz w:val="20"/>
                <w:szCs w:val="20"/>
              </w:rPr>
            </w:pPr>
            <w:r>
              <w:rPr>
                <w:color w:val="000000"/>
                <w:sz w:val="20"/>
                <w:szCs w:val="20"/>
              </w:rPr>
              <w:t>100%</w:t>
            </w:r>
          </w:p>
        </w:tc>
      </w:tr>
      <w:tr w:rsidR="004E5AD6">
        <w:trPr>
          <w:gridAfter w:val="1"/>
          <w:wAfter w:w="10" w:type="dxa"/>
          <w:trHeight w:val="454"/>
          <w:jc w:val="center"/>
        </w:trPr>
        <w:tc>
          <w:tcPr>
            <w:tcW w:w="1838" w:type="dxa"/>
            <w:vMerge/>
            <w:vAlign w:val="center"/>
          </w:tcPr>
          <w:p w:rsidR="004E5AD6" w:rsidRDefault="004E5AD6">
            <w:pPr>
              <w:widowControl/>
              <w:adjustRightInd w:val="0"/>
              <w:snapToGrid w:val="0"/>
              <w:jc w:val="center"/>
              <w:rPr>
                <w:rFonts w:ascii="宋体" w:hAnsi="宋体" w:cs="宋体"/>
                <w:color w:val="000000"/>
                <w:kern w:val="0"/>
                <w:sz w:val="20"/>
                <w:szCs w:val="20"/>
              </w:rPr>
            </w:pPr>
          </w:p>
        </w:tc>
        <w:tc>
          <w:tcPr>
            <w:tcW w:w="2127" w:type="dxa"/>
            <w:shd w:val="clear" w:color="auto" w:fill="auto"/>
            <w:noWrap/>
            <w:vAlign w:val="center"/>
          </w:tcPr>
          <w:p w:rsidR="004E5AD6" w:rsidRDefault="004C48E5">
            <w:pPr>
              <w:widowControl/>
              <w:adjustRightInd w:val="0"/>
              <w:snapToGrid w:val="0"/>
              <w:jc w:val="center"/>
              <w:rPr>
                <w:rFonts w:ascii="宋体" w:hAnsi="宋体" w:cs="宋体"/>
                <w:color w:val="000000"/>
                <w:kern w:val="0"/>
                <w:sz w:val="20"/>
                <w:szCs w:val="20"/>
              </w:rPr>
            </w:pPr>
            <w:r>
              <w:rPr>
                <w:rFonts w:ascii="宋体" w:hAnsi="宋体" w:cs="宋体" w:hint="eastAsia"/>
                <w:color w:val="000000"/>
                <w:kern w:val="0"/>
                <w:sz w:val="20"/>
                <w:szCs w:val="20"/>
              </w:rPr>
              <w:t>部门预决算差异率</w:t>
            </w:r>
          </w:p>
        </w:tc>
        <w:tc>
          <w:tcPr>
            <w:tcW w:w="1417"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4</w:t>
            </w:r>
          </w:p>
        </w:tc>
        <w:tc>
          <w:tcPr>
            <w:tcW w:w="1418" w:type="dxa"/>
            <w:gridSpan w:val="2"/>
            <w:shd w:val="clear" w:color="auto" w:fill="auto"/>
            <w:noWrap/>
            <w:vAlign w:val="center"/>
          </w:tcPr>
          <w:p w:rsidR="004E5AD6" w:rsidRDefault="004C48E5">
            <w:pPr>
              <w:widowControl/>
              <w:adjustRightInd w:val="0"/>
              <w:snapToGrid w:val="0"/>
              <w:jc w:val="center"/>
              <w:rPr>
                <w:color w:val="000000"/>
                <w:sz w:val="20"/>
                <w:szCs w:val="20"/>
              </w:rPr>
            </w:pPr>
            <w:r>
              <w:rPr>
                <w:rFonts w:hint="eastAsia"/>
                <w:color w:val="000000"/>
                <w:sz w:val="20"/>
                <w:szCs w:val="20"/>
              </w:rPr>
              <w:t>4</w:t>
            </w:r>
          </w:p>
        </w:tc>
        <w:tc>
          <w:tcPr>
            <w:tcW w:w="1559" w:type="dxa"/>
            <w:gridSpan w:val="2"/>
            <w:shd w:val="clear" w:color="auto" w:fill="auto"/>
            <w:noWrap/>
            <w:vAlign w:val="center"/>
          </w:tcPr>
          <w:p w:rsidR="004E5AD6" w:rsidRDefault="004C48E5">
            <w:pPr>
              <w:widowControl/>
              <w:adjustRightInd w:val="0"/>
              <w:snapToGrid w:val="0"/>
              <w:jc w:val="center"/>
              <w:rPr>
                <w:color w:val="000000"/>
                <w:sz w:val="20"/>
                <w:szCs w:val="20"/>
              </w:rPr>
            </w:pPr>
            <w:r>
              <w:rPr>
                <w:color w:val="000000"/>
                <w:sz w:val="20"/>
                <w:szCs w:val="20"/>
              </w:rPr>
              <w:t>100%</w:t>
            </w:r>
          </w:p>
        </w:tc>
      </w:tr>
      <w:tr w:rsidR="004E5AD6">
        <w:trPr>
          <w:trHeight w:val="454"/>
          <w:jc w:val="center"/>
        </w:trPr>
        <w:tc>
          <w:tcPr>
            <w:tcW w:w="3975" w:type="dxa"/>
            <w:gridSpan w:val="3"/>
            <w:shd w:val="clear" w:color="auto" w:fill="auto"/>
            <w:noWrap/>
            <w:vAlign w:val="center"/>
          </w:tcPr>
          <w:p w:rsidR="004E5AD6" w:rsidRDefault="004C48E5">
            <w:pPr>
              <w:widowControl/>
              <w:adjustRightInd w:val="0"/>
              <w:snapToGrid w:val="0"/>
              <w:jc w:val="center"/>
              <w:rPr>
                <w:rFonts w:ascii="宋体" w:hAnsi="宋体" w:cs="宋体"/>
                <w:b/>
                <w:bCs/>
                <w:color w:val="000000"/>
                <w:kern w:val="0"/>
                <w:sz w:val="20"/>
                <w:szCs w:val="20"/>
              </w:rPr>
            </w:pPr>
            <w:r>
              <w:rPr>
                <w:rFonts w:ascii="宋体" w:hAnsi="宋体" w:cs="宋体" w:hint="eastAsia"/>
                <w:b/>
                <w:bCs/>
                <w:color w:val="000000"/>
                <w:kern w:val="0"/>
                <w:sz w:val="20"/>
                <w:szCs w:val="20"/>
              </w:rPr>
              <w:t>合计</w:t>
            </w:r>
          </w:p>
        </w:tc>
        <w:tc>
          <w:tcPr>
            <w:tcW w:w="1417" w:type="dxa"/>
            <w:gridSpan w:val="2"/>
            <w:shd w:val="clear" w:color="auto" w:fill="auto"/>
            <w:noWrap/>
            <w:vAlign w:val="center"/>
          </w:tcPr>
          <w:p w:rsidR="004E5AD6" w:rsidRDefault="004C48E5">
            <w:pPr>
              <w:widowControl/>
              <w:adjustRightInd w:val="0"/>
              <w:snapToGrid w:val="0"/>
              <w:jc w:val="center"/>
              <w:rPr>
                <w:b/>
                <w:bCs/>
                <w:color w:val="000000"/>
                <w:sz w:val="20"/>
                <w:szCs w:val="20"/>
              </w:rPr>
            </w:pPr>
            <w:r>
              <w:rPr>
                <w:rFonts w:hint="eastAsia"/>
                <w:b/>
                <w:bCs/>
                <w:color w:val="000000"/>
                <w:sz w:val="20"/>
                <w:szCs w:val="20"/>
              </w:rPr>
              <w:t>100</w:t>
            </w:r>
          </w:p>
        </w:tc>
        <w:tc>
          <w:tcPr>
            <w:tcW w:w="1418" w:type="dxa"/>
            <w:gridSpan w:val="2"/>
            <w:shd w:val="clear" w:color="auto" w:fill="auto"/>
            <w:noWrap/>
            <w:vAlign w:val="center"/>
          </w:tcPr>
          <w:p w:rsidR="004E5AD6" w:rsidRDefault="004C48E5">
            <w:pPr>
              <w:widowControl/>
              <w:adjustRightInd w:val="0"/>
              <w:snapToGrid w:val="0"/>
              <w:jc w:val="center"/>
              <w:rPr>
                <w:b/>
                <w:bCs/>
                <w:color w:val="000000"/>
                <w:sz w:val="20"/>
                <w:szCs w:val="20"/>
              </w:rPr>
            </w:pPr>
            <w:r>
              <w:rPr>
                <w:rFonts w:hint="eastAsia"/>
                <w:b/>
                <w:bCs/>
                <w:color w:val="000000"/>
                <w:sz w:val="20"/>
                <w:szCs w:val="20"/>
              </w:rPr>
              <w:t>93.06</w:t>
            </w:r>
          </w:p>
        </w:tc>
        <w:tc>
          <w:tcPr>
            <w:tcW w:w="1559" w:type="dxa"/>
            <w:gridSpan w:val="2"/>
            <w:shd w:val="clear" w:color="auto" w:fill="auto"/>
            <w:vAlign w:val="center"/>
          </w:tcPr>
          <w:p w:rsidR="004E5AD6" w:rsidRDefault="004C48E5">
            <w:pPr>
              <w:widowControl/>
              <w:adjustRightInd w:val="0"/>
              <w:snapToGrid w:val="0"/>
              <w:jc w:val="center"/>
              <w:rPr>
                <w:rFonts w:ascii="宋体" w:hAnsi="宋体"/>
                <w:b/>
                <w:bCs/>
                <w:color w:val="000000"/>
                <w:sz w:val="20"/>
                <w:szCs w:val="20"/>
              </w:rPr>
            </w:pPr>
            <w:r>
              <w:rPr>
                <w:rFonts w:hint="eastAsia"/>
                <w:b/>
                <w:bCs/>
                <w:color w:val="000000"/>
                <w:sz w:val="20"/>
                <w:szCs w:val="20"/>
              </w:rPr>
              <w:t>93.06%</w:t>
            </w:r>
          </w:p>
        </w:tc>
      </w:tr>
    </w:tbl>
    <w:p w:rsidR="004E5AD6" w:rsidRDefault="004C48E5">
      <w:pPr>
        <w:adjustRightInd w:val="0"/>
        <w:snapToGrid w:val="0"/>
        <w:spacing w:line="560" w:lineRule="exact"/>
        <w:ind w:firstLineChars="200" w:firstLine="640"/>
        <w:outlineLvl w:val="1"/>
        <w:rPr>
          <w:rFonts w:ascii="楷体_GB2312" w:eastAsia="楷体_GB2312"/>
          <w:sz w:val="32"/>
          <w:szCs w:val="32"/>
        </w:rPr>
      </w:pPr>
      <w:bookmarkStart w:id="36" w:name="_Toc135402111"/>
      <w:bookmarkStart w:id="37" w:name="_Toc135231112"/>
      <w:r>
        <w:rPr>
          <w:rFonts w:ascii="楷体_GB2312" w:eastAsia="楷体_GB2312" w:hint="eastAsia"/>
          <w:sz w:val="32"/>
          <w:szCs w:val="32"/>
        </w:rPr>
        <w:t>（二）存在的问题及原因分析</w:t>
      </w:r>
      <w:bookmarkEnd w:id="36"/>
      <w:bookmarkEnd w:id="37"/>
    </w:p>
    <w:p w:rsidR="004E5AD6" w:rsidRDefault="004C48E5">
      <w:pPr>
        <w:adjustRightInd w:val="0"/>
        <w:snapToGrid w:val="0"/>
        <w:spacing w:line="560" w:lineRule="exact"/>
        <w:ind w:firstLineChars="200" w:firstLine="643"/>
        <w:outlineLvl w:val="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1.预算绩效管理基础仍有提升空间</w:t>
      </w:r>
    </w:p>
    <w:p w:rsidR="004E5AD6" w:rsidRDefault="004C48E5">
      <w:pPr>
        <w:adjustRightInd w:val="0"/>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绩效目标及指标设置方面。一是部门整体绩效指标全面性有所不足，对各方面工作的质量标准、成本控制及预期效益需进一步细化完善。二是部分项目绩效指标存在年初指标值或指标内容设置不够合理、成本指标不够有效等情况，需进一步提高绩效指标设置质量。</w:t>
      </w:r>
    </w:p>
    <w:p w:rsidR="004E5AD6" w:rsidRDefault="004C48E5">
      <w:pPr>
        <w:adjustRightInd w:val="0"/>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预算编制方面。部分项目年度需求论证有待加强，预算编制的精准程度有所不足，一定程度影响资金执行效率。</w:t>
      </w:r>
    </w:p>
    <w:p w:rsidR="004E5AD6" w:rsidRDefault="004C48E5">
      <w:pPr>
        <w:adjustRightInd w:val="0"/>
        <w:snapToGrid w:val="0"/>
        <w:spacing w:line="560" w:lineRule="exact"/>
        <w:ind w:firstLineChars="200" w:firstLine="643"/>
        <w:outlineLvl w:val="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2.实施效益总结、呈现有待加强</w:t>
      </w:r>
    </w:p>
    <w:p w:rsidR="004E5AD6" w:rsidRDefault="004C48E5">
      <w:pPr>
        <w:ind w:firstLine="645"/>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项目绩效展示不够充分，未对各书籍出版后所产生的社会效益进行全面的数据收集与总结分析，读者满意度调查样本量偏低，不利于项目实施的持续改进与提升。</w:t>
      </w:r>
    </w:p>
    <w:p w:rsidR="004E5AD6" w:rsidRDefault="004C48E5">
      <w:pPr>
        <w:adjustRightInd w:val="0"/>
        <w:snapToGrid w:val="0"/>
        <w:spacing w:line="560" w:lineRule="exact"/>
        <w:ind w:firstLineChars="200" w:firstLine="640"/>
        <w:outlineLvl w:val="0"/>
        <w:rPr>
          <w:rFonts w:ascii="黑体" w:eastAsia="黑体" w:hAnsi="黑体" w:cs="宋体"/>
          <w:color w:val="000000"/>
          <w:kern w:val="0"/>
          <w:sz w:val="32"/>
          <w:szCs w:val="32"/>
        </w:rPr>
      </w:pPr>
      <w:bookmarkStart w:id="38" w:name="_Toc135231113"/>
      <w:bookmarkStart w:id="39" w:name="_Toc135402112"/>
      <w:r>
        <w:rPr>
          <w:rFonts w:ascii="黑体" w:eastAsia="黑体" w:hAnsi="黑体" w:cs="宋体" w:hint="eastAsia"/>
          <w:color w:val="000000"/>
          <w:kern w:val="0"/>
          <w:sz w:val="32"/>
          <w:szCs w:val="32"/>
        </w:rPr>
        <w:t>六、措施建议</w:t>
      </w:r>
      <w:bookmarkEnd w:id="38"/>
      <w:bookmarkEnd w:id="39"/>
    </w:p>
    <w:p w:rsidR="004E5AD6" w:rsidRDefault="004C48E5">
      <w:pPr>
        <w:adjustRightInd w:val="0"/>
        <w:snapToGrid w:val="0"/>
        <w:spacing w:line="560" w:lineRule="exact"/>
        <w:ind w:firstLineChars="200" w:firstLine="643"/>
        <w:outlineLvl w:val="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1</w:t>
      </w:r>
      <w:r>
        <w:rPr>
          <w:rFonts w:ascii="仿宋_GB2312" w:eastAsia="仿宋_GB2312" w:hAnsi="宋体" w:cs="宋体"/>
          <w:b/>
          <w:bCs/>
          <w:color w:val="000000"/>
          <w:kern w:val="0"/>
          <w:sz w:val="32"/>
          <w:szCs w:val="32"/>
        </w:rPr>
        <w:t>.</w:t>
      </w:r>
      <w:r>
        <w:rPr>
          <w:rFonts w:ascii="仿宋_GB2312" w:eastAsia="仿宋_GB2312" w:hAnsi="宋体" w:cs="宋体" w:hint="eastAsia"/>
          <w:b/>
          <w:bCs/>
          <w:color w:val="000000"/>
          <w:kern w:val="0"/>
          <w:sz w:val="32"/>
          <w:szCs w:val="32"/>
        </w:rPr>
        <w:t>加强前期论证，提升预算编制精准性与绩效指标科学性</w:t>
      </w:r>
    </w:p>
    <w:p w:rsidR="004E5AD6" w:rsidRDefault="004C48E5">
      <w:pPr>
        <w:adjustRightInd w:val="0"/>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预算申报前期，梳理总结以往年度项目自评发现的问题，</w:t>
      </w:r>
      <w:r>
        <w:rPr>
          <w:rFonts w:ascii="仿宋_GB2312" w:eastAsia="仿宋_GB2312" w:hAnsi="宋体" w:cs="宋体" w:hint="eastAsia"/>
          <w:color w:val="000000"/>
          <w:kern w:val="0"/>
          <w:sz w:val="32"/>
          <w:szCs w:val="32"/>
        </w:rPr>
        <w:lastRenderedPageBreak/>
        <w:t>结合市财政局关于项目预算编报的最新政策精神，明确本年度项目预算编报要求及方式方法；编报过程中，结合项目实际需求及年度重点工作，充分考虑上年度预算执行情况，据实申报项目预算；基于预算方向合理设置绩效指标内容及指标值，细化量化反映预期产出数量、质量控制标准、工作阶段时效、受益群体满意度标准等考核指标；预算编报结束后，细化项目预算及绩效指标编制审核要求，落实部门负责人对部门内项目预算及绩效指标编制的把关责任，确保项目年度预算编制准确、合理。</w:t>
      </w:r>
    </w:p>
    <w:p w:rsidR="004E5AD6" w:rsidRDefault="004C48E5">
      <w:pPr>
        <w:adjustRightInd w:val="0"/>
        <w:snapToGrid w:val="0"/>
        <w:spacing w:line="560" w:lineRule="exact"/>
        <w:ind w:firstLineChars="200" w:firstLine="643"/>
        <w:outlineLvl w:val="2"/>
        <w:rPr>
          <w:rFonts w:ascii="仿宋_GB2312" w:eastAsia="仿宋_GB2312" w:hAnsi="宋体" w:cs="宋体"/>
          <w:b/>
          <w:bCs/>
          <w:color w:val="000000"/>
          <w:kern w:val="0"/>
          <w:sz w:val="32"/>
          <w:szCs w:val="32"/>
        </w:rPr>
      </w:pPr>
      <w:bookmarkStart w:id="40" w:name="_Toc106624977"/>
      <w:bookmarkStart w:id="41" w:name="_Toc166326704"/>
      <w:r>
        <w:rPr>
          <w:rFonts w:ascii="仿宋_GB2312" w:eastAsia="仿宋_GB2312" w:hAnsi="宋体" w:cs="宋体" w:hint="eastAsia"/>
          <w:b/>
          <w:bCs/>
          <w:color w:val="000000"/>
          <w:kern w:val="0"/>
          <w:sz w:val="32"/>
          <w:szCs w:val="32"/>
        </w:rPr>
        <w:t>2.</w:t>
      </w:r>
      <w:bookmarkEnd w:id="40"/>
      <w:bookmarkEnd w:id="41"/>
      <w:r>
        <w:rPr>
          <w:rFonts w:ascii="仿宋_GB2312" w:eastAsia="仿宋_GB2312" w:hAnsi="宋体" w:cs="宋体" w:hint="eastAsia"/>
          <w:b/>
          <w:bCs/>
          <w:color w:val="000000"/>
          <w:kern w:val="0"/>
          <w:sz w:val="32"/>
          <w:szCs w:val="32"/>
        </w:rPr>
        <w:t>注重效益总结，完善基于反馈信息的履职效能优化机制</w:t>
      </w:r>
    </w:p>
    <w:p w:rsidR="004E5AD6" w:rsidRDefault="004C48E5">
      <w:pPr>
        <w:adjustRightInd w:val="0"/>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注重各项工作实施后的效益实现程度、发挥效果的总结与分析，采取线上线下相结合的方式，多种渠道对读者进行满意度调查，扩大满意度样本量，为后续项目优化与改进提供有力参考。</w:t>
      </w:r>
    </w:p>
    <w:p w:rsidR="004E5AD6" w:rsidRDefault="004C48E5">
      <w:pPr>
        <w:adjustRightInd w:val="0"/>
        <w:snapToGrid w:val="0"/>
        <w:spacing w:line="560" w:lineRule="exact"/>
        <w:ind w:firstLineChars="200" w:firstLine="640"/>
        <w:outlineLvl w:val="0"/>
        <w:rPr>
          <w:rFonts w:ascii="黑体" w:eastAsia="黑体" w:hAnsi="黑体" w:cs="宋体"/>
          <w:color w:val="000000"/>
          <w:kern w:val="0"/>
          <w:sz w:val="32"/>
          <w:szCs w:val="32"/>
        </w:rPr>
      </w:pPr>
      <w:bookmarkStart w:id="42" w:name="_Toc135231114"/>
      <w:bookmarkStart w:id="43" w:name="_Toc135402113"/>
      <w:r>
        <w:rPr>
          <w:rFonts w:ascii="黑体" w:eastAsia="黑体" w:hAnsi="黑体" w:cs="宋体" w:hint="eastAsia"/>
          <w:color w:val="000000"/>
          <w:kern w:val="0"/>
          <w:sz w:val="32"/>
          <w:szCs w:val="32"/>
        </w:rPr>
        <w:t>七、附件</w:t>
      </w:r>
      <w:bookmarkEnd w:id="42"/>
      <w:bookmarkEnd w:id="43"/>
    </w:p>
    <w:p w:rsidR="004E5AD6" w:rsidRDefault="004C48E5">
      <w:pPr>
        <w:adjustRightInd w:val="0"/>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附件：2023年度部门整体绩效评价指标体系评分表</w:t>
      </w:r>
    </w:p>
    <w:p w:rsidR="004E5AD6" w:rsidRDefault="004E5AD6">
      <w:pPr>
        <w:adjustRightInd w:val="0"/>
        <w:snapToGrid w:val="0"/>
        <w:spacing w:line="560" w:lineRule="exact"/>
        <w:ind w:firstLineChars="200" w:firstLine="640"/>
        <w:rPr>
          <w:rFonts w:ascii="仿宋_GB2312" w:eastAsia="仿宋_GB2312" w:hAnsi="仿宋"/>
          <w:sz w:val="32"/>
          <w:szCs w:val="32"/>
        </w:rPr>
      </w:pPr>
    </w:p>
    <w:sectPr w:rsidR="004E5AD6">
      <w:footerReference w:type="default" r:id="rId12"/>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4ED" w:rsidRDefault="007D44ED">
      <w:r>
        <w:separator/>
      </w:r>
    </w:p>
  </w:endnote>
  <w:endnote w:type="continuationSeparator" w:id="0">
    <w:p w:rsidR="007D44ED" w:rsidRDefault="007D4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charset w:val="86"/>
    <w:family w:val="modern"/>
    <w:pitch w:val="fixed"/>
    <w:sig w:usb0="00000001" w:usb1="080E0000" w:usb2="00000010" w:usb3="00000000" w:csb0="00040000" w:csb1="00000000"/>
  </w:font>
  <w:font w:name="_x000B__x000C_">
    <w:altName w:val="宋体"/>
    <w:charset w:val="00"/>
    <w:family w:val="roman"/>
    <w:pitch w:val="default"/>
    <w:sig w:usb0="00000000" w:usb1="00000000" w:usb2="00000000" w:usb3="00000000" w:csb0="00040001" w:csb1="00000000"/>
  </w:font>
  <w:font w:name="方正小标宋简体">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charset w:val="86"/>
    <w:family w:val="modern"/>
    <w:pitch w:val="fixed"/>
    <w:sig w:usb0="800002BF" w:usb1="38CF7CFA" w:usb2="00000016" w:usb3="00000000" w:csb0="00040001" w:csb1="00000000"/>
  </w:font>
  <w:font w:name="微软雅黑">
    <w:charset w:val="86"/>
    <w:family w:val="swiss"/>
    <w:pitch w:val="variable"/>
    <w:sig w:usb0="80000287" w:usb1="280F3C52" w:usb2="00000016" w:usb3="00000000" w:csb0="0004001F" w:csb1="00000000"/>
  </w:font>
  <w:font w:name="楷体">
    <w:charset w:val="86"/>
    <w:family w:val="modern"/>
    <w:pitch w:val="fixed"/>
    <w:sig w:usb0="800002BF" w:usb1="38CF7CFA" w:usb2="00000016" w:usb3="00000000" w:csb0="00040001" w:csb1="00000000"/>
  </w:font>
  <w:font w:name="Calibri">
    <w:charset w:val="00"/>
    <w:family w:val="swiss"/>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AD6" w:rsidRDefault="004E5AD6">
    <w:pPr>
      <w:pStyle w:val="a7"/>
      <w:jc w:val="center"/>
      <w:rPr>
        <w:rFonts w:ascii="宋体" w:eastAsia="宋体" w:hAnsi="宋体"/>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528830"/>
      <w:docPartObj>
        <w:docPartGallery w:val="AutoText"/>
      </w:docPartObj>
    </w:sdtPr>
    <w:sdtEndPr>
      <w:rPr>
        <w:rFonts w:ascii="宋体" w:eastAsia="宋体" w:hAnsi="宋体"/>
        <w:sz w:val="24"/>
        <w:szCs w:val="24"/>
      </w:rPr>
    </w:sdtEndPr>
    <w:sdtContent>
      <w:p w:rsidR="004E5AD6" w:rsidRDefault="004C48E5">
        <w:pPr>
          <w:pStyle w:val="a7"/>
          <w:jc w:val="center"/>
          <w:rPr>
            <w:rFonts w:ascii="宋体" w:eastAsia="宋体" w:hAnsi="宋体"/>
            <w:sz w:val="24"/>
            <w:szCs w:val="24"/>
          </w:rPr>
        </w:pPr>
        <w:r>
          <w:rPr>
            <w:rFonts w:ascii="宋体" w:eastAsia="宋体" w:hAnsi="宋体"/>
            <w:sz w:val="24"/>
            <w:szCs w:val="24"/>
          </w:rPr>
          <w:fldChar w:fldCharType="begin"/>
        </w:r>
        <w:r>
          <w:rPr>
            <w:rFonts w:ascii="宋体" w:eastAsia="宋体" w:hAnsi="宋体"/>
            <w:sz w:val="24"/>
            <w:szCs w:val="24"/>
          </w:rPr>
          <w:instrText>PAGE   \* MERGEFORMAT</w:instrText>
        </w:r>
        <w:r>
          <w:rPr>
            <w:rFonts w:ascii="宋体" w:eastAsia="宋体" w:hAnsi="宋体"/>
            <w:sz w:val="24"/>
            <w:szCs w:val="24"/>
          </w:rPr>
          <w:fldChar w:fldCharType="separate"/>
        </w:r>
        <w:r w:rsidR="00761CDF" w:rsidRPr="00761CDF">
          <w:rPr>
            <w:rFonts w:ascii="宋体" w:eastAsia="宋体" w:hAnsi="宋体"/>
            <w:noProof/>
            <w:sz w:val="24"/>
            <w:szCs w:val="24"/>
            <w:lang w:val="zh-CN"/>
          </w:rPr>
          <w:t>15</w:t>
        </w:r>
        <w:r>
          <w:rPr>
            <w:rFonts w:ascii="宋体" w:eastAsia="宋体" w:hAnsi="宋体"/>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4ED" w:rsidRDefault="007D44ED">
      <w:r>
        <w:separator/>
      </w:r>
    </w:p>
  </w:footnote>
  <w:footnote w:type="continuationSeparator" w:id="0">
    <w:p w:rsidR="007D44ED" w:rsidRDefault="007D44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Y5OGRmYmExOWM0ZTI4ZjQxNmUwOGE0Yjk2ODVlYmYifQ=="/>
  </w:docVars>
  <w:rsids>
    <w:rsidRoot w:val="005639AC"/>
    <w:rsid w:val="00010F31"/>
    <w:rsid w:val="000C5545"/>
    <w:rsid w:val="000D0682"/>
    <w:rsid w:val="000E7804"/>
    <w:rsid w:val="001545F5"/>
    <w:rsid w:val="001E2638"/>
    <w:rsid w:val="001E3715"/>
    <w:rsid w:val="00267CF3"/>
    <w:rsid w:val="00281FDE"/>
    <w:rsid w:val="002B23E5"/>
    <w:rsid w:val="002B3798"/>
    <w:rsid w:val="002D1A23"/>
    <w:rsid w:val="002E52C8"/>
    <w:rsid w:val="002E7491"/>
    <w:rsid w:val="00340ADE"/>
    <w:rsid w:val="003B7850"/>
    <w:rsid w:val="0044505B"/>
    <w:rsid w:val="00453FB8"/>
    <w:rsid w:val="00473F6B"/>
    <w:rsid w:val="004A3B65"/>
    <w:rsid w:val="004C48E5"/>
    <w:rsid w:val="004E5AD6"/>
    <w:rsid w:val="004F3211"/>
    <w:rsid w:val="00535247"/>
    <w:rsid w:val="005639AC"/>
    <w:rsid w:val="00574527"/>
    <w:rsid w:val="00582672"/>
    <w:rsid w:val="005D4E9A"/>
    <w:rsid w:val="0066793C"/>
    <w:rsid w:val="006842D1"/>
    <w:rsid w:val="006E1F93"/>
    <w:rsid w:val="006E3FEE"/>
    <w:rsid w:val="006E7EB3"/>
    <w:rsid w:val="00742552"/>
    <w:rsid w:val="00761CDF"/>
    <w:rsid w:val="007A4F48"/>
    <w:rsid w:val="007D44ED"/>
    <w:rsid w:val="007E123E"/>
    <w:rsid w:val="007E3B1E"/>
    <w:rsid w:val="007E4774"/>
    <w:rsid w:val="007E4F38"/>
    <w:rsid w:val="00885314"/>
    <w:rsid w:val="008A4D31"/>
    <w:rsid w:val="008C162A"/>
    <w:rsid w:val="008C5A0D"/>
    <w:rsid w:val="0093251B"/>
    <w:rsid w:val="00937544"/>
    <w:rsid w:val="00963236"/>
    <w:rsid w:val="009A625A"/>
    <w:rsid w:val="00A142BA"/>
    <w:rsid w:val="00A279CB"/>
    <w:rsid w:val="00A74954"/>
    <w:rsid w:val="00AB3848"/>
    <w:rsid w:val="00B51CA6"/>
    <w:rsid w:val="00B90285"/>
    <w:rsid w:val="00BC7E33"/>
    <w:rsid w:val="00BF65C8"/>
    <w:rsid w:val="00C34E64"/>
    <w:rsid w:val="00C37990"/>
    <w:rsid w:val="00C433BA"/>
    <w:rsid w:val="00C519DE"/>
    <w:rsid w:val="00C8613E"/>
    <w:rsid w:val="00CE3964"/>
    <w:rsid w:val="00CE5CD7"/>
    <w:rsid w:val="00D53570"/>
    <w:rsid w:val="00DA794A"/>
    <w:rsid w:val="00DE44BF"/>
    <w:rsid w:val="00EB7EDC"/>
    <w:rsid w:val="00F02CAD"/>
    <w:rsid w:val="00F15EC7"/>
    <w:rsid w:val="00F53FE2"/>
    <w:rsid w:val="00F837F3"/>
    <w:rsid w:val="00F875AA"/>
    <w:rsid w:val="00FC2F15"/>
    <w:rsid w:val="00FD04C6"/>
    <w:rsid w:val="00FD6068"/>
    <w:rsid w:val="00FD6DD0"/>
    <w:rsid w:val="00FE362C"/>
    <w:rsid w:val="3DE70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195D3"/>
  <w15:docId w15:val="{5D68E5FC-FA9D-4805-8193-9517E7B08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ody Text Indent"/>
    <w:basedOn w:val="a"/>
    <w:link w:val="a6"/>
    <w:uiPriority w:val="99"/>
    <w:semiHidden/>
    <w:unhideWhenUsed/>
    <w:pPr>
      <w:spacing w:after="120"/>
      <w:ind w:leftChars="200" w:left="420"/>
    </w:pPr>
  </w:style>
  <w:style w:type="paragraph" w:styleId="a7">
    <w:name w:val="footer"/>
    <w:basedOn w:val="a"/>
    <w:link w:val="a8"/>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pPr>
      <w:tabs>
        <w:tab w:val="center" w:pos="4153"/>
        <w:tab w:val="right" w:pos="8306"/>
      </w:tabs>
      <w:snapToGrid w:val="0"/>
      <w:jc w:val="center"/>
    </w:pPr>
    <w:rPr>
      <w:rFonts w:asciiTheme="minorHAnsi" w:eastAsiaTheme="minorEastAsia" w:hAnsiTheme="minorHAnsi" w:cstheme="minorBidi"/>
      <w:sz w:val="18"/>
      <w:szCs w:val="18"/>
    </w:rPr>
  </w:style>
  <w:style w:type="paragraph" w:styleId="ab">
    <w:name w:val="Normal (Web)"/>
    <w:basedOn w:val="a"/>
    <w:qFormat/>
    <w:pPr>
      <w:spacing w:beforeAutospacing="1" w:afterAutospacing="1"/>
      <w:jc w:val="left"/>
    </w:pPr>
    <w:rPr>
      <w:kern w:val="0"/>
      <w:sz w:val="24"/>
    </w:rPr>
  </w:style>
  <w:style w:type="paragraph" w:styleId="ac">
    <w:name w:val="annotation subject"/>
    <w:basedOn w:val="a3"/>
    <w:next w:val="a3"/>
    <w:link w:val="ad"/>
    <w:uiPriority w:val="99"/>
    <w:semiHidden/>
    <w:unhideWhenUsed/>
    <w:rPr>
      <w:b/>
      <w:bCs/>
    </w:rPr>
  </w:style>
  <w:style w:type="paragraph" w:styleId="2">
    <w:name w:val="Body Text First Indent 2"/>
    <w:basedOn w:val="a5"/>
    <w:link w:val="20"/>
    <w:uiPriority w:val="99"/>
    <w:qFormat/>
    <w:pPr>
      <w:spacing w:after="0"/>
      <w:ind w:leftChars="0" w:left="0" w:firstLineChars="200" w:firstLine="420"/>
    </w:pPr>
    <w:rPr>
      <w:rFonts w:ascii="仿宋_GB2312" w:eastAsia="仿宋_GB2312" w:hAnsi="_x000B__x000C_" w:cstheme="minorBidi"/>
      <w:sz w:val="28"/>
      <w:szCs w:val="22"/>
    </w:rPr>
  </w:style>
  <w:style w:type="table" w:styleId="a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Pr>
      <w:sz w:val="21"/>
      <w:szCs w:val="21"/>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正文文本缩进 字符"/>
    <w:basedOn w:val="a0"/>
    <w:link w:val="a5"/>
    <w:uiPriority w:val="99"/>
    <w:semiHidden/>
    <w:rPr>
      <w:rFonts w:ascii="Times New Roman" w:eastAsia="宋体" w:hAnsi="Times New Roman" w:cs="Times New Roman"/>
      <w:szCs w:val="24"/>
    </w:rPr>
  </w:style>
  <w:style w:type="character" w:customStyle="1" w:styleId="20">
    <w:name w:val="正文首行缩进 2 字符"/>
    <w:basedOn w:val="a6"/>
    <w:link w:val="2"/>
    <w:uiPriority w:val="99"/>
    <w:rPr>
      <w:rFonts w:ascii="仿宋_GB2312" w:eastAsia="仿宋_GB2312" w:hAnsi="_x000B__x000C_" w:cs="Times New Roman"/>
      <w:sz w:val="28"/>
      <w:szCs w:val="24"/>
    </w:rPr>
  </w:style>
  <w:style w:type="paragraph" w:customStyle="1" w:styleId="ql-align-center">
    <w:name w:val="ql-align-center"/>
    <w:basedOn w:val="a"/>
    <w:qFormat/>
    <w:pPr>
      <w:widowControl/>
      <w:spacing w:before="100" w:beforeAutospacing="1" w:after="100" w:afterAutospacing="1"/>
      <w:jc w:val="left"/>
    </w:pPr>
    <w:rPr>
      <w:rFonts w:ascii="宋体" w:eastAsiaTheme="minorEastAsia" w:hAnsi="宋体" w:cstheme="minorBidi"/>
      <w:kern w:val="0"/>
      <w:sz w:val="24"/>
    </w:rPr>
  </w:style>
  <w:style w:type="character" w:customStyle="1" w:styleId="a4">
    <w:name w:val="批注文字 字符"/>
    <w:basedOn w:val="a0"/>
    <w:link w:val="a3"/>
    <w:uiPriority w:val="99"/>
    <w:semiHidden/>
    <w:rPr>
      <w:rFonts w:ascii="Times New Roman" w:eastAsia="宋体" w:hAnsi="Times New Roman" w:cs="Times New Roman"/>
      <w:szCs w:val="24"/>
    </w:rPr>
  </w:style>
  <w:style w:type="character" w:customStyle="1" w:styleId="ad">
    <w:name w:val="批注主题 字符"/>
    <w:basedOn w:val="a4"/>
    <w:link w:val="ac"/>
    <w:uiPriority w:val="99"/>
    <w:semiHidden/>
    <w:rPr>
      <w:rFonts w:ascii="Times New Roman" w:eastAsia="宋体" w:hAnsi="Times New Roman" w:cs="Times New Roman"/>
      <w:b/>
      <w:bCs/>
      <w:szCs w:val="24"/>
    </w:rPr>
  </w:style>
  <w:style w:type="paragraph" w:styleId="af0">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diagramData" Target="diagrams/data1.xm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microsoft.com/office/2007/relationships/diagramDrawing" Target="diagrams/drawing1.xml"/><Relationship Id="rId5" Type="http://schemas.openxmlformats.org/officeDocument/2006/relationships/endnotes" Target="endnotes.xml"/><Relationship Id="rId10" Type="http://schemas.openxmlformats.org/officeDocument/2006/relationships/diagramColors" Target="diagrams/colors1.xml"/><Relationship Id="rId4" Type="http://schemas.openxmlformats.org/officeDocument/2006/relationships/footnotes" Target="footnote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B141D1BD-31E5-4765-A0A7-655966571D74}" type="doc">
      <dgm:prSet loTypeId="urn:microsoft.com/office/officeart/2005/8/layout/hList1" loCatId="list" qsTypeId="urn:microsoft.com/office/officeart/2005/8/quickstyle/simple1#1" qsCatId="simple" csTypeId="urn:microsoft.com/office/officeart/2005/8/colors/colorful1#1" csCatId="colorful" phldr="1"/>
      <dgm:spPr/>
      <dgm:t>
        <a:bodyPr/>
        <a:lstStyle/>
        <a:p>
          <a:endParaRPr lang="zh-CN" altLang="en-US"/>
        </a:p>
      </dgm:t>
    </dgm:pt>
    <dgm:pt modelId="{E53527DF-3713-46BB-8D62-709959405CF9}">
      <dgm:prSet phldrT="[文本]" custT="1"/>
      <dgm:spPr/>
      <dgm:t>
        <a:bodyPr/>
        <a:lstStyle/>
        <a:p>
          <a:pPr>
            <a:lnSpc>
              <a:spcPct val="100000"/>
            </a:lnSpc>
            <a:spcBef>
              <a:spcPts val="0"/>
            </a:spcBef>
            <a:spcAft>
              <a:spcPts val="0"/>
            </a:spcAft>
          </a:pPr>
          <a:r>
            <a:rPr lang="zh-CN" sz="1000" b="1">
              <a:solidFill>
                <a:sysClr val="windowText" lastClr="000000"/>
              </a:solidFill>
              <a:latin typeface="宋体" panose="02010600030101010101" charset="-122"/>
              <a:ea typeface="宋体" panose="02010600030101010101" charset="-122"/>
            </a:rPr>
            <a:t>明确部门工作职责</a:t>
          </a:r>
          <a:endParaRPr lang="zh-CN" altLang="en-US" sz="1000" b="1">
            <a:solidFill>
              <a:sysClr val="windowText" lastClr="000000"/>
            </a:solidFill>
            <a:latin typeface="宋体" panose="02010600030101010101" charset="-122"/>
            <a:ea typeface="宋体" panose="02010600030101010101" charset="-122"/>
          </a:endParaRPr>
        </a:p>
      </dgm:t>
    </dgm:pt>
    <dgm:pt modelId="{60ABE14E-716E-4833-8F2B-D9CCF99AE998}" type="parTrans" cxnId="{7298D952-7D0C-4E05-A067-64155EAA1460}">
      <dgm:prSet/>
      <dgm:spPr/>
      <dgm:t>
        <a:bodyPr/>
        <a:lstStyle/>
        <a:p>
          <a:pPr>
            <a:lnSpc>
              <a:spcPct val="100000"/>
            </a:lnSpc>
            <a:spcBef>
              <a:spcPts val="0"/>
            </a:spcBef>
            <a:spcAft>
              <a:spcPts val="0"/>
            </a:spcAft>
          </a:pPr>
          <a:endParaRPr lang="zh-CN" altLang="en-US" sz="1000">
            <a:latin typeface="宋体" panose="02010600030101010101" charset="-122"/>
            <a:ea typeface="宋体" panose="02010600030101010101" charset="-122"/>
          </a:endParaRPr>
        </a:p>
      </dgm:t>
    </dgm:pt>
    <dgm:pt modelId="{E04D5F05-EB0F-43AC-B6D0-F842F41B460E}" type="sibTrans" cxnId="{7298D952-7D0C-4E05-A067-64155EAA1460}">
      <dgm:prSet/>
      <dgm:spPr/>
      <dgm:t>
        <a:bodyPr/>
        <a:lstStyle/>
        <a:p>
          <a:pPr>
            <a:lnSpc>
              <a:spcPct val="100000"/>
            </a:lnSpc>
            <a:spcBef>
              <a:spcPts val="0"/>
            </a:spcBef>
            <a:spcAft>
              <a:spcPts val="0"/>
            </a:spcAft>
          </a:pPr>
          <a:endParaRPr lang="zh-CN" altLang="en-US" sz="1000">
            <a:latin typeface="宋体" panose="02010600030101010101" charset="-122"/>
            <a:ea typeface="宋体" panose="02010600030101010101" charset="-122"/>
          </a:endParaRPr>
        </a:p>
      </dgm:t>
    </dgm:pt>
    <dgm:pt modelId="{472E5CB3-37E0-4955-AE22-A4C988800024}">
      <dgm:prSet phldrT="[文本]" custT="1"/>
      <dgm:spPr/>
      <dgm:t>
        <a:bodyPr/>
        <a:lstStyle/>
        <a:p>
          <a:pPr>
            <a:lnSpc>
              <a:spcPct val="100000"/>
            </a:lnSpc>
            <a:spcBef>
              <a:spcPts val="0"/>
            </a:spcBef>
            <a:spcAft>
              <a:spcPts val="0"/>
            </a:spcAft>
          </a:pPr>
          <a:r>
            <a:rPr lang="zh-CN" sz="1000">
              <a:latin typeface="宋体" panose="02010600030101010101" charset="-122"/>
              <a:ea typeface="宋体" panose="02010600030101010101" charset="-122"/>
            </a:rPr>
            <a:t>根据部门职能，明确各项具体工作职责。</a:t>
          </a:r>
          <a:endParaRPr lang="zh-CN" altLang="en-US" sz="1000">
            <a:latin typeface="宋体" panose="02010600030101010101" charset="-122"/>
            <a:ea typeface="宋体" panose="02010600030101010101" charset="-122"/>
          </a:endParaRPr>
        </a:p>
      </dgm:t>
    </dgm:pt>
    <dgm:pt modelId="{8FCAF4F6-271C-4BE2-832B-E76377059B0B}" type="parTrans" cxnId="{25D64A60-B75E-45FD-BD49-9C786E66B796}">
      <dgm:prSet/>
      <dgm:spPr/>
      <dgm:t>
        <a:bodyPr/>
        <a:lstStyle/>
        <a:p>
          <a:pPr>
            <a:lnSpc>
              <a:spcPct val="100000"/>
            </a:lnSpc>
            <a:spcBef>
              <a:spcPts val="0"/>
            </a:spcBef>
            <a:spcAft>
              <a:spcPts val="0"/>
            </a:spcAft>
          </a:pPr>
          <a:endParaRPr lang="zh-CN" altLang="en-US" sz="1000">
            <a:latin typeface="宋体" panose="02010600030101010101" charset="-122"/>
            <a:ea typeface="宋体" panose="02010600030101010101" charset="-122"/>
          </a:endParaRPr>
        </a:p>
      </dgm:t>
    </dgm:pt>
    <dgm:pt modelId="{4A6EFE24-0716-4366-B9AA-3D1F6D8B2093}" type="sibTrans" cxnId="{25D64A60-B75E-45FD-BD49-9C786E66B796}">
      <dgm:prSet/>
      <dgm:spPr/>
      <dgm:t>
        <a:bodyPr/>
        <a:lstStyle/>
        <a:p>
          <a:pPr>
            <a:lnSpc>
              <a:spcPct val="100000"/>
            </a:lnSpc>
            <a:spcBef>
              <a:spcPts val="0"/>
            </a:spcBef>
            <a:spcAft>
              <a:spcPts val="0"/>
            </a:spcAft>
          </a:pPr>
          <a:endParaRPr lang="zh-CN" altLang="en-US" sz="1000">
            <a:latin typeface="宋体" panose="02010600030101010101" charset="-122"/>
            <a:ea typeface="宋体" panose="02010600030101010101" charset="-122"/>
          </a:endParaRPr>
        </a:p>
      </dgm:t>
    </dgm:pt>
    <dgm:pt modelId="{6806FA44-3FEF-4551-9341-A3DAB9928B81}">
      <dgm:prSet phldrT="[文本]" custT="1"/>
      <dgm:spPr/>
      <dgm:t>
        <a:bodyPr/>
        <a:lstStyle/>
        <a:p>
          <a:pPr>
            <a:lnSpc>
              <a:spcPct val="100000"/>
            </a:lnSpc>
            <a:spcBef>
              <a:spcPts val="0"/>
            </a:spcBef>
            <a:spcAft>
              <a:spcPts val="0"/>
            </a:spcAft>
          </a:pPr>
          <a:r>
            <a:rPr lang="zh-CN" sz="1000" b="1">
              <a:solidFill>
                <a:sysClr val="windowText" lastClr="000000"/>
              </a:solidFill>
              <a:latin typeface="宋体" panose="02010600030101010101" charset="-122"/>
              <a:ea typeface="宋体" panose="02010600030101010101" charset="-122"/>
            </a:rPr>
            <a:t>确定任务及总目标</a:t>
          </a:r>
          <a:endParaRPr lang="zh-CN" altLang="en-US" sz="1000" b="1">
            <a:solidFill>
              <a:sysClr val="windowText" lastClr="000000"/>
            </a:solidFill>
            <a:latin typeface="宋体" panose="02010600030101010101" charset="-122"/>
            <a:ea typeface="宋体" panose="02010600030101010101" charset="-122"/>
          </a:endParaRPr>
        </a:p>
      </dgm:t>
    </dgm:pt>
    <dgm:pt modelId="{09381CE7-4996-4E75-AF52-7CC612411221}" type="parTrans" cxnId="{9E404CD6-BB7D-4EC9-9BD9-F30DBC3979AF}">
      <dgm:prSet/>
      <dgm:spPr/>
      <dgm:t>
        <a:bodyPr/>
        <a:lstStyle/>
        <a:p>
          <a:pPr>
            <a:lnSpc>
              <a:spcPct val="100000"/>
            </a:lnSpc>
            <a:spcBef>
              <a:spcPts val="0"/>
            </a:spcBef>
            <a:spcAft>
              <a:spcPts val="0"/>
            </a:spcAft>
          </a:pPr>
          <a:endParaRPr lang="zh-CN" altLang="en-US" sz="1000">
            <a:latin typeface="宋体" panose="02010600030101010101" charset="-122"/>
            <a:ea typeface="宋体" panose="02010600030101010101" charset="-122"/>
          </a:endParaRPr>
        </a:p>
      </dgm:t>
    </dgm:pt>
    <dgm:pt modelId="{85070255-6B2C-4E39-ACA5-2DDE5912F198}" type="sibTrans" cxnId="{9E404CD6-BB7D-4EC9-9BD9-F30DBC3979AF}">
      <dgm:prSet/>
      <dgm:spPr/>
      <dgm:t>
        <a:bodyPr/>
        <a:lstStyle/>
        <a:p>
          <a:pPr>
            <a:lnSpc>
              <a:spcPct val="100000"/>
            </a:lnSpc>
            <a:spcBef>
              <a:spcPts val="0"/>
            </a:spcBef>
            <a:spcAft>
              <a:spcPts val="0"/>
            </a:spcAft>
          </a:pPr>
          <a:endParaRPr lang="zh-CN" altLang="en-US" sz="1000">
            <a:latin typeface="宋体" panose="02010600030101010101" charset="-122"/>
            <a:ea typeface="宋体" panose="02010600030101010101" charset="-122"/>
          </a:endParaRPr>
        </a:p>
      </dgm:t>
    </dgm:pt>
    <dgm:pt modelId="{8A7A30ED-2204-4E76-A6DC-3F2515AA96BF}">
      <dgm:prSet phldrT="[文本]" custT="1"/>
      <dgm:spPr/>
      <dgm:t>
        <a:bodyPr/>
        <a:lstStyle/>
        <a:p>
          <a:pPr>
            <a:lnSpc>
              <a:spcPct val="100000"/>
            </a:lnSpc>
            <a:spcBef>
              <a:spcPts val="0"/>
            </a:spcBef>
            <a:spcAft>
              <a:spcPts val="0"/>
            </a:spcAft>
          </a:pPr>
          <a:r>
            <a:rPr lang="zh-CN" sz="1000">
              <a:latin typeface="宋体" panose="02010600030101010101" charset="-122"/>
              <a:ea typeface="宋体" panose="02010600030101010101" charset="-122"/>
            </a:rPr>
            <a:t>结合部门中长期及年度工作计划，明确年度主要工作任务，预计年度内履职所要达到的预期产出及效果，确定部门总体目标。</a:t>
          </a:r>
          <a:endParaRPr lang="zh-CN" altLang="en-US" sz="1000">
            <a:latin typeface="宋体" panose="02010600030101010101" charset="-122"/>
            <a:ea typeface="宋体" panose="02010600030101010101" charset="-122"/>
          </a:endParaRPr>
        </a:p>
      </dgm:t>
    </dgm:pt>
    <dgm:pt modelId="{1D624449-D8CD-44A0-8F01-5D0C7480EDEC}" type="parTrans" cxnId="{A2383DCE-FCBC-4473-8E4A-461345507CDD}">
      <dgm:prSet/>
      <dgm:spPr/>
      <dgm:t>
        <a:bodyPr/>
        <a:lstStyle/>
        <a:p>
          <a:pPr>
            <a:lnSpc>
              <a:spcPct val="100000"/>
            </a:lnSpc>
            <a:spcBef>
              <a:spcPts val="0"/>
            </a:spcBef>
            <a:spcAft>
              <a:spcPts val="0"/>
            </a:spcAft>
          </a:pPr>
          <a:endParaRPr lang="zh-CN" altLang="en-US" sz="1000">
            <a:latin typeface="宋体" panose="02010600030101010101" charset="-122"/>
            <a:ea typeface="宋体" panose="02010600030101010101" charset="-122"/>
          </a:endParaRPr>
        </a:p>
      </dgm:t>
    </dgm:pt>
    <dgm:pt modelId="{34996426-7BC3-4BE1-9DCF-0C1E04ACD13F}" type="sibTrans" cxnId="{A2383DCE-FCBC-4473-8E4A-461345507CDD}">
      <dgm:prSet/>
      <dgm:spPr/>
      <dgm:t>
        <a:bodyPr/>
        <a:lstStyle/>
        <a:p>
          <a:pPr>
            <a:lnSpc>
              <a:spcPct val="100000"/>
            </a:lnSpc>
            <a:spcBef>
              <a:spcPts val="0"/>
            </a:spcBef>
            <a:spcAft>
              <a:spcPts val="0"/>
            </a:spcAft>
          </a:pPr>
          <a:endParaRPr lang="zh-CN" altLang="en-US" sz="1000">
            <a:latin typeface="宋体" panose="02010600030101010101" charset="-122"/>
            <a:ea typeface="宋体" panose="02010600030101010101" charset="-122"/>
          </a:endParaRPr>
        </a:p>
      </dgm:t>
    </dgm:pt>
    <dgm:pt modelId="{A2DBE8D9-4386-4F62-AAC7-1811BBDD0329}">
      <dgm:prSet phldrT="[文本]" custT="1"/>
      <dgm:spPr/>
      <dgm:t>
        <a:bodyPr/>
        <a:lstStyle/>
        <a:p>
          <a:pPr>
            <a:lnSpc>
              <a:spcPct val="100000"/>
            </a:lnSpc>
            <a:spcBef>
              <a:spcPts val="0"/>
            </a:spcBef>
            <a:spcAft>
              <a:spcPts val="0"/>
            </a:spcAft>
          </a:pPr>
          <a:r>
            <a:rPr lang="zh-CN" sz="1000" b="1">
              <a:solidFill>
                <a:sysClr val="windowText" lastClr="000000"/>
              </a:solidFill>
              <a:latin typeface="宋体" panose="02010600030101010101" charset="-122"/>
              <a:ea typeface="宋体" panose="02010600030101010101" charset="-122"/>
            </a:rPr>
            <a:t>细化形成绩效指标</a:t>
          </a:r>
          <a:endParaRPr lang="zh-CN" altLang="en-US" sz="1000" b="1">
            <a:solidFill>
              <a:sysClr val="windowText" lastClr="000000"/>
            </a:solidFill>
            <a:latin typeface="宋体" panose="02010600030101010101" charset="-122"/>
            <a:ea typeface="宋体" panose="02010600030101010101" charset="-122"/>
          </a:endParaRPr>
        </a:p>
      </dgm:t>
    </dgm:pt>
    <dgm:pt modelId="{A7517379-11EF-4ACA-99F3-BC5FBABE9770}" type="parTrans" cxnId="{552F1B53-F797-427C-995F-D862F72606B9}">
      <dgm:prSet/>
      <dgm:spPr/>
      <dgm:t>
        <a:bodyPr/>
        <a:lstStyle/>
        <a:p>
          <a:pPr>
            <a:lnSpc>
              <a:spcPct val="100000"/>
            </a:lnSpc>
            <a:spcBef>
              <a:spcPts val="0"/>
            </a:spcBef>
            <a:spcAft>
              <a:spcPts val="0"/>
            </a:spcAft>
          </a:pPr>
          <a:endParaRPr lang="zh-CN" altLang="en-US" sz="1000">
            <a:latin typeface="宋体" panose="02010600030101010101" charset="-122"/>
            <a:ea typeface="宋体" panose="02010600030101010101" charset="-122"/>
          </a:endParaRPr>
        </a:p>
      </dgm:t>
    </dgm:pt>
    <dgm:pt modelId="{373489E3-FDC3-46C9-B0B1-A62D62F85737}" type="sibTrans" cxnId="{552F1B53-F797-427C-995F-D862F72606B9}">
      <dgm:prSet/>
      <dgm:spPr/>
      <dgm:t>
        <a:bodyPr/>
        <a:lstStyle/>
        <a:p>
          <a:pPr>
            <a:lnSpc>
              <a:spcPct val="100000"/>
            </a:lnSpc>
            <a:spcBef>
              <a:spcPts val="0"/>
            </a:spcBef>
            <a:spcAft>
              <a:spcPts val="0"/>
            </a:spcAft>
          </a:pPr>
          <a:endParaRPr lang="zh-CN" altLang="en-US" sz="1000">
            <a:latin typeface="宋体" panose="02010600030101010101" charset="-122"/>
            <a:ea typeface="宋体" panose="02010600030101010101" charset="-122"/>
          </a:endParaRPr>
        </a:p>
      </dgm:t>
    </dgm:pt>
    <dgm:pt modelId="{F4F1915F-ABA7-4B81-B1E0-D2B4065A2591}">
      <dgm:prSet phldrT="[文本]" custT="1"/>
      <dgm:spPr/>
      <dgm:t>
        <a:bodyPr/>
        <a:lstStyle/>
        <a:p>
          <a:pPr>
            <a:lnSpc>
              <a:spcPct val="100000"/>
            </a:lnSpc>
            <a:spcBef>
              <a:spcPts val="0"/>
            </a:spcBef>
            <a:spcAft>
              <a:spcPts val="0"/>
            </a:spcAft>
          </a:pPr>
          <a:r>
            <a:rPr lang="zh-CN" sz="1000">
              <a:latin typeface="宋体" panose="02010600030101010101" charset="-122"/>
              <a:ea typeface="宋体" panose="02010600030101010101" charset="-122"/>
            </a:rPr>
            <a:t>结合各内设机构具体工作职责，分解、细化形成各项工作任务的预期产出与效果，明确绩效指标，并梳理与其相对应的重点项目。</a:t>
          </a:r>
          <a:endParaRPr lang="zh-CN" altLang="en-US" sz="1000">
            <a:latin typeface="宋体" panose="02010600030101010101" charset="-122"/>
            <a:ea typeface="宋体" panose="02010600030101010101" charset="-122"/>
          </a:endParaRPr>
        </a:p>
      </dgm:t>
    </dgm:pt>
    <dgm:pt modelId="{23C50FBC-D568-4558-BE6D-86A1A27FB00B}" type="parTrans" cxnId="{9E63DB76-A5A0-4290-BD28-17DABB2F76EF}">
      <dgm:prSet/>
      <dgm:spPr/>
      <dgm:t>
        <a:bodyPr/>
        <a:lstStyle/>
        <a:p>
          <a:pPr>
            <a:lnSpc>
              <a:spcPct val="100000"/>
            </a:lnSpc>
            <a:spcBef>
              <a:spcPts val="0"/>
            </a:spcBef>
            <a:spcAft>
              <a:spcPts val="0"/>
            </a:spcAft>
          </a:pPr>
          <a:endParaRPr lang="zh-CN" altLang="en-US" sz="1000">
            <a:latin typeface="宋体" panose="02010600030101010101" charset="-122"/>
            <a:ea typeface="宋体" panose="02010600030101010101" charset="-122"/>
          </a:endParaRPr>
        </a:p>
      </dgm:t>
    </dgm:pt>
    <dgm:pt modelId="{5B9F20A1-9A0A-4E96-98FC-21FB11908926}" type="sibTrans" cxnId="{9E63DB76-A5A0-4290-BD28-17DABB2F76EF}">
      <dgm:prSet/>
      <dgm:spPr/>
      <dgm:t>
        <a:bodyPr/>
        <a:lstStyle/>
        <a:p>
          <a:pPr>
            <a:lnSpc>
              <a:spcPct val="100000"/>
            </a:lnSpc>
            <a:spcBef>
              <a:spcPts val="0"/>
            </a:spcBef>
            <a:spcAft>
              <a:spcPts val="0"/>
            </a:spcAft>
          </a:pPr>
          <a:endParaRPr lang="zh-CN" altLang="en-US" sz="1000">
            <a:latin typeface="宋体" panose="02010600030101010101" charset="-122"/>
            <a:ea typeface="宋体" panose="02010600030101010101" charset="-122"/>
          </a:endParaRPr>
        </a:p>
      </dgm:t>
    </dgm:pt>
    <dgm:pt modelId="{830A17E5-C1BC-432E-BE4B-9F9306295EF0}">
      <dgm:prSet phldrT="[文本]" custT="1"/>
      <dgm:spPr/>
      <dgm:t>
        <a:bodyPr/>
        <a:lstStyle/>
        <a:p>
          <a:pPr>
            <a:lnSpc>
              <a:spcPct val="100000"/>
            </a:lnSpc>
            <a:spcBef>
              <a:spcPts val="0"/>
            </a:spcBef>
            <a:spcAft>
              <a:spcPts val="0"/>
            </a:spcAft>
          </a:pPr>
          <a:r>
            <a:rPr lang="zh-CN" sz="1000" b="1">
              <a:solidFill>
                <a:sysClr val="windowText" lastClr="000000"/>
              </a:solidFill>
              <a:latin typeface="宋体" panose="02010600030101010101" charset="-122"/>
              <a:ea typeface="宋体" panose="02010600030101010101" charset="-122"/>
            </a:rPr>
            <a:t>确定绩效指标数值</a:t>
          </a:r>
          <a:endParaRPr lang="zh-CN" altLang="en-US" sz="1000" b="1">
            <a:solidFill>
              <a:sysClr val="windowText" lastClr="000000"/>
            </a:solidFill>
            <a:latin typeface="宋体" panose="02010600030101010101" charset="-122"/>
            <a:ea typeface="宋体" panose="02010600030101010101" charset="-122"/>
          </a:endParaRPr>
        </a:p>
      </dgm:t>
    </dgm:pt>
    <dgm:pt modelId="{9212056E-19B3-4F29-AFD9-FC90ED751428}" type="parTrans" cxnId="{A1D86CD8-C869-4B77-89D8-23D6F397B15C}">
      <dgm:prSet/>
      <dgm:spPr/>
      <dgm:t>
        <a:bodyPr/>
        <a:lstStyle/>
        <a:p>
          <a:endParaRPr lang="zh-CN" altLang="en-US" sz="1000">
            <a:latin typeface="宋体" panose="02010600030101010101" charset="-122"/>
            <a:ea typeface="宋体" panose="02010600030101010101" charset="-122"/>
          </a:endParaRPr>
        </a:p>
      </dgm:t>
    </dgm:pt>
    <dgm:pt modelId="{C016689E-0599-4BFC-A2C7-7179A531CCA8}" type="sibTrans" cxnId="{A1D86CD8-C869-4B77-89D8-23D6F397B15C}">
      <dgm:prSet/>
      <dgm:spPr/>
      <dgm:t>
        <a:bodyPr/>
        <a:lstStyle/>
        <a:p>
          <a:endParaRPr lang="zh-CN" altLang="en-US" sz="1000">
            <a:latin typeface="宋体" panose="02010600030101010101" charset="-122"/>
            <a:ea typeface="宋体" panose="02010600030101010101" charset="-122"/>
          </a:endParaRPr>
        </a:p>
      </dgm:t>
    </dgm:pt>
    <dgm:pt modelId="{35527B6A-8875-4A75-BE14-6F6C4D3389B1}">
      <dgm:prSet phldrT="[文本]" custT="1"/>
      <dgm:spPr/>
      <dgm:t>
        <a:bodyPr/>
        <a:lstStyle/>
        <a:p>
          <a:pPr>
            <a:lnSpc>
              <a:spcPct val="100000"/>
            </a:lnSpc>
            <a:spcBef>
              <a:spcPts val="0"/>
            </a:spcBef>
            <a:spcAft>
              <a:spcPts val="0"/>
            </a:spcAft>
          </a:pPr>
          <a:r>
            <a:rPr lang="zh-CN" sz="1000">
              <a:latin typeface="宋体" panose="02010600030101010101" charset="-122"/>
              <a:ea typeface="宋体" panose="02010600030101010101" charset="-122"/>
            </a:rPr>
            <a:t>收集相关基准数据，确定绩效标准，结合年度预算安排情况、重点项目情况，确定绩效指标具体数值。</a:t>
          </a:r>
          <a:endParaRPr lang="zh-CN" altLang="en-US" sz="1000">
            <a:latin typeface="宋体" panose="02010600030101010101" charset="-122"/>
            <a:ea typeface="宋体" panose="02010600030101010101" charset="-122"/>
          </a:endParaRPr>
        </a:p>
      </dgm:t>
    </dgm:pt>
    <dgm:pt modelId="{2127CA5A-6F51-47D2-B528-542E4221062A}" type="parTrans" cxnId="{F63F67BF-358A-45D0-8450-CB252ACEFEFE}">
      <dgm:prSet/>
      <dgm:spPr/>
      <dgm:t>
        <a:bodyPr/>
        <a:lstStyle/>
        <a:p>
          <a:endParaRPr lang="zh-CN" altLang="en-US" sz="1000">
            <a:latin typeface="宋体" panose="02010600030101010101" charset="-122"/>
            <a:ea typeface="宋体" panose="02010600030101010101" charset="-122"/>
          </a:endParaRPr>
        </a:p>
      </dgm:t>
    </dgm:pt>
    <dgm:pt modelId="{67960863-4032-43EB-B2B5-FCB0726194AB}" type="sibTrans" cxnId="{F63F67BF-358A-45D0-8450-CB252ACEFEFE}">
      <dgm:prSet/>
      <dgm:spPr/>
      <dgm:t>
        <a:bodyPr/>
        <a:lstStyle/>
        <a:p>
          <a:endParaRPr lang="zh-CN" altLang="en-US" sz="1000">
            <a:latin typeface="宋体" panose="02010600030101010101" charset="-122"/>
            <a:ea typeface="宋体" panose="02010600030101010101" charset="-122"/>
          </a:endParaRPr>
        </a:p>
      </dgm:t>
    </dgm:pt>
    <dgm:pt modelId="{CB62CEF9-C820-43E5-89CA-E55DE19897EF}" type="pres">
      <dgm:prSet presAssocID="{B141D1BD-31E5-4765-A0A7-655966571D74}" presName="Name0" presStyleCnt="0">
        <dgm:presLayoutVars>
          <dgm:dir/>
          <dgm:animLvl val="lvl"/>
          <dgm:resizeHandles val="exact"/>
        </dgm:presLayoutVars>
      </dgm:prSet>
      <dgm:spPr/>
      <dgm:t>
        <a:bodyPr/>
        <a:lstStyle/>
        <a:p>
          <a:endParaRPr lang="zh-CN" altLang="en-US"/>
        </a:p>
      </dgm:t>
    </dgm:pt>
    <dgm:pt modelId="{D692DA81-2617-4F4B-BB21-0EC27A244909}" type="pres">
      <dgm:prSet presAssocID="{E53527DF-3713-46BB-8D62-709959405CF9}" presName="composite" presStyleCnt="0"/>
      <dgm:spPr/>
    </dgm:pt>
    <dgm:pt modelId="{110D5DA5-985A-4C8C-BAB9-8C22BDEE9808}" type="pres">
      <dgm:prSet presAssocID="{E53527DF-3713-46BB-8D62-709959405CF9}" presName="parTx" presStyleLbl="alignNode1" presStyleIdx="0" presStyleCnt="4">
        <dgm:presLayoutVars>
          <dgm:chMax val="0"/>
          <dgm:chPref val="0"/>
          <dgm:bulletEnabled val="1"/>
        </dgm:presLayoutVars>
      </dgm:prSet>
      <dgm:spPr/>
      <dgm:t>
        <a:bodyPr/>
        <a:lstStyle/>
        <a:p>
          <a:endParaRPr lang="zh-CN" altLang="en-US"/>
        </a:p>
      </dgm:t>
    </dgm:pt>
    <dgm:pt modelId="{F59B02C2-210D-4139-AF8A-2B4DE11700A2}" type="pres">
      <dgm:prSet presAssocID="{E53527DF-3713-46BB-8D62-709959405CF9}" presName="desTx" presStyleLbl="alignAccFollowNode1" presStyleIdx="0" presStyleCnt="4">
        <dgm:presLayoutVars>
          <dgm:bulletEnabled val="1"/>
        </dgm:presLayoutVars>
      </dgm:prSet>
      <dgm:spPr/>
      <dgm:t>
        <a:bodyPr/>
        <a:lstStyle/>
        <a:p>
          <a:endParaRPr lang="zh-CN" altLang="en-US"/>
        </a:p>
      </dgm:t>
    </dgm:pt>
    <dgm:pt modelId="{BAE7D46E-842B-4758-8268-D30A67368864}" type="pres">
      <dgm:prSet presAssocID="{E04D5F05-EB0F-43AC-B6D0-F842F41B460E}" presName="space" presStyleCnt="0"/>
      <dgm:spPr/>
    </dgm:pt>
    <dgm:pt modelId="{CDD3044A-399E-4126-8FAF-3F1FF6F16815}" type="pres">
      <dgm:prSet presAssocID="{6806FA44-3FEF-4551-9341-A3DAB9928B81}" presName="composite" presStyleCnt="0"/>
      <dgm:spPr/>
    </dgm:pt>
    <dgm:pt modelId="{5F804AA1-7713-405C-8D7E-9E9C9457C57F}" type="pres">
      <dgm:prSet presAssocID="{6806FA44-3FEF-4551-9341-A3DAB9928B81}" presName="parTx" presStyleLbl="alignNode1" presStyleIdx="1" presStyleCnt="4">
        <dgm:presLayoutVars>
          <dgm:chMax val="0"/>
          <dgm:chPref val="0"/>
          <dgm:bulletEnabled val="1"/>
        </dgm:presLayoutVars>
      </dgm:prSet>
      <dgm:spPr/>
      <dgm:t>
        <a:bodyPr/>
        <a:lstStyle/>
        <a:p>
          <a:endParaRPr lang="zh-CN" altLang="en-US"/>
        </a:p>
      </dgm:t>
    </dgm:pt>
    <dgm:pt modelId="{E9EC83CB-8D5A-49E2-8215-D78AEC5CF15C}" type="pres">
      <dgm:prSet presAssocID="{6806FA44-3FEF-4551-9341-A3DAB9928B81}" presName="desTx" presStyleLbl="alignAccFollowNode1" presStyleIdx="1" presStyleCnt="4">
        <dgm:presLayoutVars>
          <dgm:bulletEnabled val="1"/>
        </dgm:presLayoutVars>
      </dgm:prSet>
      <dgm:spPr/>
      <dgm:t>
        <a:bodyPr/>
        <a:lstStyle/>
        <a:p>
          <a:endParaRPr lang="zh-CN" altLang="en-US"/>
        </a:p>
      </dgm:t>
    </dgm:pt>
    <dgm:pt modelId="{2236EEB8-BF9F-4B47-A16A-4865C1C236F0}" type="pres">
      <dgm:prSet presAssocID="{85070255-6B2C-4E39-ACA5-2DDE5912F198}" presName="space" presStyleCnt="0"/>
      <dgm:spPr/>
    </dgm:pt>
    <dgm:pt modelId="{67A39D14-3526-486E-98CC-9A6840B78C4B}" type="pres">
      <dgm:prSet presAssocID="{A2DBE8D9-4386-4F62-AAC7-1811BBDD0329}" presName="composite" presStyleCnt="0"/>
      <dgm:spPr/>
    </dgm:pt>
    <dgm:pt modelId="{87CC7520-05F7-4604-B148-99A5CBD6D467}" type="pres">
      <dgm:prSet presAssocID="{A2DBE8D9-4386-4F62-AAC7-1811BBDD0329}" presName="parTx" presStyleLbl="alignNode1" presStyleIdx="2" presStyleCnt="4">
        <dgm:presLayoutVars>
          <dgm:chMax val="0"/>
          <dgm:chPref val="0"/>
          <dgm:bulletEnabled val="1"/>
        </dgm:presLayoutVars>
      </dgm:prSet>
      <dgm:spPr/>
      <dgm:t>
        <a:bodyPr/>
        <a:lstStyle/>
        <a:p>
          <a:endParaRPr lang="zh-CN" altLang="en-US"/>
        </a:p>
      </dgm:t>
    </dgm:pt>
    <dgm:pt modelId="{09EE470C-FAD1-4DA5-BB15-DDBFEBB59D8E}" type="pres">
      <dgm:prSet presAssocID="{A2DBE8D9-4386-4F62-AAC7-1811BBDD0329}" presName="desTx" presStyleLbl="alignAccFollowNode1" presStyleIdx="2" presStyleCnt="4">
        <dgm:presLayoutVars>
          <dgm:bulletEnabled val="1"/>
        </dgm:presLayoutVars>
      </dgm:prSet>
      <dgm:spPr/>
      <dgm:t>
        <a:bodyPr/>
        <a:lstStyle/>
        <a:p>
          <a:endParaRPr lang="zh-CN" altLang="en-US"/>
        </a:p>
      </dgm:t>
    </dgm:pt>
    <dgm:pt modelId="{DCC10DFE-66E8-45D8-AB65-130649ED02DB}" type="pres">
      <dgm:prSet presAssocID="{373489E3-FDC3-46C9-B0B1-A62D62F85737}" presName="space" presStyleCnt="0"/>
      <dgm:spPr/>
    </dgm:pt>
    <dgm:pt modelId="{E34BD071-C3C2-4C4F-BBA5-12849F7AE5F5}" type="pres">
      <dgm:prSet presAssocID="{830A17E5-C1BC-432E-BE4B-9F9306295EF0}" presName="composite" presStyleCnt="0"/>
      <dgm:spPr/>
    </dgm:pt>
    <dgm:pt modelId="{62DF53B5-2A59-44DC-ACF1-2373A80AAF51}" type="pres">
      <dgm:prSet presAssocID="{830A17E5-C1BC-432E-BE4B-9F9306295EF0}" presName="parTx" presStyleLbl="alignNode1" presStyleIdx="3" presStyleCnt="4">
        <dgm:presLayoutVars>
          <dgm:chMax val="0"/>
          <dgm:chPref val="0"/>
          <dgm:bulletEnabled val="1"/>
        </dgm:presLayoutVars>
      </dgm:prSet>
      <dgm:spPr/>
      <dgm:t>
        <a:bodyPr/>
        <a:lstStyle/>
        <a:p>
          <a:endParaRPr lang="zh-CN" altLang="en-US"/>
        </a:p>
      </dgm:t>
    </dgm:pt>
    <dgm:pt modelId="{79CC37F6-0AB2-45DB-830B-3E9F54CAC40B}" type="pres">
      <dgm:prSet presAssocID="{830A17E5-C1BC-432E-BE4B-9F9306295EF0}" presName="desTx" presStyleLbl="alignAccFollowNode1" presStyleIdx="3" presStyleCnt="4">
        <dgm:presLayoutVars>
          <dgm:bulletEnabled val="1"/>
        </dgm:presLayoutVars>
      </dgm:prSet>
      <dgm:spPr/>
      <dgm:t>
        <a:bodyPr/>
        <a:lstStyle/>
        <a:p>
          <a:endParaRPr lang="zh-CN" altLang="en-US"/>
        </a:p>
      </dgm:t>
    </dgm:pt>
  </dgm:ptLst>
  <dgm:cxnLst>
    <dgm:cxn modelId="{9E404CD6-BB7D-4EC9-9BD9-F30DBC3979AF}" srcId="{B141D1BD-31E5-4765-A0A7-655966571D74}" destId="{6806FA44-3FEF-4551-9341-A3DAB9928B81}" srcOrd="1" destOrd="0" parTransId="{09381CE7-4996-4E75-AF52-7CC612411221}" sibTransId="{85070255-6B2C-4E39-ACA5-2DDE5912F198}"/>
    <dgm:cxn modelId="{A2383DCE-FCBC-4473-8E4A-461345507CDD}" srcId="{6806FA44-3FEF-4551-9341-A3DAB9928B81}" destId="{8A7A30ED-2204-4E76-A6DC-3F2515AA96BF}" srcOrd="0" destOrd="0" parTransId="{1D624449-D8CD-44A0-8F01-5D0C7480EDEC}" sibTransId="{34996426-7BC3-4BE1-9DCF-0C1E04ACD13F}"/>
    <dgm:cxn modelId="{F339BF7C-7C20-4DDB-BF04-913B98474AD8}" type="presOf" srcId="{B141D1BD-31E5-4765-A0A7-655966571D74}" destId="{CB62CEF9-C820-43E5-89CA-E55DE19897EF}" srcOrd="0" destOrd="0" presId="urn:microsoft.com/office/officeart/2005/8/layout/hList1"/>
    <dgm:cxn modelId="{3C7C37B9-53DF-45E2-87D4-241DEF027A66}" type="presOf" srcId="{8A7A30ED-2204-4E76-A6DC-3F2515AA96BF}" destId="{E9EC83CB-8D5A-49E2-8215-D78AEC5CF15C}" srcOrd="0" destOrd="0" presId="urn:microsoft.com/office/officeart/2005/8/layout/hList1"/>
    <dgm:cxn modelId="{A1D86CD8-C869-4B77-89D8-23D6F397B15C}" srcId="{B141D1BD-31E5-4765-A0A7-655966571D74}" destId="{830A17E5-C1BC-432E-BE4B-9F9306295EF0}" srcOrd="3" destOrd="0" parTransId="{9212056E-19B3-4F29-AFD9-FC90ED751428}" sibTransId="{C016689E-0599-4BFC-A2C7-7179A531CCA8}"/>
    <dgm:cxn modelId="{E40F7C28-97C1-4D76-9A07-6163C634B2D4}" type="presOf" srcId="{472E5CB3-37E0-4955-AE22-A4C988800024}" destId="{F59B02C2-210D-4139-AF8A-2B4DE11700A2}" srcOrd="0" destOrd="0" presId="urn:microsoft.com/office/officeart/2005/8/layout/hList1"/>
    <dgm:cxn modelId="{552F1B53-F797-427C-995F-D862F72606B9}" srcId="{B141D1BD-31E5-4765-A0A7-655966571D74}" destId="{A2DBE8D9-4386-4F62-AAC7-1811BBDD0329}" srcOrd="2" destOrd="0" parTransId="{A7517379-11EF-4ACA-99F3-BC5FBABE9770}" sibTransId="{373489E3-FDC3-46C9-B0B1-A62D62F85737}"/>
    <dgm:cxn modelId="{6C2CF5A1-1077-4445-B186-EB3B5D5359F6}" type="presOf" srcId="{6806FA44-3FEF-4551-9341-A3DAB9928B81}" destId="{5F804AA1-7713-405C-8D7E-9E9C9457C57F}" srcOrd="0" destOrd="0" presId="urn:microsoft.com/office/officeart/2005/8/layout/hList1"/>
    <dgm:cxn modelId="{9E63DB76-A5A0-4290-BD28-17DABB2F76EF}" srcId="{A2DBE8D9-4386-4F62-AAC7-1811BBDD0329}" destId="{F4F1915F-ABA7-4B81-B1E0-D2B4065A2591}" srcOrd="0" destOrd="0" parTransId="{23C50FBC-D568-4558-BE6D-86A1A27FB00B}" sibTransId="{5B9F20A1-9A0A-4E96-98FC-21FB11908926}"/>
    <dgm:cxn modelId="{E0135A44-826F-42F2-9140-7C6995EE92E2}" type="presOf" srcId="{A2DBE8D9-4386-4F62-AAC7-1811BBDD0329}" destId="{87CC7520-05F7-4604-B148-99A5CBD6D467}" srcOrd="0" destOrd="0" presId="urn:microsoft.com/office/officeart/2005/8/layout/hList1"/>
    <dgm:cxn modelId="{7298D952-7D0C-4E05-A067-64155EAA1460}" srcId="{B141D1BD-31E5-4765-A0A7-655966571D74}" destId="{E53527DF-3713-46BB-8D62-709959405CF9}" srcOrd="0" destOrd="0" parTransId="{60ABE14E-716E-4833-8F2B-D9CCF99AE998}" sibTransId="{E04D5F05-EB0F-43AC-B6D0-F842F41B460E}"/>
    <dgm:cxn modelId="{F63F67BF-358A-45D0-8450-CB252ACEFEFE}" srcId="{830A17E5-C1BC-432E-BE4B-9F9306295EF0}" destId="{35527B6A-8875-4A75-BE14-6F6C4D3389B1}" srcOrd="0" destOrd="0" parTransId="{2127CA5A-6F51-47D2-B528-542E4221062A}" sibTransId="{67960863-4032-43EB-B2B5-FCB0726194AB}"/>
    <dgm:cxn modelId="{25D64A60-B75E-45FD-BD49-9C786E66B796}" srcId="{E53527DF-3713-46BB-8D62-709959405CF9}" destId="{472E5CB3-37E0-4955-AE22-A4C988800024}" srcOrd="0" destOrd="0" parTransId="{8FCAF4F6-271C-4BE2-832B-E76377059B0B}" sibTransId="{4A6EFE24-0716-4366-B9AA-3D1F6D8B2093}"/>
    <dgm:cxn modelId="{A964FE4C-05D4-476C-99D2-71A94BAD3242}" type="presOf" srcId="{830A17E5-C1BC-432E-BE4B-9F9306295EF0}" destId="{62DF53B5-2A59-44DC-ACF1-2373A80AAF51}" srcOrd="0" destOrd="0" presId="urn:microsoft.com/office/officeart/2005/8/layout/hList1"/>
    <dgm:cxn modelId="{86908572-97E4-4511-91CA-9CC8AC5DF837}" type="presOf" srcId="{E53527DF-3713-46BB-8D62-709959405CF9}" destId="{110D5DA5-985A-4C8C-BAB9-8C22BDEE9808}" srcOrd="0" destOrd="0" presId="urn:microsoft.com/office/officeart/2005/8/layout/hList1"/>
    <dgm:cxn modelId="{B4B3783A-66F5-4523-874B-FC96ABE93FFC}" type="presOf" srcId="{F4F1915F-ABA7-4B81-B1E0-D2B4065A2591}" destId="{09EE470C-FAD1-4DA5-BB15-DDBFEBB59D8E}" srcOrd="0" destOrd="0" presId="urn:microsoft.com/office/officeart/2005/8/layout/hList1"/>
    <dgm:cxn modelId="{26AF0B61-EF41-4A12-B8B3-E567214A40C4}" type="presOf" srcId="{35527B6A-8875-4A75-BE14-6F6C4D3389B1}" destId="{79CC37F6-0AB2-45DB-830B-3E9F54CAC40B}" srcOrd="0" destOrd="0" presId="urn:microsoft.com/office/officeart/2005/8/layout/hList1"/>
    <dgm:cxn modelId="{E6DADCD3-6015-4868-BAE8-D75B7C547B6B}" type="presParOf" srcId="{CB62CEF9-C820-43E5-89CA-E55DE19897EF}" destId="{D692DA81-2617-4F4B-BB21-0EC27A244909}" srcOrd="0" destOrd="0" presId="urn:microsoft.com/office/officeart/2005/8/layout/hList1"/>
    <dgm:cxn modelId="{FAA01C13-CA8B-44BF-8023-0070BC062D99}" type="presParOf" srcId="{D692DA81-2617-4F4B-BB21-0EC27A244909}" destId="{110D5DA5-985A-4C8C-BAB9-8C22BDEE9808}" srcOrd="0" destOrd="0" presId="urn:microsoft.com/office/officeart/2005/8/layout/hList1"/>
    <dgm:cxn modelId="{F38CB85E-0CC0-4325-A950-43AC9E28DF60}" type="presParOf" srcId="{D692DA81-2617-4F4B-BB21-0EC27A244909}" destId="{F59B02C2-210D-4139-AF8A-2B4DE11700A2}" srcOrd="1" destOrd="0" presId="urn:microsoft.com/office/officeart/2005/8/layout/hList1"/>
    <dgm:cxn modelId="{0273136A-192C-4222-994A-B5856133E02E}" type="presParOf" srcId="{CB62CEF9-C820-43E5-89CA-E55DE19897EF}" destId="{BAE7D46E-842B-4758-8268-D30A67368864}" srcOrd="1" destOrd="0" presId="urn:microsoft.com/office/officeart/2005/8/layout/hList1"/>
    <dgm:cxn modelId="{4CF2C924-CAB7-4563-9565-27E99174F89C}" type="presParOf" srcId="{CB62CEF9-C820-43E5-89CA-E55DE19897EF}" destId="{CDD3044A-399E-4126-8FAF-3F1FF6F16815}" srcOrd="2" destOrd="0" presId="urn:microsoft.com/office/officeart/2005/8/layout/hList1"/>
    <dgm:cxn modelId="{173E4596-05F0-472E-9012-233F445E7C80}" type="presParOf" srcId="{CDD3044A-399E-4126-8FAF-3F1FF6F16815}" destId="{5F804AA1-7713-405C-8D7E-9E9C9457C57F}" srcOrd="0" destOrd="0" presId="urn:microsoft.com/office/officeart/2005/8/layout/hList1"/>
    <dgm:cxn modelId="{D570E7EC-B564-474A-B82A-247A1AB850B1}" type="presParOf" srcId="{CDD3044A-399E-4126-8FAF-3F1FF6F16815}" destId="{E9EC83CB-8D5A-49E2-8215-D78AEC5CF15C}" srcOrd="1" destOrd="0" presId="urn:microsoft.com/office/officeart/2005/8/layout/hList1"/>
    <dgm:cxn modelId="{282082EE-DD23-490A-8904-F98BE74F1EB5}" type="presParOf" srcId="{CB62CEF9-C820-43E5-89CA-E55DE19897EF}" destId="{2236EEB8-BF9F-4B47-A16A-4865C1C236F0}" srcOrd="3" destOrd="0" presId="urn:microsoft.com/office/officeart/2005/8/layout/hList1"/>
    <dgm:cxn modelId="{385D4015-521F-4B74-925D-42BF2EE82D08}" type="presParOf" srcId="{CB62CEF9-C820-43E5-89CA-E55DE19897EF}" destId="{67A39D14-3526-486E-98CC-9A6840B78C4B}" srcOrd="4" destOrd="0" presId="urn:microsoft.com/office/officeart/2005/8/layout/hList1"/>
    <dgm:cxn modelId="{0FFC95DC-EB3E-4EC8-A0CD-D9D982496581}" type="presParOf" srcId="{67A39D14-3526-486E-98CC-9A6840B78C4B}" destId="{87CC7520-05F7-4604-B148-99A5CBD6D467}" srcOrd="0" destOrd="0" presId="urn:microsoft.com/office/officeart/2005/8/layout/hList1"/>
    <dgm:cxn modelId="{D92D7AD0-6072-4DF1-9C4B-050ABEE9AACE}" type="presParOf" srcId="{67A39D14-3526-486E-98CC-9A6840B78C4B}" destId="{09EE470C-FAD1-4DA5-BB15-DDBFEBB59D8E}" srcOrd="1" destOrd="0" presId="urn:microsoft.com/office/officeart/2005/8/layout/hList1"/>
    <dgm:cxn modelId="{48F06016-E983-4322-A822-FD12D862312D}" type="presParOf" srcId="{CB62CEF9-C820-43E5-89CA-E55DE19897EF}" destId="{DCC10DFE-66E8-45D8-AB65-130649ED02DB}" srcOrd="5" destOrd="0" presId="urn:microsoft.com/office/officeart/2005/8/layout/hList1"/>
    <dgm:cxn modelId="{57DB23AD-560C-41E7-B4EF-B8DCE535D98D}" type="presParOf" srcId="{CB62CEF9-C820-43E5-89CA-E55DE19897EF}" destId="{E34BD071-C3C2-4C4F-BBA5-12849F7AE5F5}" srcOrd="6" destOrd="0" presId="urn:microsoft.com/office/officeart/2005/8/layout/hList1"/>
    <dgm:cxn modelId="{BB4EFFCF-23F4-4292-8AD4-2F34234E6E81}" type="presParOf" srcId="{E34BD071-C3C2-4C4F-BBA5-12849F7AE5F5}" destId="{62DF53B5-2A59-44DC-ACF1-2373A80AAF51}" srcOrd="0" destOrd="0" presId="urn:microsoft.com/office/officeart/2005/8/layout/hList1"/>
    <dgm:cxn modelId="{D3CB7D59-C3C8-4333-923B-BDB05988D37E}" type="presParOf" srcId="{E34BD071-C3C2-4C4F-BBA5-12849F7AE5F5}" destId="{79CC37F6-0AB2-45DB-830B-3E9F54CAC40B}" srcOrd="1" destOrd="0" presId="urn:microsoft.com/office/officeart/2005/8/layout/hList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10D5DA5-985A-4C8C-BAB9-8C22BDEE9808}">
      <dsp:nvSpPr>
        <dsp:cNvPr id="0" name=""/>
        <dsp:cNvSpPr/>
      </dsp:nvSpPr>
      <dsp:spPr bwMode="white">
        <a:xfrm>
          <a:off x="1983" y="16589"/>
          <a:ext cx="1192385" cy="288000"/>
        </a:xfrm>
        <a:prstGeom prst="rect">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lvl="0" algn="ctr" defTabSz="444500">
            <a:lnSpc>
              <a:spcPct val="100000"/>
            </a:lnSpc>
            <a:spcBef>
              <a:spcPct val="0"/>
            </a:spcBef>
            <a:spcAft>
              <a:spcPts val="0"/>
            </a:spcAft>
          </a:pPr>
          <a:r>
            <a:rPr lang="zh-CN" sz="1000" b="1" kern="1200">
              <a:solidFill>
                <a:sysClr val="windowText" lastClr="000000"/>
              </a:solidFill>
              <a:latin typeface="宋体" panose="02010600030101010101" charset="-122"/>
              <a:ea typeface="宋体" panose="02010600030101010101" charset="-122"/>
            </a:rPr>
            <a:t>明确部门工作职责</a:t>
          </a:r>
          <a:endParaRPr lang="zh-CN" altLang="en-US" sz="1000" b="1" kern="1200">
            <a:solidFill>
              <a:sysClr val="windowText" lastClr="000000"/>
            </a:solidFill>
            <a:latin typeface="宋体" panose="02010600030101010101" charset="-122"/>
            <a:ea typeface="宋体" panose="02010600030101010101" charset="-122"/>
          </a:endParaRPr>
        </a:p>
      </dsp:txBody>
      <dsp:txXfrm>
        <a:off x="1983" y="16589"/>
        <a:ext cx="1192385" cy="288000"/>
      </dsp:txXfrm>
    </dsp:sp>
    <dsp:sp modelId="{F59B02C2-210D-4139-AF8A-2B4DE11700A2}">
      <dsp:nvSpPr>
        <dsp:cNvPr id="0" name=""/>
        <dsp:cNvSpPr/>
      </dsp:nvSpPr>
      <dsp:spPr bwMode="white">
        <a:xfrm>
          <a:off x="1983" y="304589"/>
          <a:ext cx="1192385" cy="1459996"/>
        </a:xfrm>
        <a:prstGeom prst="rect">
          <a:avLst/>
        </a:prstGeom>
        <a:solidFill>
          <a:schemeClr val="accent2">
            <a:tint val="40000"/>
            <a:alpha val="90000"/>
            <a:hueOff val="0"/>
            <a:satOff val="0"/>
            <a:lumOff val="0"/>
            <a:alphaOff val="0"/>
          </a:schemeClr>
        </a:solidFill>
        <a:ln w="12700" cap="flat" cmpd="sng" algn="ctr">
          <a:solidFill>
            <a:schemeClr val="accent2">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100000"/>
            </a:lnSpc>
            <a:spcBef>
              <a:spcPct val="0"/>
            </a:spcBef>
            <a:spcAft>
              <a:spcPts val="0"/>
            </a:spcAft>
            <a:buChar char="••"/>
          </a:pPr>
          <a:r>
            <a:rPr lang="zh-CN" sz="1000" kern="1200">
              <a:latin typeface="宋体" panose="02010600030101010101" charset="-122"/>
              <a:ea typeface="宋体" panose="02010600030101010101" charset="-122"/>
            </a:rPr>
            <a:t>根据部门职能，明确各项具体工作职责。</a:t>
          </a:r>
          <a:endParaRPr lang="zh-CN" altLang="en-US" sz="1000" kern="1200">
            <a:latin typeface="宋体" panose="02010600030101010101" charset="-122"/>
            <a:ea typeface="宋体" panose="02010600030101010101" charset="-122"/>
          </a:endParaRPr>
        </a:p>
      </dsp:txBody>
      <dsp:txXfrm>
        <a:off x="1983" y="304589"/>
        <a:ext cx="1192385" cy="1459996"/>
      </dsp:txXfrm>
    </dsp:sp>
    <dsp:sp modelId="{5F804AA1-7713-405C-8D7E-9E9C9457C57F}">
      <dsp:nvSpPr>
        <dsp:cNvPr id="0" name=""/>
        <dsp:cNvSpPr/>
      </dsp:nvSpPr>
      <dsp:spPr bwMode="white">
        <a:xfrm>
          <a:off x="1361302" y="16589"/>
          <a:ext cx="1192385" cy="288000"/>
        </a:xfrm>
        <a:prstGeom prst="rect">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lvl="0" algn="ctr" defTabSz="444500">
            <a:lnSpc>
              <a:spcPct val="100000"/>
            </a:lnSpc>
            <a:spcBef>
              <a:spcPct val="0"/>
            </a:spcBef>
            <a:spcAft>
              <a:spcPts val="0"/>
            </a:spcAft>
          </a:pPr>
          <a:r>
            <a:rPr lang="zh-CN" sz="1000" b="1" kern="1200">
              <a:solidFill>
                <a:sysClr val="windowText" lastClr="000000"/>
              </a:solidFill>
              <a:latin typeface="宋体" panose="02010600030101010101" charset="-122"/>
              <a:ea typeface="宋体" panose="02010600030101010101" charset="-122"/>
            </a:rPr>
            <a:t>确定任务及总目标</a:t>
          </a:r>
          <a:endParaRPr lang="zh-CN" altLang="en-US" sz="1000" b="1" kern="1200">
            <a:solidFill>
              <a:sysClr val="windowText" lastClr="000000"/>
            </a:solidFill>
            <a:latin typeface="宋体" panose="02010600030101010101" charset="-122"/>
            <a:ea typeface="宋体" panose="02010600030101010101" charset="-122"/>
          </a:endParaRPr>
        </a:p>
      </dsp:txBody>
      <dsp:txXfrm>
        <a:off x="1361302" y="16589"/>
        <a:ext cx="1192385" cy="288000"/>
      </dsp:txXfrm>
    </dsp:sp>
    <dsp:sp modelId="{E9EC83CB-8D5A-49E2-8215-D78AEC5CF15C}">
      <dsp:nvSpPr>
        <dsp:cNvPr id="0" name=""/>
        <dsp:cNvSpPr/>
      </dsp:nvSpPr>
      <dsp:spPr bwMode="white">
        <a:xfrm>
          <a:off x="1361302" y="304589"/>
          <a:ext cx="1192385" cy="1459996"/>
        </a:xfrm>
        <a:prstGeom prst="rect">
          <a:avLst/>
        </a:prstGeom>
        <a:solidFill>
          <a:schemeClr val="accent3">
            <a:tint val="40000"/>
            <a:alpha val="90000"/>
            <a:hueOff val="0"/>
            <a:satOff val="0"/>
            <a:lumOff val="0"/>
            <a:alphaOff val="0"/>
          </a:schemeClr>
        </a:solidFill>
        <a:ln w="12700" cap="flat" cmpd="sng" algn="ctr">
          <a:solidFill>
            <a:schemeClr val="accent3">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100000"/>
            </a:lnSpc>
            <a:spcBef>
              <a:spcPct val="0"/>
            </a:spcBef>
            <a:spcAft>
              <a:spcPts val="0"/>
            </a:spcAft>
            <a:buChar char="••"/>
          </a:pPr>
          <a:r>
            <a:rPr lang="zh-CN" sz="1000" kern="1200">
              <a:latin typeface="宋体" panose="02010600030101010101" charset="-122"/>
              <a:ea typeface="宋体" panose="02010600030101010101" charset="-122"/>
            </a:rPr>
            <a:t>结合部门中长期及年度工作计划，明确年度主要工作任务，预计年度内履职所要达到的预期产出及效果，确定部门总体目标。</a:t>
          </a:r>
          <a:endParaRPr lang="zh-CN" altLang="en-US" sz="1000" kern="1200">
            <a:latin typeface="宋体" panose="02010600030101010101" charset="-122"/>
            <a:ea typeface="宋体" panose="02010600030101010101" charset="-122"/>
          </a:endParaRPr>
        </a:p>
      </dsp:txBody>
      <dsp:txXfrm>
        <a:off x="1361302" y="304589"/>
        <a:ext cx="1192385" cy="1459996"/>
      </dsp:txXfrm>
    </dsp:sp>
    <dsp:sp modelId="{87CC7520-05F7-4604-B148-99A5CBD6D467}">
      <dsp:nvSpPr>
        <dsp:cNvPr id="0" name=""/>
        <dsp:cNvSpPr/>
      </dsp:nvSpPr>
      <dsp:spPr bwMode="white">
        <a:xfrm>
          <a:off x="2720621" y="16589"/>
          <a:ext cx="1192385" cy="288000"/>
        </a:xfrm>
        <a:prstGeom prst="rect">
          <a:avLst/>
        </a:prstGeom>
        <a:solidFill>
          <a:schemeClr val="accent4">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lvl="0" algn="ctr" defTabSz="444500">
            <a:lnSpc>
              <a:spcPct val="100000"/>
            </a:lnSpc>
            <a:spcBef>
              <a:spcPct val="0"/>
            </a:spcBef>
            <a:spcAft>
              <a:spcPts val="0"/>
            </a:spcAft>
          </a:pPr>
          <a:r>
            <a:rPr lang="zh-CN" sz="1000" b="1" kern="1200">
              <a:solidFill>
                <a:sysClr val="windowText" lastClr="000000"/>
              </a:solidFill>
              <a:latin typeface="宋体" panose="02010600030101010101" charset="-122"/>
              <a:ea typeface="宋体" panose="02010600030101010101" charset="-122"/>
            </a:rPr>
            <a:t>细化形成绩效指标</a:t>
          </a:r>
          <a:endParaRPr lang="zh-CN" altLang="en-US" sz="1000" b="1" kern="1200">
            <a:solidFill>
              <a:sysClr val="windowText" lastClr="000000"/>
            </a:solidFill>
            <a:latin typeface="宋体" panose="02010600030101010101" charset="-122"/>
            <a:ea typeface="宋体" panose="02010600030101010101" charset="-122"/>
          </a:endParaRPr>
        </a:p>
      </dsp:txBody>
      <dsp:txXfrm>
        <a:off x="2720621" y="16589"/>
        <a:ext cx="1192385" cy="288000"/>
      </dsp:txXfrm>
    </dsp:sp>
    <dsp:sp modelId="{09EE470C-FAD1-4DA5-BB15-DDBFEBB59D8E}">
      <dsp:nvSpPr>
        <dsp:cNvPr id="0" name=""/>
        <dsp:cNvSpPr/>
      </dsp:nvSpPr>
      <dsp:spPr bwMode="white">
        <a:xfrm>
          <a:off x="2720621" y="304589"/>
          <a:ext cx="1192385" cy="1459996"/>
        </a:xfrm>
        <a:prstGeom prst="rect">
          <a:avLst/>
        </a:prstGeom>
        <a:solidFill>
          <a:schemeClr val="accent4">
            <a:tint val="40000"/>
            <a:alpha val="90000"/>
            <a:hueOff val="0"/>
            <a:satOff val="0"/>
            <a:lumOff val="0"/>
            <a:alphaOff val="0"/>
          </a:schemeClr>
        </a:solidFill>
        <a:ln w="12700" cap="flat" cmpd="sng" algn="ctr">
          <a:solidFill>
            <a:schemeClr val="accent4">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100000"/>
            </a:lnSpc>
            <a:spcBef>
              <a:spcPct val="0"/>
            </a:spcBef>
            <a:spcAft>
              <a:spcPts val="0"/>
            </a:spcAft>
            <a:buChar char="••"/>
          </a:pPr>
          <a:r>
            <a:rPr lang="zh-CN" sz="1000" kern="1200">
              <a:latin typeface="宋体" panose="02010600030101010101" charset="-122"/>
              <a:ea typeface="宋体" panose="02010600030101010101" charset="-122"/>
            </a:rPr>
            <a:t>结合各内设机构具体工作职责，分解、细化形成各项工作任务的预期产出与效果，明确绩效指标，并梳理与其相对应的重点项目。</a:t>
          </a:r>
          <a:endParaRPr lang="zh-CN" altLang="en-US" sz="1000" kern="1200">
            <a:latin typeface="宋体" panose="02010600030101010101" charset="-122"/>
            <a:ea typeface="宋体" panose="02010600030101010101" charset="-122"/>
          </a:endParaRPr>
        </a:p>
      </dsp:txBody>
      <dsp:txXfrm>
        <a:off x="2720621" y="304589"/>
        <a:ext cx="1192385" cy="1459996"/>
      </dsp:txXfrm>
    </dsp:sp>
    <dsp:sp modelId="{62DF53B5-2A59-44DC-ACF1-2373A80AAF51}">
      <dsp:nvSpPr>
        <dsp:cNvPr id="0" name=""/>
        <dsp:cNvSpPr/>
      </dsp:nvSpPr>
      <dsp:spPr bwMode="white">
        <a:xfrm>
          <a:off x="4079941" y="16589"/>
          <a:ext cx="1192385" cy="288000"/>
        </a:xfrm>
        <a:prstGeom prst="rect">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lvl="0" algn="ctr" defTabSz="444500">
            <a:lnSpc>
              <a:spcPct val="100000"/>
            </a:lnSpc>
            <a:spcBef>
              <a:spcPct val="0"/>
            </a:spcBef>
            <a:spcAft>
              <a:spcPts val="0"/>
            </a:spcAft>
          </a:pPr>
          <a:r>
            <a:rPr lang="zh-CN" sz="1000" b="1" kern="1200">
              <a:solidFill>
                <a:sysClr val="windowText" lastClr="000000"/>
              </a:solidFill>
              <a:latin typeface="宋体" panose="02010600030101010101" charset="-122"/>
              <a:ea typeface="宋体" panose="02010600030101010101" charset="-122"/>
            </a:rPr>
            <a:t>确定绩效指标数值</a:t>
          </a:r>
          <a:endParaRPr lang="zh-CN" altLang="en-US" sz="1000" b="1" kern="1200">
            <a:solidFill>
              <a:sysClr val="windowText" lastClr="000000"/>
            </a:solidFill>
            <a:latin typeface="宋体" panose="02010600030101010101" charset="-122"/>
            <a:ea typeface="宋体" panose="02010600030101010101" charset="-122"/>
          </a:endParaRPr>
        </a:p>
      </dsp:txBody>
      <dsp:txXfrm>
        <a:off x="4079941" y="16589"/>
        <a:ext cx="1192385" cy="288000"/>
      </dsp:txXfrm>
    </dsp:sp>
    <dsp:sp modelId="{79CC37F6-0AB2-45DB-830B-3E9F54CAC40B}">
      <dsp:nvSpPr>
        <dsp:cNvPr id="0" name=""/>
        <dsp:cNvSpPr/>
      </dsp:nvSpPr>
      <dsp:spPr bwMode="white">
        <a:xfrm>
          <a:off x="4079941" y="304589"/>
          <a:ext cx="1192385" cy="1459996"/>
        </a:xfrm>
        <a:prstGeom prst="rect">
          <a:avLst/>
        </a:prstGeom>
        <a:solidFill>
          <a:schemeClr val="accent5">
            <a:tint val="40000"/>
            <a:alpha val="90000"/>
            <a:hueOff val="0"/>
            <a:satOff val="0"/>
            <a:lumOff val="0"/>
            <a:alphaOff val="0"/>
          </a:schemeClr>
        </a:solidFill>
        <a:ln w="12700" cap="flat" cmpd="sng" algn="ctr">
          <a:solidFill>
            <a:schemeClr val="accent5">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100000"/>
            </a:lnSpc>
            <a:spcBef>
              <a:spcPct val="0"/>
            </a:spcBef>
            <a:spcAft>
              <a:spcPts val="0"/>
            </a:spcAft>
            <a:buChar char="••"/>
          </a:pPr>
          <a:r>
            <a:rPr lang="zh-CN" sz="1000" kern="1200">
              <a:latin typeface="宋体" panose="02010600030101010101" charset="-122"/>
              <a:ea typeface="宋体" panose="02010600030101010101" charset="-122"/>
            </a:rPr>
            <a:t>收集相关基准数据，确定绩效标准，结合年度预算安排情况、重点项目情况，确定绩效指标具体数值。</a:t>
          </a:r>
          <a:endParaRPr lang="zh-CN" altLang="en-US" sz="1000" kern="1200">
            <a:latin typeface="宋体" panose="02010600030101010101" charset="-122"/>
            <a:ea typeface="宋体" panose="02010600030101010101" charset="-122"/>
          </a:endParaRPr>
        </a:p>
      </dsp:txBody>
      <dsp:txXfrm>
        <a:off x="4079941" y="304589"/>
        <a:ext cx="1192385" cy="1459996"/>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19</Pages>
  <Words>1624</Words>
  <Characters>9262</Characters>
  <Application>Microsoft Office Word</Application>
  <DocSecurity>0</DocSecurity>
  <Lines>77</Lines>
  <Paragraphs>21</Paragraphs>
  <ScaleCrop>false</ScaleCrop>
  <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c</dc:creator>
  <cp:lastModifiedBy>CW</cp:lastModifiedBy>
  <cp:revision>13</cp:revision>
  <dcterms:created xsi:type="dcterms:W3CDTF">2024-05-16T08:12:00Z</dcterms:created>
  <dcterms:modified xsi:type="dcterms:W3CDTF">2024-08-23T03:30:00Z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8DF7CACA5E674A8291C03B4B241D52B0_12</vt:lpwstr>
  </property>
</Properties>
</file>