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adjustRightInd w:val="0"/>
        <w:snapToGrid w:val="0"/>
        <w:spacing w:after="0" w:line="360" w:lineRule="auto"/>
        <w:jc w:val="center"/>
        <w:rPr>
          <w:rFonts w:hint="eastAsia" w:ascii="仿宋_GB2312" w:eastAsia="黑体" w:cs="黑体"/>
          <w:sz w:val="48"/>
          <w:szCs w:val="48"/>
        </w:rPr>
      </w:pPr>
    </w:p>
    <w:p>
      <w:pPr>
        <w:keepNext w:val="0"/>
        <w:keepLines w:val="0"/>
        <w:pageBreakBefore w:val="0"/>
        <w:widowControl w:val="0"/>
        <w:kinsoku/>
        <w:wordWrap w:val="0"/>
        <w:overflowPunct/>
        <w:topLinePunct w:val="0"/>
        <w:autoSpaceDE/>
        <w:autoSpaceDN/>
        <w:bidi w:val="0"/>
        <w:adjustRightInd w:val="0"/>
        <w:snapToGrid w:val="0"/>
        <w:spacing w:after="0" w:line="800" w:lineRule="exact"/>
        <w:jc w:val="center"/>
        <w:textAlignment w:val="auto"/>
        <w:rPr>
          <w:rFonts w:hint="eastAsia" w:ascii="仿宋_GB2312" w:eastAsia="黑体" w:cs="黑体"/>
          <w:sz w:val="48"/>
          <w:szCs w:val="48"/>
        </w:rPr>
      </w:pP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仿宋_GB2312" w:eastAsia="黑体" w:cs="黑体"/>
          <w:sz w:val="48"/>
          <w:szCs w:val="48"/>
          <w:lang w:val="en-US" w:eastAsia="zh-CN"/>
        </w:rPr>
      </w:pPr>
      <w:r>
        <w:rPr>
          <w:rFonts w:hint="eastAsia" w:ascii="仿宋_GB2312" w:eastAsia="黑体" w:cs="黑体"/>
          <w:sz w:val="48"/>
          <w:szCs w:val="48"/>
          <w:lang w:val="en" w:eastAsia="zh-CN"/>
        </w:rPr>
        <w:t>北京市安全生产</w:t>
      </w:r>
      <w:r>
        <w:rPr>
          <w:rFonts w:hint="eastAsia" w:ascii="仿宋_GB2312" w:eastAsia="黑体" w:cs="黑体"/>
          <w:sz w:val="48"/>
          <w:szCs w:val="48"/>
          <w:lang w:val="en-US" w:eastAsia="zh-CN"/>
        </w:rPr>
        <w:t>预防和应急救援能力</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仿宋_GB2312" w:eastAsia="黑体" w:cs="黑体"/>
          <w:sz w:val="48"/>
          <w:szCs w:val="48"/>
          <w:lang w:eastAsia="zh-CN"/>
        </w:rPr>
      </w:pPr>
      <w:r>
        <w:rPr>
          <w:rFonts w:hint="eastAsia" w:ascii="仿宋_GB2312" w:eastAsia="黑体" w:cs="黑体"/>
          <w:sz w:val="48"/>
          <w:szCs w:val="48"/>
          <w:lang w:val="en-US" w:eastAsia="zh-CN"/>
        </w:rPr>
        <w:t>建设补助资金</w:t>
      </w:r>
      <w:r>
        <w:rPr>
          <w:rFonts w:hint="eastAsia" w:ascii="仿宋_GB2312" w:eastAsia="黑体" w:cs="黑体"/>
          <w:sz w:val="48"/>
          <w:szCs w:val="48"/>
          <w:lang w:eastAsia="zh-CN"/>
        </w:rPr>
        <w:t>转移支付20</w:t>
      </w:r>
      <w:r>
        <w:rPr>
          <w:rFonts w:hint="eastAsia" w:ascii="仿宋_GB2312" w:eastAsia="黑体" w:cs="黑体"/>
          <w:sz w:val="48"/>
          <w:szCs w:val="48"/>
          <w:lang w:val="en-US" w:eastAsia="zh-CN"/>
        </w:rPr>
        <w:t>2</w:t>
      </w:r>
      <w:r>
        <w:rPr>
          <w:rFonts w:hint="eastAsia" w:ascii="仿宋_GB2312" w:eastAsia="黑体" w:cs="黑体"/>
          <w:sz w:val="48"/>
          <w:szCs w:val="48"/>
          <w:lang w:val="en" w:eastAsia="zh-CN"/>
        </w:rPr>
        <w:t>3</w:t>
      </w:r>
      <w:r>
        <w:rPr>
          <w:rFonts w:hint="eastAsia" w:ascii="仿宋_GB2312" w:eastAsia="黑体" w:cs="黑体"/>
          <w:sz w:val="48"/>
          <w:szCs w:val="48"/>
          <w:lang w:eastAsia="zh-CN"/>
        </w:rPr>
        <w:t>年度</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仿宋_GB2312" w:eastAsia="黑体" w:cs="黑体"/>
          <w:sz w:val="48"/>
          <w:szCs w:val="48"/>
        </w:rPr>
      </w:pPr>
      <w:r>
        <w:rPr>
          <w:rFonts w:hint="eastAsia" w:ascii="仿宋_GB2312" w:eastAsia="黑体" w:cs="黑体"/>
          <w:sz w:val="48"/>
          <w:szCs w:val="48"/>
        </w:rPr>
        <w:t>绩效自评报告</w:t>
      </w:r>
    </w:p>
    <w:p>
      <w:pPr>
        <w:wordWrap w:val="0"/>
        <w:adjustRightInd w:val="0"/>
        <w:snapToGrid w:val="0"/>
        <w:spacing w:after="0" w:line="360" w:lineRule="auto"/>
        <w:jc w:val="center"/>
        <w:rPr>
          <w:rFonts w:hint="eastAsia" w:ascii="仿宋_GB2312" w:eastAsia="黑体" w:cs="黑体"/>
          <w:sz w:val="48"/>
          <w:szCs w:val="48"/>
        </w:rPr>
      </w:pPr>
    </w:p>
    <w:p>
      <w:pPr>
        <w:wordWrap w:val="0"/>
        <w:spacing w:after="0" w:line="240" w:lineRule="auto"/>
        <w:jc w:val="center"/>
        <w:rPr>
          <w:rFonts w:ascii="仿宋_GB2312" w:eastAsia="宋体"/>
          <w:sz w:val="32"/>
          <w:szCs w:val="32"/>
        </w:rPr>
      </w:pPr>
    </w:p>
    <w:p>
      <w:pPr>
        <w:wordWrap w:val="0"/>
        <w:spacing w:after="0" w:line="240" w:lineRule="auto"/>
        <w:rPr>
          <w:rFonts w:ascii="仿宋_GB2312" w:eastAsia="宋体"/>
          <w:sz w:val="32"/>
          <w:szCs w:val="32"/>
        </w:rPr>
      </w:pPr>
    </w:p>
    <w:p>
      <w:pPr>
        <w:pStyle w:val="2"/>
      </w:pPr>
    </w:p>
    <w:p>
      <w:pPr>
        <w:spacing w:after="160" w:line="278" w:lineRule="auto"/>
      </w:pPr>
    </w:p>
    <w:p>
      <w:pPr>
        <w:spacing w:after="160" w:line="278" w:lineRule="auto"/>
      </w:pPr>
    </w:p>
    <w:p>
      <w:pPr>
        <w:spacing w:after="160" w:line="278" w:lineRule="auto"/>
      </w:pPr>
    </w:p>
    <w:p>
      <w:pPr>
        <w:wordWrap w:val="0"/>
        <w:spacing w:after="0" w:line="240" w:lineRule="auto"/>
        <w:rPr>
          <w:rFonts w:ascii="仿宋_GB2312" w:eastAsia="宋体"/>
          <w:sz w:val="32"/>
          <w:szCs w:val="32"/>
        </w:rPr>
      </w:pPr>
    </w:p>
    <w:p>
      <w:pPr>
        <w:wordWrap w:val="0"/>
        <w:spacing w:after="0" w:line="480" w:lineRule="auto"/>
        <w:ind w:firstLine="141" w:firstLineChars="47"/>
        <w:rPr>
          <w:rFonts w:ascii="仿宋_GB2312" w:hAnsi="楷体" w:cs="仿宋_GB2312"/>
          <w:b/>
          <w:bCs/>
          <w:szCs w:val="30"/>
          <w:u w:val="single"/>
        </w:rPr>
      </w:pPr>
      <w:r>
        <w:rPr>
          <w:rFonts w:hint="eastAsia" w:ascii="仿宋_GB2312" w:hAnsi="楷体" w:cs="仿宋_GB2312"/>
          <w:b/>
          <w:bCs/>
          <w:szCs w:val="30"/>
        </w:rPr>
        <w:t xml:space="preserve">主管部门  </w:t>
      </w:r>
      <w:r>
        <w:rPr>
          <w:rFonts w:hint="eastAsia" w:ascii="仿宋_GB2312" w:hAnsi="楷体" w:cs="仿宋_GB2312"/>
          <w:b/>
          <w:bCs/>
          <w:szCs w:val="30"/>
          <w:u w:val="single"/>
        </w:rPr>
        <w:tab/>
      </w:r>
      <w:r>
        <w:rPr>
          <w:rFonts w:hint="eastAsia" w:ascii="仿宋_GB2312" w:hAnsi="楷体" w:cs="仿宋_GB2312"/>
          <w:b/>
          <w:bCs/>
          <w:szCs w:val="30"/>
          <w:u w:val="single"/>
        </w:rPr>
        <w:tab/>
      </w:r>
      <w:r>
        <w:rPr>
          <w:rFonts w:hint="eastAsia" w:ascii="仿宋_GB2312" w:hAnsi="楷体" w:cs="仿宋_GB2312"/>
          <w:b/>
          <w:bCs/>
          <w:szCs w:val="30"/>
          <w:u w:val="single"/>
        </w:rPr>
        <w:t xml:space="preserve">      </w:t>
      </w:r>
      <w:r>
        <w:rPr>
          <w:rFonts w:ascii="仿宋_GB2312" w:hAnsi="楷体" w:cs="仿宋_GB2312"/>
          <w:b/>
          <w:bCs/>
          <w:szCs w:val="30"/>
          <w:u w:val="single"/>
        </w:rPr>
        <w:t xml:space="preserve">   </w:t>
      </w:r>
      <w:r>
        <w:rPr>
          <w:rFonts w:hint="eastAsia" w:ascii="仿宋_GB2312" w:hAnsi="楷体" w:cs="仿宋_GB2312"/>
          <w:b/>
          <w:bCs/>
          <w:szCs w:val="30"/>
          <w:u w:val="single"/>
        </w:rPr>
        <w:t xml:space="preserve">  北京市应急管理局</w:t>
      </w:r>
      <w:r>
        <w:rPr>
          <w:rFonts w:hint="eastAsia" w:ascii="仿宋_GB2312" w:hAnsi="楷体" w:cs="仿宋_GB2312"/>
          <w:b/>
          <w:bCs/>
          <w:szCs w:val="30"/>
          <w:u w:val="single"/>
        </w:rPr>
        <w:tab/>
      </w:r>
      <w:r>
        <w:rPr>
          <w:rFonts w:hint="eastAsia" w:ascii="仿宋_GB2312" w:hAnsi="楷体" w:cs="仿宋_GB2312"/>
          <w:b/>
          <w:bCs/>
          <w:szCs w:val="30"/>
          <w:u w:val="single"/>
        </w:rPr>
        <w:t xml:space="preserve">  </w:t>
      </w:r>
      <w:r>
        <w:rPr>
          <w:rFonts w:hint="eastAsia" w:ascii="仿宋_GB2312" w:hAnsi="楷体" w:cs="仿宋_GB2312"/>
          <w:b/>
          <w:bCs/>
          <w:szCs w:val="30"/>
          <w:u w:val="single"/>
        </w:rPr>
        <w:tab/>
      </w:r>
      <w:r>
        <w:rPr>
          <w:rFonts w:hint="eastAsia" w:ascii="仿宋_GB2312" w:hAnsi="楷体" w:cs="仿宋_GB2312"/>
          <w:b/>
          <w:bCs/>
          <w:szCs w:val="30"/>
          <w:u w:val="single"/>
        </w:rPr>
        <w:tab/>
      </w:r>
      <w:r>
        <w:rPr>
          <w:rFonts w:hint="eastAsia" w:ascii="仿宋_GB2312" w:hAnsi="楷体" w:cs="仿宋_GB2312"/>
          <w:b/>
          <w:bCs/>
          <w:szCs w:val="30"/>
          <w:u w:val="single"/>
        </w:rPr>
        <w:t xml:space="preserve">   </w:t>
      </w:r>
      <w:r>
        <w:rPr>
          <w:rFonts w:ascii="仿宋_GB2312" w:hAnsi="楷体" w:cs="仿宋_GB2312"/>
          <w:b/>
          <w:bCs/>
          <w:szCs w:val="30"/>
          <w:u w:val="single"/>
        </w:rPr>
        <w:t xml:space="preserve">   </w:t>
      </w:r>
    </w:p>
    <w:p>
      <w:pPr>
        <w:wordWrap w:val="0"/>
        <w:spacing w:after="0" w:line="480" w:lineRule="auto"/>
        <w:ind w:firstLine="141" w:firstLineChars="47"/>
        <w:rPr>
          <w:rFonts w:ascii="仿宋_GB2312" w:hAnsi="楷体"/>
          <w:b/>
          <w:bCs/>
          <w:szCs w:val="30"/>
        </w:rPr>
      </w:pPr>
      <w:r>
        <w:rPr>
          <w:rFonts w:hint="eastAsia" w:ascii="仿宋_GB2312" w:hAnsi="楷体" w:cs="仿宋_GB2312"/>
          <w:b/>
          <w:bCs/>
          <w:szCs w:val="30"/>
        </w:rPr>
        <w:t xml:space="preserve">项目单位  </w:t>
      </w:r>
      <w:r>
        <w:rPr>
          <w:rFonts w:hint="eastAsia" w:ascii="仿宋_GB2312" w:hAnsi="楷体" w:cs="仿宋_GB2312"/>
          <w:b/>
          <w:bCs/>
          <w:szCs w:val="30"/>
          <w:u w:val="single"/>
        </w:rPr>
        <w:t xml:space="preserve">   </w:t>
      </w:r>
      <w:r>
        <w:rPr>
          <w:rFonts w:hint="eastAsia" w:ascii="仿宋_GB2312" w:hAnsi="楷体" w:cs="仿宋_GB2312"/>
          <w:b/>
          <w:bCs/>
          <w:szCs w:val="30"/>
          <w:u w:val="single"/>
        </w:rPr>
        <w:tab/>
      </w:r>
      <w:r>
        <w:rPr>
          <w:rFonts w:hint="eastAsia" w:ascii="仿宋_GB2312" w:hAnsi="楷体" w:cs="仿宋_GB2312"/>
          <w:b/>
          <w:bCs/>
          <w:szCs w:val="30"/>
          <w:u w:val="single"/>
        </w:rPr>
        <w:t xml:space="preserve">     </w:t>
      </w:r>
      <w:r>
        <w:rPr>
          <w:rFonts w:ascii="仿宋_GB2312" w:hAnsi="楷体" w:cs="仿宋_GB2312"/>
          <w:b/>
          <w:bCs/>
          <w:szCs w:val="30"/>
          <w:u w:val="single"/>
        </w:rPr>
        <w:t xml:space="preserve"> </w:t>
      </w:r>
      <w:r>
        <w:rPr>
          <w:rFonts w:hint="eastAsia" w:ascii="仿宋_GB2312" w:hAnsi="楷体" w:cs="仿宋_GB2312"/>
          <w:b/>
          <w:bCs/>
          <w:szCs w:val="30"/>
          <w:u w:val="single"/>
          <w:lang w:eastAsia="zh-CN"/>
        </w:rPr>
        <w:t>驻京</w:t>
      </w:r>
      <w:r>
        <w:rPr>
          <w:rFonts w:hint="eastAsia" w:ascii="仿宋_GB2312" w:hAnsi="楷体" w:cs="仿宋_GB2312"/>
          <w:b/>
          <w:bCs/>
          <w:szCs w:val="30"/>
          <w:u w:val="single"/>
          <w:lang w:val="en-US" w:eastAsia="zh-CN"/>
        </w:rPr>
        <w:t>国家专业应急救援队伍</w:t>
      </w:r>
      <w:r>
        <w:rPr>
          <w:rFonts w:hint="eastAsia" w:ascii="仿宋_GB2312" w:hAnsi="楷体" w:cs="仿宋_GB2312"/>
          <w:b/>
          <w:bCs/>
          <w:szCs w:val="30"/>
          <w:u w:val="single"/>
        </w:rPr>
        <w:t xml:space="preserve"> </w:t>
      </w:r>
      <w:r>
        <w:rPr>
          <w:rFonts w:ascii="仿宋_GB2312" w:hAnsi="楷体" w:cs="仿宋_GB2312"/>
          <w:b/>
          <w:bCs/>
          <w:szCs w:val="30"/>
          <w:u w:val="single"/>
        </w:rPr>
        <w:t xml:space="preserve">    </w:t>
      </w:r>
      <w:r>
        <w:rPr>
          <w:rFonts w:hint="eastAsia" w:ascii="仿宋_GB2312" w:hAnsi="楷体" w:cs="仿宋_GB2312"/>
          <w:b/>
          <w:bCs/>
          <w:szCs w:val="30"/>
          <w:u w:val="single"/>
        </w:rPr>
        <w:t xml:space="preserve">  </w:t>
      </w:r>
      <w:r>
        <w:rPr>
          <w:rFonts w:ascii="仿宋_GB2312" w:hAnsi="楷体" w:cs="仿宋_GB2312"/>
          <w:b/>
          <w:bCs/>
          <w:szCs w:val="30"/>
          <w:u w:val="single"/>
        </w:rPr>
        <w:t xml:space="preserve">   </w:t>
      </w:r>
    </w:p>
    <w:p>
      <w:pPr>
        <w:wordWrap w:val="0"/>
        <w:spacing w:after="0" w:line="480" w:lineRule="auto"/>
        <w:ind w:firstLine="141" w:firstLineChars="47"/>
        <w:rPr>
          <w:rFonts w:ascii="仿宋_GB2312" w:hAnsi="楷体" w:cs="仿宋_GB2312"/>
          <w:b/>
          <w:bCs/>
          <w:szCs w:val="30"/>
          <w:u w:val="single"/>
        </w:rPr>
      </w:pPr>
      <w:r>
        <w:rPr>
          <w:rFonts w:hint="eastAsia" w:ascii="仿宋_GB2312" w:hAnsi="楷体" w:cs="仿宋_GB2312"/>
          <w:b/>
          <w:bCs/>
          <w:szCs w:val="30"/>
        </w:rPr>
        <w:t xml:space="preserve">项目名称  </w:t>
      </w:r>
      <w:r>
        <w:rPr>
          <w:rFonts w:hint="eastAsia" w:ascii="仿宋_GB2312" w:hAnsi="楷体" w:cs="仿宋_GB2312"/>
          <w:b/>
          <w:bCs/>
          <w:szCs w:val="30"/>
          <w:u w:val="single"/>
        </w:rPr>
        <w:t xml:space="preserve">    北京市</w:t>
      </w:r>
      <w:r>
        <w:rPr>
          <w:rFonts w:hint="eastAsia" w:ascii="仿宋_GB2312" w:hAnsi="楷体" w:cs="仿宋_GB2312"/>
          <w:b/>
          <w:bCs/>
          <w:szCs w:val="30"/>
          <w:u w:val="single"/>
          <w:lang w:eastAsia="zh-CN"/>
        </w:rPr>
        <w:t>安全生产应急救援力量建设项目</w:t>
      </w:r>
      <w:r>
        <w:rPr>
          <w:rFonts w:hint="eastAsia" w:ascii="仿宋_GB2312" w:hAnsi="楷体" w:cs="仿宋_GB2312"/>
          <w:b/>
          <w:bCs/>
          <w:szCs w:val="30"/>
          <w:u w:val="single"/>
        </w:rPr>
        <w:t xml:space="preserve">     </w:t>
      </w:r>
    </w:p>
    <w:p>
      <w:pPr>
        <w:wordWrap w:val="0"/>
        <w:spacing w:after="0" w:line="480" w:lineRule="auto"/>
        <w:ind w:firstLine="141" w:firstLineChars="47"/>
        <w:rPr>
          <w:rFonts w:ascii="仿宋_GB2312" w:hAnsi="楷体"/>
          <w:b/>
          <w:bCs/>
          <w:szCs w:val="30"/>
        </w:rPr>
      </w:pPr>
      <w:r>
        <w:rPr>
          <w:rFonts w:hint="eastAsia" w:ascii="仿宋_GB2312" w:hAnsi="楷体"/>
          <w:b/>
          <w:bCs/>
          <w:szCs w:val="30"/>
        </w:rPr>
        <w:t>评价时间：</w:t>
      </w:r>
      <w:r>
        <w:rPr>
          <w:rFonts w:hint="eastAsia" w:ascii="仿宋_GB2312" w:hAnsi="楷体"/>
          <w:b/>
          <w:bCs/>
          <w:szCs w:val="30"/>
          <w:u w:val="single"/>
        </w:rPr>
        <w:t xml:space="preserve">       </w:t>
      </w:r>
      <w:r>
        <w:rPr>
          <w:rFonts w:ascii="仿宋_GB2312" w:hAnsi="楷体"/>
          <w:b/>
          <w:bCs/>
          <w:szCs w:val="30"/>
          <w:u w:val="single"/>
        </w:rPr>
        <w:t xml:space="preserve">      </w:t>
      </w:r>
      <w:r>
        <w:rPr>
          <w:rFonts w:hint="eastAsia" w:ascii="仿宋_GB2312" w:hAnsi="楷体"/>
          <w:b/>
          <w:bCs/>
          <w:szCs w:val="30"/>
          <w:u w:val="single"/>
        </w:rPr>
        <w:t xml:space="preserve">   202</w:t>
      </w:r>
      <w:r>
        <w:rPr>
          <w:rFonts w:hint="eastAsia" w:ascii="仿宋_GB2312" w:hAnsi="楷体"/>
          <w:b/>
          <w:bCs/>
          <w:szCs w:val="30"/>
          <w:u w:val="single"/>
          <w:lang w:val="en-US" w:eastAsia="zh-CN"/>
        </w:rPr>
        <w:t>4</w:t>
      </w:r>
      <w:r>
        <w:rPr>
          <w:rFonts w:hint="eastAsia" w:ascii="仿宋_GB2312" w:hAnsi="楷体"/>
          <w:b/>
          <w:bCs/>
          <w:szCs w:val="30"/>
          <w:u w:val="single"/>
        </w:rPr>
        <w:t>年</w:t>
      </w:r>
      <w:r>
        <w:rPr>
          <w:rFonts w:hint="eastAsia" w:ascii="仿宋_GB2312" w:hAnsi="楷体"/>
          <w:b/>
          <w:bCs/>
          <w:szCs w:val="30"/>
          <w:u w:val="single"/>
          <w:lang w:val="en-US" w:eastAsia="zh-CN"/>
        </w:rPr>
        <w:t>3</w:t>
      </w:r>
      <w:r>
        <w:rPr>
          <w:rFonts w:hint="eastAsia" w:ascii="仿宋_GB2312" w:hAnsi="楷体"/>
          <w:b/>
          <w:bCs/>
          <w:szCs w:val="30"/>
          <w:u w:val="single"/>
        </w:rPr>
        <w:t xml:space="preserve">月         </w:t>
      </w:r>
      <w:r>
        <w:rPr>
          <w:rFonts w:ascii="仿宋_GB2312" w:hAnsi="楷体"/>
          <w:b/>
          <w:bCs/>
          <w:szCs w:val="30"/>
          <w:u w:val="single"/>
        </w:rPr>
        <w:t xml:space="preserve">       </w:t>
      </w:r>
      <w:r>
        <w:rPr>
          <w:rFonts w:hint="eastAsia" w:ascii="仿宋_GB2312" w:hAnsi="楷体"/>
          <w:b/>
          <w:bCs/>
          <w:szCs w:val="30"/>
          <w:u w:val="single"/>
        </w:rPr>
        <w:t xml:space="preserve">  </w:t>
      </w:r>
    </w:p>
    <w:p>
      <w:pPr>
        <w:wordWrap w:val="0"/>
        <w:spacing w:after="0" w:line="480" w:lineRule="auto"/>
        <w:ind w:firstLine="141" w:firstLineChars="47"/>
        <w:rPr>
          <w:rFonts w:ascii="仿宋_GB2312" w:hAnsi="楷体" w:cs="仿宋_GB2312"/>
          <w:b/>
          <w:bCs/>
          <w:szCs w:val="30"/>
        </w:rPr>
      </w:pPr>
      <w:r>
        <w:rPr>
          <w:rFonts w:hint="eastAsia" w:ascii="仿宋_GB2312" w:hAnsi="楷体" w:cs="仿宋_GB2312"/>
          <w:b/>
          <w:bCs/>
          <w:szCs w:val="30"/>
        </w:rPr>
        <w:t>填报日期：</w:t>
      </w:r>
      <w:r>
        <w:rPr>
          <w:rFonts w:hint="eastAsia" w:ascii="仿宋_GB2312" w:hAnsi="楷体" w:cs="仿宋_GB2312"/>
          <w:b/>
          <w:bCs/>
          <w:szCs w:val="30"/>
          <w:u w:val="single"/>
        </w:rPr>
        <w:t xml:space="preserve">                202</w:t>
      </w:r>
      <w:r>
        <w:rPr>
          <w:rFonts w:hint="eastAsia" w:ascii="仿宋_GB2312" w:hAnsi="楷体" w:cs="仿宋_GB2312"/>
          <w:b/>
          <w:bCs/>
          <w:szCs w:val="30"/>
          <w:u w:val="single"/>
          <w:lang w:val="en-US" w:eastAsia="zh-CN"/>
        </w:rPr>
        <w:t>4</w:t>
      </w:r>
      <w:r>
        <w:rPr>
          <w:rFonts w:hint="eastAsia" w:ascii="仿宋_GB2312" w:hAnsi="楷体" w:cs="仿宋_GB2312"/>
          <w:b/>
          <w:bCs/>
          <w:szCs w:val="30"/>
          <w:u w:val="single"/>
        </w:rPr>
        <w:t>年</w:t>
      </w:r>
      <w:r>
        <w:rPr>
          <w:rFonts w:hint="eastAsia" w:ascii="仿宋_GB2312" w:hAnsi="楷体" w:cs="仿宋_GB2312"/>
          <w:b/>
          <w:bCs/>
          <w:szCs w:val="30"/>
          <w:u w:val="single"/>
          <w:lang w:val="en-US" w:eastAsia="zh-CN"/>
        </w:rPr>
        <w:t>3</w:t>
      </w:r>
      <w:r>
        <w:rPr>
          <w:rFonts w:hint="eastAsia" w:ascii="仿宋_GB2312" w:hAnsi="楷体" w:cs="仿宋_GB2312"/>
          <w:b/>
          <w:bCs/>
          <w:szCs w:val="30"/>
          <w:u w:val="single"/>
        </w:rPr>
        <w:t xml:space="preserve">月                  </w:t>
      </w:r>
    </w:p>
    <w:p>
      <w:pPr>
        <w:keepNext w:val="0"/>
        <w:keepLines w:val="0"/>
        <w:pageBreakBefore w:val="0"/>
        <w:widowControl w:val="0"/>
        <w:kinsoku/>
        <w:wordWrap/>
        <w:overflowPunct/>
        <w:topLinePunct w:val="0"/>
        <w:autoSpaceDE/>
        <w:autoSpaceDN/>
        <w:bidi w:val="0"/>
        <w:adjustRightInd/>
        <w:snapToGrid w:val="0"/>
        <w:spacing w:line="580" w:lineRule="exact"/>
        <w:jc w:val="both"/>
        <w:textAlignment w:val="auto"/>
        <w:rPr>
          <w:rFonts w:ascii="仿宋_GB2312" w:hAnsi="华文中宋"/>
          <w:bCs/>
          <w:sz w:val="36"/>
          <w:szCs w:val="44"/>
        </w:rPr>
      </w:pP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ascii="仿宋_GB2312" w:hAnsi="华文中宋"/>
          <w:bCs/>
          <w:sz w:val="36"/>
          <w:szCs w:val="44"/>
        </w:rPr>
      </w:pPr>
    </w:p>
    <w:p>
      <w:pPr>
        <w:keepNext w:val="0"/>
        <w:keepLines w:val="0"/>
        <w:pageBreakBefore w:val="0"/>
        <w:widowControl w:val="0"/>
        <w:kinsoku/>
        <w:wordWrap/>
        <w:overflowPunct/>
        <w:topLinePunct w:val="0"/>
        <w:autoSpaceDE/>
        <w:autoSpaceDN/>
        <w:bidi w:val="0"/>
        <w:adjustRightInd/>
        <w:snapToGrid w:val="0"/>
        <w:spacing w:after="0" w:line="540" w:lineRule="exact"/>
        <w:jc w:val="center"/>
        <w:textAlignment w:val="auto"/>
        <w:rPr>
          <w:rFonts w:hint="eastAsia" w:ascii="方正小标宋简体" w:hAnsi="方正小标宋简体" w:eastAsia="方正小标宋简体" w:cs="方正小标宋简体"/>
          <w:bCs/>
          <w:sz w:val="44"/>
          <w:szCs w:val="52"/>
        </w:rPr>
      </w:pPr>
      <w:r>
        <w:rPr>
          <w:rFonts w:hint="eastAsia" w:ascii="方正小标宋简体" w:hAnsi="方正小标宋简体" w:eastAsia="方正小标宋简体" w:cs="方正小标宋简体"/>
          <w:bCs/>
          <w:sz w:val="44"/>
          <w:szCs w:val="52"/>
        </w:rPr>
        <w:t>北京市</w:t>
      </w:r>
      <w:r>
        <w:rPr>
          <w:rFonts w:hint="eastAsia" w:ascii="方正小标宋简体" w:hAnsi="方正小标宋简体" w:eastAsia="方正小标宋简体" w:cs="方正小标宋简体"/>
          <w:bCs/>
          <w:sz w:val="44"/>
          <w:szCs w:val="52"/>
          <w:lang w:eastAsia="zh-CN"/>
        </w:rPr>
        <w:t>安全生产预防和应急救援能力建设补助资金转移支付20</w:t>
      </w:r>
      <w:r>
        <w:rPr>
          <w:rFonts w:hint="eastAsia" w:ascii="方正小标宋简体" w:hAnsi="方正小标宋简体" w:eastAsia="方正小标宋简体" w:cs="方正小标宋简体"/>
          <w:bCs/>
          <w:sz w:val="44"/>
          <w:szCs w:val="52"/>
          <w:lang w:val="en-US" w:eastAsia="zh-CN"/>
        </w:rPr>
        <w:t>2</w:t>
      </w:r>
      <w:r>
        <w:rPr>
          <w:rFonts w:hint="eastAsia" w:ascii="方正小标宋简体" w:hAnsi="方正小标宋简体" w:eastAsia="方正小标宋简体" w:cs="方正小标宋简体"/>
          <w:bCs/>
          <w:sz w:val="44"/>
          <w:szCs w:val="52"/>
          <w:lang w:val="en" w:eastAsia="zh-CN"/>
        </w:rPr>
        <w:t>3</w:t>
      </w:r>
      <w:r>
        <w:rPr>
          <w:rFonts w:hint="eastAsia" w:ascii="方正小标宋简体" w:hAnsi="方正小标宋简体" w:eastAsia="方正小标宋简体" w:cs="方正小标宋简体"/>
          <w:bCs/>
          <w:sz w:val="44"/>
          <w:szCs w:val="52"/>
          <w:lang w:eastAsia="zh-CN"/>
        </w:rPr>
        <w:t>年度</w:t>
      </w:r>
      <w:r>
        <w:rPr>
          <w:rFonts w:hint="eastAsia" w:ascii="方正小标宋简体" w:hAnsi="方正小标宋简体" w:eastAsia="方正小标宋简体" w:cs="方正小标宋简体"/>
          <w:bCs/>
          <w:sz w:val="44"/>
          <w:szCs w:val="52"/>
        </w:rPr>
        <w:t>绩效自评报告</w:t>
      </w:r>
    </w:p>
    <w:p>
      <w:pPr>
        <w:keepNext w:val="0"/>
        <w:keepLines w:val="0"/>
        <w:pageBreakBefore w:val="0"/>
        <w:widowControl w:val="0"/>
        <w:kinsoku/>
        <w:wordWrap/>
        <w:overflowPunct/>
        <w:topLinePunct w:val="0"/>
        <w:autoSpaceDE/>
        <w:autoSpaceDN/>
        <w:bidi w:val="0"/>
        <w:adjustRightInd/>
        <w:snapToGrid w:val="0"/>
        <w:spacing w:line="580" w:lineRule="exact"/>
        <w:jc w:val="both"/>
        <w:textAlignment w:val="auto"/>
        <w:rPr>
          <w:rFonts w:ascii="仿宋_GB2312" w:hAnsi="华文中宋"/>
          <w:bCs/>
          <w:sz w:val="36"/>
          <w:szCs w:val="44"/>
        </w:rPr>
      </w:pP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rPr>
      </w:pPr>
      <w:r>
        <w:rPr>
          <w:rFonts w:hint="eastAsia" w:ascii="黑体" w:hAnsi="黑体" w:eastAsia="黑体" w:cs="黑体"/>
          <w:bCs/>
          <w:szCs w:val="32"/>
        </w:rPr>
        <w:t>一、绩效目标分解下达情况</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ascii="仿宋_GB2312"/>
          <w:szCs w:val="32"/>
        </w:rPr>
      </w:pPr>
      <w:r>
        <w:rPr>
          <w:rFonts w:hint="eastAsia" w:ascii="仿宋_GB2312"/>
          <w:sz w:val="32"/>
          <w:szCs w:val="32"/>
          <w:lang w:val="en-US" w:eastAsia="zh-CN"/>
        </w:rPr>
        <w:t>2023年12月29日，财政部印发《关于下达2023年安全生产预防和应急救援能力建设补助资金预算（安全生产应急救援力量建设支出）的通知》，下达补助资金76532万元。其中，装备配备补助74747万元，应急演练能力建设补助1625万元，事故灾害救援补助160万元，并对项目绩效目标进行了明确。2024年1月25日，我市围绕“数量指标、质量指标、时效指标、社会效益指标、服务对象满意度指标”等指标，向驻京国家专业队分解下达补助资金预算项目绩效目标，同时将补助资金中的应急演练能力建设补助资金、事故灾害救援补助资金共计1785万元拨付至5支驻京国家专业队依托单位。其中，国家安全生产应急救援工程师队65万元、国家安全生产应急救援勘测队340万元、国家安全生产应急救援新兴际华队660万元、国家矿山应急救援大地特勘队320万元、国家危险化学品应急救援燕山石化队400万元。驻京国家专业队按照下达的项目绩效目标，认真组织项目实施，加快项目推进进度，抓好项目实施质量，积极开展救援和应急演练，队伍的快速出动、现场实战、救援协调以及自我保障能力得到有效提升。</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highlight w:val="none"/>
        </w:rPr>
      </w:pPr>
      <w:r>
        <w:rPr>
          <w:rFonts w:hint="eastAsia" w:ascii="黑体" w:hAnsi="黑体" w:eastAsia="黑体" w:cs="黑体"/>
          <w:bCs/>
          <w:szCs w:val="32"/>
          <w:highlight w:val="none"/>
        </w:rPr>
        <w:t>二、</w:t>
      </w:r>
      <w:r>
        <w:rPr>
          <w:rFonts w:hint="eastAsia" w:ascii="黑体" w:hAnsi="黑体" w:eastAsia="黑体" w:cs="黑体"/>
          <w:bCs/>
          <w:szCs w:val="32"/>
          <w:highlight w:val="none"/>
          <w:lang w:eastAsia="zh-CN"/>
        </w:rPr>
        <w:t>绩效</w:t>
      </w:r>
      <w:r>
        <w:rPr>
          <w:rFonts w:hint="eastAsia" w:ascii="黑体" w:hAnsi="黑体" w:eastAsia="黑体" w:cs="黑体"/>
          <w:bCs/>
          <w:szCs w:val="32"/>
          <w:highlight w:val="none"/>
        </w:rPr>
        <w:t>情况分析</w:t>
      </w:r>
    </w:p>
    <w:p>
      <w:pPr>
        <w:keepNext w:val="0"/>
        <w:keepLines w:val="0"/>
        <w:pageBreakBefore w:val="0"/>
        <w:widowControl w:val="0"/>
        <w:kinsoku/>
        <w:wordWrap/>
        <w:overflowPunct/>
        <w:topLinePunct w:val="0"/>
        <w:autoSpaceDE/>
        <w:autoSpaceDN/>
        <w:bidi w:val="0"/>
        <w:adjustRightInd/>
        <w:snapToGrid w:val="0"/>
        <w:spacing w:after="0" w:line="540" w:lineRule="exact"/>
        <w:ind w:firstLine="602" w:firstLineChars="200"/>
        <w:textAlignment w:val="auto"/>
        <w:outlineLvl w:val="0"/>
        <w:rPr>
          <w:rFonts w:ascii="仿宋_GB2312" w:hAnsi="仿宋_GB2312" w:cs="仿宋_GB2312"/>
          <w:szCs w:val="32"/>
          <w:highlight w:val="none"/>
        </w:rPr>
      </w:pPr>
      <w:r>
        <w:rPr>
          <w:rFonts w:hint="eastAsia" w:ascii="楷体_GB2312" w:hAnsi="楷体_GB2312" w:eastAsia="楷体_GB2312" w:cs="楷体_GB2312"/>
          <w:b/>
          <w:bCs/>
          <w:szCs w:val="32"/>
          <w:highlight w:val="none"/>
        </w:rPr>
        <w:t>（一）资金投入情况分析。</w:t>
      </w:r>
      <w:r>
        <w:rPr>
          <w:rFonts w:hint="eastAsia" w:ascii="仿宋_GB2312"/>
          <w:sz w:val="32"/>
          <w:szCs w:val="32"/>
          <w:highlight w:val="none"/>
          <w:lang w:val="en-US" w:eastAsia="zh-CN"/>
        </w:rPr>
        <w:t>按照财政部拨付资金要求，应急演练补助和事故救援补助资金共计1785万元已按时拨付至国家专业队依托单位，待各队伍上报装备招标采购方案并经市应急管理局审定后，再拨付装备配备补助资金。截至目前，应急演练补助和事故救援补助资金已执行937.04万元，预算执行率52.49%。其中，国家矿山应急救援大地特勘队执行320万元，执行率100%；国家安全生产应急救援新兴际华队执行617.04万，执行率93.49%。国家安全生产应急救援工程师队、国家安全生产应急救援勘测队、国家危险化学品应急救援燕山石化队等3支队伍计划2024年执行。</w:t>
      </w:r>
    </w:p>
    <w:p>
      <w:pPr>
        <w:keepNext w:val="0"/>
        <w:keepLines w:val="0"/>
        <w:pageBreakBefore w:val="0"/>
        <w:widowControl w:val="0"/>
        <w:kinsoku/>
        <w:wordWrap/>
        <w:overflowPunct/>
        <w:topLinePunct w:val="0"/>
        <w:autoSpaceDE/>
        <w:autoSpaceDN/>
        <w:bidi w:val="0"/>
        <w:adjustRightInd/>
        <w:snapToGrid w:val="0"/>
        <w:spacing w:after="0" w:line="540" w:lineRule="exact"/>
        <w:ind w:firstLine="602" w:firstLineChars="200"/>
        <w:textAlignment w:val="auto"/>
        <w:outlineLvl w:val="0"/>
        <w:rPr>
          <w:rFonts w:hint="eastAsia" w:ascii="仿宋_GB2312"/>
          <w:sz w:val="32"/>
          <w:szCs w:val="32"/>
          <w:lang w:val="en-US" w:eastAsia="zh-CN"/>
        </w:rPr>
      </w:pPr>
      <w:r>
        <w:rPr>
          <w:rFonts w:hint="eastAsia" w:ascii="楷体_GB2312" w:hAnsi="楷体_GB2312" w:eastAsia="楷体_GB2312" w:cs="楷体_GB2312"/>
          <w:b/>
          <w:bCs/>
          <w:szCs w:val="32"/>
          <w:highlight w:val="none"/>
          <w:lang w:eastAsia="zh-CN"/>
        </w:rPr>
        <w:t>（二）资金管理情况分析。</w:t>
      </w:r>
      <w:r>
        <w:rPr>
          <w:rFonts w:hint="eastAsia" w:ascii="仿宋_GB2312"/>
          <w:sz w:val="32"/>
          <w:szCs w:val="32"/>
          <w:lang w:val="en-US" w:eastAsia="zh-CN"/>
        </w:rPr>
        <w:t>我市严格按照《安全生产预防和应急救援能力建设补助资金管理办法》有关要求和财政部批复的补助资金情况，及时拨付给驻京国家专业队依托单位，并对补助资金实行全程监督管理，督导各队伍按照申报预算内容严格执行，组织各队伍开展绩效自评。资金拨付符合相关规定，不存在截留、挤占、挪用、虚列支出等情况。队伍及依托单位严格规范资金管理使用，认真履行支出责任，确保资金管理使用的安全化、公开化、透明化。</w:t>
      </w:r>
    </w:p>
    <w:p>
      <w:pPr>
        <w:keepNext w:val="0"/>
        <w:keepLines w:val="0"/>
        <w:pageBreakBefore w:val="0"/>
        <w:widowControl w:val="0"/>
        <w:kinsoku/>
        <w:wordWrap/>
        <w:overflowPunct/>
        <w:topLinePunct w:val="0"/>
        <w:autoSpaceDE/>
        <w:autoSpaceDN/>
        <w:bidi w:val="0"/>
        <w:adjustRightInd/>
        <w:snapToGrid w:val="0"/>
        <w:spacing w:after="0" w:line="540" w:lineRule="exact"/>
        <w:ind w:firstLine="602" w:firstLineChars="200"/>
        <w:textAlignment w:val="auto"/>
        <w:outlineLvl w:val="0"/>
        <w:rPr>
          <w:rFonts w:hint="eastAsia" w:ascii="仿宋_GB2312"/>
          <w:sz w:val="32"/>
          <w:szCs w:val="32"/>
          <w:lang w:val="en-US" w:eastAsia="zh-CN"/>
        </w:rPr>
      </w:pPr>
      <w:r>
        <w:rPr>
          <w:rFonts w:hint="eastAsia" w:ascii="楷体_GB2312" w:hAnsi="楷体_GB2312" w:eastAsia="楷体_GB2312" w:cs="楷体_GB2312"/>
          <w:b/>
          <w:bCs/>
          <w:szCs w:val="32"/>
        </w:rPr>
        <w:t>（</w:t>
      </w:r>
      <w:r>
        <w:rPr>
          <w:rFonts w:hint="eastAsia" w:ascii="楷体_GB2312" w:hAnsi="楷体_GB2312" w:eastAsia="楷体_GB2312" w:cs="楷体_GB2312"/>
          <w:b/>
          <w:bCs/>
          <w:szCs w:val="32"/>
          <w:lang w:eastAsia="zh-CN"/>
        </w:rPr>
        <w:t>三</w:t>
      </w:r>
      <w:r>
        <w:rPr>
          <w:rFonts w:hint="eastAsia" w:ascii="楷体_GB2312" w:hAnsi="楷体_GB2312" w:eastAsia="楷体_GB2312" w:cs="楷体_GB2312"/>
          <w:b/>
          <w:bCs/>
          <w:szCs w:val="32"/>
        </w:rPr>
        <w:t>）总体绩效目标完成情况分析。</w:t>
      </w:r>
      <w:r>
        <w:rPr>
          <w:rFonts w:hint="eastAsia" w:ascii="仿宋_GB2312"/>
          <w:sz w:val="32"/>
          <w:szCs w:val="32"/>
          <w:lang w:val="en-US" w:eastAsia="zh-CN"/>
        </w:rPr>
        <w:t>国家矿山应急救援大地特勘队、国家安全生产应急救援新兴际华队2支队伍通过开展救援和应急演练，进一步提高了队伍快速出动、现场实战能力、救援协调能力以及队伍长时间、远距离救援自我保障能力。由于国家安全生产应急救援工程师队、国家安全生产应急救援勘测队、国家危险化学品应急救援燕山石化队等3支队伍还未支出该项资金，绩效目标未完成。</w:t>
      </w:r>
    </w:p>
    <w:p>
      <w:pPr>
        <w:keepNext w:val="0"/>
        <w:keepLines w:val="0"/>
        <w:pageBreakBefore w:val="0"/>
        <w:widowControl w:val="0"/>
        <w:kinsoku/>
        <w:wordWrap/>
        <w:overflowPunct/>
        <w:topLinePunct w:val="0"/>
        <w:autoSpaceDE/>
        <w:autoSpaceDN/>
        <w:bidi w:val="0"/>
        <w:adjustRightInd/>
        <w:snapToGrid w:val="0"/>
        <w:spacing w:after="0" w:line="540" w:lineRule="exact"/>
        <w:ind w:firstLine="602" w:firstLineChars="200"/>
        <w:textAlignment w:val="auto"/>
        <w:outlineLvl w:val="0"/>
        <w:rPr>
          <w:rFonts w:hint="eastAsia" w:ascii="仿宋_GB2312"/>
          <w:sz w:val="32"/>
          <w:szCs w:val="32"/>
          <w:lang w:val="en-US" w:eastAsia="zh-CN"/>
        </w:rPr>
      </w:pPr>
      <w:r>
        <w:rPr>
          <w:rFonts w:hint="eastAsia" w:ascii="楷体_GB2312" w:hAnsi="楷体_GB2312" w:eastAsia="楷体_GB2312" w:cs="楷体_GB2312"/>
          <w:b/>
          <w:bCs/>
          <w:szCs w:val="32"/>
        </w:rPr>
        <w:t>（</w:t>
      </w:r>
      <w:r>
        <w:rPr>
          <w:rFonts w:hint="eastAsia" w:ascii="楷体_GB2312" w:hAnsi="楷体_GB2312" w:eastAsia="楷体_GB2312" w:cs="楷体_GB2312"/>
          <w:b/>
          <w:bCs/>
          <w:szCs w:val="32"/>
          <w:lang w:eastAsia="zh-CN"/>
        </w:rPr>
        <w:t>四</w:t>
      </w:r>
      <w:r>
        <w:rPr>
          <w:rFonts w:hint="eastAsia" w:ascii="楷体_GB2312" w:hAnsi="楷体_GB2312" w:eastAsia="楷体_GB2312" w:cs="楷体_GB2312"/>
          <w:b/>
          <w:bCs/>
          <w:szCs w:val="32"/>
        </w:rPr>
        <w:t>）绩效指标完成情况分析。</w:t>
      </w:r>
      <w:r>
        <w:rPr>
          <w:rFonts w:hint="eastAsia" w:ascii="仿宋_GB2312"/>
          <w:sz w:val="32"/>
          <w:szCs w:val="32"/>
          <w:lang w:val="en-US" w:eastAsia="zh-CN"/>
        </w:rPr>
        <w:t>我市对照各队伍申报预算时预设的绩效指标值，围绕数量、质量、时效、成本、社会效益、服务对象满意度等指标进行了认真分析。</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hint="eastAsia" w:ascii="仿宋_GB2312"/>
          <w:sz w:val="32"/>
          <w:szCs w:val="32"/>
          <w:lang w:val="en-US" w:eastAsia="zh-CN"/>
        </w:rPr>
      </w:pPr>
      <w:r>
        <w:rPr>
          <w:rFonts w:hint="eastAsia" w:ascii="仿宋_GB2312"/>
          <w:sz w:val="32"/>
          <w:szCs w:val="32"/>
          <w:lang w:val="en-US" w:eastAsia="zh-CN"/>
        </w:rPr>
        <w:t>（1）数量指标：一是支持建设国家矿山应急救援队伍1支、支持建设国家危险化学品应急救援队伍1支、支持建设国家专业支撑保障队伍4支，以上指标已完成。二是为矿山队配备钻探救援类装备≥9台（套）、为矿山队配备其他装备≥17台（套）、为危险化学品队配备灭火抢险类装备≥11台（套）、为危险化学品队配备洗消救护类装备≥1台（套）、为危险化学品队配备其他装备≥4台（套）、为实训演练及装备测试队配备装备≥55台（套）、为应急医学队配备装备≥18台（套）、为勘测队配备装备≥14台（套）、为后勤支援队配备装备≥61台（套），以上指标未完成。未完成主要原因：截至2023年底，装备采购相关工作处于前期筹备阶段，待装备招标采购方案审定后组织实施。</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hint="eastAsia" w:ascii="仿宋_GB2312"/>
          <w:sz w:val="32"/>
          <w:szCs w:val="32"/>
          <w:lang w:val="en-US" w:eastAsia="zh-CN"/>
        </w:rPr>
      </w:pPr>
      <w:r>
        <w:rPr>
          <w:rFonts w:hint="eastAsia" w:ascii="仿宋_GB2312"/>
          <w:sz w:val="32"/>
          <w:szCs w:val="32"/>
          <w:lang w:val="en-US" w:eastAsia="zh-CN"/>
        </w:rPr>
        <w:t>（2）质量指标：各类车辆及大型装备按照国家专业应急救援队伍有关标志标识规范进行涂装达100%、各类车辆及大型装备安装数据采集终端，能够接入应急管理部相关指挥控制系统达100%、队员装备操作培训通过率达100%、建立装备台账，及时更新台账信息、事故灾害救援现场音视频、图像和数据实时传入能力得到提升、验收通过率大100%、化工装置火灾事故处置能力得到提升、实训演练及装备测试能力得到提升、应急医疗救护水平得到提升、次生事故灾害预警能力得到提升、事故灾害发生时，队伍响应应急管理部指挥调动，及时赶赴现场救援率达100%、矿山队伍标准化建设达标率达100%、队伍全员参与实训演练覆盖率达100%、实训演练考核评估结果合格。以上指标未完成。未完成主要原因：一是装备采购相关工作尚未实施，二是2023年国家矿山应急救援大地特勘队、国家安全生产应急救援新兴际华队2支国家专业队开展了实训演练，其余3支计划2024年开展。</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hint="eastAsia" w:ascii="仿宋_GB2312"/>
          <w:sz w:val="32"/>
          <w:szCs w:val="32"/>
          <w:lang w:val="en-US" w:eastAsia="zh-CN"/>
        </w:rPr>
      </w:pPr>
      <w:r>
        <w:rPr>
          <w:rFonts w:hint="eastAsia" w:ascii="仿宋_GB2312"/>
          <w:sz w:val="32"/>
          <w:szCs w:val="32"/>
          <w:lang w:val="en-US" w:eastAsia="zh-CN"/>
        </w:rPr>
        <w:t>（3）时效指标：建设周期≤1年、实训演练计划完成率达100%、国家矿山应急救援大地特勘队打通600米井深小口径生命探查保障孔≤72小时、无补给状态下自我保障时间≥72小时。以上指标未全部完成。未完成主要原因：钻孔装备和自我保障装备尚未采购到位。</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hint="eastAsia" w:ascii="仿宋_GB2312"/>
          <w:sz w:val="32"/>
          <w:szCs w:val="32"/>
          <w:lang w:val="en-US" w:eastAsia="zh-CN"/>
        </w:rPr>
      </w:pPr>
      <w:r>
        <w:rPr>
          <w:rFonts w:hint="eastAsia" w:ascii="仿宋_GB2312"/>
          <w:sz w:val="32"/>
          <w:szCs w:val="32"/>
          <w:lang w:val="en-US" w:eastAsia="zh-CN"/>
        </w:rPr>
        <w:t>（4）社会效益指标：重点行业领域生产安全事故救援能力显著增强、在自然灾害抢险救援中发挥救援协调作用得到提升、助力依托企业（单位）防范化解安全风险减少事故发生发挥作用成效明显。以上指标有了部分提升、成效较好。下一步，待装备配备到位后，通过进一步加强装备的操作使用和应急演练，安全生产事故救援能力将得到更全面、更有力的提升。</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ascii="仿宋_GB2312"/>
          <w:szCs w:val="32"/>
        </w:rPr>
      </w:pPr>
      <w:r>
        <w:rPr>
          <w:rFonts w:hint="eastAsia" w:ascii="仿宋_GB2312"/>
          <w:sz w:val="32"/>
          <w:szCs w:val="32"/>
          <w:lang w:val="en-US" w:eastAsia="zh-CN"/>
        </w:rPr>
        <w:t>（5）服务对象满意度指标：接受服务的企业对队伍的满意度≥95%、地方应急管理部门对队伍满意度≥95%。由于企业尚未接受服务，且队伍在首都应急救援工作中发挥作用还没有完全凸显，因</w:t>
      </w:r>
      <w:r>
        <w:rPr>
          <w:rFonts w:hint="eastAsia"/>
          <w:sz w:val="32"/>
          <w:szCs w:val="20"/>
        </w:rPr>
        <w:t>具体满意度实现情况缺少有效数据支撑</w:t>
      </w:r>
      <w:r>
        <w:rPr>
          <w:rFonts w:hint="eastAsia" w:eastAsia="仿宋_GB2312"/>
          <w:sz w:val="32"/>
          <w:szCs w:val="20"/>
          <w:lang w:eastAsia="zh-CN"/>
        </w:rPr>
        <w:t>。</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仿宋_GB2312"/>
          <w:szCs w:val="32"/>
        </w:rPr>
      </w:pPr>
      <w:r>
        <w:rPr>
          <w:rFonts w:hint="eastAsia" w:ascii="黑体" w:hAnsi="黑体" w:eastAsia="黑体" w:cs="黑体"/>
          <w:bCs/>
          <w:szCs w:val="32"/>
        </w:rPr>
        <w:t>三、偏离绩效目标的原因和下一步改进措施</w:t>
      </w:r>
    </w:p>
    <w:p>
      <w:pPr>
        <w:keepNext w:val="0"/>
        <w:keepLines w:val="0"/>
        <w:pageBreakBefore w:val="0"/>
        <w:widowControl w:val="0"/>
        <w:kinsoku/>
        <w:wordWrap w:val="0"/>
        <w:overflowPunct/>
        <w:topLinePunct w:val="0"/>
        <w:autoSpaceDE/>
        <w:autoSpaceDN/>
        <w:bidi w:val="0"/>
        <w:adjustRightInd w:val="0"/>
        <w:snapToGrid w:val="0"/>
        <w:spacing w:after="0" w:line="540"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（一）偏离绩效目标的原因</w:t>
      </w:r>
    </w:p>
    <w:p>
      <w:pPr>
        <w:keepNext w:val="0"/>
        <w:keepLines w:val="0"/>
        <w:pageBreakBefore w:val="0"/>
        <w:widowControl w:val="0"/>
        <w:kinsoku/>
        <w:wordWrap/>
        <w:overflowPunct/>
        <w:topLinePunct w:val="0"/>
        <w:autoSpaceDE/>
        <w:autoSpaceDN/>
        <w:bidi w:val="0"/>
        <w:adjustRightInd/>
        <w:snapToGrid w:val="0"/>
        <w:spacing w:after="0" w:line="540" w:lineRule="exact"/>
        <w:ind w:firstLine="642" w:firstLineChars="200"/>
        <w:textAlignment w:val="auto"/>
        <w:outlineLvl w:val="0"/>
        <w:rPr>
          <w:rFonts w:hint="eastAsia" w:ascii="仿宋_GB2312" w:hAnsi="仿宋"/>
          <w:sz w:val="32"/>
          <w:szCs w:val="32"/>
          <w:highlight w:val="none"/>
        </w:rPr>
      </w:pPr>
      <w:r>
        <w:rPr>
          <w:rFonts w:hint="eastAsia" w:ascii="仿宋_GB2312"/>
          <w:b/>
          <w:bCs/>
          <w:sz w:val="32"/>
          <w:szCs w:val="32"/>
          <w:highlight w:val="none"/>
          <w:lang w:val="en-US" w:eastAsia="zh-CN"/>
        </w:rPr>
        <w:t>一是</w:t>
      </w:r>
      <w:r>
        <w:rPr>
          <w:rFonts w:hint="eastAsia" w:ascii="仿宋_GB2312" w:hAnsi="仿宋_GB2312" w:eastAsia="仿宋_GB2312" w:cs="仿宋_GB2312"/>
          <w:b/>
          <w:bCs/>
          <w:sz w:val="32"/>
          <w:szCs w:val="32"/>
          <w:highlight w:val="none"/>
        </w:rPr>
        <w:t>项目过程管理有待提升</w:t>
      </w:r>
      <w:r>
        <w:rPr>
          <w:rFonts w:hint="eastAsia" w:ascii="仿宋_GB2312" w:hAnsi="仿宋_GB2312" w:cs="仿宋_GB2312"/>
          <w:b/>
          <w:bCs/>
          <w:sz w:val="32"/>
          <w:szCs w:val="32"/>
          <w:highlight w:val="none"/>
          <w:lang w:eastAsia="zh-CN"/>
        </w:rPr>
        <w:t>。</w:t>
      </w:r>
      <w:r>
        <w:rPr>
          <w:rFonts w:hint="eastAsia" w:ascii="仿宋_GB2312"/>
          <w:sz w:val="32"/>
          <w:szCs w:val="30"/>
          <w:highlight w:val="none"/>
        </w:rPr>
        <w:t>项目</w:t>
      </w:r>
      <w:r>
        <w:rPr>
          <w:rFonts w:hint="eastAsia" w:ascii="仿宋_GB2312"/>
          <w:sz w:val="32"/>
          <w:szCs w:val="30"/>
          <w:highlight w:val="none"/>
          <w:lang w:eastAsia="zh-CN"/>
        </w:rPr>
        <w:t>申报材料中涉及</w:t>
      </w:r>
      <w:r>
        <w:rPr>
          <w:rFonts w:hint="eastAsia" w:ascii="仿宋_GB2312" w:hAnsi="仿宋"/>
          <w:sz w:val="32"/>
          <w:szCs w:val="32"/>
          <w:highlight w:val="none"/>
        </w:rPr>
        <w:t>项目风险分析及控制措施、验收等工作环节的具体</w:t>
      </w:r>
      <w:r>
        <w:rPr>
          <w:rFonts w:hint="eastAsia" w:ascii="仿宋_GB2312" w:hAnsi="仿宋"/>
          <w:sz w:val="32"/>
          <w:szCs w:val="32"/>
          <w:highlight w:val="none"/>
          <w:lang w:eastAsia="zh-CN"/>
        </w:rPr>
        <w:t>内容尚不充分</w:t>
      </w:r>
      <w:r>
        <w:rPr>
          <w:rFonts w:hint="eastAsia" w:ascii="仿宋_GB2312" w:hAnsi="仿宋"/>
          <w:sz w:val="32"/>
          <w:szCs w:val="32"/>
          <w:highlight w:val="none"/>
        </w:rPr>
        <w:t>，</w:t>
      </w:r>
      <w:r>
        <w:rPr>
          <w:rFonts w:hint="eastAsia" w:ascii="仿宋_GB2312" w:hAnsi="仿宋"/>
          <w:sz w:val="32"/>
          <w:szCs w:val="32"/>
          <w:highlight w:val="none"/>
          <w:lang w:eastAsia="zh-CN"/>
        </w:rPr>
        <w:t>需</w:t>
      </w:r>
      <w:r>
        <w:rPr>
          <w:rFonts w:hint="eastAsia" w:ascii="仿宋_GB2312" w:hAnsi="仿宋"/>
          <w:sz w:val="32"/>
          <w:szCs w:val="32"/>
          <w:highlight w:val="none"/>
        </w:rPr>
        <w:t>进一步做好风险预案管理。</w:t>
      </w:r>
    </w:p>
    <w:p>
      <w:pPr>
        <w:keepNext w:val="0"/>
        <w:keepLines w:val="0"/>
        <w:pageBreakBefore w:val="0"/>
        <w:widowControl w:val="0"/>
        <w:kinsoku/>
        <w:wordWrap w:val="0"/>
        <w:overflowPunct/>
        <w:topLinePunct w:val="0"/>
        <w:autoSpaceDE/>
        <w:autoSpaceDN/>
        <w:bidi w:val="0"/>
        <w:adjustRightInd w:val="0"/>
        <w:snapToGrid w:val="0"/>
        <w:spacing w:after="0" w:line="540" w:lineRule="exact"/>
        <w:ind w:firstLine="642" w:firstLineChars="200"/>
        <w:textAlignment w:val="auto"/>
        <w:rPr>
          <w:rFonts w:hint="eastAsia" w:ascii="仿宋_GB2312" w:eastAsia="仿宋_GB2312"/>
          <w:b/>
          <w:bCs/>
          <w:sz w:val="32"/>
          <w:szCs w:val="20"/>
          <w:highlight w:val="none"/>
          <w:lang w:eastAsia="zh-CN"/>
        </w:rPr>
      </w:pPr>
      <w:r>
        <w:rPr>
          <w:rFonts w:hint="eastAsia" w:ascii="仿宋_GB2312" w:hAnsi="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lang w:eastAsia="zh-CN"/>
        </w:rPr>
        <w:t>是</w:t>
      </w:r>
      <w:r>
        <w:rPr>
          <w:rFonts w:hint="eastAsia" w:ascii="仿宋_GB2312" w:hAnsi="仿宋_GB2312" w:eastAsia="仿宋_GB2312" w:cs="仿宋_GB2312"/>
          <w:b/>
          <w:bCs/>
          <w:sz w:val="32"/>
          <w:szCs w:val="32"/>
          <w:highlight w:val="none"/>
        </w:rPr>
        <w:t>项目日常动态管理意识有待提高</w:t>
      </w:r>
      <w:r>
        <w:rPr>
          <w:rFonts w:hint="eastAsia" w:ascii="仿宋_GB2312" w:hAnsi="仿宋_GB2312" w:eastAsia="仿宋_GB2312" w:cs="仿宋_GB2312"/>
          <w:b/>
          <w:bCs/>
          <w:sz w:val="32"/>
          <w:szCs w:val="32"/>
          <w:highlight w:val="none"/>
          <w:lang w:eastAsia="zh-CN"/>
        </w:rPr>
        <w:t>。</w:t>
      </w:r>
      <w:r>
        <w:rPr>
          <w:rFonts w:hint="eastAsia" w:ascii="仿宋_GB2312" w:hAnsi="宋体"/>
          <w:sz w:val="32"/>
          <w:szCs w:val="32"/>
          <w:highlight w:val="none"/>
          <w:lang w:eastAsia="zh-CN"/>
        </w:rPr>
        <w:t>各队伍对项目的日常动态管理意识尚有不足，装备采购成本效益</w:t>
      </w:r>
      <w:r>
        <w:rPr>
          <w:rFonts w:hint="eastAsia" w:ascii="仿宋_GB2312"/>
          <w:bCs/>
          <w:sz w:val="32"/>
          <w:szCs w:val="28"/>
          <w:highlight w:val="none"/>
        </w:rPr>
        <w:t>有进一步提升空间</w:t>
      </w:r>
      <w:r>
        <w:rPr>
          <w:rFonts w:hint="eastAsia" w:ascii="仿宋_GB2312" w:hAnsi="宋体"/>
          <w:sz w:val="32"/>
          <w:szCs w:val="32"/>
          <w:highlight w:val="none"/>
          <w:lang w:eastAsia="zh-CN"/>
        </w:rPr>
        <w:t>。</w:t>
      </w:r>
      <w:bookmarkStart w:id="3" w:name="_GoBack"/>
      <w:bookmarkEnd w:id="3"/>
    </w:p>
    <w:p>
      <w:pPr>
        <w:keepNext w:val="0"/>
        <w:keepLines w:val="0"/>
        <w:pageBreakBefore w:val="0"/>
        <w:widowControl w:val="0"/>
        <w:numPr>
          <w:ilvl w:val="0"/>
          <w:numId w:val="1"/>
        </w:numPr>
        <w:kinsoku/>
        <w:wordWrap w:val="0"/>
        <w:overflowPunct/>
        <w:topLinePunct w:val="0"/>
        <w:autoSpaceDE/>
        <w:autoSpaceDN/>
        <w:bidi w:val="0"/>
        <w:adjustRightInd w:val="0"/>
        <w:snapToGrid w:val="0"/>
        <w:spacing w:after="0" w:line="540" w:lineRule="exact"/>
        <w:ind w:firstLine="640" w:firstLineChars="200"/>
        <w:textAlignment w:val="auto"/>
        <w:rPr>
          <w:rFonts w:hint="eastAsia" w:ascii="楷体_GB2312" w:hAnsi="楷体_GB2312" w:eastAsia="楷体_GB2312" w:cs="楷体_GB2312"/>
          <w:b w:val="0"/>
          <w:bCs w:val="0"/>
          <w:sz w:val="32"/>
          <w:szCs w:val="32"/>
          <w:lang w:eastAsia="zh-CN"/>
        </w:rPr>
      </w:pPr>
      <w:bookmarkStart w:id="0" w:name="_Toc136421344"/>
      <w:r>
        <w:rPr>
          <w:rFonts w:hint="eastAsia" w:ascii="楷体_GB2312" w:hAnsi="楷体_GB2312" w:eastAsia="楷体_GB2312" w:cs="楷体_GB2312"/>
          <w:b w:val="0"/>
          <w:bCs w:val="0"/>
          <w:sz w:val="32"/>
          <w:szCs w:val="32"/>
          <w:lang w:eastAsia="zh-CN"/>
        </w:rPr>
        <w:t>下一步改进措施</w:t>
      </w:r>
    </w:p>
    <w:p>
      <w:pPr>
        <w:keepNext w:val="0"/>
        <w:keepLines w:val="0"/>
        <w:pageBreakBefore w:val="0"/>
        <w:widowControl w:val="0"/>
        <w:kinsoku/>
        <w:wordWrap w:val="0"/>
        <w:overflowPunct/>
        <w:topLinePunct w:val="0"/>
        <w:autoSpaceDE/>
        <w:autoSpaceDN/>
        <w:bidi w:val="0"/>
        <w:adjustRightInd w:val="0"/>
        <w:snapToGrid w:val="0"/>
        <w:spacing w:after="0" w:line="540" w:lineRule="exact"/>
        <w:ind w:firstLine="642" w:firstLineChars="200"/>
        <w:textAlignment w:val="auto"/>
        <w:rPr>
          <w:rFonts w:ascii="仿宋_GB2312" w:cs="仿宋_GB2312"/>
          <w:bCs/>
          <w:sz w:val="32"/>
          <w:szCs w:val="28"/>
        </w:rPr>
      </w:pPr>
      <w:r>
        <w:rPr>
          <w:rFonts w:hint="eastAsia" w:ascii="仿宋_GB2312"/>
          <w:b/>
          <w:bCs w:val="0"/>
          <w:sz w:val="32"/>
          <w:szCs w:val="28"/>
          <w:highlight w:val="none"/>
          <w:lang w:eastAsia="zh-CN"/>
        </w:rPr>
        <w:t>一是</w:t>
      </w:r>
      <w:r>
        <w:rPr>
          <w:rFonts w:hint="eastAsia" w:ascii="仿宋_GB2312"/>
          <w:b/>
          <w:bCs w:val="0"/>
          <w:sz w:val="32"/>
          <w:szCs w:val="28"/>
          <w:highlight w:val="none"/>
        </w:rPr>
        <w:t>完善项目预算编制</w:t>
      </w:r>
      <w:bookmarkEnd w:id="0"/>
      <w:r>
        <w:rPr>
          <w:rFonts w:hint="eastAsia" w:ascii="仿宋_GB2312"/>
          <w:b/>
          <w:bCs w:val="0"/>
          <w:sz w:val="32"/>
          <w:szCs w:val="28"/>
          <w:highlight w:val="none"/>
          <w:lang w:eastAsia="zh-CN"/>
        </w:rPr>
        <w:t>依据。</w:t>
      </w:r>
      <w:r>
        <w:rPr>
          <w:rFonts w:hint="eastAsia" w:ascii="仿宋_GB2312" w:hAnsi="仿宋_GB2312" w:cs="仿宋_GB2312"/>
          <w:sz w:val="32"/>
          <w:szCs w:val="32"/>
        </w:rPr>
        <w:t>项目单位</w:t>
      </w:r>
      <w:r>
        <w:rPr>
          <w:rFonts w:hint="eastAsia" w:ascii="仿宋_GB2312" w:cs="仿宋_GB2312"/>
          <w:sz w:val="32"/>
          <w:szCs w:val="28"/>
        </w:rPr>
        <w:t>结合项目当年工作内容，加强</w:t>
      </w:r>
      <w:r>
        <w:rPr>
          <w:rFonts w:hint="eastAsia" w:ascii="仿宋_GB2312" w:hAnsi="宋体" w:cs="仿宋_GB2312"/>
          <w:sz w:val="32"/>
          <w:szCs w:val="28"/>
        </w:rPr>
        <w:t>项目成本预算绩效分析，</w:t>
      </w:r>
      <w:r>
        <w:rPr>
          <w:rFonts w:hint="eastAsia" w:ascii="仿宋_GB2312"/>
          <w:sz w:val="32"/>
          <w:szCs w:val="32"/>
        </w:rPr>
        <w:t>按照绩效目标、投入成本、产出质量与效益匹配对应的原则，</w:t>
      </w:r>
      <w:r>
        <w:rPr>
          <w:rFonts w:hint="eastAsia" w:ascii="仿宋_GB2312" w:hAnsi="宋体" w:cs="仿宋_GB2312"/>
          <w:sz w:val="32"/>
          <w:szCs w:val="28"/>
        </w:rPr>
        <w:t>合理确定项目实施成本，提高预算编制科学合理性。</w:t>
      </w:r>
    </w:p>
    <w:p>
      <w:pPr>
        <w:keepNext w:val="0"/>
        <w:keepLines w:val="0"/>
        <w:pageBreakBefore w:val="0"/>
        <w:widowControl w:val="0"/>
        <w:kinsoku/>
        <w:wordWrap w:val="0"/>
        <w:overflowPunct/>
        <w:topLinePunct w:val="0"/>
        <w:autoSpaceDE/>
        <w:autoSpaceDN/>
        <w:bidi w:val="0"/>
        <w:adjustRightInd w:val="0"/>
        <w:snapToGrid w:val="0"/>
        <w:spacing w:after="0" w:line="540" w:lineRule="exact"/>
        <w:ind w:firstLine="642" w:firstLineChars="200"/>
        <w:textAlignment w:val="auto"/>
        <w:rPr>
          <w:rFonts w:hint="eastAsia" w:ascii="仿宋_GB2312" w:hAnsi="仿宋"/>
          <w:sz w:val="32"/>
          <w:szCs w:val="32"/>
        </w:rPr>
      </w:pPr>
      <w:bookmarkStart w:id="1" w:name="_Toc136421345"/>
      <w:r>
        <w:rPr>
          <w:rFonts w:hint="eastAsia" w:ascii="仿宋_GB2312"/>
          <w:b/>
          <w:bCs w:val="0"/>
          <w:sz w:val="32"/>
          <w:szCs w:val="28"/>
          <w:highlight w:val="none"/>
          <w:lang w:eastAsia="zh-CN"/>
        </w:rPr>
        <w:t>二是</w:t>
      </w:r>
      <w:r>
        <w:rPr>
          <w:rFonts w:hint="eastAsia" w:ascii="仿宋_GB2312"/>
          <w:b/>
          <w:bCs w:val="0"/>
          <w:sz w:val="32"/>
          <w:szCs w:val="28"/>
          <w:highlight w:val="none"/>
        </w:rPr>
        <w:t>强化项目过程监管</w:t>
      </w:r>
      <w:bookmarkEnd w:id="1"/>
      <w:r>
        <w:rPr>
          <w:rFonts w:hint="eastAsia" w:ascii="仿宋_GB2312"/>
          <w:b/>
          <w:bCs w:val="0"/>
          <w:sz w:val="32"/>
          <w:szCs w:val="28"/>
          <w:highlight w:val="none"/>
          <w:lang w:eastAsia="zh-CN"/>
        </w:rPr>
        <w:t>。</w:t>
      </w:r>
      <w:r>
        <w:rPr>
          <w:rFonts w:hint="eastAsia" w:ascii="仿宋_GB2312" w:hAnsi="仿宋_GB2312" w:cs="仿宋_GB2312"/>
          <w:bCs/>
          <w:sz w:val="32"/>
          <w:szCs w:val="32"/>
          <w:lang w:eastAsia="zh-CN"/>
        </w:rPr>
        <w:t>进一步</w:t>
      </w:r>
      <w:r>
        <w:rPr>
          <w:rFonts w:hint="eastAsia" w:ascii="仿宋_GB2312" w:hAnsi="仿宋_GB2312" w:cs="仿宋_GB2312"/>
          <w:bCs/>
          <w:sz w:val="32"/>
          <w:szCs w:val="32"/>
        </w:rPr>
        <w:t>完善</w:t>
      </w:r>
      <w:r>
        <w:rPr>
          <w:rFonts w:hint="eastAsia" w:ascii="仿宋_GB2312" w:hAnsi="仿宋_GB2312" w:cs="仿宋_GB2312"/>
          <w:bCs/>
          <w:sz w:val="32"/>
          <w:szCs w:val="32"/>
          <w:lang w:eastAsia="zh-CN"/>
        </w:rPr>
        <w:t>装备采购</w:t>
      </w:r>
      <w:r>
        <w:rPr>
          <w:rFonts w:hint="eastAsia" w:ascii="仿宋_GB2312" w:hAnsi="仿宋_GB2312" w:cs="仿宋_GB2312"/>
          <w:bCs/>
          <w:sz w:val="32"/>
          <w:szCs w:val="32"/>
        </w:rPr>
        <w:t>方案，明确项目风险分析及控制措施、验收等工作环节的具体安排，</w:t>
      </w:r>
      <w:r>
        <w:rPr>
          <w:rFonts w:hint="eastAsia" w:ascii="仿宋_GB2312" w:hAnsi="仿宋"/>
          <w:sz w:val="32"/>
          <w:szCs w:val="32"/>
        </w:rPr>
        <w:t>加强</w:t>
      </w:r>
      <w:r>
        <w:rPr>
          <w:rFonts w:hint="eastAsia" w:ascii="仿宋_GB2312" w:hAnsi="仿宋"/>
          <w:sz w:val="32"/>
          <w:szCs w:val="32"/>
          <w:lang w:eastAsia="zh-CN"/>
        </w:rPr>
        <w:t>对</w:t>
      </w:r>
      <w:r>
        <w:rPr>
          <w:rFonts w:hint="eastAsia" w:ascii="仿宋_GB2312" w:hAnsi="仿宋"/>
          <w:sz w:val="32"/>
          <w:szCs w:val="32"/>
        </w:rPr>
        <w:t>供应商风险防范和预案管理</w:t>
      </w:r>
      <w:r>
        <w:rPr>
          <w:rFonts w:hint="eastAsia" w:ascii="仿宋_GB2312" w:hAnsi="仿宋_GB2312" w:cs="仿宋_GB2312"/>
          <w:bCs/>
          <w:sz w:val="32"/>
          <w:szCs w:val="32"/>
        </w:rPr>
        <w:t>，</w:t>
      </w:r>
      <w:r>
        <w:rPr>
          <w:rFonts w:hint="eastAsia" w:ascii="仿宋_GB2312"/>
          <w:sz w:val="32"/>
          <w:szCs w:val="28"/>
        </w:rPr>
        <w:t>以有效指导项目管理和实施</w:t>
      </w:r>
      <w:r>
        <w:rPr>
          <w:rFonts w:hint="eastAsia" w:ascii="仿宋_GB2312" w:hAnsi="仿宋_GB2312" w:cs="仿宋_GB2312"/>
          <w:sz w:val="32"/>
          <w:szCs w:val="32"/>
        </w:rPr>
        <w:t>。</w:t>
      </w:r>
      <w:r>
        <w:rPr>
          <w:rFonts w:hint="eastAsia" w:ascii="仿宋_GB2312" w:hAnsi="仿宋"/>
          <w:sz w:val="32"/>
          <w:szCs w:val="32"/>
        </w:rPr>
        <w:t>严格落实项目主体责任，强化项目过程监管，</w:t>
      </w:r>
      <w:r>
        <w:rPr>
          <w:rFonts w:hint="eastAsia" w:ascii="仿宋_GB2312"/>
          <w:sz w:val="32"/>
          <w:szCs w:val="28"/>
        </w:rPr>
        <w:t>确保财政资金使用效益</w:t>
      </w:r>
      <w:r>
        <w:rPr>
          <w:rFonts w:hint="eastAsia" w:ascii="仿宋_GB2312" w:hAnsi="仿宋"/>
          <w:sz w:val="32"/>
          <w:szCs w:val="32"/>
        </w:rPr>
        <w:t>。</w:t>
      </w:r>
      <w:bookmarkStart w:id="2" w:name="_Toc136421346"/>
    </w:p>
    <w:p>
      <w:pPr>
        <w:keepNext w:val="0"/>
        <w:keepLines w:val="0"/>
        <w:pageBreakBefore w:val="0"/>
        <w:widowControl w:val="0"/>
        <w:kinsoku/>
        <w:wordWrap w:val="0"/>
        <w:overflowPunct/>
        <w:topLinePunct w:val="0"/>
        <w:autoSpaceDE/>
        <w:autoSpaceDN/>
        <w:bidi w:val="0"/>
        <w:adjustRightInd w:val="0"/>
        <w:snapToGrid w:val="0"/>
        <w:spacing w:after="0" w:line="540" w:lineRule="exact"/>
        <w:ind w:firstLine="642" w:firstLineChars="200"/>
        <w:textAlignment w:val="auto"/>
        <w:rPr>
          <w:rFonts w:hint="eastAsia" w:ascii="仿宋_GB2312"/>
          <w:szCs w:val="32"/>
          <w:lang w:eastAsia="zh-CN"/>
        </w:rPr>
      </w:pPr>
      <w:r>
        <w:rPr>
          <w:rFonts w:hint="eastAsia" w:ascii="仿宋_GB2312"/>
          <w:b/>
          <w:bCs w:val="0"/>
          <w:sz w:val="32"/>
          <w:szCs w:val="28"/>
          <w:highlight w:val="none"/>
          <w:lang w:eastAsia="zh-CN"/>
        </w:rPr>
        <w:t>三是</w:t>
      </w:r>
      <w:r>
        <w:rPr>
          <w:rFonts w:hint="eastAsia" w:ascii="仿宋_GB2312"/>
          <w:b/>
          <w:bCs w:val="0"/>
          <w:sz w:val="32"/>
          <w:szCs w:val="28"/>
          <w:highlight w:val="none"/>
        </w:rPr>
        <w:t>强化服务对象满意度调查</w:t>
      </w:r>
      <w:bookmarkEnd w:id="2"/>
      <w:r>
        <w:rPr>
          <w:rFonts w:hint="eastAsia" w:ascii="仿宋_GB2312"/>
          <w:b/>
          <w:bCs w:val="0"/>
          <w:sz w:val="32"/>
          <w:szCs w:val="28"/>
          <w:highlight w:val="none"/>
          <w:lang w:eastAsia="zh-CN"/>
        </w:rPr>
        <w:t>。</w:t>
      </w:r>
      <w:r>
        <w:rPr>
          <w:rFonts w:hint="eastAsia" w:ascii="仿宋_GB2312" w:hAnsi="仿宋"/>
          <w:sz w:val="32"/>
          <w:szCs w:val="32"/>
        </w:rPr>
        <w:t>进一步收集并完善项目效益支撑材料，为成本效益分析提供有力支持。</w:t>
      </w:r>
      <w:r>
        <w:rPr>
          <w:rFonts w:hint="eastAsia" w:ascii="仿宋_GB2312" w:hAnsi="仿宋_GB2312" w:cs="仿宋_GB2312"/>
          <w:sz w:val="32"/>
          <w:szCs w:val="32"/>
        </w:rPr>
        <w:t>积极开展服务对象满意度调查工作，项目执行结束后，</w:t>
      </w:r>
      <w:r>
        <w:rPr>
          <w:rFonts w:hint="eastAsia" w:ascii="仿宋_GB2312"/>
          <w:sz w:val="32"/>
          <w:szCs w:val="20"/>
        </w:rPr>
        <w:t>分类开展服务对象</w:t>
      </w:r>
      <w:r>
        <w:rPr>
          <w:rFonts w:ascii="仿宋_GB2312"/>
          <w:sz w:val="32"/>
          <w:szCs w:val="20"/>
        </w:rPr>
        <w:t>满意度</w:t>
      </w:r>
      <w:r>
        <w:rPr>
          <w:rFonts w:hint="eastAsia" w:ascii="仿宋_GB2312"/>
          <w:sz w:val="32"/>
          <w:szCs w:val="20"/>
        </w:rPr>
        <w:t>测评，及时获取相关</w:t>
      </w:r>
      <w:r>
        <w:rPr>
          <w:rFonts w:ascii="仿宋_GB2312"/>
          <w:sz w:val="32"/>
          <w:szCs w:val="20"/>
        </w:rPr>
        <w:t>方意见</w:t>
      </w:r>
      <w:r>
        <w:rPr>
          <w:rFonts w:hint="eastAsia" w:ascii="仿宋_GB2312"/>
          <w:sz w:val="32"/>
          <w:szCs w:val="20"/>
        </w:rPr>
        <w:t>和建议</w:t>
      </w:r>
      <w:r>
        <w:rPr>
          <w:rFonts w:ascii="仿宋_GB2312"/>
          <w:sz w:val="32"/>
          <w:szCs w:val="20"/>
        </w:rPr>
        <w:t>，</w:t>
      </w:r>
      <w:r>
        <w:rPr>
          <w:rFonts w:hint="eastAsia" w:ascii="仿宋_GB2312"/>
          <w:sz w:val="32"/>
          <w:szCs w:val="20"/>
        </w:rPr>
        <w:t>为项目后续管理和实施提供参考依据</w:t>
      </w:r>
      <w:r>
        <w:rPr>
          <w:rFonts w:hint="eastAsia" w:ascii="仿宋_GB2312" w:hAnsi="仿宋_GB2312" w:cs="仿宋_GB2312"/>
          <w:sz w:val="32"/>
          <w:szCs w:val="32"/>
        </w:rPr>
        <w:t>，增强项目实施的可持续性。</w:t>
      </w:r>
    </w:p>
    <w:p>
      <w:pPr>
        <w:keepNext w:val="0"/>
        <w:keepLines w:val="0"/>
        <w:pageBreakBefore w:val="0"/>
        <w:widowControl w:val="0"/>
        <w:numPr>
          <w:ilvl w:val="0"/>
          <w:numId w:val="2"/>
        </w:numPr>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Cs w:val="32"/>
        </w:rPr>
      </w:pPr>
      <w:r>
        <w:rPr>
          <w:rFonts w:hint="eastAsia" w:ascii="黑体" w:hAnsi="黑体" w:eastAsia="黑体" w:cs="黑体"/>
          <w:bCs/>
          <w:szCs w:val="32"/>
        </w:rPr>
        <w:t>绩效自评结果拟应用和公开情况</w:t>
      </w:r>
    </w:p>
    <w:p>
      <w:pPr>
        <w:keepNext w:val="0"/>
        <w:keepLines w:val="0"/>
        <w:pageBreakBefore w:val="0"/>
        <w:widowControl w:val="0"/>
        <w:kinsoku/>
        <w:wordWrap/>
        <w:overflowPunct/>
        <w:topLinePunct w:val="0"/>
        <w:autoSpaceDE/>
        <w:autoSpaceDN/>
        <w:bidi w:val="0"/>
        <w:adjustRightInd/>
        <w:snapToGrid w:val="0"/>
        <w:spacing w:after="0" w:line="540" w:lineRule="exact"/>
        <w:ind w:firstLine="640" w:firstLineChars="200"/>
        <w:textAlignment w:val="auto"/>
        <w:outlineLvl w:val="0"/>
        <w:rPr>
          <w:rFonts w:hint="eastAsia" w:ascii="黑体" w:hAnsi="黑体" w:eastAsia="黑体" w:cs="黑体"/>
          <w:bCs/>
          <w:szCs w:val="32"/>
        </w:rPr>
      </w:pPr>
      <w:r>
        <w:rPr>
          <w:rFonts w:hint="eastAsia" w:ascii="仿宋_GB2312"/>
          <w:sz w:val="32"/>
          <w:szCs w:val="32"/>
          <w:lang w:val="en-US" w:eastAsia="zh-CN"/>
        </w:rPr>
        <w:t>我市全面加强绩效自评结果的应用，针对绩效自评中发现的问题，督促资金使用单位认真抓好整改。根据相关规定将绩效自评报告向社会公开，公开内容至少包括转移支付基本情况、绩效目标实现情况、绩效自评结论等。</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ascii="黑体" w:hAnsi="黑体" w:eastAsia="黑体" w:cs="黑体"/>
          <w:lang w:val="en" w:eastAsia="zh-CN"/>
        </w:rPr>
        <w:t>五</w:t>
      </w:r>
      <w:r>
        <w:rPr>
          <w:rFonts w:hint="eastAsia" w:ascii="黑体" w:hAnsi="黑体" w:eastAsia="黑体" w:cs="黑体"/>
          <w:lang w:val="en"/>
        </w:rPr>
        <w:t>、附件</w:t>
      </w:r>
    </w:p>
    <w:p>
      <w:pPr>
        <w:keepNext w:val="0"/>
        <w:keepLines w:val="0"/>
        <w:pageBreakBefore w:val="0"/>
        <w:widowControl w:val="0"/>
        <w:kinsoku/>
        <w:wordWrap/>
        <w:overflowPunct/>
        <w:topLinePunct w:val="0"/>
        <w:autoSpaceDE/>
        <w:autoSpaceDN/>
        <w:bidi w:val="0"/>
        <w:adjustRightInd w:val="0"/>
        <w:snapToGrid w:val="0"/>
        <w:spacing w:after="0" w:line="200" w:lineRule="exact"/>
        <w:ind w:left="0" w:leftChars="0" w:firstLine="0" w:firstLineChars="0"/>
        <w:jc w:val="center"/>
        <w:textAlignment w:val="auto"/>
        <w:outlineLvl w:val="0"/>
        <w:rPr>
          <w:rFonts w:hint="eastAsia" w:ascii="仿宋_GB2312" w:hAnsi="仿宋_GB2312" w:eastAsia="仿宋_GB2312" w:cs="仿宋_GB2312"/>
          <w:b/>
          <w:bCs/>
          <w:sz w:val="15"/>
          <w:szCs w:val="15"/>
          <w:lang w:val="en-US" w:eastAsia="zh-CN"/>
        </w:rPr>
      </w:pPr>
    </w:p>
    <w:p>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0" w:firstLineChars="0"/>
        <w:jc w:val="center"/>
        <w:textAlignment w:val="auto"/>
        <w:outlineLvl w:val="0"/>
        <w:rPr>
          <w:rFonts w:hint="eastAsia" w:ascii="仿宋_GB2312" w:hAnsi="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安全生产预防和应急</w:t>
      </w:r>
      <w:r>
        <w:rPr>
          <w:rFonts w:hint="eastAsia" w:ascii="仿宋_GB2312" w:hAnsi="仿宋_GB2312" w:cs="仿宋_GB2312"/>
          <w:b/>
          <w:bCs/>
          <w:sz w:val="32"/>
          <w:szCs w:val="32"/>
          <w:lang w:val="en-US" w:eastAsia="zh-CN"/>
        </w:rPr>
        <w:t>救援</w:t>
      </w:r>
      <w:r>
        <w:rPr>
          <w:rFonts w:hint="eastAsia" w:ascii="仿宋_GB2312" w:hAnsi="仿宋_GB2312" w:eastAsia="仿宋_GB2312" w:cs="仿宋_GB2312"/>
          <w:b/>
          <w:bCs/>
          <w:sz w:val="32"/>
          <w:szCs w:val="32"/>
          <w:lang w:val="en-US" w:eastAsia="zh-CN"/>
        </w:rPr>
        <w:t>能力建设补助资金</w:t>
      </w:r>
      <w:r>
        <w:rPr>
          <w:rFonts w:hint="eastAsia" w:ascii="仿宋_GB2312" w:hAnsi="仿宋_GB2312" w:cs="仿宋_GB2312"/>
          <w:b/>
          <w:bCs/>
          <w:sz w:val="32"/>
          <w:szCs w:val="32"/>
          <w:lang w:val="en-US" w:eastAsia="zh-CN"/>
        </w:rPr>
        <w:t>转移支付</w:t>
      </w:r>
    </w:p>
    <w:p>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0" w:firstLineChars="0"/>
        <w:jc w:val="center"/>
        <w:textAlignment w:val="auto"/>
        <w:outlineLvl w:val="0"/>
        <w:rPr>
          <w:rFonts w:hint="eastAsia" w:ascii="仿宋_GB2312" w:hAnsi="仿宋_GB2312" w:eastAsia="仿宋_GB2312" w:cs="仿宋_GB2312"/>
          <w:b/>
          <w:bCs/>
          <w:sz w:val="32"/>
          <w:szCs w:val="32"/>
          <w:lang w:eastAsia="zh-CN"/>
        </w:rPr>
      </w:pPr>
      <w:r>
        <w:rPr>
          <w:rFonts w:hint="eastAsia" w:ascii="仿宋_GB2312" w:hAnsi="仿宋_GB2312" w:cs="仿宋_GB2312"/>
          <w:b/>
          <w:bCs/>
          <w:sz w:val="32"/>
          <w:szCs w:val="32"/>
          <w:lang w:val="en-US" w:eastAsia="zh-CN"/>
        </w:rPr>
        <w:t>区域（项目）</w:t>
      </w:r>
      <w:r>
        <w:rPr>
          <w:rFonts w:hint="eastAsia" w:ascii="仿宋_GB2312" w:hAnsi="仿宋_GB2312" w:eastAsia="仿宋_GB2312" w:cs="仿宋_GB2312"/>
          <w:b/>
          <w:bCs/>
          <w:sz w:val="32"/>
          <w:szCs w:val="32"/>
          <w:lang w:eastAsia="zh-CN"/>
        </w:rPr>
        <w:t>绩效自评表</w:t>
      </w:r>
    </w:p>
    <w:p>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center"/>
        <w:textAlignment w:val="auto"/>
        <w:rPr>
          <w:rFonts w:hint="eastAsia"/>
          <w:b w:val="0"/>
          <w:bCs w:val="0"/>
          <w:sz w:val="28"/>
          <w:szCs w:val="28"/>
          <w:lang w:eastAsia="zh-CN"/>
        </w:rPr>
      </w:pP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val="en-US" w:eastAsia="zh-CN"/>
        </w:rPr>
        <w:t>2023年度</w:t>
      </w:r>
      <w:r>
        <w:rPr>
          <w:rFonts w:hint="eastAsia" w:ascii="仿宋_GB2312" w:hAnsi="仿宋_GB2312" w:eastAsia="仿宋_GB2312" w:cs="仿宋_GB2312"/>
          <w:b w:val="0"/>
          <w:bCs w:val="0"/>
          <w:sz w:val="28"/>
          <w:szCs w:val="28"/>
          <w:lang w:eastAsia="zh-CN"/>
        </w:rPr>
        <w:t>）</w:t>
      </w:r>
    </w:p>
    <w:tbl>
      <w:tblPr>
        <w:tblStyle w:val="8"/>
        <w:tblpPr w:leftFromText="180" w:rightFromText="180" w:vertAnchor="text" w:horzAnchor="page" w:tblpXSpec="center" w:tblpY="547"/>
        <w:tblOverlap w:val="never"/>
        <w:tblW w:w="95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3" w:type="dxa"/>
          <w:bottom w:w="0" w:type="dxa"/>
          <w:right w:w="23" w:type="dxa"/>
        </w:tblCellMar>
      </w:tblPr>
      <w:tblGrid>
        <w:gridCol w:w="649"/>
        <w:gridCol w:w="695"/>
        <w:gridCol w:w="955"/>
        <w:gridCol w:w="1785"/>
        <w:gridCol w:w="1008"/>
        <w:gridCol w:w="1200"/>
        <w:gridCol w:w="1470"/>
        <w:gridCol w:w="17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6" w:hRule="atLeast"/>
          <w:tblHeader/>
          <w:jc w:val="center"/>
        </w:trPr>
        <w:tc>
          <w:tcPr>
            <w:tcW w:w="2299" w:type="dxa"/>
            <w:gridSpan w:val="3"/>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bCs/>
                <w:sz w:val="18"/>
                <w:szCs w:val="18"/>
                <w:lang w:eastAsia="zh-CN"/>
              </w:rPr>
              <w:t>项目名称</w:t>
            </w:r>
          </w:p>
        </w:tc>
        <w:tc>
          <w:tcPr>
            <w:tcW w:w="7208" w:type="dxa"/>
            <w:gridSpan w:val="5"/>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ascii="宋体" w:hAnsi="宋体" w:eastAsia="宋体"/>
                <w:b/>
                <w:bCs/>
                <w:sz w:val="18"/>
                <w:szCs w:val="18"/>
              </w:rPr>
            </w:pPr>
            <w:r>
              <w:rPr>
                <w:rFonts w:hint="eastAsia" w:ascii="宋体" w:hAnsi="宋体" w:eastAsia="宋体"/>
                <w:b/>
                <w:bCs/>
                <w:sz w:val="18"/>
                <w:szCs w:val="18"/>
                <w:lang w:eastAsia="zh-CN"/>
              </w:rPr>
              <w:t>北京市安全生产应急救援力量建设项目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56" w:hRule="atLeast"/>
          <w:tblHeader/>
          <w:jc w:val="center"/>
        </w:trPr>
        <w:tc>
          <w:tcPr>
            <w:tcW w:w="2299" w:type="dxa"/>
            <w:gridSpan w:val="3"/>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bCs/>
                <w:sz w:val="18"/>
                <w:szCs w:val="18"/>
                <w:lang w:eastAsia="zh-CN"/>
              </w:rPr>
              <w:t>中央主管部门</w:t>
            </w:r>
          </w:p>
        </w:tc>
        <w:tc>
          <w:tcPr>
            <w:tcW w:w="7208" w:type="dxa"/>
            <w:gridSpan w:val="5"/>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bCs/>
                <w:sz w:val="18"/>
                <w:szCs w:val="18"/>
                <w:lang w:eastAsia="zh-CN"/>
              </w:rPr>
              <w:t>财政部、应急管理部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562" w:hRule="atLeast"/>
          <w:tblHeader/>
          <w:jc w:val="center"/>
        </w:trPr>
        <w:tc>
          <w:tcPr>
            <w:tcW w:w="2299" w:type="dxa"/>
            <w:gridSpan w:val="3"/>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bCs/>
                <w:sz w:val="18"/>
                <w:szCs w:val="18"/>
                <w:lang w:eastAsia="zh-CN"/>
              </w:rPr>
              <w:t>地方主管部门</w:t>
            </w:r>
          </w:p>
        </w:tc>
        <w:tc>
          <w:tcPr>
            <w:tcW w:w="3993" w:type="dxa"/>
            <w:gridSpan w:val="3"/>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val="0"/>
                <w:bCs w:val="0"/>
                <w:sz w:val="18"/>
                <w:szCs w:val="18"/>
                <w:lang w:eastAsia="zh-CN"/>
              </w:rPr>
              <w:t>北京市应急管理局</w:t>
            </w:r>
          </w:p>
        </w:tc>
        <w:tc>
          <w:tcPr>
            <w:tcW w:w="1470" w:type="dxa"/>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bCs/>
                <w:sz w:val="18"/>
                <w:szCs w:val="18"/>
                <w:lang w:eastAsia="zh-CN"/>
              </w:rPr>
              <w:t>资金使用单位</w:t>
            </w:r>
          </w:p>
        </w:tc>
        <w:tc>
          <w:tcPr>
            <w:tcW w:w="1745"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bCs/>
                <w:sz w:val="18"/>
                <w:szCs w:val="18"/>
                <w:lang w:eastAsia="zh-CN"/>
              </w:rPr>
            </w:pPr>
            <w:r>
              <w:rPr>
                <w:rFonts w:hint="eastAsia" w:ascii="宋体" w:hAnsi="宋体" w:eastAsia="宋体"/>
                <w:b w:val="0"/>
                <w:bCs w:val="0"/>
                <w:sz w:val="18"/>
                <w:szCs w:val="18"/>
                <w:lang w:eastAsia="zh-CN"/>
              </w:rPr>
              <w:t>国家矿山应急救援大地特勘队、国家危险化学品应急救援燕山石化队、国家安全生产应急救援工程师队、国家安全生产应急救援勘测队、国家安全生产应急救援新兴际华队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9" w:hRule="atLeast"/>
          <w:jc w:val="center"/>
        </w:trPr>
        <w:tc>
          <w:tcPr>
            <w:tcW w:w="2299" w:type="dxa"/>
            <w:gridSpan w:val="3"/>
            <w:vMerge w:val="restart"/>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资金投入情况（万元）</w:t>
            </w:r>
          </w:p>
        </w:tc>
        <w:tc>
          <w:tcPr>
            <w:tcW w:w="1785"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ascii="宋体" w:hAnsi="宋体" w:eastAsia="宋体"/>
                <w:sz w:val="18"/>
                <w:szCs w:val="18"/>
              </w:rPr>
            </w:pPr>
          </w:p>
        </w:tc>
        <w:tc>
          <w:tcPr>
            <w:tcW w:w="2208" w:type="dxa"/>
            <w:gridSpan w:val="2"/>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val="0"/>
                <w:bCs w:val="0"/>
                <w:sz w:val="18"/>
                <w:szCs w:val="18"/>
                <w:lang w:eastAsia="zh-CN"/>
              </w:rPr>
            </w:pPr>
            <w:r>
              <w:rPr>
                <w:rFonts w:hint="eastAsia" w:ascii="宋体" w:hAnsi="宋体" w:eastAsia="宋体"/>
                <w:b w:val="0"/>
                <w:bCs w:val="0"/>
                <w:sz w:val="18"/>
                <w:szCs w:val="18"/>
                <w:lang w:eastAsia="zh-CN"/>
              </w:rPr>
              <w:t>全年预算数（</w:t>
            </w:r>
            <w:r>
              <w:rPr>
                <w:rFonts w:hint="eastAsia" w:ascii="宋体" w:hAnsi="宋体" w:eastAsia="宋体"/>
                <w:b w:val="0"/>
                <w:bCs w:val="0"/>
                <w:sz w:val="18"/>
                <w:szCs w:val="18"/>
                <w:lang w:val="en-US" w:eastAsia="zh-CN"/>
              </w:rPr>
              <w:t>A</w:t>
            </w:r>
            <w:r>
              <w:rPr>
                <w:rFonts w:hint="eastAsia" w:ascii="宋体" w:hAnsi="宋体" w:eastAsia="宋体"/>
                <w:b w:val="0"/>
                <w:bCs w:val="0"/>
                <w:sz w:val="18"/>
                <w:szCs w:val="18"/>
                <w:lang w:eastAsia="zh-CN"/>
              </w:rPr>
              <w:t>）</w:t>
            </w:r>
          </w:p>
        </w:tc>
        <w:tc>
          <w:tcPr>
            <w:tcW w:w="1470"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val="0"/>
                <w:bCs w:val="0"/>
                <w:sz w:val="18"/>
                <w:szCs w:val="18"/>
                <w:lang w:eastAsia="zh-CN"/>
              </w:rPr>
            </w:pPr>
            <w:r>
              <w:rPr>
                <w:rFonts w:hint="eastAsia" w:ascii="宋体" w:hAnsi="宋体" w:eastAsia="宋体"/>
                <w:b w:val="0"/>
                <w:bCs w:val="0"/>
                <w:sz w:val="18"/>
                <w:szCs w:val="18"/>
                <w:lang w:eastAsia="zh-CN"/>
              </w:rPr>
              <w:t>全年执行数（</w:t>
            </w:r>
            <w:r>
              <w:rPr>
                <w:rFonts w:hint="eastAsia" w:ascii="宋体" w:hAnsi="宋体" w:eastAsia="宋体"/>
                <w:b w:val="0"/>
                <w:bCs w:val="0"/>
                <w:sz w:val="18"/>
                <w:szCs w:val="18"/>
                <w:lang w:val="en-US" w:eastAsia="zh-CN"/>
              </w:rPr>
              <w:t>B</w:t>
            </w:r>
            <w:r>
              <w:rPr>
                <w:rFonts w:hint="eastAsia" w:ascii="宋体" w:hAnsi="宋体" w:eastAsia="宋体"/>
                <w:b w:val="0"/>
                <w:bCs w:val="0"/>
                <w:sz w:val="18"/>
                <w:szCs w:val="18"/>
                <w:lang w:eastAsia="zh-CN"/>
              </w:rPr>
              <w:t>）</w:t>
            </w:r>
          </w:p>
        </w:tc>
        <w:tc>
          <w:tcPr>
            <w:tcW w:w="1745"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b w:val="0"/>
                <w:bCs w:val="0"/>
                <w:sz w:val="18"/>
                <w:szCs w:val="18"/>
                <w:lang w:eastAsia="zh-CN"/>
              </w:rPr>
            </w:pPr>
            <w:r>
              <w:rPr>
                <w:rFonts w:hint="eastAsia" w:ascii="宋体" w:hAnsi="宋体" w:eastAsia="宋体"/>
                <w:b w:val="0"/>
                <w:bCs w:val="0"/>
                <w:sz w:val="18"/>
                <w:szCs w:val="18"/>
                <w:lang w:eastAsia="zh-CN"/>
              </w:rPr>
              <w:t>预算执行率（</w:t>
            </w:r>
            <w:r>
              <w:rPr>
                <w:rFonts w:hint="eastAsia" w:ascii="宋体" w:hAnsi="宋体" w:eastAsia="宋体"/>
                <w:b w:val="0"/>
                <w:bCs w:val="0"/>
                <w:sz w:val="18"/>
                <w:szCs w:val="18"/>
                <w:lang w:val="en-US" w:eastAsia="zh-CN"/>
              </w:rPr>
              <w:t>B/A</w:t>
            </w:r>
            <w:r>
              <w:rPr>
                <w:rFonts w:hint="default" w:ascii="宋体" w:hAnsi="宋体" w:eastAsia="宋体"/>
                <w:b w:val="0"/>
                <w:bCs w:val="0"/>
                <w:sz w:val="18"/>
                <w:szCs w:val="18"/>
                <w:lang w:val="en-US" w:eastAsia="zh-CN"/>
              </w:rPr>
              <w:t>×</w:t>
            </w:r>
            <w:r>
              <w:rPr>
                <w:rFonts w:hint="eastAsia" w:ascii="宋体" w:hAnsi="宋体" w:eastAsia="宋体"/>
                <w:b w:val="0"/>
                <w:bCs w:val="0"/>
                <w:sz w:val="18"/>
                <w:szCs w:val="18"/>
                <w:lang w:val="en-US" w:eastAsia="zh-CN"/>
              </w:rPr>
              <w:t>100%</w:t>
            </w:r>
            <w:r>
              <w:rPr>
                <w:rFonts w:hint="eastAsia" w:ascii="宋体" w:hAnsi="宋体" w:eastAsia="宋体"/>
                <w:b w:val="0"/>
                <w:bCs w:val="0"/>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5"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年度资金总额</w:t>
            </w:r>
          </w:p>
        </w:tc>
        <w:tc>
          <w:tcPr>
            <w:tcW w:w="2208" w:type="dxa"/>
            <w:gridSpan w:val="2"/>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76532</w:t>
            </w:r>
          </w:p>
        </w:tc>
        <w:tc>
          <w:tcPr>
            <w:tcW w:w="1470"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937.04</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0"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p>
        </w:tc>
        <w:tc>
          <w:tcPr>
            <w:tcW w:w="178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其中：中央财政资金</w:t>
            </w:r>
          </w:p>
        </w:tc>
        <w:tc>
          <w:tcPr>
            <w:tcW w:w="2208" w:type="dxa"/>
            <w:gridSpan w:val="2"/>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cs="Times New Roman"/>
                <w:kern w:val="2"/>
                <w:sz w:val="18"/>
                <w:szCs w:val="18"/>
                <w:lang w:val="en-US" w:eastAsia="zh-CN" w:bidi="ar-SA"/>
              </w:rPr>
            </w:pPr>
            <w:r>
              <w:rPr>
                <w:rFonts w:hint="eastAsia" w:ascii="宋体" w:hAnsi="宋体" w:eastAsia="宋体"/>
                <w:sz w:val="18"/>
                <w:szCs w:val="18"/>
                <w:lang w:val="en-US" w:eastAsia="zh-CN"/>
              </w:rPr>
              <w:t>76532</w:t>
            </w:r>
          </w:p>
        </w:tc>
        <w:tc>
          <w:tcPr>
            <w:tcW w:w="1470"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cs="Times New Roman"/>
                <w:kern w:val="2"/>
                <w:sz w:val="18"/>
                <w:szCs w:val="18"/>
                <w:lang w:val="en-US" w:eastAsia="zh-CN" w:bidi="ar-SA"/>
              </w:rPr>
            </w:pPr>
            <w:r>
              <w:rPr>
                <w:rFonts w:hint="default" w:ascii="宋体" w:hAnsi="宋体" w:eastAsia="宋体" w:cs="Times New Roman"/>
                <w:kern w:val="2"/>
                <w:sz w:val="18"/>
                <w:szCs w:val="18"/>
                <w:lang w:val="en-US" w:eastAsia="zh-CN" w:bidi="ar-SA"/>
              </w:rPr>
              <w:t>937.04</w:t>
            </w:r>
          </w:p>
        </w:tc>
        <w:tc>
          <w:tcPr>
            <w:tcW w:w="174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default" w:ascii="宋体" w:hAnsi="宋体" w:eastAsia="宋体" w:cs="Times New Roman"/>
                <w:kern w:val="2"/>
                <w:sz w:val="18"/>
                <w:szCs w:val="18"/>
                <w:lang w:val="en-US" w:eastAsia="zh-CN" w:bidi="ar-SA"/>
              </w:rPr>
            </w:pPr>
            <w:r>
              <w:rPr>
                <w:rFonts w:hint="eastAsia" w:ascii="宋体" w:hAnsi="宋体" w:eastAsia="宋体"/>
                <w:sz w:val="18"/>
                <w:szCs w:val="18"/>
                <w:lang w:val="en-US" w:eastAsia="zh-CN"/>
              </w:rPr>
              <w:t>1.22%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9"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地方财政资金</w:t>
            </w:r>
          </w:p>
        </w:tc>
        <w:tc>
          <w:tcPr>
            <w:tcW w:w="2208" w:type="dxa"/>
            <w:gridSpan w:val="2"/>
            <w:tcBorders>
              <w:top w:val="single" w:color="auto" w:sz="4" w:space="0"/>
              <w:bottom w:val="single" w:color="auto" w:sz="4" w:space="0"/>
            </w:tcBorders>
            <w:noWrap w:val="0"/>
            <w:vAlign w:val="center"/>
          </w:tcPr>
          <w:p>
            <w:pPr>
              <w:keepNext w:val="0"/>
              <w:keepLines w:val="0"/>
              <w:pageBreakBefore w:val="0"/>
              <w:widowControl/>
              <w:suppressLineNumbers w:val="0"/>
              <w:kinsoku/>
              <w:overflowPunct/>
              <w:topLinePunct w:val="0"/>
              <w:autoSpaceDE/>
              <w:autoSpaceDN/>
              <w:bidi w:val="0"/>
              <w:adjustRightInd w:val="0"/>
              <w:snapToGrid w:val="0"/>
              <w:spacing w:line="240" w:lineRule="exact"/>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0</w:t>
            </w:r>
          </w:p>
        </w:tc>
        <w:tc>
          <w:tcPr>
            <w:tcW w:w="1470"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val="en-US" w:eastAsia="zh-CN"/>
              </w:rPr>
            </w:pP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6"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p>
        </w:tc>
        <w:tc>
          <w:tcPr>
            <w:tcW w:w="178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其他资金</w:t>
            </w:r>
          </w:p>
        </w:tc>
        <w:tc>
          <w:tcPr>
            <w:tcW w:w="2208" w:type="dxa"/>
            <w:gridSpan w:val="2"/>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0</w:t>
            </w:r>
          </w:p>
        </w:tc>
        <w:tc>
          <w:tcPr>
            <w:tcW w:w="1470"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val="en-US" w:eastAsia="zh-CN"/>
              </w:rPr>
            </w:pPr>
          </w:p>
        </w:tc>
        <w:tc>
          <w:tcPr>
            <w:tcW w:w="174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8" w:hRule="atLeast"/>
          <w:jc w:val="center"/>
        </w:trPr>
        <w:tc>
          <w:tcPr>
            <w:tcW w:w="2299" w:type="dxa"/>
            <w:gridSpan w:val="3"/>
            <w:vMerge w:val="restart"/>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资金管理情况</w:t>
            </w:r>
          </w:p>
        </w:tc>
        <w:tc>
          <w:tcPr>
            <w:tcW w:w="1785"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ascii="宋体" w:hAnsi="宋体" w:eastAsia="宋体"/>
                <w:sz w:val="18"/>
                <w:szCs w:val="18"/>
              </w:rPr>
            </w:pPr>
          </w:p>
        </w:tc>
        <w:tc>
          <w:tcPr>
            <w:tcW w:w="3678" w:type="dxa"/>
            <w:gridSpan w:val="3"/>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情况说明</w:t>
            </w:r>
          </w:p>
        </w:tc>
        <w:tc>
          <w:tcPr>
            <w:tcW w:w="1745"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存在问题及改进措施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5"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分配科学性</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严格按照转移支付管理制度以及资金管理办法规定的范围和标准分配资金</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下达及时性</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default" w:ascii="宋体" w:hAnsi="宋体" w:eastAsia="宋体"/>
                <w:sz w:val="18"/>
                <w:szCs w:val="18"/>
                <w:lang w:val="en-US" w:eastAsia="zh-CN"/>
              </w:rPr>
            </w:pPr>
            <w:r>
              <w:rPr>
                <w:rFonts w:hint="eastAsia" w:ascii="宋体" w:hAnsi="宋体" w:eastAsia="宋体"/>
                <w:sz w:val="18"/>
                <w:szCs w:val="18"/>
                <w:lang w:eastAsia="zh-CN"/>
              </w:rPr>
              <w:t>严格按照预算法及其实施条例、转移支付管理制度规定以及资金管理办法规定的时限要求分解下达</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5"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拨付合规性</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严格按照国库集中支付制度有关规定支付资金，未出现违规将资金从国库转入财政专户或支付到预算单位实有资金账户等问题</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cs="Times New Roman"/>
                <w:kern w:val="2"/>
                <w:sz w:val="18"/>
                <w:szCs w:val="18"/>
                <w:lang w:val="en-US" w:eastAsia="zh-CN" w:bidi="ar-SA"/>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0"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使用规范性</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严格按照下达预算的科目和项目执行，未出现截留、挤占、挪用或擅自调整等问题</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cs="Times New Roman"/>
                <w:kern w:val="2"/>
                <w:sz w:val="18"/>
                <w:szCs w:val="18"/>
                <w:lang w:val="en-US" w:eastAsia="zh-CN" w:bidi="ar-SA"/>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0"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执行准确性</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严格按资金额度执行</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cs="Times New Roman"/>
                <w:kern w:val="2"/>
                <w:sz w:val="18"/>
                <w:szCs w:val="18"/>
                <w:lang w:val="en-US" w:eastAsia="zh-CN" w:bidi="ar-SA"/>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0"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预算绩效管理情况</w:t>
            </w:r>
          </w:p>
        </w:tc>
        <w:tc>
          <w:tcPr>
            <w:tcW w:w="3678" w:type="dxa"/>
            <w:gridSpan w:val="3"/>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在细化下达预算时同步下达绩效目标，将有关资金纳入对下转移支付绩效管理，开展绩效监控和绩效评价</w:t>
            </w:r>
          </w:p>
        </w:tc>
        <w:tc>
          <w:tcPr>
            <w:tcW w:w="1745" w:type="dxa"/>
            <w:tcBorders>
              <w:top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cs="Times New Roman"/>
                <w:kern w:val="2"/>
                <w:sz w:val="18"/>
                <w:szCs w:val="18"/>
                <w:lang w:val="en-US" w:eastAsia="zh-CN" w:bidi="ar-SA"/>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9" w:hRule="atLeast"/>
          <w:jc w:val="center"/>
        </w:trPr>
        <w:tc>
          <w:tcPr>
            <w:tcW w:w="2299" w:type="dxa"/>
            <w:gridSpan w:val="3"/>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178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支出责任履行情况</w:t>
            </w:r>
          </w:p>
        </w:tc>
        <w:tc>
          <w:tcPr>
            <w:tcW w:w="3678" w:type="dxa"/>
            <w:gridSpan w:val="3"/>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textAlignment w:val="auto"/>
              <w:rPr>
                <w:rFonts w:hint="eastAsia" w:ascii="宋体" w:hAnsi="宋体" w:eastAsia="宋体"/>
                <w:sz w:val="18"/>
                <w:szCs w:val="18"/>
                <w:lang w:eastAsia="zh-CN"/>
              </w:rPr>
            </w:pPr>
            <w:r>
              <w:rPr>
                <w:rFonts w:hint="eastAsia" w:ascii="宋体" w:hAnsi="宋体" w:eastAsia="宋体"/>
                <w:sz w:val="18"/>
                <w:szCs w:val="18"/>
                <w:lang w:eastAsia="zh-CN"/>
              </w:rPr>
              <w:t>对共同财政事权转移支付，按照财政事权和支出责任划分有关规定，足额按照资金履行本级支出责任</w:t>
            </w:r>
          </w:p>
        </w:tc>
        <w:tc>
          <w:tcPr>
            <w:tcW w:w="1745"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8" w:hRule="atLeast"/>
          <w:jc w:val="center"/>
        </w:trPr>
        <w:tc>
          <w:tcPr>
            <w:tcW w:w="649" w:type="dxa"/>
            <w:vMerge w:val="restart"/>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总体目标完成情况</w:t>
            </w:r>
          </w:p>
        </w:tc>
        <w:tc>
          <w:tcPr>
            <w:tcW w:w="4443" w:type="dxa"/>
            <w:gridSpan w:val="4"/>
            <w:tcBorders>
              <w:left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ind w:firstLine="1260" w:firstLineChars="700"/>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总体目标</w:t>
            </w:r>
          </w:p>
        </w:tc>
        <w:tc>
          <w:tcPr>
            <w:tcW w:w="4415" w:type="dxa"/>
            <w:gridSpan w:val="3"/>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全年实际完成情况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9" w:hRule="atLeast"/>
          <w:jc w:val="center"/>
        </w:trPr>
        <w:tc>
          <w:tcPr>
            <w:tcW w:w="649" w:type="dxa"/>
            <w:vMerge w:val="continue"/>
            <w:tcBorders>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p>
        </w:tc>
        <w:tc>
          <w:tcPr>
            <w:tcW w:w="444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一是完成项目下达装备的采购、验收，装备管理规范，提升队伍先进适用装备的应用水平，队伍救援水平和保障能力得到进一步提高，满足区域重特大事故灾害救援需要。二是通过定期开展力量集结、战斗编程、通信联络、组织指挥等应急救援业务训练和模拟实战演练，跨区域、多灾种联动联训，进一步提高队伍快速出动、现场实战能力、救援协调能力以及队伍长时间、远距离救援自我保障能力。</w:t>
            </w:r>
          </w:p>
        </w:tc>
        <w:tc>
          <w:tcPr>
            <w:tcW w:w="4415" w:type="dxa"/>
            <w:gridSpan w:val="3"/>
            <w:tcBorders>
              <w:top w:val="single" w:color="auto" w:sz="4" w:space="0"/>
              <w:left w:val="single" w:color="auto" w:sz="4" w:space="0"/>
              <w:bottom w:val="single" w:color="auto" w:sz="4" w:space="0"/>
            </w:tcBorders>
            <w:noWrap w:val="0"/>
            <w:vAlign w:val="center"/>
          </w:tcPr>
          <w:p>
            <w:pPr>
              <w:keepNext w:val="0"/>
              <w:keepLines w:val="0"/>
              <w:pageBreakBefore w:val="0"/>
              <w:widowControl w:val="0"/>
              <w:tabs>
                <w:tab w:val="left" w:pos="820"/>
              </w:tabs>
              <w:suppressAutoHyphens/>
              <w:kinsoku/>
              <w:wordWrap/>
              <w:overflowPunct/>
              <w:topLinePunct w:val="0"/>
              <w:autoSpaceDE/>
              <w:autoSpaceDN/>
              <w:bidi w:val="0"/>
              <w:adjustRightInd w:val="0"/>
              <w:snapToGrid w:val="0"/>
              <w:spacing w:line="240" w:lineRule="exact"/>
              <w:jc w:val="left"/>
              <w:textAlignment w:val="auto"/>
              <w:rPr>
                <w:rFonts w:hint="default" w:ascii="宋体" w:hAnsi="宋体" w:eastAsia="宋体"/>
                <w:sz w:val="18"/>
                <w:szCs w:val="18"/>
                <w:lang w:val="en-US" w:eastAsia="zh-CN"/>
              </w:rPr>
            </w:pPr>
            <w:r>
              <w:rPr>
                <w:rFonts w:hint="eastAsia" w:ascii="宋体" w:hAnsi="宋体" w:eastAsia="宋体"/>
                <w:sz w:val="18"/>
                <w:szCs w:val="18"/>
                <w:lang w:eastAsia="zh-CN"/>
              </w:rPr>
              <w:t>一是由于补助资金于</w:t>
            </w:r>
            <w:r>
              <w:rPr>
                <w:rFonts w:hint="eastAsia" w:ascii="宋体" w:hAnsi="宋体" w:eastAsia="宋体"/>
                <w:sz w:val="18"/>
                <w:szCs w:val="18"/>
                <w:lang w:val="en-US" w:eastAsia="zh-CN"/>
              </w:rPr>
              <w:t>2024年1月25日下达，应急管理部于3月7日组织开展安全生产应急救援队力量建设补助资金项目管理政策解读培训，因此装备采购相关工作正处于前期筹备阶段，正在履行采购程序；二是2023年，驻京2支国家专业队通过开展应急演练，进一步提高了队伍快速出动、现场实战能力、救援协调能力以及队伍长时间、远距离救援自我保障能力。其余3支国家队计划2024年开展应急演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5" w:hRule="atLeast"/>
          <w:jc w:val="center"/>
        </w:trPr>
        <w:tc>
          <w:tcPr>
            <w:tcW w:w="649" w:type="dxa"/>
            <w:vMerge w:val="restart"/>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绩</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效</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指</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标</w:t>
            </w:r>
          </w:p>
        </w:tc>
        <w:tc>
          <w:tcPr>
            <w:tcW w:w="695" w:type="dxa"/>
            <w:tcBorders>
              <w:top w:val="single" w:color="auto" w:sz="4" w:space="0"/>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一级指标</w:t>
            </w:r>
          </w:p>
        </w:tc>
        <w:tc>
          <w:tcPr>
            <w:tcW w:w="955"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eastAsia="zh-CN"/>
              </w:rPr>
            </w:pPr>
            <w:r>
              <w:rPr>
                <w:rFonts w:hint="eastAsia" w:ascii="宋体" w:hAnsi="宋体" w:eastAsia="宋体"/>
                <w:sz w:val="18"/>
                <w:szCs w:val="18"/>
                <w:lang w:eastAsia="zh-CN"/>
              </w:rPr>
              <w:t>二级指标</w:t>
            </w: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三级指标</w:t>
            </w:r>
          </w:p>
        </w:tc>
        <w:tc>
          <w:tcPr>
            <w:tcW w:w="120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指标值</w:t>
            </w:r>
          </w:p>
        </w:tc>
        <w:tc>
          <w:tcPr>
            <w:tcW w:w="147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全年实际完成值</w:t>
            </w:r>
          </w:p>
        </w:tc>
        <w:tc>
          <w:tcPr>
            <w:tcW w:w="1745"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未完成原因和改进措施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p>
        </w:tc>
        <w:tc>
          <w:tcPr>
            <w:tcW w:w="695" w:type="dxa"/>
            <w:vMerge w:val="restart"/>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产</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出</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指</w:t>
            </w:r>
          </w:p>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标</w:t>
            </w:r>
          </w:p>
        </w:tc>
        <w:tc>
          <w:tcPr>
            <w:tcW w:w="955" w:type="dxa"/>
            <w:vMerge w:val="restart"/>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数量指标</w:t>
            </w:r>
          </w:p>
        </w:tc>
        <w:tc>
          <w:tcPr>
            <w:tcW w:w="2793" w:type="dxa"/>
            <w:gridSpan w:val="2"/>
            <w:tcBorders>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支持建设国家矿山应急救援队伍</w:t>
            </w:r>
          </w:p>
        </w:tc>
        <w:tc>
          <w:tcPr>
            <w:tcW w:w="1200" w:type="dxa"/>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1支</w:t>
            </w:r>
          </w:p>
        </w:tc>
        <w:tc>
          <w:tcPr>
            <w:tcW w:w="1470" w:type="dxa"/>
            <w:tcBorders>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1支</w:t>
            </w:r>
          </w:p>
        </w:tc>
        <w:tc>
          <w:tcPr>
            <w:tcW w:w="1745" w:type="dxa"/>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1"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支持建设国家危险化学品应急救援队伍</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1支</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1支</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7"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支持建设国家专业支撑保障队伍</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4支</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4支</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7"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为矿山队配备钻探救援类装备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≥9台（套）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restart"/>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补助资金于</w:t>
            </w:r>
            <w:r>
              <w:rPr>
                <w:rFonts w:hint="eastAsia" w:ascii="宋体" w:hAnsi="宋体" w:eastAsia="宋体"/>
                <w:sz w:val="18"/>
                <w:szCs w:val="18"/>
                <w:lang w:val="en-US" w:eastAsia="zh-CN"/>
              </w:rPr>
              <w:t>2024年1月份下达，应急管理部于3月7日组织开展安全生产应急救援队力量建设补助资金项目管理政策解读培训，装备采购相关工作正处于前期筹备阶段，正在履行采购程序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7"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为矿山队配备其他装备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≥17台（套）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为危险化学品队配备灭火抢险类装备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≥11台（套）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为危险化学品队配备洗消救护类装备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为危险化学品队配备其他装备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≥4台（套）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为实训演练及装备测试队配备装备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≥55台（套）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为应急医学队配备装备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≥18台（套）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为勘测队配备装备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≥14台（套）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为后勤支援队配备装备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≥61台（套）</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5"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restart"/>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center"/>
              <w:textAlignment w:val="auto"/>
              <w:rPr>
                <w:rFonts w:hint="eastAsia" w:ascii="宋体" w:hAnsi="宋体" w:eastAsia="宋体"/>
                <w:sz w:val="18"/>
                <w:szCs w:val="18"/>
                <w:lang w:eastAsia="zh-CN"/>
              </w:rPr>
            </w:pPr>
            <w:r>
              <w:rPr>
                <w:rFonts w:hint="eastAsia" w:ascii="宋体" w:hAnsi="宋体" w:eastAsia="宋体"/>
                <w:sz w:val="18"/>
                <w:szCs w:val="18"/>
                <w:lang w:eastAsia="zh-CN"/>
              </w:rPr>
              <w:t>质量指标</w:t>
            </w: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各类车辆及大型装备按照国家专业应急救援队伍有关标志标识规范进行涂装</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各类车辆及大型装备安装数据采集终端，能够接入应急管理部相关指挥控制系统</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队员装备操作培训通过率</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建立装备台账，及时更新台账信息</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建立</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相关工作正在开展</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eastAsia="zh-CN"/>
              </w:rPr>
              <w:t>事故灾害救援现场音视频、图像和数据实时传入能力</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提升</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相关工作正在开展</w:t>
            </w:r>
          </w:p>
        </w:tc>
        <w:tc>
          <w:tcPr>
            <w:tcW w:w="174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验收通过率</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vMerge w:val="continue"/>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矿山队伍标准化建设达标率</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5"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化工装置火灾事故处置能力</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highlight w:val="none"/>
                <w:lang w:val="en-US" w:eastAsia="zh-CN"/>
              </w:rPr>
            </w:pPr>
            <w:r>
              <w:rPr>
                <w:rFonts w:hint="eastAsia" w:ascii="宋体" w:hAnsi="宋体" w:eastAsia="宋体"/>
                <w:sz w:val="18"/>
                <w:szCs w:val="18"/>
                <w:highlight w:val="none"/>
                <w:lang w:val="en-US" w:eastAsia="zh-CN"/>
              </w:rPr>
              <w:t>提升</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highlight w:val="yellow"/>
                <w:lang w:val="en-US" w:eastAsia="zh-CN"/>
              </w:rPr>
            </w:pPr>
            <w:r>
              <w:rPr>
                <w:rFonts w:hint="eastAsia" w:ascii="宋体" w:hAnsi="宋体" w:eastAsia="宋体"/>
                <w:sz w:val="18"/>
                <w:szCs w:val="18"/>
                <w:lang w:val="en-US" w:eastAsia="zh-CN"/>
              </w:rPr>
              <w:t>相关工作正在开展</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危化品救援装备正在履行采购程序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实训演练及装备测试能力</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提升</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highlight w:val="yellow"/>
                <w:lang w:val="en-US" w:eastAsia="zh-CN"/>
              </w:rPr>
            </w:pPr>
            <w:r>
              <w:rPr>
                <w:rFonts w:hint="eastAsia" w:ascii="宋体" w:hAnsi="宋体" w:eastAsia="宋体"/>
                <w:sz w:val="18"/>
                <w:szCs w:val="18"/>
                <w:lang w:val="en-US" w:eastAsia="zh-CN"/>
              </w:rPr>
              <w:t>相关工作正在开展</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测试装备正在履行采购程序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应急医疗救护水平</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提升</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highlight w:val="yellow"/>
                <w:lang w:val="en-US" w:eastAsia="zh-CN"/>
              </w:rPr>
            </w:pPr>
            <w:r>
              <w:rPr>
                <w:rFonts w:hint="eastAsia" w:ascii="宋体" w:hAnsi="宋体" w:eastAsia="宋体"/>
                <w:sz w:val="18"/>
                <w:szCs w:val="18"/>
                <w:lang w:val="en-US" w:eastAsia="zh-CN"/>
              </w:rPr>
              <w:t>相关工作正在开展</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医疗装备正在履行采购程序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次生事故灾害预警能力</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提升</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highlight w:val="yellow"/>
                <w:lang w:val="en-US" w:eastAsia="zh-CN"/>
              </w:rPr>
            </w:pPr>
            <w:r>
              <w:rPr>
                <w:rFonts w:hint="eastAsia" w:ascii="宋体" w:hAnsi="宋体" w:eastAsia="宋体"/>
                <w:sz w:val="18"/>
                <w:szCs w:val="18"/>
                <w:lang w:val="en-US" w:eastAsia="zh-CN"/>
              </w:rPr>
              <w:t>相关工作正在开展</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预警装备正在履行采购程序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事故灾害发生时，队伍响应应急管理部指挥调动，及时赶赴现场救援率</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队伍全员参与实训演练覆盖率</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left"/>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全年达到100%</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40%</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2023年国家矿山应急救援大地特勘队、国家安全生产应急救援新兴际华队2支国家专业队开展了实训演练，其余3支计划2024年开展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实训演练考核评估结果</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合格</w:t>
            </w:r>
          </w:p>
        </w:tc>
        <w:tc>
          <w:tcPr>
            <w:tcW w:w="1470" w:type="dxa"/>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4"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restart"/>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时效指标</w:t>
            </w: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建设周期</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≤1年</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相关工作正在开展</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eastAsia="zh-CN"/>
              </w:rPr>
              <w:t>补助资金于</w:t>
            </w:r>
            <w:r>
              <w:rPr>
                <w:rFonts w:hint="eastAsia" w:ascii="宋体" w:hAnsi="宋体" w:eastAsia="宋体"/>
                <w:sz w:val="18"/>
                <w:szCs w:val="18"/>
                <w:lang w:val="en-US" w:eastAsia="zh-CN"/>
              </w:rPr>
              <w:t>2024年1月份下达，应急管理部于3月7日组织开展安全生产应急救援队力量建设补助资金项目管理政策解读培训，装备采购相关工作正处于前期筹备阶段，正在履行采购程序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5"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实训演练计划完成率</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100%</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40%</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2023年国家矿山应急救援大地特勘队、国家安全生产应急救援新兴际华队2支国家专业队开展了实训演练，其余3支计划2024年开展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5"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国家矿山应急救援大地特勘队打通600米井深小口径生命探查保障孔</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≤72小时</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eastAsia="zh-CN"/>
              </w:rPr>
              <w:t>补助资金于</w:t>
            </w:r>
            <w:r>
              <w:rPr>
                <w:rFonts w:hint="eastAsia" w:ascii="宋体" w:hAnsi="宋体" w:eastAsia="宋体"/>
                <w:sz w:val="18"/>
                <w:szCs w:val="18"/>
                <w:lang w:val="en-US" w:eastAsia="zh-CN"/>
              </w:rPr>
              <w:t>2024年1月份下达，应急管理部于3月7日组织开展安全生产应急救援队力量建设补助资金项目管理政策解读培训，装备采购相关工作正处于前期筹备阶段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9"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无补给状态下自我保障时间</w:t>
            </w:r>
          </w:p>
        </w:tc>
        <w:tc>
          <w:tcPr>
            <w:tcW w:w="120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仿宋_GB2312"/>
                <w:sz w:val="18"/>
                <w:szCs w:val="18"/>
                <w:lang w:val="en-US" w:eastAsia="zh-CN"/>
              </w:rPr>
            </w:pPr>
            <w:r>
              <w:rPr>
                <w:rFonts w:hint="eastAsia" w:ascii="仿宋_GB2312" w:hAnsi="仿宋_GB2312" w:eastAsia="仿宋_GB2312" w:cs="仿宋_GB2312"/>
                <w:i w:val="0"/>
                <w:color w:val="000000"/>
                <w:sz w:val="21"/>
                <w:szCs w:val="21"/>
                <w:u w:val="none"/>
              </w:rPr>
              <w:t>≥</w:t>
            </w:r>
            <w:r>
              <w:rPr>
                <w:rFonts w:hint="eastAsia" w:hAnsi="仿宋_GB2312" w:cs="仿宋_GB2312"/>
                <w:i w:val="0"/>
                <w:color w:val="000000"/>
                <w:sz w:val="21"/>
                <w:szCs w:val="21"/>
                <w:u w:val="none"/>
                <w:lang w:val="en-US" w:eastAsia="zh-CN"/>
              </w:rPr>
              <w:t>72小时</w:t>
            </w:r>
          </w:p>
        </w:tc>
        <w:tc>
          <w:tcPr>
            <w:tcW w:w="1470"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72小时</w:t>
            </w:r>
          </w:p>
        </w:tc>
        <w:tc>
          <w:tcPr>
            <w:tcW w:w="174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3"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restart"/>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效益指标</w:t>
            </w:r>
          </w:p>
        </w:tc>
        <w:tc>
          <w:tcPr>
            <w:tcW w:w="955" w:type="dxa"/>
            <w:vMerge w:val="restart"/>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社会效益指标</w:t>
            </w:r>
          </w:p>
        </w:tc>
        <w:tc>
          <w:tcPr>
            <w:tcW w:w="2793" w:type="dxa"/>
            <w:gridSpan w:val="2"/>
            <w:tcBorders>
              <w:bottom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重点行业领域生产安全事故救援能力</w:t>
            </w:r>
          </w:p>
        </w:tc>
        <w:tc>
          <w:tcPr>
            <w:tcW w:w="1200" w:type="dxa"/>
            <w:tcBorders>
              <w:left w:val="single" w:color="auto" w:sz="4" w:space="0"/>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显著增强</w:t>
            </w:r>
          </w:p>
        </w:tc>
        <w:tc>
          <w:tcPr>
            <w:tcW w:w="1470" w:type="dxa"/>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部分增强</w:t>
            </w:r>
          </w:p>
        </w:tc>
        <w:tc>
          <w:tcPr>
            <w:tcW w:w="1745" w:type="dxa"/>
            <w:vMerge w:val="restart"/>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2023年国家矿山应急救援大地特勘队、国家安全生产应急救援新兴际华队2支国家专业队开展了实训演练，其余3支计划2024年开展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4"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vMerge w:val="continue"/>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在自然灾害抢险救援中发挥救援协调作用</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提升</w:t>
            </w:r>
          </w:p>
        </w:tc>
        <w:tc>
          <w:tcPr>
            <w:tcW w:w="1470"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部分提升</w:t>
            </w:r>
          </w:p>
        </w:tc>
        <w:tc>
          <w:tcPr>
            <w:tcW w:w="1745" w:type="dxa"/>
            <w:vMerge w:val="continue"/>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4"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vMerge w:val="continue"/>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top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助力依托企业（单位）防范化解安全风险，减少事故发生发挥作用</w:t>
            </w:r>
          </w:p>
        </w:tc>
        <w:tc>
          <w:tcPr>
            <w:tcW w:w="1200" w:type="dxa"/>
            <w:tcBorders>
              <w:top w:val="single" w:color="auto" w:sz="4" w:space="0"/>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成效明显</w:t>
            </w:r>
          </w:p>
        </w:tc>
        <w:tc>
          <w:tcPr>
            <w:tcW w:w="1470" w:type="dxa"/>
            <w:tcBorders>
              <w:top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成效较好</w:t>
            </w:r>
          </w:p>
        </w:tc>
        <w:tc>
          <w:tcPr>
            <w:tcW w:w="1745" w:type="dxa"/>
            <w:vMerge w:val="continue"/>
            <w:tcBorders>
              <w:bottom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71" w:hRule="atLeast"/>
          <w:jc w:val="center"/>
        </w:trPr>
        <w:tc>
          <w:tcPr>
            <w:tcW w:w="649" w:type="dxa"/>
            <w:vMerge w:val="continue"/>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r>
              <w:rPr>
                <w:rFonts w:hint="eastAsia" w:ascii="宋体" w:hAnsi="宋体" w:eastAsia="宋体"/>
                <w:sz w:val="18"/>
                <w:szCs w:val="18"/>
                <w:lang w:eastAsia="zh-CN"/>
              </w:rPr>
              <w:t>满意度指标</w:t>
            </w:r>
          </w:p>
        </w:tc>
        <w:tc>
          <w:tcPr>
            <w:tcW w:w="955"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服务对象满意度指标</w:t>
            </w:r>
          </w:p>
        </w:tc>
        <w:tc>
          <w:tcPr>
            <w:tcW w:w="2793" w:type="dxa"/>
            <w:gridSpan w:val="2"/>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接受服务的企业对队伍的满意度</w:t>
            </w:r>
          </w:p>
        </w:tc>
        <w:tc>
          <w:tcPr>
            <w:tcW w:w="1200"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≥95%</w:t>
            </w:r>
          </w:p>
        </w:tc>
        <w:tc>
          <w:tcPr>
            <w:tcW w:w="1470"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0</w:t>
            </w:r>
          </w:p>
        </w:tc>
        <w:tc>
          <w:tcPr>
            <w:tcW w:w="1745"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尚未接受服务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71" w:hRule="atLeast"/>
          <w:jc w:val="center"/>
        </w:trPr>
        <w:tc>
          <w:tcPr>
            <w:tcW w:w="649" w:type="dxa"/>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695" w:type="dxa"/>
            <w:tcBorders>
              <w:left w:val="single" w:color="auto" w:sz="4" w:space="0"/>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eastAsia="zh-CN"/>
              </w:rPr>
            </w:pPr>
          </w:p>
        </w:tc>
        <w:tc>
          <w:tcPr>
            <w:tcW w:w="955"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p>
        </w:tc>
        <w:tc>
          <w:tcPr>
            <w:tcW w:w="2793" w:type="dxa"/>
            <w:gridSpan w:val="2"/>
            <w:tcBorders>
              <w:righ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仿宋_GB2312" w:hAnsi="仿宋_GB2312" w:eastAsia="仿宋_GB2312" w:cs="仿宋_GB2312"/>
                <w:i w:val="0"/>
                <w:color w:val="000000"/>
                <w:kern w:val="2"/>
                <w:sz w:val="21"/>
                <w:szCs w:val="21"/>
                <w:u w:val="none"/>
                <w:lang w:val="en-US" w:eastAsia="zh-CN" w:bidi="ar-SA"/>
              </w:rPr>
              <w:t>地方应急管理部门对队伍满意度</w:t>
            </w:r>
          </w:p>
        </w:tc>
        <w:tc>
          <w:tcPr>
            <w:tcW w:w="1200" w:type="dxa"/>
            <w:tcBorders>
              <w:left w:val="single" w:color="auto" w:sz="4" w:space="0"/>
            </w:tcBorders>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≥95%</w:t>
            </w:r>
          </w:p>
        </w:tc>
        <w:tc>
          <w:tcPr>
            <w:tcW w:w="1470"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50%</w:t>
            </w:r>
          </w:p>
        </w:tc>
        <w:tc>
          <w:tcPr>
            <w:tcW w:w="1745"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240" w:lineRule="exact"/>
              <w:jc w:val="both"/>
              <w:textAlignment w:val="auto"/>
              <w:rPr>
                <w:rFonts w:hint="default" w:ascii="宋体" w:hAnsi="宋体" w:eastAsia="宋体"/>
                <w:sz w:val="18"/>
                <w:szCs w:val="18"/>
                <w:lang w:val="en" w:eastAsia="zh-CN"/>
              </w:rPr>
            </w:pPr>
            <w:r>
              <w:rPr>
                <w:rFonts w:hint="eastAsia" w:ascii="宋体" w:hAnsi="宋体" w:eastAsia="宋体"/>
                <w:sz w:val="18"/>
                <w:szCs w:val="18"/>
                <w:lang w:val="en" w:eastAsia="zh-CN"/>
              </w:rPr>
              <w:t>项目尚未完成</w:t>
            </w:r>
          </w:p>
        </w:tc>
      </w:tr>
    </w:tbl>
    <w:p>
      <w:pPr>
        <w:keepNext w:val="0"/>
        <w:keepLines w:val="0"/>
        <w:pageBreakBefore w:val="0"/>
        <w:widowControl w:val="0"/>
        <w:kinsoku/>
        <w:wordWrap/>
        <w:overflowPunct/>
        <w:topLinePunct w:val="0"/>
        <w:autoSpaceDE/>
        <w:autoSpaceDN/>
        <w:bidi w:val="0"/>
        <w:adjustRightInd/>
        <w:snapToGrid w:val="0"/>
        <w:spacing w:after="0" w:line="540" w:lineRule="exact"/>
        <w:textAlignment w:val="auto"/>
        <w:outlineLvl w:val="0"/>
        <w:rPr>
          <w:rFonts w:hint="eastAsia" w:ascii="仿宋_GB2312"/>
          <w:sz w:val="32"/>
          <w:szCs w:val="32"/>
          <w:lang w:val="en"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5AFAD"/>
    <w:multiLevelType w:val="singleLevel"/>
    <w:tmpl w:val="F5E5AFAD"/>
    <w:lvl w:ilvl="0" w:tentative="0">
      <w:start w:val="4"/>
      <w:numFmt w:val="chineseCounting"/>
      <w:suff w:val="nothing"/>
      <w:lvlText w:val="%1、"/>
      <w:lvlJc w:val="left"/>
      <w:rPr>
        <w:rFonts w:hint="eastAsia"/>
      </w:rPr>
    </w:lvl>
  </w:abstractNum>
  <w:abstractNum w:abstractNumId="1">
    <w:nsid w:val="79FD4B1D"/>
    <w:multiLevelType w:val="singleLevel"/>
    <w:tmpl w:val="79FD4B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845082D"/>
    <w:rsid w:val="09E965F2"/>
    <w:rsid w:val="0FF7AA4F"/>
    <w:rsid w:val="139840D3"/>
    <w:rsid w:val="143E091F"/>
    <w:rsid w:val="14865FC8"/>
    <w:rsid w:val="150C2DB0"/>
    <w:rsid w:val="1A7D29EA"/>
    <w:rsid w:val="1D994BCF"/>
    <w:rsid w:val="1E761F05"/>
    <w:rsid w:val="1F7BE1E6"/>
    <w:rsid w:val="1FC7205C"/>
    <w:rsid w:val="228B3D05"/>
    <w:rsid w:val="284E74F8"/>
    <w:rsid w:val="2ADB48E8"/>
    <w:rsid w:val="2BFE772F"/>
    <w:rsid w:val="36687282"/>
    <w:rsid w:val="367793B2"/>
    <w:rsid w:val="3794FC37"/>
    <w:rsid w:val="38EF7AD8"/>
    <w:rsid w:val="3E1672E6"/>
    <w:rsid w:val="3EB9C2BB"/>
    <w:rsid w:val="3FEF6A07"/>
    <w:rsid w:val="3FFCD4B4"/>
    <w:rsid w:val="415F08D8"/>
    <w:rsid w:val="44E2230F"/>
    <w:rsid w:val="47F4E8B2"/>
    <w:rsid w:val="48B51347"/>
    <w:rsid w:val="491B45FA"/>
    <w:rsid w:val="4A55216A"/>
    <w:rsid w:val="4EFE3EE1"/>
    <w:rsid w:val="4FE0696A"/>
    <w:rsid w:val="546F8569"/>
    <w:rsid w:val="55673508"/>
    <w:rsid w:val="59595A6F"/>
    <w:rsid w:val="597350B8"/>
    <w:rsid w:val="599330CA"/>
    <w:rsid w:val="5A7FCB1F"/>
    <w:rsid w:val="5DFFA608"/>
    <w:rsid w:val="5FEAF7C9"/>
    <w:rsid w:val="60D5009F"/>
    <w:rsid w:val="64AC2E11"/>
    <w:rsid w:val="660721C9"/>
    <w:rsid w:val="661E6C75"/>
    <w:rsid w:val="67F75FF5"/>
    <w:rsid w:val="681D4831"/>
    <w:rsid w:val="692E4B19"/>
    <w:rsid w:val="69513EF7"/>
    <w:rsid w:val="6BF3256F"/>
    <w:rsid w:val="6CE7018A"/>
    <w:rsid w:val="6D77D1E8"/>
    <w:rsid w:val="6E3E3F2D"/>
    <w:rsid w:val="6E7BCB7E"/>
    <w:rsid w:val="715B2F02"/>
    <w:rsid w:val="761E4EE5"/>
    <w:rsid w:val="769B5328"/>
    <w:rsid w:val="76A548F2"/>
    <w:rsid w:val="7765772E"/>
    <w:rsid w:val="776F5E62"/>
    <w:rsid w:val="77867685"/>
    <w:rsid w:val="77EE7FE7"/>
    <w:rsid w:val="781F36B6"/>
    <w:rsid w:val="790627AD"/>
    <w:rsid w:val="79DFF8C4"/>
    <w:rsid w:val="7ADC59FA"/>
    <w:rsid w:val="7AFF2FC3"/>
    <w:rsid w:val="7B7BEF35"/>
    <w:rsid w:val="7BF6B4C5"/>
    <w:rsid w:val="7DDD794F"/>
    <w:rsid w:val="7DFA6624"/>
    <w:rsid w:val="7DFD8AD7"/>
    <w:rsid w:val="7DFEFB95"/>
    <w:rsid w:val="7E9EC01E"/>
    <w:rsid w:val="7ECD6B9A"/>
    <w:rsid w:val="7F63A032"/>
    <w:rsid w:val="7FBA576D"/>
    <w:rsid w:val="7FDE47D5"/>
    <w:rsid w:val="7FFC7CB2"/>
    <w:rsid w:val="7FFD003D"/>
    <w:rsid w:val="94BFC172"/>
    <w:rsid w:val="97BFD223"/>
    <w:rsid w:val="9BFA614C"/>
    <w:rsid w:val="AAFDD6AA"/>
    <w:rsid w:val="BAFE1E17"/>
    <w:rsid w:val="BBDF5B5A"/>
    <w:rsid w:val="BBE428C2"/>
    <w:rsid w:val="BFBF52D7"/>
    <w:rsid w:val="CFF310AC"/>
    <w:rsid w:val="CFFD8727"/>
    <w:rsid w:val="DF6E82F1"/>
    <w:rsid w:val="DFCEE0CE"/>
    <w:rsid w:val="DFFF7077"/>
    <w:rsid w:val="EEBF76D9"/>
    <w:rsid w:val="F36EF6AC"/>
    <w:rsid w:val="F3D417BD"/>
    <w:rsid w:val="F6FDCC0E"/>
    <w:rsid w:val="F767D450"/>
    <w:rsid w:val="F76FB1DB"/>
    <w:rsid w:val="F7FBEBBF"/>
    <w:rsid w:val="F9F3FBF0"/>
    <w:rsid w:val="FACF62DB"/>
    <w:rsid w:val="FB9F8FA2"/>
    <w:rsid w:val="FDB5389F"/>
    <w:rsid w:val="FDFF12BB"/>
    <w:rsid w:val="FED7304A"/>
    <w:rsid w:val="FFAFB80B"/>
    <w:rsid w:val="FFDF4FA5"/>
    <w:rsid w:val="FFF9F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val="0"/>
      <w:spacing w:after="160" w:line="278" w:lineRule="auto"/>
      <w:ind w:firstLine="420"/>
      <w:jc w:val="both"/>
    </w:pPr>
    <w:rPr>
      <w:rFonts w:ascii="Times New Roman" w:hAnsi="Times New Roman" w:eastAsia="宋体" w:cs="Times New Roman"/>
      <w:kern w:val="2"/>
      <w:sz w:val="21"/>
      <w:szCs w:val="20"/>
      <w:lang w:val="en-US" w:eastAsia="zh-CN" w:bidi="ar-SA"/>
    </w:rPr>
  </w:style>
  <w:style w:type="paragraph" w:styleId="3">
    <w:name w:val="Body Text"/>
    <w:basedOn w:val="1"/>
    <w:qFormat/>
    <w:uiPriority w:val="0"/>
    <w:pPr>
      <w:spacing w:after="120"/>
    </w:pPr>
  </w:style>
  <w:style w:type="paragraph" w:styleId="4">
    <w:name w:val="Balloon Text"/>
    <w:basedOn w:val="1"/>
    <w:link w:val="12"/>
    <w:qFormat/>
    <w:uiPriority w:val="0"/>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页脚 Char"/>
    <w:basedOn w:val="9"/>
    <w:link w:val="5"/>
    <w:qFormat/>
    <w:uiPriority w:val="99"/>
    <w:rPr>
      <w:rFonts w:eastAsia="仿宋_GB2312"/>
      <w:kern w:val="2"/>
      <w:sz w:val="18"/>
      <w:szCs w:val="18"/>
    </w:rPr>
  </w:style>
  <w:style w:type="character" w:customStyle="1" w:styleId="11">
    <w:name w:val="页眉 Char"/>
    <w:basedOn w:val="9"/>
    <w:link w:val="6"/>
    <w:qFormat/>
    <w:uiPriority w:val="0"/>
    <w:rPr>
      <w:rFonts w:eastAsia="仿宋_GB2312"/>
      <w:kern w:val="2"/>
      <w:sz w:val="18"/>
      <w:szCs w:val="18"/>
    </w:rPr>
  </w:style>
  <w:style w:type="character" w:customStyle="1" w:styleId="12">
    <w:name w:val="批注框文本 Char"/>
    <w:basedOn w:val="9"/>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71</Words>
  <Characters>410</Characters>
  <Lines>3</Lines>
  <Paragraphs>1</Paragraphs>
  <TotalTime>10</TotalTime>
  <ScaleCrop>false</ScaleCrop>
  <LinksUpToDate>false</LinksUpToDate>
  <CharactersWithSpaces>480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2019-02-20T14:26:00Z</dcterms:created>
  <dc:creator>lhn</dc:creator>
  <cp:lastModifiedBy>uos</cp:lastModifiedBy>
  <cp:lastPrinted>2023-02-28T01:51:00Z</cp:lastPrinted>
  <dcterms:modified xsi:type="dcterms:W3CDTF">2024-08-20T10:43:37Z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