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ascii="黑体" w:eastAsia="黑体"/>
          <w:sz w:val="52"/>
          <w:szCs w:val="52"/>
        </w:rPr>
      </w:pPr>
    </w:p>
    <w:p>
      <w:pPr>
        <w:adjustRightInd w:val="0"/>
        <w:snapToGrid w:val="0"/>
        <w:rPr>
          <w:rFonts w:ascii="黑体" w:eastAsia="黑体"/>
          <w:sz w:val="52"/>
          <w:szCs w:val="52"/>
        </w:rPr>
      </w:pPr>
    </w:p>
    <w:p>
      <w:pPr>
        <w:adjustRightInd w:val="0"/>
        <w:snapToGrid w:val="0"/>
        <w:rPr>
          <w:rFonts w:ascii="黑体" w:eastAsia="黑体"/>
          <w:sz w:val="52"/>
          <w:szCs w:val="52"/>
        </w:rPr>
      </w:pPr>
    </w:p>
    <w:p>
      <w:pPr>
        <w:adjustRightInd w:val="0"/>
        <w:snapToGrid w:val="0"/>
        <w:spacing w:line="360" w:lineRule="auto"/>
        <w:jc w:val="center"/>
        <w:rPr>
          <w:rFonts w:ascii="黑体" w:eastAsia="黑体"/>
          <w:sz w:val="52"/>
          <w:szCs w:val="52"/>
        </w:rPr>
      </w:pPr>
      <w:r>
        <w:rPr>
          <w:rFonts w:hint="eastAsia" w:ascii="黑体" w:eastAsia="黑体"/>
          <w:sz w:val="52"/>
          <w:szCs w:val="52"/>
        </w:rPr>
        <w:t>北京市市级预算部门整体支出</w:t>
      </w:r>
    </w:p>
    <w:p>
      <w:pPr>
        <w:adjustRightInd w:val="0"/>
        <w:snapToGrid w:val="0"/>
        <w:spacing w:line="360" w:lineRule="auto"/>
        <w:jc w:val="center"/>
        <w:rPr>
          <w:rFonts w:ascii="黑体" w:eastAsia="黑体"/>
          <w:sz w:val="52"/>
          <w:szCs w:val="52"/>
        </w:rPr>
      </w:pPr>
      <w:r>
        <w:rPr>
          <w:rFonts w:hint="eastAsia" w:ascii="黑体" w:eastAsia="黑体"/>
          <w:sz w:val="52"/>
          <w:szCs w:val="52"/>
        </w:rPr>
        <w:t>绩效评价报告</w:t>
      </w:r>
    </w:p>
    <w:p/>
    <w:p/>
    <w:p/>
    <w:p/>
    <w:p/>
    <w:p/>
    <w:p/>
    <w:p/>
    <w:p/>
    <w:p/>
    <w:p/>
    <w:p/>
    <w:p/>
    <w:p/>
    <w:p/>
    <w:p/>
    <w:p/>
    <w:p>
      <w:pPr>
        <w:ind w:left="-567" w:leftChars="-270"/>
      </w:pPr>
    </w:p>
    <w:p/>
    <w:p/>
    <w:p/>
    <w:p/>
    <w:p/>
    <w:p>
      <w:pPr>
        <w:adjustRightInd w:val="0"/>
        <w:snapToGrid w:val="0"/>
        <w:spacing w:line="360" w:lineRule="auto"/>
        <w:jc w:val="center"/>
        <w:rPr>
          <w:rFonts w:ascii="楷体" w:hAnsi="楷体" w:eastAsia="楷体"/>
          <w:b/>
          <w:sz w:val="44"/>
          <w:szCs w:val="44"/>
        </w:rPr>
      </w:pPr>
      <w:bookmarkStart w:id="0" w:name="_Toc458154061"/>
      <w:r>
        <w:rPr>
          <w:rFonts w:hint="eastAsia" w:ascii="楷体" w:hAnsi="楷体" w:eastAsia="楷体"/>
          <w:b/>
          <w:sz w:val="44"/>
          <w:szCs w:val="44"/>
        </w:rPr>
        <w:t>北京</w:t>
      </w:r>
      <w:bookmarkEnd w:id="0"/>
      <w:r>
        <w:rPr>
          <w:rFonts w:hint="eastAsia" w:ascii="楷体" w:hAnsi="楷体" w:eastAsia="楷体"/>
          <w:b/>
          <w:sz w:val="44"/>
          <w:szCs w:val="44"/>
        </w:rPr>
        <w:t>市应急管理局</w:t>
      </w:r>
    </w:p>
    <w:p>
      <w:pPr>
        <w:adjustRightInd w:val="0"/>
        <w:snapToGrid w:val="0"/>
        <w:spacing w:line="360" w:lineRule="auto"/>
        <w:jc w:val="center"/>
        <w:rPr>
          <w:rFonts w:ascii="仿宋" w:hAnsi="仿宋" w:eastAsia="仿宋"/>
          <w:b/>
          <w:sz w:val="32"/>
          <w:szCs w:val="32"/>
          <w:lang w:val="zh-CN"/>
        </w:rPr>
      </w:pPr>
      <w:bookmarkStart w:id="1" w:name="_Toc458154062"/>
      <w:r>
        <w:rPr>
          <w:rFonts w:hint="eastAsia" w:ascii="仿宋" w:hAnsi="仿宋" w:eastAsia="仿宋"/>
          <w:b/>
          <w:sz w:val="32"/>
          <w:szCs w:val="32"/>
          <w:lang w:val="zh-CN"/>
        </w:rPr>
        <w:t>二〇二</w:t>
      </w:r>
      <w:r>
        <w:rPr>
          <w:rFonts w:hint="eastAsia" w:ascii="仿宋" w:hAnsi="仿宋" w:eastAsia="仿宋"/>
          <w:b/>
          <w:sz w:val="32"/>
          <w:szCs w:val="32"/>
          <w:lang w:val="en-US" w:eastAsia="zh-CN"/>
        </w:rPr>
        <w:t>四</w:t>
      </w:r>
      <w:r>
        <w:rPr>
          <w:rFonts w:hint="eastAsia" w:ascii="仿宋" w:hAnsi="仿宋" w:eastAsia="仿宋"/>
          <w:b/>
          <w:sz w:val="32"/>
          <w:szCs w:val="32"/>
          <w:lang w:val="zh-CN"/>
        </w:rPr>
        <w:t>年</w:t>
      </w:r>
      <w:r>
        <w:rPr>
          <w:rFonts w:hint="eastAsia" w:ascii="仿宋" w:hAnsi="仿宋" w:eastAsia="仿宋"/>
          <w:b/>
          <w:sz w:val="32"/>
          <w:szCs w:val="32"/>
        </w:rPr>
        <w:t>五</w:t>
      </w:r>
      <w:r>
        <w:rPr>
          <w:rFonts w:hint="eastAsia" w:ascii="仿宋" w:hAnsi="仿宋" w:eastAsia="仿宋"/>
          <w:b/>
          <w:sz w:val="32"/>
          <w:szCs w:val="32"/>
          <w:lang w:val="zh-CN"/>
        </w:rPr>
        <w:t>月</w:t>
      </w:r>
      <w:bookmarkEnd w:id="1"/>
    </w:p>
    <w:p>
      <w:pPr>
        <w:adjustRightInd w:val="0"/>
        <w:snapToGrid w:val="0"/>
        <w:spacing w:line="560" w:lineRule="exact"/>
        <w:jc w:val="center"/>
        <w:rPr>
          <w:rFonts w:ascii="方正小标宋简体" w:eastAsia="方正小标宋简体"/>
          <w:sz w:val="36"/>
          <w:szCs w:val="36"/>
        </w:rPr>
        <w:sectPr>
          <w:footerReference r:id="rId4" w:type="default"/>
          <w:pgSz w:w="11906" w:h="16838"/>
          <w:pgMar w:top="1440" w:right="1800" w:bottom="1440" w:left="1800" w:header="851" w:footer="992" w:gutter="0"/>
          <w:pgNumType w:fmt="decimal"/>
          <w:cols w:space="425" w:num="1"/>
          <w:docGrid w:type="lines" w:linePitch="312" w:charSpace="0"/>
        </w:sectPr>
      </w:pPr>
    </w:p>
    <w:p>
      <w:pPr>
        <w:adjustRightInd w:val="0"/>
        <w:snapToGrid w:val="0"/>
        <w:spacing w:line="360" w:lineRule="auto"/>
        <w:jc w:val="center"/>
        <w:rPr>
          <w:rFonts w:ascii="华文中宋" w:hAnsi="华文中宋" w:eastAsia="华文中宋"/>
          <w:sz w:val="36"/>
          <w:szCs w:val="36"/>
        </w:rPr>
      </w:pPr>
      <w:r>
        <w:rPr>
          <w:rFonts w:hint="eastAsia" w:ascii="华文中宋" w:hAnsi="华文中宋" w:eastAsia="华文中宋"/>
          <w:sz w:val="36"/>
          <w:szCs w:val="36"/>
        </w:rPr>
        <w:t>北京市应急管理局2</w:t>
      </w:r>
      <w:r>
        <w:rPr>
          <w:rFonts w:ascii="华文中宋" w:hAnsi="华文中宋" w:eastAsia="华文中宋"/>
          <w:sz w:val="36"/>
          <w:szCs w:val="36"/>
        </w:rPr>
        <w:t>02</w:t>
      </w:r>
      <w:r>
        <w:rPr>
          <w:rFonts w:hint="eastAsia" w:ascii="华文中宋" w:hAnsi="华文中宋" w:eastAsia="华文中宋"/>
          <w:sz w:val="36"/>
          <w:szCs w:val="36"/>
          <w:lang w:val="en-US" w:eastAsia="zh-CN"/>
        </w:rPr>
        <w:t>3</w:t>
      </w:r>
      <w:r>
        <w:rPr>
          <w:rFonts w:hint="eastAsia" w:ascii="华文中宋" w:hAnsi="华文中宋" w:eastAsia="华文中宋"/>
          <w:sz w:val="36"/>
          <w:szCs w:val="36"/>
        </w:rPr>
        <w:t>年度部门整体支出</w:t>
      </w:r>
    </w:p>
    <w:p>
      <w:pPr>
        <w:adjustRightInd w:val="0"/>
        <w:snapToGrid w:val="0"/>
        <w:spacing w:line="360" w:lineRule="auto"/>
        <w:jc w:val="center"/>
        <w:rPr>
          <w:rFonts w:ascii="华文中宋" w:hAnsi="华文中宋" w:eastAsia="华文中宋"/>
          <w:sz w:val="36"/>
          <w:szCs w:val="36"/>
        </w:rPr>
      </w:pPr>
      <w:r>
        <w:rPr>
          <w:rFonts w:hint="eastAsia" w:ascii="华文中宋" w:hAnsi="华文中宋" w:eastAsia="华文中宋"/>
          <w:sz w:val="36"/>
          <w:szCs w:val="36"/>
        </w:rPr>
        <w:t>绩效评价报告</w:t>
      </w:r>
    </w:p>
    <w:p>
      <w:pPr>
        <w:adjustRightInd w:val="0"/>
        <w:snapToGrid w:val="0"/>
        <w:spacing w:line="360" w:lineRule="auto"/>
        <w:jc w:val="center"/>
        <w:rPr>
          <w:rFonts w:ascii="仿宋_GB2312"/>
          <w:szCs w:val="30"/>
        </w:rPr>
      </w:pPr>
    </w:p>
    <w:p>
      <w:pPr>
        <w:adjustRightInd w:val="0"/>
        <w:snapToGrid w:val="0"/>
        <w:spacing w:line="360" w:lineRule="auto"/>
        <w:jc w:val="center"/>
        <w:rPr>
          <w:rFonts w:ascii="仿宋_GB2312"/>
          <w:szCs w:val="30"/>
        </w:rPr>
      </w:pPr>
    </w:p>
    <w:p>
      <w:pPr>
        <w:adjustRightInd w:val="0"/>
        <w:snapToGrid w:val="0"/>
        <w:spacing w:line="360" w:lineRule="auto"/>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adjustRightInd w:val="0"/>
        <w:snapToGrid w:val="0"/>
        <w:spacing w:line="360" w:lineRule="auto"/>
        <w:ind w:firstLine="640" w:firstLineChars="200"/>
        <w:outlineLvl w:val="1"/>
        <w:rPr>
          <w:rFonts w:ascii="楷体_GB2312" w:eastAsia="楷体_GB2312"/>
          <w:sz w:val="32"/>
          <w:szCs w:val="32"/>
        </w:rPr>
      </w:pPr>
      <w:r>
        <w:rPr>
          <w:rFonts w:hint="eastAsia" w:ascii="楷体_GB2312" w:eastAsia="楷体_GB2312"/>
          <w:sz w:val="32"/>
          <w:szCs w:val="32"/>
        </w:rPr>
        <w:t>（一）机构设置及职责工作任务情况</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北京市应急管理局（以下简称“市应急局”）是市政府组成部门，为正局级。其主要职责有：</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1.负责本市应急管理工作，指导各区各部门各单位应对安全生产类、自然灾害类等突发事件和综合防灾减灾救灾工作。负责安全生产综合监督管理和工矿商贸行业安全生产监督管理工作。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2.拟订本市应急管理、安全生产等政策，组织编制应急体系建设、安全生产和综合防灾减灾规划，起草相关地方性法规和政府规章草案，组织制定相关规程和标准并监督实施。</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指导本市应急预案体系建设，建立完善事故灾难和自然灾害分级应对制度，组织编制本市总体应急预案和安全生产类、自然灾害类专项预案，综合协调应急预案衔接工作，组织开展预案演练，推动应急避难设施建设。</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4.牵头建立本市统一的应急管理信息系统，负责信息传输渠道的规划和布局，建立监测预警和灾情报告制度，健全自然灾害信息资源获取和共享机制，依法统一发布灾情。</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5.组织指导协调本市安全生产类、自然灾害类等突发事件应急救援，综合研判突发事件发展态势并提出应对建议，协助市委、市政府指定的负责同志组织重大灾害应急处置工作。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6.统一协调指挥本市各类应急专业队伍，建立应急协调联动机制，推进指挥平台对接，衔接解放军和武警部队参与应急救援工作，指导本市综合性消防救援队伍开展有关应急救援工作。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7.统筹本市应急救援力量建设，负责组织消防、森林火灾扑救、抗洪抢险、地震和地质灾害救援、生产安全事故救援等专业应急救援力量建设，指导综合性应急救援队伍建设和各区及社会应急救援力量建设。</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8.负责本市消防管理工作，指导消防监督、火灾预防、火灾扑救等工作。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9.指导协调本市森林火灾、水旱灾害、地震和地质灾害等防治工作，负责自然灾害综合监测预警工作，指导开展自然灾害综合风险评估工作。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10.组织协调本市灾害救助工作，组织指导灾情核查、损失评估、救灾捐赠工作，管理、分配市级救灾款物并监督使用。</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11.依法行使本市安全生产综合监督管理职权，指导协调、监督检查市政府有关部门和各区政府安全生产工作，组织开展安全生产督查、考核工作。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按照分级、属地原则，依法监督检查本市工矿商贸生产经营单位贯彻执行安全生产法律法规和标准情况及其安全生产条件和有关设备（特种设备除外）、材料、劳动防护用品的安全生产管理工作。依法组织并指导监督实施安全生产准入制度。负责危险化学品安全监督管理综合工作和烟花爆竹经营单位安全监督管理工作。负责煤矿、非煤矿山安全生产监督管理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13.依法组织指导本市生产安全事故调查处理，监督事故查处和责任追究落实情况。组织开展自然灾害类突发事件的调查评估工作。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14.开展应急管理方面的对外交流与合作，组织参与安全生产类、自然灾害类等突发事件的对外救援工作。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15.制定本市应急物资储备和应急救援装备规划并组织实施，会同市粮食和储备局等部门建立健全应急物资信息平台和调拨制度，在救灾时统一调度。</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16.负责本市应急管理、安全生产宣传教育和培训工作，组织指导应急管理、安全生产的科学技术研究、推广应用和信息化建设工作。</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承担市突发事件应急委员会的具体工作，负责规划、组织、协调、指导、检查本市突发事件应对工作及应急管理的预案、体制、机制和法制建设。承担市安全生产委员会、市防火安全委员会（市森林防火指挥部）、市人民政府防汛抗旱指挥部的具体工作。</w:t>
      </w:r>
    </w:p>
    <w:p>
      <w:pPr>
        <w:adjustRightInd w:val="0"/>
        <w:snapToGrid w:val="0"/>
        <w:spacing w:line="360" w:lineRule="auto"/>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18.完成市委、市政府交办的其他任务。</w:t>
      </w:r>
    </w:p>
    <w:p>
      <w:pPr>
        <w:adjustRightInd w:val="0"/>
        <w:snapToGrid w:val="0"/>
        <w:spacing w:line="360" w:lineRule="auto"/>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highlight w:val="none"/>
        </w:rPr>
        <w:t>市应急局包括1个局本级行政单位，</w:t>
      </w:r>
      <w:r>
        <w:rPr>
          <w:rFonts w:hint="eastAsia" w:ascii="仿宋_GB2312" w:hAnsi="仿宋_GB2312" w:eastAsia="仿宋_GB2312" w:cs="仿宋_GB2312"/>
          <w:sz w:val="32"/>
          <w:szCs w:val="40"/>
        </w:rPr>
        <w:t>1个行政执法机构和4个全额拨款的事业单位。</w:t>
      </w:r>
    </w:p>
    <w:p>
      <w:pPr>
        <w:adjustRightInd w:val="0"/>
        <w:snapToGrid w:val="0"/>
        <w:spacing w:line="360" w:lineRule="auto"/>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根据党中央、国务院批准的《北京市机构改革方案》，市应急局本级行政设立20个处室，分别为</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办公室、法制处、规划发展处（研究室）、应急指挥处（市应急指挥中心）、风险监测与综合减灾处、救援协调与预案管理处、火灾防治管理处、防汛抗旱处（地震与地质灾害救援处）、危险化学品安全监督管理处、安全生产基础处、安全生产综合协调处、救灾与物资保障处、调查评估与统计处、宣传动员处、救援队伍建设处、科技与信息化处、行政审批处、督查处、财务处、人事处。另设有政治部、机关党委、机关纪委、工会。</w:t>
      </w:r>
    </w:p>
    <w:p>
      <w:pPr>
        <w:adjustRightInd w:val="0"/>
        <w:snapToGrid w:val="0"/>
        <w:spacing w:line="360" w:lineRule="auto"/>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1个行政执法机构为北京市应急管理综合执法总队。</w:t>
      </w:r>
      <w:r>
        <w:rPr>
          <w:rFonts w:hint="eastAsia" w:ascii="仿宋_GB2312" w:hAnsi="仿宋_GB2312" w:eastAsia="仿宋_GB2312" w:cs="仿宋_GB2312"/>
          <w:sz w:val="32"/>
          <w:szCs w:val="40"/>
        </w:rPr>
        <w:cr/>
      </w:r>
      <w:r>
        <w:rPr>
          <w:rFonts w:hint="eastAsia" w:ascii="仿宋_GB2312" w:hAnsi="仿宋_GB2312" w:eastAsia="仿宋_GB2312" w:cs="仿宋_GB2312"/>
          <w:sz w:val="32"/>
          <w:szCs w:val="40"/>
        </w:rPr>
        <w:t>  4个全额拨款的事业单位包括：北京市应急指挥保障中心，北京市安全生产督查事务中心，北京市应急管理科学技术研究院，北京市应急管理事务中心。</w:t>
      </w:r>
    </w:p>
    <w:p>
      <w:pPr>
        <w:adjustRightInd w:val="0"/>
        <w:snapToGrid w:val="0"/>
        <w:spacing w:line="360" w:lineRule="auto"/>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各机构职责情况详见表1。</w:t>
      </w:r>
    </w:p>
    <w:p>
      <w:pPr>
        <w:adjustRightInd w:val="0"/>
        <w:snapToGrid w:val="0"/>
        <w:spacing w:line="360" w:lineRule="auto"/>
        <w:ind w:firstLine="640" w:firstLineChars="200"/>
        <w:rPr>
          <w:rFonts w:ascii="仿宋_GB2312" w:hAnsi="仿宋_GB2312" w:eastAsia="仿宋_GB2312" w:cs="仿宋_GB2312"/>
          <w:sz w:val="32"/>
          <w:szCs w:val="40"/>
        </w:rPr>
      </w:pPr>
    </w:p>
    <w:p>
      <w:pPr>
        <w:adjustRightInd/>
        <w:snapToGrid/>
        <w:spacing w:line="240" w:lineRule="auto"/>
        <w:ind w:firstLine="0" w:firstLineChars="0"/>
        <w:rPr>
          <w:rFonts w:ascii="仿宋_GB2312" w:hAnsi="仿宋_GB2312" w:eastAsia="仿宋_GB2312" w:cs="仿宋_GB2312"/>
          <w:sz w:val="32"/>
          <w:szCs w:val="32"/>
        </w:rPr>
      </w:pPr>
      <w:r>
        <w:rPr>
          <w:rFonts w:ascii="仿宋_GB2312" w:hAnsi="仿宋_GB2312" w:eastAsia="仿宋_GB2312" w:cs="仿宋_GB2312"/>
          <w:sz w:val="32"/>
          <w:szCs w:val="32"/>
        </w:rPr>
        <w:br w:type="page"/>
      </w:r>
    </w:p>
    <w:p>
      <w:pPr>
        <w:pStyle w:val="2"/>
      </w:pPr>
    </w:p>
    <w:p>
      <w:pPr>
        <w:adjustRightInd w:val="0"/>
        <w:snapToGrid w:val="0"/>
        <w:spacing w:line="360" w:lineRule="auto"/>
        <w:jc w:val="center"/>
        <w:rPr>
          <w:rFonts w:ascii="黑体" w:hAnsi="黑体" w:eastAsia="黑体" w:cs="黑体"/>
          <w:b/>
          <w:bCs/>
          <w:sz w:val="28"/>
          <w:szCs w:val="28"/>
        </w:rPr>
      </w:pPr>
      <w:r>
        <w:rPr>
          <w:rFonts w:hint="eastAsia" w:ascii="黑体" w:hAnsi="黑体" w:eastAsia="黑体" w:cs="黑体"/>
          <w:b/>
          <w:bCs/>
          <w:sz w:val="28"/>
          <w:szCs w:val="28"/>
        </w:rPr>
        <w:t>表1应急管理局各机构职责</w:t>
      </w:r>
    </w:p>
    <w:tbl>
      <w:tblPr>
        <w:tblStyle w:val="14"/>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1764"/>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blHeader/>
          <w:jc w:val="center"/>
        </w:trPr>
        <w:tc>
          <w:tcPr>
            <w:tcW w:w="688" w:type="dxa"/>
            <w:vAlign w:val="center"/>
          </w:tcPr>
          <w:p>
            <w:pPr>
              <w:adjustRightInd w:val="0"/>
              <w:snapToGrid w:val="0"/>
              <w:jc w:val="center"/>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序号</w:t>
            </w:r>
          </w:p>
        </w:tc>
        <w:tc>
          <w:tcPr>
            <w:tcW w:w="1764" w:type="dxa"/>
            <w:vAlign w:val="center"/>
          </w:tcPr>
          <w:p>
            <w:pPr>
              <w:adjustRightInd w:val="0"/>
              <w:snapToGrid w:val="0"/>
              <w:jc w:val="center"/>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名称</w:t>
            </w:r>
          </w:p>
        </w:tc>
        <w:tc>
          <w:tcPr>
            <w:tcW w:w="6662" w:type="dxa"/>
            <w:vAlign w:val="center"/>
          </w:tcPr>
          <w:p>
            <w:pPr>
              <w:adjustRightInd w:val="0"/>
              <w:snapToGrid w:val="0"/>
              <w:jc w:val="center"/>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9114" w:type="dxa"/>
            <w:gridSpan w:val="3"/>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b/>
                <w:bCs/>
                <w:sz w:val="20"/>
                <w:szCs w:val="20"/>
              </w:rPr>
              <w:t>本级行政单位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办公室</w:t>
            </w:r>
          </w:p>
        </w:tc>
        <w:tc>
          <w:tcPr>
            <w:tcW w:w="6662" w:type="dxa"/>
            <w:vAlign w:val="center"/>
          </w:tcPr>
          <w:p>
            <w:pPr>
              <w:adjustRightInd w:val="0"/>
              <w:snapToGrid w:val="0"/>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负责机关日常运转，承担文电、会务、机要、档案等工作，承担信息、信访、建议议案提案办理、安全保密、政府信息公开、固定资产管理等工作。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2</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法制处</w:t>
            </w:r>
          </w:p>
        </w:tc>
        <w:tc>
          <w:tcPr>
            <w:tcW w:w="6662" w:type="dxa"/>
            <w:vAlign w:val="center"/>
          </w:tcPr>
          <w:p>
            <w:pPr>
              <w:adjustRightInd w:val="0"/>
              <w:snapToGrid w:val="0"/>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组织起草本市相关地方性法规和政府规章草案，承担机关规范性文件的合法性审核和有关备案工作，承担行政复议、行政应诉的有关工作，负责机关推进依法行政综合工作，负责行政执法工作的监督、指导和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3</w:t>
            </w:r>
          </w:p>
        </w:tc>
        <w:tc>
          <w:tcPr>
            <w:tcW w:w="1764" w:type="dxa"/>
            <w:vAlign w:val="center"/>
          </w:tcPr>
          <w:p>
            <w:pPr>
              <w:adjustRightInd w:val="0"/>
              <w:snapToGrid w:val="0"/>
              <w:jc w:val="center"/>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规划发展处</w:t>
            </w:r>
          </w:p>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（研究室）</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编制本市应急体系建设、安全生产和综合防灾减灾规划并组织实施，研究提出相关经济政策建议，推动应急重点工程和避难设施建设。承担应急管理和安全生产有关重大政策研究和重要文稿起草工作。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4</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应急指挥处（市应急指挥中心）</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承担应急值守、值班等工作，拟订本市事故灾难和自然灾害分级应对制度，发布预警和灾情信息，衔接解放军和武警部队参与应急救援工作。承担市突发事件应急委员会办公室的具体工作。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5</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风险监测与综合减灾处</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建立本市重大安全生产风险监测预警和评估论证机制，承担自然灾害综合监测预警工作，组织开展自然灾害综合风险与减灾能力调查评估。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6</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救援协调与预案管理处</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统筹本市应急预案体系建设，组织编制本市总体应急预案和安全生产类、自然灾害类专项预案并负责各类应急预案衔接协调，承担预案演练的组织实施和指导监督工作，负责协调、指导应急管理体制机制建设。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7</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火灾防治管理处</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组织拟订本市地方性消防法规和技术标准并监督实施，指导城镇、农村、森林消防工作规划编制并推进落实，指导消防监督、火灾预防、火灾扑救工作。承担市防火安全委员会（市森林防火指挥部）办公室的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8</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防汛抗旱处（地震与地质灾害救援处）</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组织协调本市水旱灾害应急救援工作，协调指导重要河湖和重要水工程实施防御洪水抗御旱灾调度和应急水量调度工作。组织协调地震应急救援工作，指导协调地震和地质灾害防治相关工作，组织重大地质灾害应急救援。承担市人民政府防汛抗旱指挥部办公室的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9</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危险化学品安全监督管理处</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负责本市化工（含石油化工）、医药、危险化学品和烟花爆竹经营单位安全监督管理工作，依法监督检查相关行业生产经营单位贯彻落实安全生产法律法规和标准情况，承担危险化学品安全监督管理综合工作，负责危险化学品登记和非药品类易制毒化学品生产经营监督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10</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安全生产基础处</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负责本市非煤矿山（含地质勘探）、石油（炼化、成品油管道除外）、冶金、有色、建材、机械、轻工、纺织、烟草、商贸等工矿商贸行业安全生产基础工作，拟订相关行业安全生产规程、标准，依法监督检查相关行业生产经营单位贯彻落实安全生产法律法规、规程和标准情况，指导监督相关行业企业安全生产标准化、安全预防控制体系建设等工作。依法监督检查煤矿贯彻执行安全生产法律法规、规程和标准情况及安全生产条件、设备设施安全情况。依法组织关闭不具备安全生产条件的矿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11</w:t>
            </w:r>
          </w:p>
        </w:tc>
        <w:tc>
          <w:tcPr>
            <w:tcW w:w="1764" w:type="dxa"/>
            <w:vAlign w:val="center"/>
          </w:tcPr>
          <w:p>
            <w:pPr>
              <w:adjustRightInd w:val="0"/>
              <w:snapToGrid w:val="0"/>
              <w:jc w:val="center"/>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安全生产综合</w:t>
            </w:r>
          </w:p>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协调处</w:t>
            </w:r>
          </w:p>
        </w:tc>
        <w:tc>
          <w:tcPr>
            <w:tcW w:w="6662" w:type="dxa"/>
            <w:vAlign w:val="center"/>
          </w:tcPr>
          <w:p>
            <w:pPr>
              <w:adjustRightInd w:val="0"/>
              <w:snapToGrid w:val="0"/>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依法依规指导协调和监督本市有专门安全生产主管部门的行业、领域安全生产监督管理工作，指导协调和监督市政府有关部门和各区政府的安全生产工作，组织协调全市性安全生产大检查和专项整治等工作，组织实施安全生产考核工作，负责市级安全生产重大事故隐患的挂账、督办治理及销账等工作。承担市安全生产委员会办公室的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12</w:t>
            </w:r>
          </w:p>
        </w:tc>
        <w:tc>
          <w:tcPr>
            <w:tcW w:w="1764" w:type="dxa"/>
            <w:vAlign w:val="center"/>
          </w:tcPr>
          <w:p>
            <w:pPr>
              <w:adjustRightInd w:val="0"/>
              <w:snapToGrid w:val="0"/>
              <w:jc w:val="center"/>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救灾与物资</w:t>
            </w:r>
          </w:p>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保障处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承担本市灾情核查、损失评估、救灾捐赠等灾害救助工作，拟订应急物资储备规划和需求计划，组织建立应急物资共用共享和协调机制，组织协调重要应急物资的储备、调拨和紧急配送，承担市级救灾款物的管理、分配和监督使用工作，会同有关方面组织协调紧急转移安置受灾群众、因灾毁损房屋恢复重建补助和受灾群众生活救助。负责对受灾省区市的应急援助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13</w:t>
            </w:r>
          </w:p>
        </w:tc>
        <w:tc>
          <w:tcPr>
            <w:tcW w:w="1764" w:type="dxa"/>
            <w:vAlign w:val="center"/>
          </w:tcPr>
          <w:p>
            <w:pPr>
              <w:adjustRightInd w:val="0"/>
              <w:snapToGrid w:val="0"/>
              <w:jc w:val="center"/>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调查评估</w:t>
            </w:r>
          </w:p>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与统计处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依法承担本市生产安全事故调查处理工作，监督事故查处和责任追究情况，组织开展自然灾害类突发事件的调查评估工作，负责应急管理和安全生产相关统计分析工作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14</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宣传动员处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承担本市应急管理和安全生产新闻宣传、舆情应对、文化建设等工作，开展公众知识普及工作。组织开展相关领域的对外交流与合作。组织指导应急管理社会动员工作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15</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救援队伍建设处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按规定权限承担本市消防救援队伍人员招录、干部任免和调整等工作。指导应急救援队伍教育训练。指导各区及社会应急救援力量建设。负责培训基地建设和管理工作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16</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科技与信息化处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承担本市应急管理、安全生产的科技和信息化建设工作，规划信息传输渠道，健全自然灾害信息资源获取和共享机制，拟订有关科技规划、计划并组织实施。负责城市管理和应急指挥平台的管理维护，指导各区、各专项应急指挥部和相关部门应急指挥平台的建设、管理工作。负责应急管理装备工作。联系市突发事件应急委员会专家顾问组</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17</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行政审批处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负责本市安全生产监管方面行政审批项目的审核、审批以及相关协调工作，制定行政审批项目的办理流程、审批标准等，负责行政审批政策咨询、业务查询和信息发布工作。依法组织特种作业人员（特种设备作业人员除外）的考核工作，依法组织生产经营单位主要负责人、安全生产管理人员的安全生产知识和管理能力考核工作。负责安全生产培训、评价、咨询、检测、检验等社会中介组织的监督管理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18</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督查处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负责拟订本市安全生产督查规章制度、规划计划、工作方案并组织实施，负责国家及本市安全生产方面重大决策、重要工作部署、重要文件确定事项、重要会议议定事项落实情况的督促检查、反馈和协调</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19</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财务处</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负责机关及所属单位的财务、资产管理、政府采购和内部审计工作。承担本市隐患排查治理资金的使用管理及监督检查工作。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20</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人事处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负责机关及所属单位的人事、机构编制、外事、队伍建设和离退休等工作。负责本市应急管理系统干部教育培训工作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688" w:type="dxa"/>
            <w:vMerge w:val="restart"/>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其他</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政治部</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协助开展党的建设、思想政治建设和干部队伍建设工作。政治部日常工作由人事处、救援队伍建设处等承担</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688" w:type="dxa"/>
            <w:vMerge w:val="continue"/>
            <w:vAlign w:val="center"/>
          </w:tcPr>
          <w:p>
            <w:pPr>
              <w:adjustRightInd w:val="0"/>
              <w:snapToGrid w:val="0"/>
              <w:jc w:val="center"/>
              <w:rPr>
                <w:rFonts w:cs="宋体" w:asciiTheme="minorEastAsia" w:hAnsiTheme="minorEastAsia" w:eastAsiaTheme="minorEastAsia"/>
                <w:sz w:val="20"/>
                <w:szCs w:val="20"/>
              </w:rPr>
            </w:pP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机关党委（党建工作处）</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负责机关及所属单位的党群工作。承担局党组落实党要管党、全面从严治党责任和全面从严治党主体责任的具体工作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88" w:type="dxa"/>
            <w:vMerge w:val="continue"/>
            <w:vAlign w:val="center"/>
          </w:tcPr>
          <w:p>
            <w:pPr>
              <w:adjustRightInd w:val="0"/>
              <w:snapToGrid w:val="0"/>
              <w:jc w:val="center"/>
              <w:rPr>
                <w:rFonts w:cs="宋体" w:asciiTheme="minorEastAsia" w:hAnsiTheme="minorEastAsia" w:eastAsiaTheme="minorEastAsia"/>
                <w:sz w:val="20"/>
                <w:szCs w:val="20"/>
              </w:rPr>
            </w:pP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机关纪委</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负责机关及所属单位的纪检、党风廉政建设工作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88" w:type="dxa"/>
            <w:vMerge w:val="continue"/>
            <w:vAlign w:val="center"/>
          </w:tcPr>
          <w:p>
            <w:pPr>
              <w:adjustRightInd w:val="0"/>
              <w:snapToGrid w:val="0"/>
              <w:jc w:val="center"/>
              <w:rPr>
                <w:rFonts w:cs="宋体" w:asciiTheme="minorEastAsia" w:hAnsiTheme="minorEastAsia" w:eastAsiaTheme="minorEastAsia"/>
                <w:sz w:val="20"/>
                <w:szCs w:val="20"/>
              </w:rPr>
            </w:pP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工会</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负责机关及所属单位的工会工作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114" w:type="dxa"/>
            <w:gridSpan w:val="3"/>
            <w:vAlign w:val="center"/>
          </w:tcPr>
          <w:p>
            <w:pPr>
              <w:adjustRightInd w:val="0"/>
              <w:snapToGrid w:val="0"/>
              <w:jc w:val="center"/>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行政执法机构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北京市应急管理综合执法总队</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负责依法行使法律、法规、规章规定的应由省级应急管理部门行使的行政处罚以及与之相关的行政检查、行政强制权；负责相关领域重大疑难复杂案件和跨区域案件的查处工作；负责监督、指导、协调各区应急管理综合执法工作；完成市应急局交办的其他任务</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114" w:type="dxa"/>
            <w:gridSpan w:val="3"/>
            <w:vAlign w:val="center"/>
          </w:tcPr>
          <w:p>
            <w:pPr>
              <w:adjustRightInd w:val="0"/>
              <w:snapToGrid w:val="0"/>
              <w:jc w:val="center"/>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全额拨款事业单位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1</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北京市应急管理科学技术研究院（北京市应急管理考试中心、北京市危险化学品登记注册事务中心）</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承担本市应急管理、安全生产、防灾减灾救灾等方面科学研究、技术支撑、宣传教育等工作；承担安全社区和安全文化示范企业建设、危险化学品登记注册，以及相关资格考试和注册管理等方面事务性工作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jc w:val="center"/>
        </w:trPr>
        <w:tc>
          <w:tcPr>
            <w:tcW w:w="688" w:type="dxa"/>
            <w:vAlign w:val="center"/>
          </w:tcPr>
          <w:p>
            <w:pPr>
              <w:adjustRightInd w:val="0"/>
              <w:snapToGrid w:val="0"/>
              <w:jc w:val="center"/>
              <w:rPr>
                <w:rFonts w:cs="宋体" w:asciiTheme="minorEastAsia" w:hAnsiTheme="minorEastAsia" w:eastAsiaTheme="minorEastAsia"/>
                <w:sz w:val="20"/>
                <w:szCs w:val="20"/>
              </w:rPr>
            </w:pPr>
            <w:r>
              <w:rPr>
                <w:rFonts w:cs="宋体" w:asciiTheme="minorEastAsia" w:hAnsiTheme="minorEastAsia" w:eastAsiaTheme="minorEastAsia"/>
                <w:sz w:val="20"/>
                <w:szCs w:val="20"/>
              </w:rPr>
              <w:t>2</w:t>
            </w:r>
          </w:p>
        </w:tc>
        <w:tc>
          <w:tcPr>
            <w:tcW w:w="1764" w:type="dxa"/>
            <w:vAlign w:val="center"/>
          </w:tcPr>
          <w:p>
            <w:pPr>
              <w:adjustRightInd w:val="0"/>
              <w:snapToGrid w:val="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北京市应急指挥保障中心</w:t>
            </w:r>
          </w:p>
        </w:tc>
        <w:tc>
          <w:tcPr>
            <w:tcW w:w="6662" w:type="dxa"/>
            <w:vAlign w:val="center"/>
          </w:tcPr>
          <w:p>
            <w:pPr>
              <w:adjustRightInd w:val="0"/>
              <w:snapToGrid w:val="0"/>
              <w:rPr>
                <w:rFonts w:hint="eastAsia"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承担相关市级应急指挥场所指挥调度服务保障工作；承担本市应急管理、安全生产、防灾减灾救灾领域的举报投诉、“接诉即办”、信息化支撑，以及机关电子政务建设等事务性工作</w:t>
            </w:r>
            <w:r>
              <w:rPr>
                <w:rFonts w:hint="eastAsia" w:cs="宋体" w:asciiTheme="minorEastAsia" w:hAnsiTheme="minorEastAsia" w:eastAsiaTheme="minor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jc w:val="center"/>
        </w:trPr>
        <w:tc>
          <w:tcPr>
            <w:tcW w:w="688" w:type="dxa"/>
            <w:vAlign w:val="center"/>
          </w:tcPr>
          <w:p>
            <w:pPr>
              <w:adjustRightInd w:val="0"/>
              <w:snapToGrid w:val="0"/>
              <w:jc w:val="center"/>
              <w:rPr>
                <w:rFonts w:hint="eastAsia" w:cs="宋体" w:asciiTheme="minorEastAsia" w:hAnsiTheme="minorEastAsia" w:eastAsiaTheme="minorEastAsia"/>
                <w:sz w:val="20"/>
                <w:szCs w:val="20"/>
                <w:lang w:val="en-US" w:eastAsia="zh-CN"/>
              </w:rPr>
            </w:pPr>
            <w:r>
              <w:rPr>
                <w:rFonts w:hint="eastAsia" w:cs="宋体" w:asciiTheme="minorEastAsia" w:hAnsiTheme="minorEastAsia" w:eastAsiaTheme="minorEastAsia"/>
                <w:sz w:val="20"/>
                <w:szCs w:val="20"/>
                <w:lang w:val="en-US" w:eastAsia="zh-CN"/>
              </w:rPr>
              <w:t>3</w:t>
            </w:r>
          </w:p>
        </w:tc>
        <w:tc>
          <w:tcPr>
            <w:tcW w:w="1764" w:type="dxa"/>
            <w:vAlign w:val="center"/>
          </w:tcPr>
          <w:p>
            <w:pPr>
              <w:adjustRightInd w:val="0"/>
              <w:snapToGrid w:val="0"/>
              <w:jc w:val="center"/>
              <w:rPr>
                <w:rFonts w:hint="eastAsia" w:cs="宋体" w:asciiTheme="minorEastAsia" w:hAnsiTheme="minorEastAsia" w:eastAsiaTheme="minorEastAsia"/>
                <w:sz w:val="20"/>
                <w:szCs w:val="20"/>
              </w:rPr>
            </w:pPr>
            <w:r>
              <w:rPr>
                <w:rFonts w:hint="eastAsia" w:cs="宋体" w:asciiTheme="minorEastAsia" w:hAnsiTheme="minorEastAsia" w:eastAsiaTheme="minorEastAsia"/>
                <w:sz w:val="20"/>
                <w:szCs w:val="20"/>
              </w:rPr>
              <w:t>北京市应急管理事务中心（北京市森林消防综合救援总队、北京市突发事件预警信息发布中心）</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kern w:val="2"/>
                <w:sz w:val="20"/>
                <w:szCs w:val="20"/>
              </w:rPr>
              <w:t>承担本市应急演练、演练评估、现场救援以及接收、管理救灾捐赠款物等应急管理事务性工作；承担相关市级应急指挥场所的应急值守工作；承担本市森林火灾以及洪涝、地质灾害等综合性应急救援任务；承担全市性预警信息和相关重要提示信息的发布、反馈、统计分析，以及平台建设、运行、维护等事务性工作</w:t>
            </w:r>
            <w:r>
              <w:rPr>
                <w:rFonts w:hint="eastAsia" w:cs="宋体" w:asciiTheme="minorEastAsia" w:hAnsiTheme="minorEastAsia" w:eastAsiaTheme="minorEastAsia"/>
                <w:kern w:val="2"/>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jc w:val="center"/>
        </w:trPr>
        <w:tc>
          <w:tcPr>
            <w:tcW w:w="688" w:type="dxa"/>
            <w:vAlign w:val="center"/>
          </w:tcPr>
          <w:p>
            <w:pPr>
              <w:adjustRightInd w:val="0"/>
              <w:snapToGrid w:val="0"/>
              <w:jc w:val="center"/>
              <w:rPr>
                <w:rFonts w:hint="eastAsia" w:cs="宋体" w:asciiTheme="minorEastAsia" w:hAnsiTheme="minorEastAsia" w:eastAsiaTheme="minorEastAsia"/>
                <w:sz w:val="20"/>
                <w:szCs w:val="20"/>
                <w:lang w:val="en-US" w:eastAsia="zh-CN"/>
              </w:rPr>
            </w:pPr>
            <w:r>
              <w:rPr>
                <w:rFonts w:hint="eastAsia" w:cs="宋体" w:asciiTheme="minorEastAsia" w:hAnsiTheme="minorEastAsia" w:eastAsiaTheme="minorEastAsia"/>
                <w:sz w:val="20"/>
                <w:szCs w:val="20"/>
                <w:lang w:val="en-US" w:eastAsia="zh-CN"/>
              </w:rPr>
              <w:t>4</w:t>
            </w:r>
          </w:p>
        </w:tc>
        <w:tc>
          <w:tcPr>
            <w:tcW w:w="1764" w:type="dxa"/>
            <w:vAlign w:val="center"/>
          </w:tcPr>
          <w:p>
            <w:pPr>
              <w:adjustRightInd w:val="0"/>
              <w:snapToGrid w:val="0"/>
              <w:jc w:val="center"/>
              <w:rPr>
                <w:rFonts w:hint="eastAsia" w:cs="宋体" w:asciiTheme="minorEastAsia" w:hAnsiTheme="minorEastAsia" w:eastAsiaTheme="minorEastAsia"/>
                <w:sz w:val="20"/>
                <w:szCs w:val="20"/>
              </w:rPr>
            </w:pPr>
            <w:r>
              <w:rPr>
                <w:rFonts w:hint="eastAsia" w:cs="宋体" w:asciiTheme="minorEastAsia" w:hAnsiTheme="minorEastAsia" w:eastAsiaTheme="minorEastAsia"/>
                <w:kern w:val="2"/>
                <w:sz w:val="20"/>
                <w:szCs w:val="20"/>
              </w:rPr>
              <w:t>北京市安全生产督查事务中心</w:t>
            </w:r>
          </w:p>
        </w:tc>
        <w:tc>
          <w:tcPr>
            <w:tcW w:w="6662" w:type="dxa"/>
            <w:vAlign w:val="center"/>
          </w:tcPr>
          <w:p>
            <w:pPr>
              <w:adjustRightInd w:val="0"/>
              <w:snapToGrid w:val="0"/>
              <w:rPr>
                <w:rFonts w:hint="eastAsia" w:cs="宋体" w:asciiTheme="minorEastAsia" w:hAnsiTheme="minorEastAsia" w:eastAsiaTheme="minorEastAsia"/>
                <w:sz w:val="20"/>
                <w:szCs w:val="20"/>
              </w:rPr>
            </w:pPr>
            <w:r>
              <w:rPr>
                <w:rFonts w:hint="eastAsia" w:cs="宋体" w:asciiTheme="minorEastAsia" w:hAnsiTheme="minorEastAsia" w:eastAsiaTheme="minorEastAsia"/>
                <w:kern w:val="2"/>
                <w:sz w:val="20"/>
                <w:szCs w:val="20"/>
              </w:rPr>
              <w:t>承担本市安全生产督查的辅助性、事务性工作。</w:t>
            </w:r>
          </w:p>
        </w:tc>
      </w:tr>
    </w:tbl>
    <w:p>
      <w:pPr>
        <w:pStyle w:val="12"/>
        <w:widowControl/>
        <w:shd w:val="clear" w:color="auto" w:fill="FFFFFF"/>
        <w:adjustRightInd w:val="0"/>
        <w:snapToGrid w:val="0"/>
        <w:spacing w:beforeAutospacing="0" w:afterAutospacing="0"/>
        <w:rPr>
          <w:rFonts w:ascii="仿宋_GB2312" w:hAnsi="宋体" w:eastAsia="仿宋_GB2312" w:cs="宋体"/>
          <w:color w:val="000000"/>
          <w:sz w:val="32"/>
          <w:szCs w:val="32"/>
        </w:rPr>
      </w:pPr>
    </w:p>
    <w:p>
      <w:pPr>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2023年底编制数561人，年末实有人数为554人。其中行政编制252人，实有人数259人；事业编制309人，实有人数295人。较2022年年末编制数减少11人，主要原因为编办核减编制人数。其他人员为纳入一体化管理的编外人员443人。</w:t>
      </w:r>
    </w:p>
    <w:p>
      <w:pPr>
        <w:adjustRightInd w:val="0"/>
        <w:snapToGrid w:val="0"/>
        <w:spacing w:line="360" w:lineRule="auto"/>
        <w:ind w:firstLine="640" w:firstLineChars="200"/>
        <w:outlineLvl w:val="1"/>
        <w:rPr>
          <w:rFonts w:ascii="楷体_GB2312" w:eastAsia="楷体_GB2312"/>
          <w:sz w:val="32"/>
          <w:szCs w:val="32"/>
        </w:rPr>
      </w:pPr>
      <w:r>
        <w:rPr>
          <w:rFonts w:hint="eastAsia" w:ascii="楷体_GB2312" w:eastAsia="楷体_GB2312"/>
          <w:sz w:val="32"/>
          <w:szCs w:val="32"/>
        </w:rPr>
        <w:t>（二）部门整体绩效目标设立情况</w:t>
      </w:r>
    </w:p>
    <w:p>
      <w:pPr>
        <w:pStyle w:val="19"/>
        <w:adjustRightInd w:val="0"/>
        <w:snapToGrid w:val="0"/>
        <w:spacing w:line="360" w:lineRule="auto"/>
        <w:ind w:firstLine="64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绩效目标设立依据</w:t>
      </w:r>
    </w:p>
    <w:p>
      <w:pPr>
        <w:adjustRightInd w:val="0"/>
        <w:snapToGrid w:val="0"/>
        <w:spacing w:line="360" w:lineRule="auto"/>
        <w:ind w:firstLine="640" w:firstLineChars="200"/>
        <w:rPr>
          <w:rFonts w:ascii="仿宋_GB2312" w:hAnsi="宋体" w:eastAsia="仿宋_GB2312" w:cs="宋体"/>
          <w:color w:val="000000"/>
          <w:kern w:val="0"/>
          <w:sz w:val="32"/>
          <w:szCs w:val="32"/>
          <w:highlight w:val="yellow"/>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度，市应急局依据国家和北京市关于应急管理事业发展的相关要求，结合自身职能，以及年度拟开展的新兴业态安全生产监管（管理）责任评估、安全生产责任保险制度保险咨询服务、森林火灾应急处置演练项目、危险化学品集中管理体系建设咨询服务等工作内容，按照《北京市预算绩效管理办法》等文件中关于部门整体绩效目标编制相关要求，编制了市应急局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年部门整体绩效目标表。</w:t>
      </w:r>
    </w:p>
    <w:p>
      <w:pPr>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目标内容包括</w:t>
      </w:r>
      <w:r>
        <w:rPr>
          <w:rFonts w:hint="eastAsia" w:ascii="仿宋_GB2312" w:hAnsi="宋体" w:eastAsia="仿宋_GB2312" w:cs="宋体"/>
          <w:color w:val="000000"/>
          <w:kern w:val="0"/>
          <w:sz w:val="32"/>
          <w:szCs w:val="32"/>
          <w:highlight w:val="none"/>
          <w:lang w:val="en-US" w:eastAsia="zh-CN"/>
        </w:rPr>
        <w:t>12</w:t>
      </w:r>
      <w:r>
        <w:rPr>
          <w:rFonts w:hint="eastAsia" w:ascii="仿宋_GB2312" w:hAnsi="宋体" w:eastAsia="仿宋_GB2312" w:cs="宋体"/>
          <w:color w:val="000000"/>
          <w:kern w:val="0"/>
          <w:sz w:val="32"/>
          <w:szCs w:val="32"/>
          <w:highlight w:val="none"/>
        </w:rPr>
        <w:t>个方面</w:t>
      </w:r>
      <w:r>
        <w:rPr>
          <w:rStyle w:val="18"/>
          <w:rFonts w:hint="eastAsia" w:ascii="仿宋_GB2312" w:hAnsi="宋体" w:eastAsia="仿宋_GB2312" w:cs="宋体"/>
          <w:color w:val="000000"/>
          <w:kern w:val="0"/>
          <w:sz w:val="32"/>
          <w:szCs w:val="32"/>
          <w:highlight w:val="none"/>
        </w:rPr>
        <w:footnoteReference w:id="0"/>
      </w:r>
      <w:r>
        <w:rPr>
          <w:rFonts w:hint="eastAsia" w:ascii="仿宋_GB2312" w:hAnsi="宋体" w:eastAsia="仿宋_GB2312" w:cs="宋体"/>
          <w:color w:val="000000"/>
          <w:kern w:val="0"/>
          <w:sz w:val="32"/>
          <w:szCs w:val="32"/>
          <w:highlight w:val="none"/>
        </w:rPr>
        <w:t>，具体为：</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rPr>
        <w:t>一是</w:t>
      </w:r>
      <w:r>
        <w:rPr>
          <w:rFonts w:hint="eastAsia" w:ascii="仿宋_GB2312" w:hAnsi="宋体" w:eastAsia="仿宋_GB2312" w:cs="宋体"/>
          <w:color w:val="000000"/>
          <w:kern w:val="0"/>
          <w:sz w:val="32"/>
          <w:szCs w:val="32"/>
          <w:highlight w:val="none"/>
        </w:rPr>
        <w:t>开展应急管理及执法检查、标准建设，推进应急管理法制建设；开展应急避难场相关标准编制、尾矿库建设生产安全规范修订、危险场所电气防爆安全检测技术等标准编制，完善行业标准，提升行业运行规范性。</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二</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开展应急管理、安全检查相关研究，完成北京市救援协调与预案管理标准体系研究、北京市重大活动应急保障研究等多项研究，为相关工作开展提供参考依据。</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三</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顺利完成救灾减灾、防汛抗旱任务，保障人民财产安全，维护社会稳定。</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四</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推动危险化学品生产企业安全监管，规范企业生产行为，保障企业健康发展，行业安全。</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五</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推进应急预案体系建设，提升应急能力。年度内主要组织北京市应急预案、危险化学品、森林火灾应急处置等方面专项演练活动，提升应急保障队伍实战能力。</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六</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加强安全员执法检查建设、管理，促进执法标准化、专业化和规范化，年度内组织基层安全检查业务培训、执法监察人员业务培训。加快应急救援、安全生产专业队伍、业务力量和志愿者队伍建设，拓宽服务范围，提升部门服务水平，年度内积极动员社会力量积极参与应急救援，推进志愿者队伍建设、社会组织建设，保卫首都安全。</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七</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加强安全预防及隐患治理，落实隐患任务，推进示范试点，加快隐患目录编制与隐患核查评估、危化企业监测设备配备拓展、安全预防及隐患治理安全风险评估、自然灾害综合风险普查重点隐患分区分类分级综合评估等多项专项评估工作、切实评估相关工作成效，提出整改措施，保持正常的秩序。</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八</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开展安全、应急宣传教育，进行各类宣传教育活动、示范、基地建设等，提升影响力，提升公众安全防范意识，提升公众认可度。</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九</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加快森林消防救援总队建设、救援车辆物资保障建设，创新救援方式，提升市级专业应急救援队伍应急救援能力、非传统因素灾害事故应对处置能力；完成市森防指相关工作、北京市森林消防综合应急救援队伍标准三年达标计划。</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十</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推进应急管理信息化建设，推进系统升级改造、培训管理信息系统维护等工作，提升信息化管理水平和能力。</w:t>
      </w:r>
    </w:p>
    <w:p>
      <w:pPr>
        <w:adjustRightInd w:val="0"/>
        <w:snapToGrid w:val="0"/>
        <w:spacing w:line="360" w:lineRule="auto"/>
        <w:ind w:firstLine="642"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b/>
          <w:color w:val="000000"/>
          <w:kern w:val="0"/>
          <w:sz w:val="32"/>
          <w:szCs w:val="32"/>
          <w:highlight w:val="none"/>
          <w:lang w:val="en-US" w:eastAsia="zh-CN"/>
        </w:rPr>
        <w:t>十一</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高效开展突发事件舆情监测、北京市预警信息发布，为北京市生产生活提供全面监测、预警服务。</w:t>
      </w:r>
    </w:p>
    <w:p>
      <w:pPr>
        <w:adjustRightInd w:val="0"/>
        <w:snapToGrid w:val="0"/>
        <w:spacing w:line="360" w:lineRule="auto"/>
        <w:ind w:firstLine="642"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highlight w:val="none"/>
          <w:lang w:val="en-US" w:eastAsia="zh-CN"/>
        </w:rPr>
        <w:t>十二</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color w:val="000000"/>
          <w:kern w:val="0"/>
          <w:sz w:val="32"/>
          <w:szCs w:val="32"/>
          <w:highlight w:val="none"/>
        </w:rPr>
        <w:t>推进应急管理与安全生产技术研究，组织科研项目，加强和规范管理科研工作；组织安全应急领域职业技能竞赛、特种作业人员安全技术考核、安全生产考试培训，扩大人才队伍。</w:t>
      </w:r>
      <w:r>
        <w:rPr>
          <w:rFonts w:hint="eastAsia" w:ascii="仿宋_GB2312" w:hAnsi="宋体" w:eastAsia="仿宋_GB2312" w:cs="宋体"/>
          <w:color w:val="000000"/>
          <w:kern w:val="0"/>
          <w:sz w:val="32"/>
          <w:szCs w:val="32"/>
        </w:rPr>
        <w:t>具体绩效指标见表2。</w:t>
      </w:r>
    </w:p>
    <w:p>
      <w:pPr>
        <w:pStyle w:val="5"/>
        <w:keepNext/>
        <w:spacing w:line="360" w:lineRule="auto"/>
        <w:jc w:val="center"/>
        <w:rPr>
          <w:rFonts w:ascii="黑体" w:hAnsi="黑体"/>
          <w:sz w:val="28"/>
          <w:szCs w:val="28"/>
        </w:rPr>
      </w:pPr>
      <w:r>
        <w:rPr>
          <w:rFonts w:hint="eastAsia" w:ascii="黑体" w:hAnsi="黑体"/>
          <w:sz w:val="28"/>
          <w:szCs w:val="28"/>
        </w:rPr>
        <w:t>表2：20</w:t>
      </w:r>
      <w:r>
        <w:rPr>
          <w:rFonts w:hint="eastAsia" w:ascii="黑体" w:hAnsi="黑体"/>
          <w:sz w:val="28"/>
          <w:szCs w:val="28"/>
          <w:lang w:val="en-US" w:eastAsia="zh-CN"/>
        </w:rPr>
        <w:t>23</w:t>
      </w:r>
      <w:r>
        <w:rPr>
          <w:rFonts w:hint="eastAsia" w:ascii="黑体" w:hAnsi="黑体"/>
          <w:sz w:val="28"/>
          <w:szCs w:val="28"/>
        </w:rPr>
        <w:t>年度市应急局主要绩效指标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
        <w:gridCol w:w="5100"/>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2"/>
              <w:rPr>
                <w:rFonts w:hint="eastAsia" w:ascii="宋体" w:hAnsi="宋体" w:eastAsia="宋体" w:cs="宋体"/>
                <w:b/>
                <w:bCs/>
                <w:color w:val="000000"/>
                <w:kern w:val="0"/>
                <w:sz w:val="20"/>
                <w:szCs w:val="20"/>
                <w:vertAlign w:val="baseline"/>
                <w:lang w:val="en-US" w:eastAsia="zh-CN"/>
              </w:rPr>
            </w:pPr>
            <w:r>
              <w:rPr>
                <w:rFonts w:hint="eastAsia" w:ascii="宋体" w:hAnsi="宋体" w:eastAsia="宋体" w:cs="宋体"/>
                <w:b/>
                <w:bCs/>
                <w:color w:val="000000"/>
                <w:kern w:val="0"/>
                <w:sz w:val="20"/>
                <w:szCs w:val="20"/>
                <w:vertAlign w:val="baseline"/>
                <w:lang w:val="en-US" w:eastAsia="zh-CN"/>
              </w:rPr>
              <w:t>活动</w:t>
            </w:r>
          </w:p>
        </w:tc>
        <w:tc>
          <w:tcPr>
            <w:tcW w:w="5100" w:type="dxa"/>
            <w:vAlign w:val="center"/>
          </w:tcPr>
          <w:p>
            <w:pPr>
              <w:keepNext w:val="0"/>
              <w:keepLines w:val="0"/>
              <w:widowControl/>
              <w:suppressLineNumbers w:val="0"/>
              <w:jc w:val="center"/>
              <w:textAlignment w:val="center"/>
              <w:rPr>
                <w:rFonts w:hint="eastAsia" w:ascii="宋体" w:hAnsi="宋体" w:eastAsia="宋体" w:cs="宋体"/>
                <w:b/>
                <w:bCs/>
                <w:color w:val="000000"/>
                <w:kern w:val="0"/>
                <w:sz w:val="20"/>
                <w:szCs w:val="20"/>
                <w:vertAlign w:val="baseline"/>
              </w:rPr>
            </w:pPr>
            <w:r>
              <w:rPr>
                <w:rFonts w:hint="eastAsia" w:ascii="宋体" w:hAnsi="宋体" w:eastAsia="宋体" w:cs="宋体"/>
                <w:b/>
                <w:bCs/>
                <w:i w:val="0"/>
                <w:iCs w:val="0"/>
                <w:color w:val="000000"/>
                <w:kern w:val="0"/>
                <w:sz w:val="20"/>
                <w:szCs w:val="20"/>
                <w:u w:val="none"/>
                <w:lang w:val="en-US" w:eastAsia="zh-CN" w:bidi="ar"/>
              </w:rPr>
              <w:t>绩效指标</w:t>
            </w:r>
          </w:p>
        </w:tc>
        <w:tc>
          <w:tcPr>
            <w:tcW w:w="1216" w:type="dxa"/>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2"/>
              <w:rPr>
                <w:rFonts w:hint="eastAsia" w:ascii="宋体" w:hAnsi="宋体" w:eastAsia="宋体" w:cs="宋体"/>
                <w:b/>
                <w:bCs/>
                <w:color w:val="000000"/>
                <w:kern w:val="0"/>
                <w:sz w:val="20"/>
                <w:szCs w:val="20"/>
                <w:vertAlign w:val="baseline"/>
                <w:lang w:val="en-US" w:eastAsia="zh-CN"/>
              </w:rPr>
            </w:pPr>
            <w:r>
              <w:rPr>
                <w:rFonts w:hint="eastAsia" w:ascii="宋体" w:hAnsi="宋体" w:cs="宋体"/>
                <w:b/>
                <w:bCs/>
                <w:color w:val="000000"/>
                <w:kern w:val="0"/>
                <w:sz w:val="20"/>
                <w:szCs w:val="20"/>
                <w:vertAlign w:val="baseline"/>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安全预防及隐患治理工作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数量指标培训人数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＝1140人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安全预防及隐患治理工作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质量指标学员通过考核率</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危险化学品管理工作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数量指标开展危险化学品生产企业安全监管工作</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≥4项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安全生产执法监察工作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数量指标开展大型活动安全保障工作次数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≥30次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安全生产执法监察工作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数量指标培训班次</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≥11场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事故调查处理、评估，数据统计分析工作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数量指标形成报告</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森林消防应急救援工作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数量指标保障消防员人数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≥300人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森林消防应急救援工作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数量指标开展桌面推演、无脚本演练正式演练次数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森林消防应急救援工作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数量指标森林消防应急指挥员、灭火指挥员培训人数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＝90人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森林消防应急救援工作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数量指标专项检查、考核、值守与处置</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≥355人次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防汛抗旱活动</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数量指标城区积水内涝情景库、城区历史积水点位图、城区排水标准分区图、动态内涝风险图</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防汛抗旱活动</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数量指标制作《防汛隐患排查治理宣贯手册》</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＝7册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地震及地质灾害管理</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数量指标培训人数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≥60人次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应急救援力量建设</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数量指标普查报告</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应急救援力量建设</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数量指标制作场景</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应急救援能力提升</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数量指标培训人数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应急物资储备及管理</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数量指标物资数量</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≥10000套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数量指标会前学法、法治讲座培训次数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≥6次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数量指标京津冀省级应急管理部门依法行政培训</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≥79人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数量指标开展演练</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数量指标市级专项预案体系评估、地区预案体系评估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数量指标完成标准修订份数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≥3本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数量指标现场演练评估场次</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≤78场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数量指标预算内所有人员提供就餐服务</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≥12951人次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宣传教育活动</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数量指标参训人数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＝130人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动员活动</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数量指标开展应急志愿者队伍共训共练活动</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＝5场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突发事前预警信息</w:t>
            </w:r>
          </w:p>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发布活动</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数量指标分析报告</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数量指标每年聘用人员数量</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≤24人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质量指标采购类设备设施验收合格率</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质量指标检查类工作整改率</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质量指标评估类工作质量、评估报告验收合格率</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质量指标日常工作保障率</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质量指标研究类工作质量、研究报告验收合格率</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服务对象满意度指标企业、公众满意度</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其他应急管理事务</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经济成本指标部门基本经费控制数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≤31084.69万元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数量指标系统、平台运维</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时效指标财政资金到账</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时效指标项目绩效监控工作开展时间</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时效指标项目验收工作完成时间</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社会效益指标全面宣传，加强宣传深度，提升社会公众、企业安全防范、应急管理意识，北京市各区宣传覆盖面</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社会效益指标促进部门履职，发挥履职效能，提升应急管理服务水平</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定性优良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社会效益指标巩固和扩充执法监察、安全执法、应急救援、消防员、社会力量和志愿者队伍，扩大服务范围，提升专业服务、志愿服务水平</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定性优良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社会效益指标夯实安全风险管理工作基础，巩固城市安全风险评估及管控工作成果，深入落实安全风险分级管控制度，增强重大安全风险防范化解能力，提升城市安全风险防控水平</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定性优良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社会效益指标提升灾害救援、应急处置能力，减少人民群众、社会灾害伤害和损失</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定性优良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生态效益指标护林防火，保护森林资源，促进森林资源健康发展，维持生态稳定</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定性优良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可持续影响指标应急管理机制体系不断完善，工作效能不断加强，防灾减灾、安全生产、应急救援能力明显提升</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定性优良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经济效益指标促进企业安全生产，降低企业因安全隐患、不良安全生产造成的经济损失</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定性优良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服务对象满意度指标部门公职人员满意度</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机构运行保障类工作</w:t>
            </w:r>
          </w:p>
        </w:tc>
        <w:tc>
          <w:tcPr>
            <w:tcW w:w="5100"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经济成本指标部门项目经费控制数</w:t>
            </w:r>
          </w:p>
        </w:tc>
        <w:tc>
          <w:tcPr>
            <w:tcW w:w="1216" w:type="dxa"/>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vertAlign w:val="baseline"/>
              </w:rPr>
            </w:pPr>
            <w:r>
              <w:rPr>
                <w:rFonts w:hint="eastAsia" w:ascii="宋体" w:hAnsi="宋体" w:eastAsia="宋体" w:cs="宋体"/>
                <w:i w:val="0"/>
                <w:iCs w:val="0"/>
                <w:color w:val="000000"/>
                <w:kern w:val="0"/>
                <w:sz w:val="18"/>
                <w:szCs w:val="18"/>
                <w:u w:val="none"/>
                <w:lang w:val="en-US" w:eastAsia="zh-CN" w:bidi="ar"/>
              </w:rPr>
              <w:t>≤25452.69万元</w:t>
            </w:r>
          </w:p>
        </w:tc>
      </w:tr>
    </w:tbl>
    <w:p>
      <w:pPr>
        <w:pStyle w:val="19"/>
        <w:adjustRightInd w:val="0"/>
        <w:snapToGrid w:val="0"/>
        <w:ind w:firstLine="640"/>
        <w:outlineLvl w:val="2"/>
        <w:rPr>
          <w:rFonts w:ascii="仿宋_GB2312" w:hAnsi="宋体" w:eastAsia="仿宋_GB2312" w:cs="宋体"/>
          <w:color w:val="000000"/>
          <w:kern w:val="0"/>
          <w:sz w:val="32"/>
          <w:szCs w:val="32"/>
        </w:rPr>
      </w:pPr>
    </w:p>
    <w:p>
      <w:pPr>
        <w:pStyle w:val="19"/>
        <w:adjustRightInd w:val="0"/>
        <w:snapToGrid w:val="0"/>
        <w:spacing w:line="360" w:lineRule="auto"/>
        <w:ind w:firstLine="64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2.目标与职责任务匹配情况</w:t>
      </w:r>
    </w:p>
    <w:p>
      <w:pPr>
        <w:pStyle w:val="19"/>
        <w:adjustRightInd w:val="0"/>
        <w:snapToGrid w:val="0"/>
        <w:spacing w:line="360" w:lineRule="auto"/>
        <w:ind w:firstLine="64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年，市应急局部门整体绩效目标表主要结合自身职能和年度工作计划设置，整体上，具体目标与职责任务匹配对应性较好，具体情况见表3。</w:t>
      </w:r>
    </w:p>
    <w:p>
      <w:pPr>
        <w:pStyle w:val="19"/>
        <w:adjustRightInd w:val="0"/>
        <w:snapToGrid w:val="0"/>
        <w:spacing w:line="360" w:lineRule="auto"/>
        <w:ind w:firstLine="0" w:firstLineChars="0"/>
        <w:jc w:val="center"/>
        <w:rPr>
          <w:rFonts w:ascii="黑体" w:hAnsi="黑体" w:eastAsia="黑体" w:cs="宋体"/>
          <w:color w:val="000000"/>
          <w:kern w:val="0"/>
          <w:sz w:val="28"/>
          <w:szCs w:val="28"/>
          <w:highlight w:val="yellow"/>
        </w:rPr>
      </w:pPr>
      <w:r>
        <w:rPr>
          <w:rFonts w:hint="eastAsia" w:ascii="黑体" w:hAnsi="黑体" w:eastAsia="黑体" w:cs="宋体"/>
          <w:color w:val="000000"/>
          <w:kern w:val="0"/>
          <w:sz w:val="28"/>
          <w:szCs w:val="28"/>
          <w:highlight w:val="none"/>
        </w:rPr>
        <w:t>表3：部门绩效目标与职责任务匹配对应情况表</w:t>
      </w:r>
    </w:p>
    <w:tbl>
      <w:tblPr>
        <w:tblStyle w:val="14"/>
        <w:tblW w:w="5573" w:type="pct"/>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
        <w:gridCol w:w="4964"/>
        <w:gridCol w:w="39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blHeader/>
        </w:trPr>
        <w:tc>
          <w:tcPr>
            <w:tcW w:w="296" w:type="pct"/>
            <w:vAlign w:val="center"/>
          </w:tcPr>
          <w:p>
            <w:pPr>
              <w:pStyle w:val="19"/>
              <w:adjustRightInd w:val="0"/>
              <w:snapToGrid w:val="0"/>
              <w:ind w:firstLine="0" w:firstLineChars="0"/>
              <w:jc w:val="center"/>
              <w:outlineLvl w:val="2"/>
              <w:rPr>
                <w:rFonts w:hint="eastAsia" w:ascii="宋体" w:hAnsi="宋体" w:eastAsia="宋体" w:cs="宋体"/>
                <w:b/>
                <w:color w:val="000000"/>
                <w:kern w:val="0"/>
                <w:sz w:val="20"/>
                <w:szCs w:val="20"/>
                <w:highlight w:val="none"/>
              </w:rPr>
            </w:pPr>
            <w:r>
              <w:rPr>
                <w:rFonts w:hint="eastAsia" w:ascii="宋体" w:hAnsi="宋体" w:eastAsia="宋体" w:cs="宋体"/>
                <w:b/>
                <w:color w:val="000000"/>
                <w:kern w:val="0"/>
                <w:sz w:val="20"/>
                <w:szCs w:val="20"/>
                <w:highlight w:val="none"/>
              </w:rPr>
              <w:t>序号</w:t>
            </w:r>
          </w:p>
        </w:tc>
        <w:tc>
          <w:tcPr>
            <w:tcW w:w="2612" w:type="pct"/>
            <w:vAlign w:val="center"/>
          </w:tcPr>
          <w:p>
            <w:pPr>
              <w:pStyle w:val="19"/>
              <w:adjustRightInd w:val="0"/>
              <w:snapToGrid w:val="0"/>
              <w:ind w:firstLine="0" w:firstLineChars="0"/>
              <w:jc w:val="center"/>
              <w:outlineLvl w:val="2"/>
              <w:rPr>
                <w:rFonts w:hint="eastAsia" w:ascii="宋体" w:hAnsi="宋体" w:eastAsia="宋体" w:cs="宋体"/>
                <w:b/>
                <w:color w:val="000000"/>
                <w:kern w:val="0"/>
                <w:sz w:val="20"/>
                <w:szCs w:val="20"/>
                <w:highlight w:val="none"/>
              </w:rPr>
            </w:pPr>
            <w:r>
              <w:rPr>
                <w:rFonts w:hint="eastAsia" w:ascii="宋体" w:hAnsi="宋体" w:eastAsia="宋体" w:cs="宋体"/>
                <w:b/>
                <w:color w:val="000000"/>
                <w:kern w:val="0"/>
                <w:sz w:val="20"/>
                <w:szCs w:val="20"/>
                <w:highlight w:val="none"/>
              </w:rPr>
              <w:t>目标内容</w:t>
            </w:r>
          </w:p>
        </w:tc>
        <w:tc>
          <w:tcPr>
            <w:tcW w:w="2090" w:type="pct"/>
            <w:vAlign w:val="center"/>
          </w:tcPr>
          <w:p>
            <w:pPr>
              <w:pStyle w:val="19"/>
              <w:adjustRightInd w:val="0"/>
              <w:snapToGrid w:val="0"/>
              <w:ind w:firstLine="0" w:firstLineChars="0"/>
              <w:jc w:val="center"/>
              <w:outlineLvl w:val="2"/>
              <w:rPr>
                <w:rFonts w:hint="eastAsia" w:ascii="宋体" w:hAnsi="宋体" w:eastAsia="宋体" w:cs="宋体"/>
                <w:b/>
                <w:color w:val="000000"/>
                <w:kern w:val="0"/>
                <w:sz w:val="20"/>
                <w:szCs w:val="20"/>
                <w:highlight w:val="none"/>
              </w:rPr>
            </w:pPr>
            <w:r>
              <w:rPr>
                <w:rFonts w:hint="eastAsia" w:ascii="宋体" w:hAnsi="宋体" w:eastAsia="宋体" w:cs="宋体"/>
                <w:b/>
                <w:color w:val="000000"/>
                <w:kern w:val="0"/>
                <w:sz w:val="20"/>
                <w:szCs w:val="20"/>
                <w:highlight w:val="none"/>
              </w:rPr>
              <w:t>对应职责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6"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开展应急管理及执法检查、标准建设，推进应急管理法制建设；开展应急避难场相关标准编制、尾矿库建设生产安全规范修订、危险场所电气防爆安全检测技术等标准编制，完善行业标准，提升行业运行规范性。</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组织起草本市相关地方性法规和政府规章草案，承担机关规范性文件的合法性审核和有关备案工作，承担行政复议、行政应诉的有关工作，负责机关推进依法行政综合工作，负责行政执法工作的监督、指导和协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55"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2</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开展应急管理、安全检查相关研究，完成北京市救援协调与预案管理标准体系研究、北京市重大活动应急保障研究等多项研究，为相关工作开展提供参考依据。</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shd w:val="clear" w:fill="FFFFFF" w:themeFill="background1"/>
                <w:lang w:val="en-US" w:eastAsia="zh-CN" w:bidi="ar-SA"/>
              </w:rPr>
              <w:t>指导本市应急预案体系建设，建立完善事故灾难和自然灾害分级应对制度，组织编制本市总体应急预案和安全生产类、自然灾害类专项预案，综合协调应急预案衔接工作，组织开展预案演练，推动应急避难设施建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2055"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顺利完成救灾减灾、防汛抗旱任务，保障人民财产安全，维护社会稳定。</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组织协调本市水旱灾害应急救援工作，协调指导重要河湖和重要水工程实施防御洪水抗御旱灾调度和应急水量调度工作。组织协调地震应急救援工作，指导协调地震和地质灾害防治相关工作，组织重大地质灾害应急救援。承担市人民政府防汛抗旱指挥部办公室的具体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61"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推动危险化学品生产企业安全监管，规范企业生产行为，保障企业健康发展，行业安全。</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负责本市化工（含石油化工）、医药、危险化学品和烟花爆竹经营单位安全监督管理工作，依法监督检查相关行业生产经营单位贯彻落实安全生产法律法规和标准情况，承担危险化学品安全监督管理综合工作，负责危险化学品登记和非药品类易制毒化学品生产经营监督管理工作。</w:t>
            </w:r>
          </w:p>
        </w:tc>
      </w:tr>
    </w:tbl>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br w:type="page"/>
      </w:r>
    </w:p>
    <w:tbl>
      <w:tblPr>
        <w:tblStyle w:val="14"/>
        <w:tblW w:w="5573" w:type="pct"/>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
        <w:gridCol w:w="4964"/>
        <w:gridCol w:w="39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5"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推进应急预案体系建设，提升应急能力。年度内主要组织北京市应急预案、危险化学品、森林火灾应急处置等方面专项演练活动，提升应急保障队伍实战能力。</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担本市应急演练、演练评估、现场救援以及接收、管理救灾捐赠款物等应急管理事务性工作；承担相关市级应急指挥场所的应急值守工作；承担本市森林火灾以及洪涝、地质灾害等综合性应急救援任务；承担全市性预警信息和相关重要提示信息的发布、反馈、统计分析，以及平台建设、运行、维护等事务性工作。</w:t>
            </w:r>
          </w:p>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统筹本市应急预案体系建设，组织编制本市总体应急预案和安全生产类、自然灾害类专项预案并负责各类应急预案衔接协调，承担预案演练的组织实施和指导监督工作，负责协调、指导应急管理体制机制建设。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8"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加强安全员执法检查建设、管理，促进执法标准化、专业化和规范化，年度内组织基层安全检查业务培训、执法监察人员业务培训。加快应急救援、安全生产专业队伍、业务力量和志愿者队伍建设，拓宽服务范围，提升部门服务水平，年度内积极动员社会力量积极参与应急救援，推进志愿者队伍建设、社会组织建设，保卫首都安全。</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负责本市安全生产监管方面行政审批项目的审核、审批以及相关协调工作，制定行政审批项目的办理流程、审批标准等，负责行政审批政策咨询、业务查询和信息发布工作。依法组织特种作业人员（特种设备作业人员除外）的考核工作，依法组织生产经营单位主要负责人、安全生产管理人员的安全生产知识和管理能力考核工作。负责安全生产培训、评价、咨询、检测、检验等社会中介组织的监督管理工作</w:t>
            </w:r>
            <w:r>
              <w:rPr>
                <w:rFonts w:hint="eastAsia" w:ascii="宋体" w:hAnsi="宋体" w:eastAsia="宋体" w:cs="宋体"/>
                <w:color w:val="000000"/>
                <w:kern w:val="0"/>
                <w:sz w:val="21"/>
                <w:szCs w:val="21"/>
                <w:highlight w:val="none"/>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33"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加强安全预防及隐患治理，落实隐患任务，推进示范试点，加快隐患目录编制与隐患核查评估、危化企业监测设备配备拓展、安全预防及隐患治理安全风险评估、自然灾害综合风险普查重点隐患分区分类分级综合评估等多项专项评估工作、切实评估相关工作成效，提出整改措施，保持正常的秩序。</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依法依规指导协调和监督本市有专门安全生产主管部门的行业、领域安全生产监督管理工作，指导协调和监督市政府有关部门和各区政府的安全生产工作，组织协调全市性安全生产大检查和专项整治等工作，组织实施安全生产考核工作，负责市级安全生产重大事故隐患的挂账、督办治理及销账等工作。承担市安全生产委员会办公室的具体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40"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开展安全、应急宣传教育，进行各类宣传教育活动、示范、基地建设等，提升影响力，提升公众安全防范意识，提升公众认可度。</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组织拟订本市地方性消防法规和技术标准并监督实施，指导城镇、农村、森林消防工作规划编制并推进落实，指导消防监督、火灾预防、火灾扑救工作。承担市防火安全委员会（市森林防火指挥部）办公室的具体工作。</w:t>
            </w:r>
          </w:p>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承担本市应急管理和安全生产新闻宣传、舆情应对、文化建设等工作，开展公众知识普及工作。组织开展相关领域的对外交流与合作。组织指导应急管理社会动员工作。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加快森林消防救援总队建设、救援车辆物资保障建设，创新救援方式，提升市级专业应急救援队伍应急救援能力、非传统因素灾害事故应对处置能力；完成市森防指相关工作、北京市森林消防综合应急救援队伍标准三年达标计划。</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rPr>
              <w:t>按规定权限承担本市消防救援队伍人员招录、干部任免和调整等工作。指导应急救援队伍教育训练。指导各区及社会应急救援力量建设。负责培训基地建设和管理工作</w:t>
            </w:r>
            <w:r>
              <w:rPr>
                <w:rFonts w:hint="eastAsia" w:ascii="宋体" w:hAnsi="宋体" w:eastAsia="宋体" w:cs="宋体"/>
                <w:color w:val="000000"/>
                <w:kern w:val="0"/>
                <w:sz w:val="21"/>
                <w:szCs w:val="21"/>
                <w:highlight w:val="none"/>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45"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w:t>
            </w:r>
          </w:p>
        </w:tc>
        <w:tc>
          <w:tcPr>
            <w:tcW w:w="2612"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推进应急管理信息化建设，推进系统升级改造、培训管理信息系统维护等工作，提升信息化管理水平和能力。</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承担本市应急管理、安全生产的科技和信息化建设工作，规划信息传输渠道，健全自然灾害信息资源获取和共享机制，拟订有关科技规划、计划并组织实施。负责城市管理和应急指挥平台的管理维护，指导各区、各专项应急指挥部和相关部门应急指挥平台的建设、管理工作。负责应急管理装备工作。联系市突发事件应急委员会专家顾问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27"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w:t>
            </w:r>
          </w:p>
        </w:tc>
        <w:tc>
          <w:tcPr>
            <w:tcW w:w="2612" w:type="pct"/>
            <w:vAlign w:val="center"/>
          </w:tcPr>
          <w:p>
            <w:pPr>
              <w:widowControl/>
              <w:adjustRightInd w:val="0"/>
              <w:snapToGrid w:val="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高效开展突发事件舆情监测、北京市预警信息发布，为北京市生产生活提供全面监测、预警服务。</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建立本市重大安全生产风险监测预警和评估论证机制，承担自然灾害综合监测预警工作，组织开展自然灾害综合风险与减灾能力调查评估。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trPr>
        <w:tc>
          <w:tcPr>
            <w:tcW w:w="296" w:type="pct"/>
            <w:vAlign w:val="center"/>
          </w:tcPr>
          <w:p>
            <w:pPr>
              <w:pStyle w:val="19"/>
              <w:adjustRightInd w:val="0"/>
              <w:snapToGrid w:val="0"/>
              <w:ind w:firstLine="0" w:firstLineChars="0"/>
              <w:jc w:val="center"/>
              <w:outlineLvl w:val="2"/>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12</w:t>
            </w:r>
          </w:p>
        </w:tc>
        <w:tc>
          <w:tcPr>
            <w:tcW w:w="2612" w:type="pct"/>
            <w:vAlign w:val="center"/>
          </w:tcPr>
          <w:p>
            <w:pPr>
              <w:widowControl/>
              <w:adjustRightInd w:val="0"/>
              <w:snapToGrid w:val="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推进应急管理与安全生产技术研究，组织科研项目，加强和规范管理科研工作；组织安全应急领域职业技能竞赛、特种作业人员安全技术考核、安全生产考试培训，扩大人才队伍。</w:t>
            </w:r>
          </w:p>
        </w:tc>
        <w:tc>
          <w:tcPr>
            <w:tcW w:w="2090" w:type="pct"/>
            <w:vAlign w:val="center"/>
          </w:tcPr>
          <w:p>
            <w:pPr>
              <w:pStyle w:val="19"/>
              <w:adjustRightInd w:val="0"/>
              <w:snapToGrid w:val="0"/>
              <w:ind w:firstLine="0" w:firstLineChars="0"/>
              <w:outlineLvl w:val="2"/>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负责本市安全生产监管方面行政审批项目的审核、审批以及相关协调工作，制定行政审批项目的办理流程、审批标准等，负责行政审批政策咨询、业务查询和信息发布工作。依法组织特种作业人员（特种设备作业人员除外）的考核工作，依法组织生产经营单位主要负责人、安全生产管理人员的安全生产知识和管理能力考核工作。负责安全生产培训、评价、咨询、检测、检验等社会中介组织的监督管理工作</w:t>
            </w:r>
            <w:r>
              <w:rPr>
                <w:rFonts w:hint="eastAsia" w:ascii="宋体" w:hAnsi="宋体" w:eastAsia="宋体" w:cs="宋体"/>
                <w:color w:val="000000"/>
                <w:kern w:val="0"/>
                <w:sz w:val="21"/>
                <w:szCs w:val="21"/>
                <w:highlight w:val="none"/>
                <w:lang w:eastAsia="zh-CN"/>
              </w:rPr>
              <w:t>。</w:t>
            </w:r>
          </w:p>
        </w:tc>
      </w:tr>
    </w:tbl>
    <w:p>
      <w:pPr>
        <w:pStyle w:val="19"/>
        <w:adjustRightInd w:val="0"/>
        <w:snapToGrid w:val="0"/>
        <w:ind w:firstLine="640"/>
        <w:rPr>
          <w:rFonts w:hint="eastAsia" w:ascii="宋体" w:hAnsi="宋体" w:eastAsia="宋体" w:cs="宋体"/>
          <w:color w:val="000000"/>
          <w:kern w:val="0"/>
          <w:sz w:val="21"/>
          <w:szCs w:val="21"/>
          <w:highlight w:val="yellow"/>
        </w:rPr>
      </w:pPr>
    </w:p>
    <w:p>
      <w:pPr>
        <w:pStyle w:val="19"/>
        <w:tabs>
          <w:tab w:val="left" w:pos="312"/>
        </w:tabs>
        <w:adjustRightInd w:val="0"/>
        <w:snapToGrid w:val="0"/>
        <w:spacing w:line="360" w:lineRule="auto"/>
        <w:ind w:left="640" w:firstLine="0" w:firstLineChars="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3.目标合理性</w:t>
      </w:r>
    </w:p>
    <w:p>
      <w:pPr>
        <w:adjustRightInd w:val="0"/>
        <w:snapToGrid w:val="0"/>
        <w:spacing w:line="360" w:lineRule="auto"/>
        <w:ind w:firstLine="640" w:firstLineChars="200"/>
        <w:rPr>
          <w:rFonts w:ascii="仿宋_GB2312" w:hAnsi="宋体" w:eastAsia="仿宋_GB2312" w:cs="宋体"/>
          <w:color w:val="000000"/>
          <w:kern w:val="0"/>
          <w:sz w:val="32"/>
          <w:szCs w:val="32"/>
          <w:highlight w:val="yellow"/>
        </w:rPr>
      </w:pPr>
      <w:r>
        <w:rPr>
          <w:rFonts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年度，市应急局部门绩效目标整体绩效目标涉及应急管理法制</w:t>
      </w:r>
      <w:r>
        <w:rPr>
          <w:rFonts w:hint="eastAsia" w:ascii="仿宋_GB2312" w:hAnsi="宋体" w:eastAsia="仿宋_GB2312" w:cs="宋体"/>
          <w:color w:val="000000"/>
          <w:kern w:val="0"/>
          <w:sz w:val="32"/>
          <w:szCs w:val="32"/>
          <w:highlight w:val="none"/>
          <w:lang w:val="en-US" w:eastAsia="zh-CN"/>
        </w:rPr>
        <w:t>建设</w:t>
      </w:r>
      <w:r>
        <w:rPr>
          <w:rFonts w:hint="eastAsia" w:ascii="仿宋_GB2312" w:hAnsi="宋体" w:eastAsia="仿宋_GB2312" w:cs="宋体"/>
          <w:color w:val="000000"/>
          <w:kern w:val="0"/>
          <w:sz w:val="32"/>
          <w:szCs w:val="32"/>
          <w:highlight w:val="none"/>
        </w:rPr>
        <w:t>、应急管理信息化建设、应急救援队伍建设、应急管理与安全生产技术研究、安全预防及隐患治理</w:t>
      </w:r>
      <w:r>
        <w:rPr>
          <w:rFonts w:hint="eastAsia" w:ascii="仿宋_GB2312" w:hAnsi="宋体" w:eastAsia="仿宋_GB2312" w:cs="宋体"/>
          <w:color w:val="000000"/>
          <w:kern w:val="0"/>
          <w:sz w:val="32"/>
          <w:szCs w:val="32"/>
          <w:highlight w:val="none"/>
          <w:lang w:eastAsia="zh-CN"/>
        </w:rPr>
        <w:t>、应急预案体系建设</w:t>
      </w:r>
      <w:r>
        <w:rPr>
          <w:rFonts w:hint="eastAsia" w:ascii="仿宋_GB2312" w:hAnsi="宋体" w:eastAsia="仿宋_GB2312" w:cs="宋体"/>
          <w:color w:val="000000"/>
          <w:kern w:val="0"/>
          <w:sz w:val="32"/>
          <w:szCs w:val="32"/>
          <w:highlight w:val="none"/>
        </w:rPr>
        <w:t>等多个方面，相关目标设立与《中华人民共和国突发事件应对法》《中华人民共和国安全生产法</w:t>
      </w:r>
      <w:r>
        <w:rPr>
          <w:rFonts w:ascii="仿宋_GB2312" w:hAnsi="宋体" w:eastAsia="仿宋_GB2312" w:cs="宋体"/>
          <w:color w:val="000000"/>
          <w:kern w:val="0"/>
          <w:sz w:val="32"/>
          <w:szCs w:val="32"/>
          <w:highlight w:val="none"/>
        </w:rPr>
        <w:t>》《中共北京市</w:t>
      </w:r>
      <w:r>
        <w:rPr>
          <w:rFonts w:hint="eastAsia" w:ascii="仿宋_GB2312" w:hAnsi="宋体" w:eastAsia="仿宋_GB2312" w:cs="宋体"/>
          <w:color w:val="000000"/>
          <w:kern w:val="0"/>
          <w:sz w:val="32"/>
          <w:szCs w:val="32"/>
          <w:highlight w:val="none"/>
        </w:rPr>
        <w:t>委关于制定北京市国民经济和社会发展第十四个五年规划和二</w:t>
      </w:r>
      <w:r>
        <w:rPr>
          <w:rFonts w:hint="eastAsia" w:ascii="宋体" w:hAnsi="宋体" w:cs="宋体"/>
          <w:color w:val="000000"/>
          <w:kern w:val="0"/>
          <w:sz w:val="32"/>
          <w:szCs w:val="32"/>
          <w:highlight w:val="none"/>
        </w:rPr>
        <w:t>〇</w:t>
      </w:r>
      <w:r>
        <w:rPr>
          <w:rFonts w:hint="eastAsia" w:ascii="仿宋_GB2312" w:hAnsi="宋体" w:eastAsia="仿宋_GB2312" w:cs="宋体"/>
          <w:color w:val="000000"/>
          <w:kern w:val="0"/>
          <w:sz w:val="32"/>
          <w:szCs w:val="32"/>
          <w:highlight w:val="none"/>
        </w:rPr>
        <w:t>三五年远景目标的建议》《北京市国民经济和社会发展第十四个五年规划和二</w:t>
      </w:r>
      <w:r>
        <w:rPr>
          <w:rFonts w:hint="eastAsia" w:ascii="宋体" w:hAnsi="宋体" w:cs="宋体"/>
          <w:color w:val="000000"/>
          <w:kern w:val="0"/>
          <w:sz w:val="32"/>
          <w:szCs w:val="32"/>
          <w:highlight w:val="none"/>
        </w:rPr>
        <w:t>〇</w:t>
      </w:r>
      <w:r>
        <w:rPr>
          <w:rFonts w:hint="eastAsia" w:ascii="仿宋_GB2312" w:hAnsi="宋体" w:eastAsia="仿宋_GB2312" w:cs="宋体"/>
          <w:color w:val="000000"/>
          <w:kern w:val="0"/>
          <w:sz w:val="32"/>
          <w:szCs w:val="32"/>
          <w:highlight w:val="none"/>
        </w:rPr>
        <w:t>三五年远景目标纲要》等相关法律法规和文件关于应急管理事业发展的相关要求,以及《北京市“十四五”时期应急管理事业发展规划》</w:t>
      </w:r>
      <w:r>
        <w:rPr>
          <w:rFonts w:ascii="仿宋_GB2312" w:hAnsi="宋体" w:eastAsia="仿宋_GB2312" w:cs="宋体"/>
          <w:color w:val="000000"/>
          <w:kern w:val="0"/>
          <w:sz w:val="32"/>
          <w:szCs w:val="32"/>
          <w:highlight w:val="none"/>
        </w:rPr>
        <w:t>中“</w:t>
      </w:r>
      <w:r>
        <w:rPr>
          <w:rFonts w:hint="eastAsia" w:ascii="仿宋_GB2312" w:hAnsi="宋体" w:eastAsia="仿宋_GB2312" w:cs="宋体"/>
          <w:color w:val="000000"/>
          <w:kern w:val="0"/>
          <w:sz w:val="32"/>
          <w:szCs w:val="32"/>
          <w:highlight w:val="none"/>
        </w:rPr>
        <w:t>积极构建应急管理风险防控体系、治理能力体系和责任制度体系，努力推进应急管理法治化、协同化、智能化、社会化进程，不断夯实应急管理基层基础”等要求相符。同时，部门整体绩效目标与市应急局</w:t>
      </w:r>
      <w:r>
        <w:rPr>
          <w:rFonts w:ascii="仿宋_GB2312" w:hAnsi="宋体" w:eastAsia="仿宋_GB2312" w:cs="宋体"/>
          <w:color w:val="000000"/>
          <w:kern w:val="0"/>
          <w:sz w:val="32"/>
          <w:szCs w:val="32"/>
          <w:highlight w:val="none"/>
        </w:rPr>
        <w:t>拟订本市应急管理、安全生产等政策</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统筹本市应急救援力量建设</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依法行使本市安全生产综合监督管理职权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负责本市应急管理、安全生产宣传教育和培训工作</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依法行使本市安全生产综合监督管理职权</w:t>
      </w:r>
      <w:r>
        <w:rPr>
          <w:rFonts w:hint="eastAsia" w:ascii="仿宋_GB2312" w:hAnsi="宋体" w:eastAsia="仿宋_GB2312" w:cs="宋体"/>
          <w:color w:val="000000"/>
          <w:kern w:val="0"/>
          <w:sz w:val="32"/>
          <w:szCs w:val="32"/>
          <w:highlight w:val="none"/>
        </w:rPr>
        <w:t>，依法组织指导本市生产安全事故调查处理，指导本市应急预案体系建设等职责匹配。但现有绩效目标未能全面概括单位预算支出内容，绩效目标与单位预算整体对应性有所不足。</w:t>
      </w:r>
    </w:p>
    <w:p>
      <w:pPr>
        <w:adjustRightInd w:val="0"/>
        <w:snapToGrid w:val="0"/>
        <w:spacing w:line="360" w:lineRule="auto"/>
        <w:ind w:firstLine="640" w:firstLineChars="200"/>
        <w:outlineLvl w:val="0"/>
        <w:rPr>
          <w:rFonts w:ascii="黑体" w:hAnsi="黑体" w:eastAsia="黑体" w:cs="宋体"/>
          <w:color w:val="000000"/>
          <w:kern w:val="0"/>
          <w:sz w:val="32"/>
          <w:szCs w:val="32"/>
          <w:highlight w:val="yellow"/>
        </w:rPr>
      </w:pPr>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p>
    <w:p>
      <w:pPr>
        <w:adjustRightInd w:val="0"/>
        <w:snapToGrid w:val="0"/>
        <w:spacing w:line="360" w:lineRule="auto"/>
        <w:ind w:firstLine="640" w:firstLineChars="200"/>
        <w:outlineLvl w:val="0"/>
        <w:rPr>
          <w:rFonts w:ascii="仿宋_GB2312" w:hAnsi="宋体" w:eastAsia="仿宋_GB2312" w:cs="宋体"/>
          <w:color w:val="000000"/>
          <w:kern w:val="0"/>
          <w:sz w:val="32"/>
          <w:szCs w:val="32"/>
          <w:highlight w:val="yellow"/>
        </w:rPr>
      </w:pPr>
      <w:r>
        <w:rPr>
          <w:rFonts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ascii="仿宋_GB2312" w:hAnsi="宋体" w:eastAsia="仿宋_GB2312" w:cs="宋体"/>
          <w:color w:val="000000"/>
          <w:kern w:val="0"/>
          <w:sz w:val="32"/>
          <w:szCs w:val="32"/>
          <w:highlight w:val="none"/>
        </w:rPr>
        <w:t>年，市应急局全年</w:t>
      </w:r>
      <w:r>
        <w:rPr>
          <w:rFonts w:hint="eastAsia" w:ascii="仿宋_GB2312" w:hAnsi="宋体" w:eastAsia="仿宋_GB2312" w:cs="宋体"/>
          <w:color w:val="000000"/>
          <w:kern w:val="0"/>
          <w:sz w:val="32"/>
          <w:szCs w:val="32"/>
          <w:highlight w:val="none"/>
        </w:rPr>
        <w:t>预算数62,028.80万元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rPr>
        <w:t>28,779.60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 33,249.20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。截至</w:t>
      </w:r>
      <w:r>
        <w:rPr>
          <w:rFonts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ascii="仿宋_GB2312" w:hAnsi="宋体" w:eastAsia="仿宋_GB2312" w:cs="宋体"/>
          <w:color w:val="000000"/>
          <w:kern w:val="0"/>
          <w:sz w:val="32"/>
          <w:szCs w:val="32"/>
          <w:highlight w:val="none"/>
        </w:rPr>
        <w:t>年12月31日，资金总体</w:t>
      </w:r>
      <w:r>
        <w:rPr>
          <w:rFonts w:hint="eastAsia" w:ascii="仿宋_GB2312" w:hAnsi="宋体" w:eastAsia="仿宋_GB2312" w:cs="宋体"/>
          <w:color w:val="000000"/>
          <w:kern w:val="0"/>
          <w:sz w:val="32"/>
          <w:szCs w:val="32"/>
          <w:highlight w:val="none"/>
        </w:rPr>
        <w:t>支出  56,156.54</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rPr>
        <w:t>27,815.01</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支出28,341.53</w:t>
      </w:r>
      <w:r>
        <w:rPr>
          <w:rFonts w:ascii="仿宋_GB2312" w:hAnsi="宋体" w:eastAsia="仿宋_GB2312" w:cs="宋体"/>
          <w:color w:val="000000"/>
          <w:kern w:val="0"/>
          <w:sz w:val="32"/>
          <w:szCs w:val="32"/>
          <w:highlight w:val="none"/>
        </w:rPr>
        <w:t>元</w:t>
      </w:r>
      <w:r>
        <w:rPr>
          <w:rFonts w:hint="eastAsia" w:ascii="仿宋_GB2312" w:hAnsi="宋体" w:eastAsia="仿宋_GB2312" w:cs="宋体"/>
          <w:color w:val="000000"/>
          <w:kern w:val="0"/>
          <w:sz w:val="32"/>
          <w:szCs w:val="32"/>
          <w:highlight w:val="none"/>
        </w:rPr>
        <w:t>，年度总预算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90</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val="en-US" w:eastAsia="zh-CN"/>
        </w:rPr>
        <w:t>53</w:t>
      </w:r>
      <w:r>
        <w:rPr>
          <w:rFonts w:ascii="仿宋_GB2312" w:hAnsi="宋体" w:eastAsia="仿宋_GB2312" w:cs="宋体"/>
          <w:color w:val="000000"/>
          <w:kern w:val="0"/>
          <w:sz w:val="32"/>
          <w:szCs w:val="32"/>
          <w:highlight w:val="none"/>
        </w:rPr>
        <w:t>%。</w:t>
      </w:r>
    </w:p>
    <w:p>
      <w:pPr>
        <w:adjustRightInd w:val="0"/>
        <w:snapToGrid w:val="0"/>
        <w:spacing w:line="360" w:lineRule="auto"/>
        <w:ind w:firstLine="640" w:firstLineChars="200"/>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p>
    <w:p>
      <w:pPr>
        <w:adjustRightInd w:val="0"/>
        <w:snapToGrid w:val="0"/>
        <w:spacing w:line="360" w:lineRule="auto"/>
        <w:ind w:firstLine="640" w:firstLineChars="200"/>
        <w:rPr>
          <w:rFonts w:ascii="楷体_GB2312" w:eastAsia="楷体_GB2312"/>
          <w:sz w:val="32"/>
          <w:szCs w:val="32"/>
          <w:highlight w:val="none"/>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年度，市应急局日常管理工作基本按计划实施，大部分项目实施及年度完成情况较好，较好的实现了绩效目标，整体绩效目标实现情况如下：</w:t>
      </w:r>
    </w:p>
    <w:p>
      <w:pPr>
        <w:adjustRightInd w:val="0"/>
        <w:snapToGrid w:val="0"/>
        <w:spacing w:line="360" w:lineRule="auto"/>
        <w:ind w:firstLine="640" w:firstLineChars="200"/>
        <w:outlineLvl w:val="1"/>
        <w:rPr>
          <w:rFonts w:ascii="楷体_GB2312" w:eastAsia="楷体_GB2312"/>
          <w:sz w:val="32"/>
          <w:szCs w:val="32"/>
          <w:highlight w:val="none"/>
        </w:rPr>
      </w:pPr>
      <w:r>
        <w:rPr>
          <w:rFonts w:hint="eastAsia" w:ascii="楷体_GB2312" w:eastAsia="楷体_GB2312"/>
          <w:sz w:val="32"/>
          <w:szCs w:val="32"/>
          <w:highlight w:val="none"/>
        </w:rPr>
        <w:t>（一）产出完成情况分析</w:t>
      </w:r>
    </w:p>
    <w:p>
      <w:pPr>
        <w:pStyle w:val="19"/>
        <w:adjustRightInd w:val="0"/>
        <w:snapToGrid w:val="0"/>
        <w:spacing w:line="360" w:lineRule="auto"/>
        <w:ind w:firstLine="64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产出数量</w:t>
      </w:r>
    </w:p>
    <w:p>
      <w:pPr>
        <w:pStyle w:val="19"/>
        <w:adjustRightInd w:val="0"/>
        <w:snapToGrid w:val="0"/>
        <w:spacing w:line="360" w:lineRule="auto"/>
        <w:ind w:firstLine="643"/>
        <w:rPr>
          <w:rFonts w:hint="eastAsia" w:ascii="仿宋_GB2312" w:hAnsi="宋体" w:eastAsia="仿宋_GB2312" w:cs="宋体"/>
          <w:b/>
          <w:bCs w:val="0"/>
          <w:color w:val="000000"/>
          <w:kern w:val="0"/>
          <w:sz w:val="32"/>
          <w:szCs w:val="32"/>
          <w:highlight w:val="none"/>
          <w:lang w:val="en-US" w:eastAsia="zh-CN"/>
        </w:rPr>
      </w:pP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1</w:t>
      </w: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应急管理法制建设方面。</w:t>
      </w:r>
      <w:r>
        <w:rPr>
          <w:rFonts w:hint="eastAsia" w:ascii="仿宋_GB2312" w:hAnsi="仿宋_GB2312" w:eastAsia="仿宋_GB2312" w:cs="仿宋_GB2312"/>
          <w:b w:val="0"/>
          <w:bCs w:val="0"/>
          <w:kern w:val="32"/>
          <w:sz w:val="32"/>
          <w:szCs w:val="32"/>
          <w:highlight w:val="none"/>
          <w:lang w:val="en-US" w:eastAsia="zh-CN"/>
        </w:rPr>
        <w:t>健全完善《北京市安全生产条例》配套制度，积极推进《北京市突发事件应对条例》修订，及时修订应急管理系统权力清单、行政处罚自由裁量基准等制度文件，强化执法监督和法治审查，不断深化法治宣传。持续深化分级分类监管，配齐配强市区两级专职技术检查员队伍，会同相关部门对工业领域4家大型企业集团开展“进驻式督导、解剖式执法”。完善“接诉即办”工作机制，进一步规范安全生产举报工作流程，对重大隐患提级办理和重点奖励，强化案件查处针对性，形成震慑效应。编制灾后恢复重建应急能力提升专项规划，稳步推进《北京市突发事件应对条例》修订，开展《北京市生产经营单位安全生产主体责任规定》等5项政府规章立法后评估，修订完善应急管理行政裁量权基准和应急管理轻微违法行为不予处罚事项清单，聚焦使用伪造的特种作业证相关案件推进“行刑衔接”。贯彻落实地方标准体系建设中长期规划，统筹地方标准管理，完成22项地方标准初审、17项地方标准实施情况评估。全面提升执法检查效能，市区两级应急系统检查量、立案处罚案件量、罚款金额同比分别上升4.23%、39.15%、36.72%。</w:t>
      </w:r>
      <w:r>
        <w:rPr>
          <w:rFonts w:hint="eastAsia" w:ascii="仿宋_GB2312" w:hAnsi="仿宋_GB2312" w:eastAsia="仿宋_GB2312" w:cs="仿宋_GB2312"/>
          <w:b w:val="0"/>
          <w:bCs w:val="0"/>
          <w:snapToGrid w:val="0"/>
          <w:kern w:val="0"/>
          <w:sz w:val="32"/>
          <w:szCs w:val="32"/>
          <w:highlight w:val="none"/>
          <w:lang w:eastAsia="zh-CN"/>
        </w:rPr>
        <w:t>研究出台</w:t>
      </w: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eastAsia="zh-CN"/>
        </w:rPr>
        <w:t>项</w:t>
      </w:r>
      <w:r>
        <w:rPr>
          <w:rFonts w:hint="eastAsia" w:ascii="仿宋_GB2312" w:hAnsi="仿宋_GB2312" w:eastAsia="仿宋_GB2312" w:cs="仿宋_GB2312"/>
          <w:sz w:val="32"/>
          <w:szCs w:val="32"/>
          <w:highlight w:val="none"/>
        </w:rPr>
        <w:t>硬措施”，</w:t>
      </w:r>
      <w:r>
        <w:rPr>
          <w:rFonts w:hint="eastAsia" w:ascii="仿宋_GB2312" w:hAnsi="仿宋_GB2312" w:eastAsia="仿宋_GB2312" w:cs="仿宋_GB2312"/>
          <w:b w:val="0"/>
          <w:bCs w:val="0"/>
          <w:kern w:val="32"/>
          <w:sz w:val="32"/>
          <w:szCs w:val="32"/>
          <w:highlight w:val="none"/>
          <w:lang w:val="en" w:eastAsia="zh-CN"/>
        </w:rPr>
        <w:t>配套制定</w:t>
      </w:r>
      <w:r>
        <w:rPr>
          <w:rFonts w:hint="eastAsia" w:ascii="仿宋_GB2312" w:hAnsi="仿宋_GB2312" w:eastAsia="仿宋_GB2312" w:cs="仿宋_GB2312"/>
          <w:b w:val="0"/>
          <w:bCs w:val="0"/>
          <w:kern w:val="32"/>
          <w:sz w:val="32"/>
          <w:szCs w:val="32"/>
          <w:highlight w:val="none"/>
          <w:lang w:val="en-US" w:eastAsia="zh-CN"/>
        </w:rPr>
        <w:t>30余个制度文件，制定十大专项行动进展评价指标体系，以霹雳手段推动完善全链条管理机制。</w:t>
      </w:r>
      <w:r>
        <w:rPr>
          <w:rFonts w:hint="eastAsia" w:ascii="仿宋_GB2312" w:hAnsi="仿宋_GB2312" w:eastAsia="仿宋_GB2312" w:cs="仿宋_GB2312"/>
          <w:sz w:val="32"/>
          <w:szCs w:val="32"/>
          <w:highlight w:val="none"/>
        </w:rPr>
        <w:t>严格落实《关于加快推进韧性城市建设的指导意见》，构建城市和社区两套韧性评价指标体系，并开展试评价，培育形成怀柔区韧性城市建设试点。编制灾后恢复重建应急能力提升专项规划，稳步推进《北京市突发事件应对条例》修订，聚焦使用伪造的特种作业证相关案件推进“行刑衔接”。</w:t>
      </w:r>
    </w:p>
    <w:p>
      <w:pPr>
        <w:pStyle w:val="19"/>
        <w:adjustRightInd w:val="0"/>
        <w:snapToGrid w:val="0"/>
        <w:spacing w:line="360" w:lineRule="auto"/>
        <w:ind w:firstLine="643"/>
        <w:rPr>
          <w:rFonts w:hint="eastAsia" w:ascii="仿宋_GB2312" w:hAnsi="宋体" w:eastAsia="仿宋_GB2312" w:cs="宋体"/>
          <w:b w:val="0"/>
          <w:bCs/>
          <w:color w:val="000000"/>
          <w:kern w:val="0"/>
          <w:sz w:val="32"/>
          <w:szCs w:val="32"/>
          <w:highlight w:val="none"/>
        </w:rPr>
      </w:pP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2</w:t>
      </w: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应急管理、安全检查事务调查、研究方面。</w:t>
      </w:r>
      <w:r>
        <w:rPr>
          <w:rFonts w:hint="eastAsia" w:ascii="仿宋_GB2312" w:hAnsi="宋体" w:eastAsia="仿宋_GB2312" w:cs="宋体"/>
          <w:b w:val="0"/>
          <w:bCs/>
          <w:color w:val="000000"/>
          <w:kern w:val="0"/>
          <w:sz w:val="32"/>
          <w:szCs w:val="32"/>
          <w:highlight w:val="none"/>
        </w:rPr>
        <w:t>持续宣贯《北京市安全生产工作职责分工规定》，督促指导各区、各部门编制领导干部安全生产职责和重点工作清单，及时研究确定立体停车设施、动火作业、气膜馆建筑等新业态、新领域安全责任分工，以市委市政府名义对全市24个地区和部门开展全过程督察，对78起生产安全事故挂账管理、对6起事故提级调查，制定实施隐患排查整治追责办法，下发工作通报、提醒函150余份，约谈单位10余次，进一步扣紧明责、履责、督责和问责的责任链条，层层压实安全生产责任。研究出台《关于进一步加强基层应急管理体系和能力建设的若干措施》，研究提出提升基层全链条、全要素应急能力的具体措施。在门头沟区、房山区、昌平区的重点乡镇，开展基层应急能力建设试点。指导各区在街道（乡镇）组建专兼职应急救援队伍，在社区（村）发展“应急响应人”队伍，分批推进社区（村）应急服务站建设，加强应急志愿服务工作。健全完善应急科普联动机制，开展公众应急科学素质提升行动，聚合应急安全科普平台资源，在全社会营造浓厚的安全文化氛围。</w:t>
      </w:r>
    </w:p>
    <w:p>
      <w:pPr>
        <w:pStyle w:val="19"/>
        <w:adjustRightInd w:val="0"/>
        <w:snapToGrid w:val="0"/>
        <w:spacing w:line="360" w:lineRule="auto"/>
        <w:ind w:firstLine="643"/>
        <w:rPr>
          <w:rFonts w:hint="eastAsia" w:ascii="仿宋_GB2312" w:hAnsi="宋体" w:eastAsia="仿宋_GB2312" w:cs="仿宋_GB2312"/>
          <w:snapToGrid w:val="0"/>
          <w:kern w:val="0"/>
          <w:sz w:val="32"/>
          <w:szCs w:val="32"/>
          <w:highlight w:val="none"/>
          <w:lang w:val="en-US" w:eastAsia="zh-CN"/>
        </w:rPr>
      </w:pP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3</w:t>
      </w: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rPr>
        <w:t>救灾减灾、防汛抗旱</w:t>
      </w:r>
      <w:r>
        <w:rPr>
          <w:rFonts w:hint="eastAsia" w:ascii="仿宋_GB2312" w:hAnsi="宋体" w:eastAsia="仿宋_GB2312" w:cs="宋体"/>
          <w:b/>
          <w:bCs w:val="0"/>
          <w:color w:val="000000"/>
          <w:kern w:val="0"/>
          <w:sz w:val="32"/>
          <w:szCs w:val="32"/>
          <w:highlight w:val="none"/>
          <w:lang w:val="en-US" w:eastAsia="zh-CN"/>
        </w:rPr>
        <w:t>方面。</w:t>
      </w:r>
      <w:r>
        <w:rPr>
          <w:rFonts w:hint="eastAsia" w:ascii="仿宋_GB2312" w:hAnsi="宋体" w:eastAsia="仿宋_GB2312" w:cs="宋体"/>
          <w:b w:val="0"/>
          <w:bCs/>
          <w:color w:val="000000"/>
          <w:kern w:val="0"/>
          <w:sz w:val="32"/>
          <w:szCs w:val="32"/>
          <w:highlight w:val="none"/>
        </w:rPr>
        <w:t>全面完成11大领域、80小类自然灾害综合风险普查任务，汇集约587万条调查数据，建设自然灾害综合风险基础数据库，摸清了全市房屋建筑、交通设施、公共服务设施等承载体底数，掌握了历史灾情信息及区域防灾减灾能力现状，系统分析了地震、地质、气象、水旱、森林火灾等单灾种危险性和风险水平，科学划分了灾害防治区划，形成一批评估与区划核心成果，应急系统调查进度和国家级质检质量均居全国第一。推动14个重点行业领域开展自然灾害引发生产安全事故风险评估，全市近16.5万家企事业单位辨识风险源60万余项，有针对性制定风险管控措施。建成覆盖市、区、乡镇（街道）、社区（村）四级的灾害风险隐患信息员队伍9400余人。</w:t>
      </w:r>
      <w:r>
        <w:rPr>
          <w:rFonts w:hint="eastAsia" w:ascii="仿宋_GB2312" w:hAnsi="宋体" w:eastAsia="仿宋_GB2312" w:cs="仿宋_GB2312"/>
          <w:snapToGrid w:val="0"/>
          <w:kern w:val="0"/>
          <w:sz w:val="32"/>
          <w:szCs w:val="32"/>
          <w:highlight w:val="none"/>
          <w:lang w:val="en-US" w:eastAsia="zh-CN"/>
        </w:rPr>
        <w:t xml:space="preserve">聚焦动火作业、限额以下工程、燃气、电动自行车、彩钢板建筑、危货运输等重点领域，强力监管执法，累计检查企业单位27.9万余家，因违反相关法律法规行政拘留543人，关停查封企业6360家。开发建设“企安安”信息系统，编制自查和检查清单编制管理规范，接入动火作业报备管理、特种作业查询等5个系统，建立企事业单位台账41万家，自查隐患53.6万项,整改率99.97%；检查发现隐患179.8万项，整改率99.99%，推动隐患排查“清单化、有留痕、可追溯”。坚持底线思维、极限思维，突出防在雨前，入汛前组织排查水利工程、山洪地质灾害、在建工程、旅游景区等7类防汛隐患。降雨前，7月24日开始连续6次组织天气会商，7月28日台风登陆福建后，连续进行部署，预置前置20余万人防汛抢险队伍、12.3万名干部下沉进驻山区村落、低洼点位。7月29日果断提前升级启动全市一级响应，明确“非必要不出门、非必要不到岗”等9条硬措施，累计紧急转移安置16.5万人。  </w:t>
      </w:r>
    </w:p>
    <w:p>
      <w:pPr>
        <w:keepNext w:val="0"/>
        <w:keepLines w:val="0"/>
        <w:pageBreakBefore w:val="0"/>
        <w:widowControl w:val="0"/>
        <w:numPr>
          <w:ilvl w:val="0"/>
          <w:numId w:val="0"/>
        </w:numPr>
        <w:pBdr>
          <w:bottom w:val="single" w:color="FFFFFF" w:sz="4" w:space="31"/>
        </w:pBdr>
        <w:kinsoku/>
        <w:wordWrap/>
        <w:overflowPunct/>
        <w:topLinePunct/>
        <w:autoSpaceDE/>
        <w:autoSpaceDN/>
        <w:bidi w:val="0"/>
        <w:adjustRightInd w:val="0"/>
        <w:snapToGrid w:val="0"/>
        <w:spacing w:line="360" w:lineRule="auto"/>
        <w:ind w:firstLine="642" w:firstLineChars="200"/>
        <w:textAlignment w:val="auto"/>
        <w:rPr>
          <w:rFonts w:hint="eastAsia" w:ascii="仿宋_GB2312" w:hAnsi="宋体" w:eastAsia="仿宋_GB2312" w:cs="宋体"/>
          <w:b w:val="0"/>
          <w:bCs/>
          <w:color w:val="000000"/>
          <w:kern w:val="0"/>
          <w:sz w:val="32"/>
          <w:szCs w:val="32"/>
          <w:highlight w:val="none"/>
          <w:lang w:eastAsia="zh-CN"/>
        </w:rPr>
      </w:pP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4</w:t>
      </w:r>
      <w:r>
        <w:rPr>
          <w:rFonts w:hint="eastAsia" w:ascii="仿宋_GB2312" w:hAnsi="宋体" w:eastAsia="仿宋_GB2312" w:cs="宋体"/>
          <w:b/>
          <w:bCs w:val="0"/>
          <w:color w:val="000000"/>
          <w:kern w:val="0"/>
          <w:sz w:val="32"/>
          <w:szCs w:val="32"/>
          <w:highlight w:val="none"/>
          <w:lang w:eastAsia="zh-CN"/>
        </w:rPr>
        <w:t>）危险化学品生产企业安全监管</w:t>
      </w:r>
      <w:r>
        <w:rPr>
          <w:rFonts w:hint="eastAsia" w:ascii="仿宋_GB2312" w:hAnsi="宋体" w:eastAsia="仿宋_GB2312" w:cs="宋体"/>
          <w:b/>
          <w:bCs w:val="0"/>
          <w:color w:val="000000"/>
          <w:kern w:val="0"/>
          <w:sz w:val="32"/>
          <w:szCs w:val="32"/>
          <w:highlight w:val="none"/>
          <w:lang w:val="en-US" w:eastAsia="zh-CN"/>
        </w:rPr>
        <w:t>方面</w:t>
      </w: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val="0"/>
          <w:bCs/>
          <w:color w:val="000000"/>
          <w:kern w:val="0"/>
          <w:sz w:val="32"/>
          <w:szCs w:val="32"/>
          <w:highlight w:val="none"/>
          <w:lang w:val="en-US" w:eastAsia="zh-CN"/>
        </w:rPr>
        <w:t>聚焦主责主业和实战化需要，扎实推进智慧应急建设，对46家危险化学品重大危险源企业、29家核心区加油站、4座三等及以上尾矿库进行24小时风险监测，建设地质、水旱、农业、气象、地震、森林火灾等自然灾害综合监测预警系统，构建“一物一码”危险化学品全程追溯体系，实现危险化学品来源可追溯、去向可倒查、责任可追究。建设森林灭火通信和信息化系统，实现可视化调度。突出抓好燕山石化特别安全管控，对首钢矿业公司开展常态化驻矿监管指导，组织开展装置设备带“病”运行、涉爆粉尘、涉危使用、高温熔融金属、有限空间等专项排查整治，督促企业全面完成五环路内涉氨重大危险源降氨改造。推动建立分类管理、分级监管模式，确定市级重点单位800余家、区级重点单位1.3万余家。全年发生各类生产安全死亡事故401起、死亡440人，同比2022年分别上升5.2%、9.7%，相比2019年分别下降4.8%、1.8%，扭转了事故多发局面。</w:t>
      </w:r>
    </w:p>
    <w:p>
      <w:pPr>
        <w:keepNext w:val="0"/>
        <w:keepLines w:val="0"/>
        <w:pageBreakBefore w:val="0"/>
        <w:widowControl w:val="0"/>
        <w:numPr>
          <w:ilvl w:val="0"/>
          <w:numId w:val="0"/>
        </w:numPr>
        <w:pBdr>
          <w:bottom w:val="single" w:color="FFFFFF" w:sz="4" w:space="31"/>
        </w:pBdr>
        <w:kinsoku/>
        <w:wordWrap/>
        <w:overflowPunct/>
        <w:topLinePunct/>
        <w:autoSpaceDE/>
        <w:autoSpaceDN/>
        <w:bidi w:val="0"/>
        <w:adjustRightInd w:val="0"/>
        <w:snapToGrid w:val="0"/>
        <w:spacing w:line="360" w:lineRule="auto"/>
        <w:ind w:firstLine="642" w:firstLineChars="200"/>
        <w:textAlignment w:val="auto"/>
        <w:rPr>
          <w:rFonts w:hint="eastAsia" w:ascii="仿宋_GB2312" w:hAnsi="宋体" w:eastAsia="仿宋_GB2312" w:cs="宋体"/>
          <w:b w:val="0"/>
          <w:bCs/>
          <w:color w:val="000000"/>
          <w:kern w:val="0"/>
          <w:sz w:val="32"/>
          <w:szCs w:val="32"/>
          <w:highlight w:val="none"/>
          <w:lang w:eastAsia="zh-CN"/>
        </w:rPr>
      </w:pP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5</w:t>
      </w:r>
      <w:r>
        <w:rPr>
          <w:rFonts w:hint="eastAsia" w:ascii="仿宋_GB2312" w:hAnsi="宋体" w:eastAsia="仿宋_GB2312" w:cs="宋体"/>
          <w:b/>
          <w:bCs w:val="0"/>
          <w:color w:val="000000"/>
          <w:kern w:val="0"/>
          <w:sz w:val="32"/>
          <w:szCs w:val="32"/>
          <w:highlight w:val="none"/>
          <w:lang w:eastAsia="zh-CN"/>
        </w:rPr>
        <w:t>）应急</w:t>
      </w:r>
      <w:r>
        <w:rPr>
          <w:rFonts w:hint="eastAsia" w:ascii="仿宋_GB2312" w:hAnsi="宋体" w:eastAsia="仿宋_GB2312" w:cs="宋体"/>
          <w:b/>
          <w:color w:val="000000"/>
          <w:kern w:val="0"/>
          <w:sz w:val="32"/>
          <w:szCs w:val="32"/>
          <w:highlight w:val="none"/>
        </w:rPr>
        <w:t>预案体系建设</w:t>
      </w:r>
      <w:r>
        <w:rPr>
          <w:rFonts w:hint="eastAsia" w:ascii="仿宋_GB2312" w:hAnsi="宋体" w:eastAsia="仿宋_GB2312" w:cs="宋体"/>
          <w:b/>
          <w:color w:val="000000"/>
          <w:kern w:val="0"/>
          <w:sz w:val="32"/>
          <w:szCs w:val="32"/>
          <w:highlight w:val="none"/>
          <w:lang w:val="en-US" w:eastAsia="zh-CN"/>
        </w:rPr>
        <w:t>方面</w:t>
      </w:r>
      <w:r>
        <w:rPr>
          <w:rFonts w:hint="eastAsia" w:ascii="仿宋_GB2312" w:hAnsi="宋体" w:eastAsia="仿宋_GB2312" w:cs="宋体"/>
          <w:b/>
          <w:color w:val="000000"/>
          <w:kern w:val="0"/>
          <w:sz w:val="32"/>
          <w:szCs w:val="32"/>
          <w:highlight w:val="none"/>
        </w:rPr>
        <w:t>。</w:t>
      </w:r>
      <w:r>
        <w:rPr>
          <w:rFonts w:hint="eastAsia" w:ascii="仿宋_GB2312" w:hAnsi="宋体" w:eastAsia="仿宋_GB2312" w:cs="宋体"/>
          <w:b w:val="0"/>
          <w:bCs/>
          <w:color w:val="000000"/>
          <w:kern w:val="0"/>
          <w:sz w:val="32"/>
          <w:szCs w:val="32"/>
          <w:highlight w:val="none"/>
          <w:lang w:eastAsia="zh-CN"/>
        </w:rPr>
        <w:t>完成危化品、地质灾害、突发环境、药品安全、食品安全、粮食供给、网络信息安全等15部预案的修订印发工作。在全部48部市级专项预案中，37部已经或接近完成修订工作，完成率77%，各区专项预案修订完成率69%。以增强全市应急预案的科学性、实用性和可操作性为核心，完成对市、区两级6个单位的应急预案体系示范评估，并延伸覆盖街乡镇、社区村和企业公司、项目工地等基层单位。把应急演练作为提升应急处置能力的重要抓手，全市共完成应急演练项目3.3万余场，组织完成第三届应急演练竞赛评比，高质量开展市、区综合演练，推动各类基层演练深入开展。</w:t>
      </w:r>
    </w:p>
    <w:p>
      <w:pPr>
        <w:pBdr>
          <w:bottom w:val="single" w:color="FFFFFF" w:sz="4" w:space="31"/>
        </w:pBdr>
        <w:topLinePunct/>
        <w:adjustRightInd w:val="0"/>
        <w:snapToGrid w:val="0"/>
        <w:spacing w:line="360" w:lineRule="auto"/>
        <w:ind w:firstLine="642" w:firstLineChars="200"/>
        <w:rPr>
          <w:rFonts w:hint="eastAsia" w:ascii="仿宋_GB2312" w:hAnsi="仿宋_GB2312" w:eastAsia="仿宋_GB2312" w:cs="仿宋_GB2312"/>
          <w:color w:val="000000"/>
          <w:sz w:val="32"/>
          <w:szCs w:val="32"/>
          <w:highlight w:val="none"/>
        </w:rPr>
      </w:pP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6</w:t>
      </w: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应急队伍建设方面。</w:t>
      </w:r>
      <w:r>
        <w:rPr>
          <w:rFonts w:hint="eastAsia" w:ascii="仿宋_GB2312" w:hAnsi="仿宋_GB2312" w:eastAsia="仿宋_GB2312" w:cs="仿宋_GB2312"/>
          <w:color w:val="000000"/>
          <w:sz w:val="32"/>
          <w:szCs w:val="32"/>
          <w:highlight w:val="none"/>
        </w:rPr>
        <w:t>印发《关于进一步加强应急管理社会动员能力建设的指导意见》，对300名乡镇（街道）主管领导和应急管理机构负责人进行培训，建成市-区-街道（乡镇）三级应急志愿者队伍体系，全市实名注册应急志愿者超50万人、队伍超7000支。加大举报投诉奖励力度，核查属实安全生产举报139件，发放奖励金34万余元。扎实开展“安全生产月”、防灾减灾日、公共安全开学第一课、“应急先锋·北京榜样”、安全科普“五进”等宣传教育活动，开展安全宣传“六个一”活动和企业主要负责人“五带头”活动15万家次，在各类媒体曝光典型案例321个，营造“人人讲安全、个个会应急”的社会氛围。</w:t>
      </w:r>
    </w:p>
    <w:p>
      <w:pPr>
        <w:pBdr>
          <w:bottom w:val="single" w:color="FFFFFF" w:sz="4" w:space="31"/>
        </w:pBdr>
        <w:topLinePunct/>
        <w:adjustRightInd w:val="0"/>
        <w:snapToGrid w:val="0"/>
        <w:spacing w:line="360" w:lineRule="auto"/>
        <w:ind w:firstLine="642" w:firstLineChars="200"/>
        <w:rPr>
          <w:rFonts w:hint="eastAsia" w:ascii="仿宋_GB2312" w:eastAsia="仿宋_GB2312"/>
          <w:color w:val="0D0D0D"/>
          <w:sz w:val="32"/>
          <w:szCs w:val="32"/>
          <w:highlight w:val="none"/>
        </w:rPr>
      </w:pPr>
      <w:r>
        <w:rPr>
          <w:rFonts w:hint="eastAsia" w:ascii="仿宋_GB2312" w:hAnsi="宋体" w:eastAsia="仿宋_GB2312" w:cs="宋体"/>
          <w:b/>
          <w:bCs w:val="0"/>
          <w:color w:val="000000"/>
          <w:kern w:val="0"/>
          <w:sz w:val="32"/>
          <w:szCs w:val="32"/>
          <w:highlight w:val="none"/>
          <w:lang w:eastAsia="zh-CN"/>
        </w:rPr>
        <w:t>（</w:t>
      </w:r>
      <w:r>
        <w:rPr>
          <w:rFonts w:hint="eastAsia" w:ascii="仿宋_GB2312" w:hAnsi="宋体" w:eastAsia="仿宋_GB2312" w:cs="宋体"/>
          <w:b/>
          <w:bCs w:val="0"/>
          <w:color w:val="000000"/>
          <w:kern w:val="0"/>
          <w:sz w:val="32"/>
          <w:szCs w:val="32"/>
          <w:highlight w:val="none"/>
          <w:lang w:val="en-US" w:eastAsia="zh-CN"/>
        </w:rPr>
        <w:t>7</w:t>
      </w:r>
      <w:r>
        <w:rPr>
          <w:rFonts w:hint="eastAsia" w:ascii="仿宋_GB2312" w:hAnsi="宋体" w:eastAsia="仿宋_GB2312" w:cs="宋体"/>
          <w:b/>
          <w:bCs w:val="0"/>
          <w:color w:val="000000"/>
          <w:kern w:val="0"/>
          <w:sz w:val="32"/>
          <w:szCs w:val="32"/>
          <w:highlight w:val="none"/>
          <w:lang w:eastAsia="zh-CN"/>
        </w:rPr>
        <w:t>）安全预防及隐患治理</w:t>
      </w:r>
      <w:r>
        <w:rPr>
          <w:rFonts w:hint="eastAsia" w:ascii="仿宋_GB2312" w:hAnsi="宋体" w:eastAsia="仿宋_GB2312" w:cs="宋体"/>
          <w:b/>
          <w:bCs w:val="0"/>
          <w:color w:val="000000"/>
          <w:kern w:val="0"/>
          <w:sz w:val="32"/>
          <w:szCs w:val="32"/>
          <w:highlight w:val="none"/>
          <w:lang w:val="en-US" w:eastAsia="zh-CN"/>
        </w:rPr>
        <w:t>方面。</w:t>
      </w:r>
      <w:r>
        <w:rPr>
          <w:rFonts w:hint="eastAsia" w:ascii="仿宋_GB2312" w:hAnsi="仿宋_GB2312" w:eastAsia="仿宋_GB2312" w:cs="仿宋_GB2312"/>
          <w:sz w:val="32"/>
          <w:szCs w:val="32"/>
          <w:highlight w:val="none"/>
        </w:rPr>
        <w:t>印发《关于全面加强首都新形势下森林防灭火工作的实施方案》，制定</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"http://172.26.82.100:9094/ajjoa_server/gwgl/gwgl_fwdetailview.html?readonly=true" </w:instrText>
      </w:r>
      <w:r>
        <w:rPr>
          <w:rFonts w:hint="eastAsia" w:ascii="仿宋_GB2312" w:hAnsi="仿宋_GB2312" w:eastAsia="仿宋_GB2312" w:cs="仿宋_GB2312"/>
          <w:sz w:val="32"/>
          <w:szCs w:val="32"/>
          <w:highlight w:val="none"/>
        </w:rPr>
        <w:fldChar w:fldCharType="separate"/>
      </w:r>
      <w:r>
        <w:rPr>
          <w:rFonts w:hint="eastAsia" w:ascii="仿宋_GB2312" w:eastAsia="仿宋_GB2312"/>
          <w:sz w:val="32"/>
          <w:szCs w:val="32"/>
          <w:highlight w:val="none"/>
        </w:rPr>
        <w:t>森林防火五年发展行动计划、进一步加强全市森林防火工作的硬措施等</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制度文件，压实森林火灾防控责任。严格落实“三长负责制”“五包责任制”，开展“四不两直”、重点有林区“交叉式”检查，将森林火灾防控压力直接传导至各区、乡镇、行政村等一线有林单位。</w:t>
      </w:r>
      <w:r>
        <w:rPr>
          <w:rFonts w:hint="eastAsia" w:ascii="仿宋_GB2312" w:hAnsi="仿宋_GB2312" w:eastAsia="仿宋_GB2312" w:cs="仿宋_GB2312"/>
          <w:bCs/>
          <w:sz w:val="32"/>
          <w:szCs w:val="32"/>
          <w:highlight w:val="none"/>
        </w:rPr>
        <w:t>深入开展森林火灾隐患大排查、大治理，严格火源管控，清理林下可燃物30余万亩，打割防火隔离带约150万延米，检查进山入林人员200余万人，收缴火种1.8万个。2</w:t>
      </w:r>
      <w:r>
        <w:rPr>
          <w:rFonts w:ascii="仿宋_GB2312" w:hAnsi="仿宋_GB2312" w:eastAsia="仿宋_GB2312" w:cs="仿宋_GB2312"/>
          <w:bCs/>
          <w:sz w:val="32"/>
          <w:szCs w:val="32"/>
          <w:highlight w:val="none"/>
        </w:rPr>
        <w:t>022</w:t>
      </w:r>
      <w:r>
        <w:rPr>
          <w:rFonts w:hint="eastAsia" w:ascii="仿宋_GB2312" w:hAnsi="仿宋_GB2312" w:eastAsia="仿宋_GB2312" w:cs="仿宋_GB2312"/>
          <w:bCs/>
          <w:sz w:val="32"/>
          <w:szCs w:val="32"/>
          <w:highlight w:val="none"/>
        </w:rPr>
        <w:t>-2023年度森林防火期</w:t>
      </w:r>
      <w:r>
        <w:rPr>
          <w:rFonts w:hint="eastAsia" w:ascii="仿宋_GB2312" w:eastAsia="仿宋_GB2312"/>
          <w:color w:val="0D0D0D"/>
          <w:sz w:val="32"/>
          <w:szCs w:val="32"/>
          <w:highlight w:val="none"/>
        </w:rPr>
        <w:t>发生</w:t>
      </w:r>
      <w:r>
        <w:rPr>
          <w:rFonts w:hint="eastAsia" w:ascii="仿宋_GB2312" w:eastAsia="仿宋_GB2312"/>
          <w:color w:val="0D0D0D"/>
          <w:sz w:val="32"/>
          <w:szCs w:val="32"/>
          <w:highlight w:val="none"/>
          <w:lang w:val="en-US" w:eastAsia="zh-CN"/>
        </w:rPr>
        <w:t>7</w:t>
      </w:r>
      <w:r>
        <w:rPr>
          <w:rFonts w:hint="eastAsia" w:ascii="仿宋_GB2312" w:eastAsia="仿宋_GB2312"/>
          <w:color w:val="0D0D0D"/>
          <w:sz w:val="32"/>
          <w:szCs w:val="32"/>
          <w:highlight w:val="none"/>
        </w:rPr>
        <w:t>起森林火灾、30余起野外火情，未发生较大级以上火灾。</w:t>
      </w:r>
    </w:p>
    <w:p>
      <w:pPr>
        <w:pBdr>
          <w:bottom w:val="single" w:color="FFFFFF" w:sz="4" w:space="31"/>
        </w:pBdr>
        <w:topLinePunct/>
        <w:adjustRightInd w:val="0"/>
        <w:snapToGrid w:val="0"/>
        <w:spacing w:line="360" w:lineRule="auto"/>
        <w:ind w:firstLine="642"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宋体" w:eastAsia="仿宋_GB2312" w:cs="宋体"/>
          <w:b/>
          <w:color w:val="000000"/>
          <w:kern w:val="0"/>
          <w:sz w:val="32"/>
          <w:szCs w:val="32"/>
          <w:highlight w:val="none"/>
          <w:lang w:eastAsia="zh-CN"/>
        </w:rPr>
        <w:t>（</w:t>
      </w:r>
      <w:r>
        <w:rPr>
          <w:rFonts w:hint="eastAsia" w:ascii="仿宋_GB2312" w:hAnsi="宋体" w:eastAsia="仿宋_GB2312" w:cs="宋体"/>
          <w:b/>
          <w:color w:val="000000"/>
          <w:kern w:val="0"/>
          <w:sz w:val="32"/>
          <w:szCs w:val="32"/>
          <w:highlight w:val="none"/>
          <w:lang w:val="en-US" w:eastAsia="zh-CN"/>
        </w:rPr>
        <w:t>8</w:t>
      </w:r>
      <w:r>
        <w:rPr>
          <w:rFonts w:hint="eastAsia" w:ascii="仿宋_GB2312" w:hAnsi="宋体" w:eastAsia="仿宋_GB2312" w:cs="宋体"/>
          <w:b/>
          <w:color w:val="000000"/>
          <w:kern w:val="0"/>
          <w:sz w:val="32"/>
          <w:szCs w:val="32"/>
          <w:highlight w:val="none"/>
          <w:lang w:eastAsia="zh-CN"/>
        </w:rPr>
        <w:t>）安全、应急宣传教育</w:t>
      </w:r>
      <w:r>
        <w:rPr>
          <w:rFonts w:hint="eastAsia" w:ascii="仿宋_GB2312" w:hAnsi="宋体" w:eastAsia="仿宋_GB2312" w:cs="宋体"/>
          <w:b/>
          <w:color w:val="000000"/>
          <w:kern w:val="0"/>
          <w:sz w:val="32"/>
          <w:szCs w:val="32"/>
          <w:highlight w:val="none"/>
          <w:lang w:val="en-US" w:eastAsia="zh-CN"/>
        </w:rPr>
        <w:t>方面。</w:t>
      </w:r>
      <w:r>
        <w:rPr>
          <w:rFonts w:hint="eastAsia" w:ascii="仿宋_GB2312" w:hAnsi="仿宋_GB2312" w:eastAsia="仿宋_GB2312" w:cs="仿宋_GB2312"/>
          <w:sz w:val="32"/>
          <w:szCs w:val="32"/>
          <w:highlight w:val="none"/>
          <w:lang w:val="en-US" w:eastAsia="zh-CN"/>
        </w:rPr>
        <w:t>制定具有应急局特色的“1+6”主题教育整体工作方案，在基层党组织开展“六个一”系列活动，</w:t>
      </w:r>
      <w:r>
        <w:rPr>
          <w:rFonts w:hint="eastAsia" w:ascii="仿宋_GB2312" w:hAnsi="黑体" w:eastAsia="仿宋_GB2312" w:cs="Times New Roman"/>
          <w:sz w:val="32"/>
          <w:szCs w:val="32"/>
          <w:highlight w:val="none"/>
          <w:lang w:eastAsia="zh-CN"/>
        </w:rPr>
        <w:t>教育引导党员干部坚定拥护“两个确立”、坚决做到“两个维护”</w:t>
      </w:r>
      <w:r>
        <w:rPr>
          <w:rFonts w:hint="eastAsia" w:ascii="仿宋_GB2312" w:hAnsi="仿宋_GB2312" w:eastAsia="仿宋_GB2312" w:cs="仿宋_GB2312"/>
          <w:sz w:val="32"/>
          <w:szCs w:val="32"/>
          <w:highlight w:val="none"/>
          <w:lang w:val="en-US" w:eastAsia="zh-CN"/>
        </w:rPr>
        <w:t>。</w:t>
      </w:r>
      <w:r>
        <w:rPr>
          <w:rFonts w:hint="eastAsia" w:ascii="仿宋_GB2312" w:eastAsia="仿宋_GB2312"/>
          <w:sz w:val="32"/>
          <w:szCs w:val="32"/>
          <w:highlight w:val="none"/>
          <w:lang w:eastAsia="zh-CN"/>
        </w:rPr>
        <w:t>加强党建引领，</w:t>
      </w:r>
      <w:r>
        <w:rPr>
          <w:rFonts w:hint="eastAsia" w:ascii="仿宋_GB2312" w:hAnsi="宋体" w:eastAsia="仿宋_GB2312" w:cs="仿宋_GB2312"/>
          <w:snapToGrid w:val="0"/>
          <w:kern w:val="0"/>
          <w:sz w:val="32"/>
          <w:szCs w:val="32"/>
          <w:highlight w:val="none"/>
          <w:lang w:val="en-US" w:eastAsia="zh-CN"/>
        </w:rPr>
        <w:t>将主题教育与安全生产和火灾隐患大排查大整治、防汛救灾等重点工作有机结合，全面落实党中央国务院、市委市政府各项决策部署，</w:t>
      </w:r>
      <w:r>
        <w:rPr>
          <w:rFonts w:hint="eastAsia" w:ascii="仿宋_GB2312" w:hAnsi="仿宋_GB2312" w:eastAsia="仿宋_GB2312" w:cs="仿宋_GB2312"/>
          <w:kern w:val="2"/>
          <w:sz w:val="32"/>
          <w:szCs w:val="32"/>
          <w:highlight w:val="none"/>
          <w:lang w:val="en-US" w:eastAsia="zh-CN" w:bidi="ar-SA"/>
        </w:rPr>
        <w:t>以实际行动</w:t>
      </w:r>
      <w:r>
        <w:rPr>
          <w:rFonts w:hint="eastAsia" w:ascii="仿宋_GB2312" w:hAnsi="宋体" w:eastAsia="仿宋_GB2312" w:cs="仿宋_GB2312"/>
          <w:snapToGrid w:val="0"/>
          <w:kern w:val="0"/>
          <w:sz w:val="32"/>
          <w:szCs w:val="32"/>
          <w:highlight w:val="none"/>
          <w:lang w:eastAsia="zh-CN"/>
        </w:rPr>
        <w:t>践行应急人“两个至上”</w:t>
      </w:r>
      <w:r>
        <w:rPr>
          <w:rFonts w:hint="eastAsia" w:ascii="仿宋_GB2312" w:hAnsi="仿宋_GB2312" w:eastAsia="仿宋_GB2312" w:cs="仿宋_GB2312"/>
          <w:kern w:val="2"/>
          <w:sz w:val="32"/>
          <w:szCs w:val="32"/>
          <w:highlight w:val="none"/>
          <w:lang w:val="en-US" w:eastAsia="zh-CN" w:bidi="ar-SA"/>
        </w:rPr>
        <w:t>的使命担当。以台账管理办法督导“两书”工作按期推进，围绕应急值守、主题教育、森林防火等组织专题“微讲堂”，联系党建工作专家对“一支部一品牌”建设进行指导，有力推进机关党建提质增效。</w:t>
      </w:r>
    </w:p>
    <w:p>
      <w:pPr>
        <w:keepNext w:val="0"/>
        <w:keepLines w:val="0"/>
        <w:pageBreakBefore w:val="0"/>
        <w:widowControl w:val="0"/>
        <w:pBdr>
          <w:bottom w:val="single" w:color="FFFFFF" w:sz="4" w:space="31"/>
        </w:pBdr>
        <w:kinsoku/>
        <w:wordWrap/>
        <w:overflowPunct/>
        <w:topLinePunct/>
        <w:autoSpaceDE/>
        <w:autoSpaceDN/>
        <w:bidi w:val="0"/>
        <w:adjustRightInd w:val="0"/>
        <w:snapToGrid w:val="0"/>
        <w:spacing w:line="360" w:lineRule="auto"/>
        <w:ind w:leftChars="0" w:firstLineChars="200"/>
        <w:textAlignment w:val="auto"/>
        <w:rPr>
          <w:rFonts w:hint="eastAsia" w:ascii="仿宋_GB2312" w:hAnsi="宋体" w:eastAsia="仿宋_GB2312" w:cs="宋体"/>
          <w:b/>
          <w:color w:val="000000"/>
          <w:kern w:val="0"/>
          <w:sz w:val="32"/>
          <w:szCs w:val="32"/>
          <w:highlight w:val="none"/>
          <w:lang w:eastAsia="zh-CN"/>
        </w:rPr>
      </w:pPr>
      <w:r>
        <w:rPr>
          <w:rFonts w:hint="eastAsia" w:ascii="仿宋_GB2312" w:hAnsi="宋体" w:eastAsia="仿宋_GB2312" w:cs="宋体"/>
          <w:b/>
          <w:color w:val="000000"/>
          <w:kern w:val="0"/>
          <w:sz w:val="32"/>
          <w:szCs w:val="32"/>
          <w:highlight w:val="none"/>
          <w:lang w:eastAsia="zh-CN"/>
        </w:rPr>
        <w:t>（</w:t>
      </w:r>
      <w:r>
        <w:rPr>
          <w:rFonts w:hint="eastAsia" w:ascii="仿宋_GB2312" w:hAnsi="宋体" w:eastAsia="仿宋_GB2312" w:cs="宋体"/>
          <w:b/>
          <w:color w:val="000000"/>
          <w:kern w:val="0"/>
          <w:sz w:val="32"/>
          <w:szCs w:val="32"/>
          <w:highlight w:val="none"/>
          <w:lang w:val="en-US" w:eastAsia="zh-CN"/>
        </w:rPr>
        <w:t>9</w:t>
      </w:r>
      <w:r>
        <w:rPr>
          <w:rFonts w:hint="eastAsia" w:ascii="仿宋_GB2312" w:hAnsi="宋体" w:eastAsia="仿宋_GB2312" w:cs="宋体"/>
          <w:b/>
          <w:color w:val="000000"/>
          <w:kern w:val="0"/>
          <w:sz w:val="32"/>
          <w:szCs w:val="32"/>
          <w:highlight w:val="none"/>
          <w:lang w:eastAsia="zh-CN"/>
        </w:rPr>
        <w:t>）</w:t>
      </w:r>
      <w:r>
        <w:rPr>
          <w:rFonts w:hint="eastAsia" w:ascii="仿宋_GB2312" w:hAnsi="宋体" w:eastAsia="仿宋_GB2312" w:cs="宋体"/>
          <w:b/>
          <w:color w:val="000000"/>
          <w:kern w:val="0"/>
          <w:sz w:val="32"/>
          <w:szCs w:val="32"/>
          <w:highlight w:val="none"/>
          <w:lang w:val="en-US" w:eastAsia="zh-CN"/>
        </w:rPr>
        <w:t>森林消防总队建设方面。</w:t>
      </w:r>
      <w:r>
        <w:rPr>
          <w:rFonts w:hint="eastAsia" w:ascii="仿宋_GB2312" w:hAnsi="仿宋_GB2312" w:eastAsia="仿宋_GB2312" w:cs="仿宋_GB2312"/>
          <w:sz w:val="32"/>
          <w:szCs w:val="32"/>
          <w:highlight w:val="none"/>
        </w:rPr>
        <w:t>新认定4支市级专业应急救援队伍，</w:t>
      </w:r>
      <w:r>
        <w:rPr>
          <w:rFonts w:hint="eastAsia" w:ascii="仿宋_GB2312" w:eastAsia="仿宋_GB2312"/>
          <w:sz w:val="32"/>
          <w:szCs w:val="32"/>
          <w:highlight w:val="none"/>
        </w:rPr>
        <w:t>扎实推动森林消防队伍规范化、标准化建设，</w:t>
      </w:r>
      <w:r>
        <w:rPr>
          <w:rFonts w:hint="eastAsia" w:ascii="仿宋_GB2312" w:hAnsi="仿宋_GB2312" w:eastAsia="仿宋_GB2312" w:cs="仿宋_GB2312"/>
          <w:sz w:val="32"/>
          <w:szCs w:val="32"/>
          <w:highlight w:val="none"/>
        </w:rPr>
        <w:t>为5支市级危化救援队伍配备3400余件（套）救援物资，累计投入1</w:t>
      </w:r>
      <w:r>
        <w:rPr>
          <w:rFonts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t>亿元为市区两级森林消防队伍配备救援物资。全力打造森林消防指挥员大培训、</w:t>
      </w:r>
      <w:r>
        <w:rPr>
          <w:rFonts w:hint="eastAsia" w:ascii="仿宋_GB2312" w:hAnsi="仿宋_GB2312" w:eastAsia="仿宋_GB2312" w:cs="仿宋_GB2312"/>
          <w:color w:val="000000"/>
          <w:sz w:val="32"/>
          <w:szCs w:val="32"/>
          <w:highlight w:val="none"/>
        </w:rPr>
        <w:t>“野外化、实战化”大练兵、</w:t>
      </w:r>
      <w:r>
        <w:rPr>
          <w:rFonts w:hint="eastAsia" w:ascii="仿宋_GB2312" w:hAnsi="仿宋_GB2312" w:eastAsia="仿宋_GB2312" w:cs="仿宋_GB2312"/>
          <w:sz w:val="32"/>
          <w:szCs w:val="32"/>
          <w:highlight w:val="none"/>
        </w:rPr>
        <w:t>应急救援队伍技能竞赛</w:t>
      </w:r>
      <w:r>
        <w:rPr>
          <w:rFonts w:hint="eastAsia" w:ascii="仿宋_GB2312" w:hAnsi="仿宋_GB2312" w:eastAsia="仿宋_GB2312" w:cs="仿宋_GB2312"/>
          <w:color w:val="000000"/>
          <w:sz w:val="32"/>
          <w:szCs w:val="32"/>
          <w:highlight w:val="none"/>
        </w:rPr>
        <w:t>、综合应急演练等训练品牌，分层分类组训施训，培训市级专业应急救援队伍人员</w:t>
      </w:r>
      <w:r>
        <w:rPr>
          <w:rFonts w:hint="eastAsia" w:ascii="仿宋_GB2312" w:hAnsi="仿宋_GB2312" w:eastAsia="仿宋_GB2312" w:cs="仿宋_GB2312"/>
          <w:color w:val="000000"/>
          <w:sz w:val="32"/>
          <w:szCs w:val="32"/>
          <w:highlight w:val="none"/>
          <w:lang w:val="en-US" w:eastAsia="zh-CN"/>
        </w:rPr>
        <w:t>3000</w:t>
      </w:r>
      <w:r>
        <w:rPr>
          <w:rFonts w:hint="eastAsia" w:ascii="仿宋_GB2312" w:hAnsi="仿宋_GB2312" w:eastAsia="仿宋_GB2312" w:cs="仿宋_GB2312"/>
          <w:color w:val="000000"/>
          <w:sz w:val="32"/>
          <w:szCs w:val="32"/>
          <w:highlight w:val="none"/>
        </w:rPr>
        <w:t>名</w:t>
      </w:r>
      <w:r>
        <w:rPr>
          <w:rFonts w:hint="eastAsia" w:ascii="仿宋_GB2312" w:hAnsi="仿宋_GB2312" w:eastAsia="仿宋_GB2312" w:cs="仿宋_GB2312"/>
          <w:bCs/>
          <w:color w:val="000000"/>
          <w:sz w:val="32"/>
          <w:szCs w:val="32"/>
          <w:highlight w:val="none"/>
        </w:rPr>
        <w:t>，</w:t>
      </w:r>
      <w:r>
        <w:rPr>
          <w:rFonts w:hint="eastAsia" w:ascii="仿宋_GB2312" w:hAnsi="仿宋_GB2312" w:eastAsia="仿宋_GB2312" w:cs="仿宋_GB2312"/>
          <w:color w:val="000000"/>
          <w:sz w:val="32"/>
          <w:szCs w:val="32"/>
          <w:highlight w:val="none"/>
        </w:rPr>
        <w:t>37支队伍370人参加应急救援队伍技能竞赛，紧贴实战提升专业队伍救援能力。</w:t>
      </w:r>
    </w:p>
    <w:p>
      <w:pPr>
        <w:pBdr>
          <w:bottom w:val="single" w:color="FFFFFF" w:sz="4" w:space="31"/>
        </w:pBdr>
        <w:topLinePunct/>
        <w:adjustRightInd w:val="0"/>
        <w:snapToGrid w:val="0"/>
        <w:spacing w:line="360" w:lineRule="auto"/>
        <w:ind w:firstLine="642" w:firstLineChars="200"/>
        <w:rPr>
          <w:rFonts w:hint="eastAsia" w:ascii="仿宋_GB2312" w:hAnsi="宋体" w:eastAsia="仿宋_GB2312" w:cs="宋体"/>
          <w:b/>
          <w:color w:val="000000"/>
          <w:kern w:val="0"/>
          <w:sz w:val="32"/>
          <w:szCs w:val="32"/>
          <w:highlight w:val="none"/>
          <w:lang w:eastAsia="zh-CN"/>
        </w:rPr>
      </w:pPr>
      <w:r>
        <w:rPr>
          <w:rFonts w:hint="eastAsia" w:ascii="仿宋_GB2312" w:hAnsi="宋体" w:eastAsia="仿宋_GB2312" w:cs="宋体"/>
          <w:b/>
          <w:color w:val="000000"/>
          <w:kern w:val="0"/>
          <w:sz w:val="32"/>
          <w:szCs w:val="32"/>
          <w:highlight w:val="none"/>
          <w:lang w:eastAsia="zh-CN"/>
        </w:rPr>
        <w:t>（</w:t>
      </w:r>
      <w:r>
        <w:rPr>
          <w:rFonts w:hint="eastAsia" w:ascii="仿宋_GB2312" w:hAnsi="宋体" w:eastAsia="仿宋_GB2312" w:cs="宋体"/>
          <w:b/>
          <w:color w:val="000000"/>
          <w:kern w:val="0"/>
          <w:sz w:val="32"/>
          <w:szCs w:val="32"/>
          <w:highlight w:val="none"/>
          <w:lang w:val="en-US" w:eastAsia="zh-CN"/>
        </w:rPr>
        <w:t>10</w:t>
      </w:r>
      <w:r>
        <w:rPr>
          <w:rFonts w:hint="eastAsia" w:ascii="仿宋_GB2312" w:hAnsi="宋体" w:eastAsia="仿宋_GB2312" w:cs="宋体"/>
          <w:b/>
          <w:color w:val="000000"/>
          <w:kern w:val="0"/>
          <w:sz w:val="32"/>
          <w:szCs w:val="32"/>
          <w:highlight w:val="none"/>
          <w:lang w:eastAsia="zh-CN"/>
        </w:rPr>
        <w:t>）应急管理信息化建设</w:t>
      </w:r>
      <w:r>
        <w:rPr>
          <w:rFonts w:hint="eastAsia" w:ascii="仿宋_GB2312" w:hAnsi="宋体" w:eastAsia="仿宋_GB2312" w:cs="宋体"/>
          <w:b/>
          <w:color w:val="000000"/>
          <w:kern w:val="0"/>
          <w:sz w:val="32"/>
          <w:szCs w:val="32"/>
          <w:highlight w:val="none"/>
          <w:lang w:val="en-US" w:eastAsia="zh-CN"/>
        </w:rPr>
        <w:t>方面。</w:t>
      </w:r>
      <w:r>
        <w:rPr>
          <w:rFonts w:hint="eastAsia" w:ascii="仿宋_GB2312" w:hAnsi="仿宋_GB2312" w:eastAsia="仿宋_GB2312" w:cs="仿宋_GB2312"/>
          <w:color w:val="000000"/>
          <w:sz w:val="32"/>
          <w:szCs w:val="32"/>
          <w:highlight w:val="none"/>
          <w:lang w:val="en-US" w:eastAsia="zh-CN"/>
        </w:rPr>
        <w:t>全面加强突发事件信息报送和应对处置，建立“1+3”京办指挥调度群，以及轨道交通领域突发事件“双报告”等多项机制，累计接报各类突出情况1971起，轨道交通突发情况平均响应时间压缩至3分17秒，初步形成“自上而下调度、自下而上响应、现场专业指挥、后方总体支援”的指挥调度模式。完善高温、暴雨、暴雪、寒潮、大风等极端天气全流程应对处置模式，指导市民和有关单位共同做好防范应对工作，有效避免次生灾害事故。对“4·18”“23·7”“12·14”等典型灾害事故进行全面复盘分析，找准存在问题，不断提升安全防范的针对性和有效性。稳步提高应急指挥视频图像调取水平，形成道路交通、繁华街区、公园景区、森林防火、防汛救灾、重点场站、环球影城等10余类应急指挥大屏显示模式，为科学决策提供重要支撑。</w:t>
      </w:r>
    </w:p>
    <w:p>
      <w:pPr>
        <w:pBdr>
          <w:bottom w:val="single" w:color="FFFFFF" w:sz="4" w:space="31"/>
        </w:pBdr>
        <w:topLinePunct/>
        <w:adjustRightInd w:val="0"/>
        <w:snapToGrid w:val="0"/>
        <w:spacing w:line="360" w:lineRule="auto"/>
        <w:ind w:firstLine="642" w:firstLineChars="200"/>
        <w:rPr>
          <w:rFonts w:hint="eastAsia" w:ascii="仿宋_GB2312" w:hAnsi="宋体" w:eastAsia="仿宋_GB2312" w:cs="宋体"/>
          <w:b/>
          <w:color w:val="000000"/>
          <w:kern w:val="0"/>
          <w:sz w:val="32"/>
          <w:szCs w:val="32"/>
          <w:highlight w:val="none"/>
          <w:lang w:eastAsia="zh-CN"/>
        </w:rPr>
      </w:pPr>
      <w:r>
        <w:rPr>
          <w:rFonts w:hint="eastAsia" w:ascii="仿宋_GB2312" w:hAnsi="宋体" w:eastAsia="仿宋_GB2312" w:cs="宋体"/>
          <w:b/>
          <w:color w:val="000000"/>
          <w:kern w:val="0"/>
          <w:sz w:val="32"/>
          <w:szCs w:val="32"/>
          <w:highlight w:val="none"/>
          <w:lang w:eastAsia="zh-CN"/>
        </w:rPr>
        <w:t>（</w:t>
      </w:r>
      <w:r>
        <w:rPr>
          <w:rFonts w:hint="eastAsia" w:ascii="仿宋_GB2312" w:hAnsi="宋体" w:eastAsia="仿宋_GB2312" w:cs="宋体"/>
          <w:b/>
          <w:color w:val="000000"/>
          <w:kern w:val="0"/>
          <w:sz w:val="32"/>
          <w:szCs w:val="32"/>
          <w:highlight w:val="none"/>
          <w:lang w:val="en-US" w:eastAsia="zh-CN"/>
        </w:rPr>
        <w:t>11</w:t>
      </w:r>
      <w:r>
        <w:rPr>
          <w:rFonts w:hint="eastAsia" w:ascii="仿宋_GB2312" w:hAnsi="宋体" w:eastAsia="仿宋_GB2312" w:cs="宋体"/>
          <w:b/>
          <w:color w:val="000000"/>
          <w:kern w:val="0"/>
          <w:sz w:val="32"/>
          <w:szCs w:val="32"/>
          <w:highlight w:val="none"/>
          <w:lang w:eastAsia="zh-CN"/>
        </w:rPr>
        <w:t>）</w:t>
      </w:r>
      <w:r>
        <w:rPr>
          <w:rFonts w:hint="eastAsia" w:ascii="仿宋_GB2312" w:hAnsi="宋体" w:eastAsia="仿宋_GB2312" w:cs="宋体"/>
          <w:b/>
          <w:color w:val="000000"/>
          <w:kern w:val="0"/>
          <w:sz w:val="32"/>
          <w:szCs w:val="32"/>
          <w:highlight w:val="none"/>
          <w:lang w:val="en-US" w:eastAsia="zh-CN"/>
        </w:rPr>
        <w:t>监测预警信息方面。</w:t>
      </w:r>
      <w:r>
        <w:rPr>
          <w:rFonts w:hint="eastAsia" w:ascii="仿宋_GB2312" w:hAnsi="仿宋_GB2312" w:eastAsia="仿宋_GB2312" w:cs="仿宋_GB2312"/>
          <w:color w:val="000000"/>
          <w:sz w:val="32"/>
          <w:szCs w:val="32"/>
          <w:highlight w:val="none"/>
          <w:lang w:val="en-US" w:eastAsia="zh-CN"/>
        </w:rPr>
        <w:t>建立灾害监测预警信息共享机制，会同气象部门科学修订本市高温天气预警标准，完成海淀、丰台等10个区预警信息平台对接，实现预警信息互联互通。在全国率先发布应急避难场所分级及分类、场址及配套设施、评估指南等3项地方标准，编制《北京市应急避难场所规划（2022年—2035年）》，对16个区应急避难场所现状进行调查评估，摸清地震类和其他类应急避难场所规划建设现状。创建全国综合减灾示范社区575家，市级示范社区1777家，达到全市社区（村）的32.6%，累计惠及近千万人口。加强智慧应急顶层设计，推进跨部门、跨区域、跨层级的数据互通和融合共享，优化完善值班值守、监测预警、会商决策、指挥调度等各类功能，全力构建“应急一张图”，推动实现更全面的预警监测、更智能的辅助决策、更高效的应急处置，打造应急管理“智慧大脑”。强化自然灾害和安全生产风险监测，建设重点非煤矿山和涉爆粉尘企业监测预警系统，持续强化危险化学品重大危险源风险监测，实现对相关企业安全风险的智能识别和自动预警。围绕森林灭火、防汛、危险化学品、极端天气等重点应用场景，开发大屏端、移动端等多端联动的应急指挥辅助决策系统，为应急指挥提供可靠的可视化、智能化支撑。</w:t>
      </w:r>
    </w:p>
    <w:p>
      <w:pPr>
        <w:pBdr>
          <w:bottom w:val="single" w:color="FFFFFF" w:sz="4" w:space="31"/>
        </w:pBdr>
        <w:topLinePunct/>
        <w:adjustRightInd w:val="0"/>
        <w:snapToGrid w:val="0"/>
        <w:spacing w:line="360" w:lineRule="auto"/>
        <w:ind w:firstLine="642" w:firstLineChars="200"/>
        <w:rPr>
          <w:rFonts w:hint="eastAsia" w:ascii="仿宋_GB2312" w:hAnsi="宋体" w:eastAsia="仿宋_GB2312" w:cs="宋体"/>
          <w:b w:val="0"/>
          <w:bCs/>
          <w:color w:val="000000"/>
          <w:kern w:val="0"/>
          <w:sz w:val="32"/>
          <w:szCs w:val="32"/>
          <w:highlight w:val="none"/>
          <w:lang w:eastAsia="zh-CN"/>
        </w:rPr>
      </w:pPr>
      <w:r>
        <w:rPr>
          <w:rFonts w:hint="eastAsia" w:ascii="仿宋_GB2312" w:hAnsi="宋体" w:eastAsia="仿宋_GB2312" w:cs="宋体"/>
          <w:b/>
          <w:color w:val="000000"/>
          <w:kern w:val="0"/>
          <w:sz w:val="32"/>
          <w:szCs w:val="32"/>
          <w:highlight w:val="none"/>
          <w:lang w:eastAsia="zh-CN"/>
        </w:rPr>
        <w:t>（</w:t>
      </w:r>
      <w:r>
        <w:rPr>
          <w:rFonts w:hint="eastAsia" w:ascii="仿宋_GB2312" w:hAnsi="宋体" w:eastAsia="仿宋_GB2312" w:cs="宋体"/>
          <w:b/>
          <w:color w:val="000000"/>
          <w:kern w:val="0"/>
          <w:sz w:val="32"/>
          <w:szCs w:val="32"/>
          <w:highlight w:val="none"/>
          <w:lang w:val="en-US" w:eastAsia="zh-CN"/>
        </w:rPr>
        <w:t>12</w:t>
      </w:r>
      <w:r>
        <w:rPr>
          <w:rFonts w:hint="eastAsia" w:ascii="仿宋_GB2312" w:hAnsi="宋体" w:eastAsia="仿宋_GB2312" w:cs="宋体"/>
          <w:b/>
          <w:color w:val="000000"/>
          <w:kern w:val="0"/>
          <w:sz w:val="32"/>
          <w:szCs w:val="32"/>
          <w:highlight w:val="none"/>
          <w:lang w:eastAsia="zh-CN"/>
        </w:rPr>
        <w:t>）应急管理与安全生产技术研究</w:t>
      </w:r>
      <w:r>
        <w:rPr>
          <w:rFonts w:hint="eastAsia" w:ascii="仿宋_GB2312" w:hAnsi="宋体" w:eastAsia="仿宋_GB2312" w:cs="宋体"/>
          <w:b/>
          <w:color w:val="000000"/>
          <w:kern w:val="0"/>
          <w:sz w:val="32"/>
          <w:szCs w:val="32"/>
          <w:highlight w:val="none"/>
          <w:lang w:val="en-US" w:eastAsia="zh-CN"/>
        </w:rPr>
        <w:t>方面。</w:t>
      </w:r>
      <w:r>
        <w:rPr>
          <w:rFonts w:hint="eastAsia" w:ascii="仿宋_GB2312" w:hAnsi="宋体" w:eastAsia="仿宋_GB2312" w:cs="宋体"/>
          <w:b w:val="0"/>
          <w:bCs/>
          <w:color w:val="000000"/>
          <w:kern w:val="0"/>
          <w:sz w:val="32"/>
          <w:szCs w:val="32"/>
          <w:highlight w:val="none"/>
          <w:lang w:eastAsia="zh-CN"/>
        </w:rPr>
        <w:t>跟进国家总体应急预案和国家预案管理办法修订进展，启动本市新一版总体应急预案修订调研，修订《北京市突发事件应急预案管理办法》，编制市应急委应对重特大突发事件指挥处置工作方案，统筹开展新一轮预案体系质量提升三年行动计划，持续提升各级预案的科学性、实用性、规范性。持续开展应急预案体系建设评估，制定具有典型特点的街道（乡镇）、社区（村）预案编制模板，为基层编制预案提供指引。聚焦首都突出灾害事故风险，开展巨灾情景构建，逐步建立巨灾应急预案体系。修订应急演练管理办法及实施指南，深化年度应急演练竞赛，推进应急演练规范化、常态化。完善首都地区应急协调联动机制，将国家相关部门、驻京部队、中央在京单位，以及周边省（区、市）等纳入首都应急工作体系，制定出台《关于进一步加强军地联合指挥救援的工作意见》，健全党委领导、政府负责、部门协同的应急指挥体系。制定出台《北京市应急指挥中心联合值守和协同响应运行工作方案》《北京市应急指挥工作管理规范》，建立健全局内外应急指挥工作流程和标准，全面构建与“大安全、大应急”框架更加匹配的指挥调度体系。升级改造市应急指挥中心功能布局，实现“日常、加强、应急”等状态下，与各相关部门之间的无缝联动。</w:t>
      </w:r>
    </w:p>
    <w:p>
      <w:p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整体上，市应急局202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年度各项目工作产出数量完成情况较好。但</w:t>
      </w:r>
      <w:r>
        <w:rPr>
          <w:rFonts w:hint="eastAsia" w:ascii="仿宋_GB2312" w:hAnsi="仿宋_GB2312" w:eastAsia="仿宋_GB2312" w:cs="仿宋_GB2312"/>
          <w:sz w:val="32"/>
          <w:szCs w:val="32"/>
          <w:highlight w:val="none"/>
          <w:lang w:val="en-US" w:eastAsia="zh-CN"/>
        </w:rPr>
        <w:t>部分</w:t>
      </w:r>
      <w:r>
        <w:rPr>
          <w:rFonts w:hint="eastAsia" w:ascii="仿宋_GB2312" w:hAnsi="仿宋_GB2312" w:eastAsia="仿宋_GB2312" w:cs="仿宋_GB2312"/>
          <w:sz w:val="32"/>
          <w:szCs w:val="32"/>
          <w:highlight w:val="none"/>
        </w:rPr>
        <w:t>追加经费项目批复时间较晚、工作计划调整等客观或主观因素影响，个别项目内容未能按</w:t>
      </w:r>
      <w:r>
        <w:rPr>
          <w:rFonts w:hint="eastAsia" w:ascii="仿宋_GB2312" w:hAnsi="仿宋_GB2312" w:eastAsia="仿宋_GB2312" w:cs="仿宋_GB2312"/>
          <w:sz w:val="32"/>
          <w:szCs w:val="32"/>
          <w:highlight w:val="none"/>
          <w:lang w:val="en-US" w:eastAsia="zh-CN"/>
        </w:rPr>
        <w:t>年初</w:t>
      </w:r>
      <w:r>
        <w:rPr>
          <w:rFonts w:hint="eastAsia" w:ascii="仿宋_GB2312" w:hAnsi="仿宋_GB2312" w:eastAsia="仿宋_GB2312" w:cs="仿宋_GB2312"/>
          <w:sz w:val="32"/>
          <w:szCs w:val="32"/>
          <w:highlight w:val="none"/>
        </w:rPr>
        <w:t>计划全部完成。</w:t>
      </w:r>
    </w:p>
    <w:p>
      <w:pPr>
        <w:numPr>
          <w:ilvl w:val="0"/>
          <w:numId w:val="0"/>
        </w:numPr>
        <w:pBdr>
          <w:bottom w:val="single" w:color="FFFFFF" w:sz="4" w:space="31"/>
        </w:pBdr>
        <w:topLinePunct/>
        <w:adjustRightInd w:val="0"/>
        <w:snapToGrid w:val="0"/>
        <w:spacing w:line="360" w:lineRule="auto"/>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产出</w:t>
      </w:r>
      <w:r>
        <w:rPr>
          <w:rFonts w:ascii="仿宋_GB2312" w:hAnsi="宋体" w:eastAsia="仿宋_GB2312" w:cs="宋体"/>
          <w:color w:val="000000"/>
          <w:kern w:val="0"/>
          <w:sz w:val="32"/>
          <w:szCs w:val="32"/>
          <w:highlight w:val="none"/>
        </w:rPr>
        <w:t>质量</w:t>
      </w:r>
      <w:r>
        <w:rPr>
          <w:rFonts w:ascii="仿宋_GB2312" w:hAnsi="宋体" w:eastAsia="仿宋_GB2312" w:cs="宋体"/>
          <w:color w:val="000000"/>
          <w:kern w:val="0"/>
          <w:sz w:val="32"/>
          <w:szCs w:val="32"/>
          <w:highlight w:val="none"/>
        </w:rPr>
        <w:tab/>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强化单位内部控制和项目管理，确保各项工作完成质量达标，市应急管理局制定了《北京市应急管理局项目验收管理办法》《北京市应急管理局项目验收管理实施细则》等制度，从实施内容，实施方法、路径，实施进度，经费使用，项目管理，产出效果，成果应用等方面明确了项目验收要求，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年市应急局</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大额资金重点项目已通过《实施细则》明确大额验收要求，其余完成项目则按照《实施细则》开展一般项目验收。202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年度，市应急局已完成工作的整体产出质量较好。</w:t>
      </w:r>
    </w:p>
    <w:p>
      <w:pPr>
        <w:numPr>
          <w:ilvl w:val="0"/>
          <w:numId w:val="0"/>
        </w:numPr>
        <w:pBdr>
          <w:bottom w:val="single" w:color="FFFFFF" w:sz="4" w:space="31"/>
        </w:pBdr>
        <w:topLinePunct/>
        <w:adjustRightInd w:val="0"/>
        <w:snapToGrid w:val="0"/>
        <w:spacing w:line="360" w:lineRule="auto"/>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产出</w:t>
      </w:r>
      <w:r>
        <w:rPr>
          <w:rFonts w:ascii="仿宋_GB2312" w:hAnsi="宋体" w:eastAsia="仿宋_GB2312" w:cs="宋体"/>
          <w:color w:val="000000"/>
          <w:kern w:val="0"/>
          <w:sz w:val="32"/>
          <w:szCs w:val="32"/>
          <w:highlight w:val="none"/>
        </w:rPr>
        <w:t>进度</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截至</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w:t>
      </w:r>
      <w:r>
        <w:rPr>
          <w:rFonts w:ascii="仿宋_GB2312" w:hAnsi="仿宋_GB2312" w:eastAsia="仿宋_GB2312" w:cs="仿宋_GB2312"/>
          <w:sz w:val="32"/>
          <w:szCs w:val="32"/>
          <w:highlight w:val="none"/>
        </w:rPr>
        <w:t>12月31日，市</w:t>
      </w:r>
      <w:r>
        <w:rPr>
          <w:rFonts w:hint="eastAsia" w:ascii="仿宋_GB2312" w:hAnsi="仿宋_GB2312" w:eastAsia="仿宋_GB2312" w:cs="仿宋_GB2312"/>
          <w:sz w:val="32"/>
          <w:szCs w:val="32"/>
          <w:highlight w:val="none"/>
        </w:rPr>
        <w:t>应急局涉及的应急管理体系建设、值班值守工作、应急救援队伍建设、应急管理法治建设、应急管理宣传教育、安全生产等各类项目绝大部分内容按预期完成。但由于个别项目</w:t>
      </w:r>
      <w:r>
        <w:rPr>
          <w:rFonts w:hint="eastAsia" w:ascii="仿宋_GB2312" w:hAnsi="仿宋_GB2312" w:eastAsia="仿宋_GB2312" w:cs="仿宋_GB2312"/>
          <w:sz w:val="32"/>
          <w:szCs w:val="32"/>
          <w:highlight w:val="none"/>
          <w:lang w:val="en-US" w:eastAsia="zh-CN"/>
        </w:rPr>
        <w:t>受</w:t>
      </w:r>
      <w:r>
        <w:rPr>
          <w:rFonts w:hint="eastAsia" w:ascii="仿宋_GB2312" w:hAnsi="仿宋_GB2312" w:eastAsia="仿宋_GB2312" w:cs="仿宋_GB2312"/>
          <w:sz w:val="32"/>
          <w:szCs w:val="32"/>
          <w:highlight w:val="none"/>
        </w:rPr>
        <w:t>追加经费批复时间较晚、工作计划调整等因素影响未能按</w:t>
      </w:r>
      <w:r>
        <w:rPr>
          <w:rFonts w:hint="eastAsia" w:ascii="仿宋_GB2312" w:hAnsi="仿宋_GB2312" w:eastAsia="仿宋_GB2312" w:cs="仿宋_GB2312"/>
          <w:sz w:val="32"/>
          <w:szCs w:val="32"/>
          <w:highlight w:val="none"/>
          <w:lang w:val="en-US" w:eastAsia="zh-CN"/>
        </w:rPr>
        <w:t>年初</w:t>
      </w:r>
      <w:r>
        <w:rPr>
          <w:rFonts w:hint="eastAsia" w:ascii="仿宋_GB2312" w:hAnsi="仿宋_GB2312" w:eastAsia="仿宋_GB2312" w:cs="仿宋_GB2312"/>
          <w:sz w:val="32"/>
          <w:szCs w:val="32"/>
          <w:highlight w:val="none"/>
        </w:rPr>
        <w:t>计划完成，一定程度上影响了部门工作整体产出进度。</w:t>
      </w:r>
    </w:p>
    <w:p>
      <w:pPr>
        <w:numPr>
          <w:ilvl w:val="0"/>
          <w:numId w:val="0"/>
        </w:numPr>
        <w:pBdr>
          <w:bottom w:val="single" w:color="FFFFFF" w:sz="4" w:space="31"/>
        </w:pBdr>
        <w:topLinePunct/>
        <w:adjustRightInd w:val="0"/>
        <w:snapToGrid w:val="0"/>
        <w:spacing w:line="360" w:lineRule="auto"/>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4.</w:t>
      </w:r>
      <w:r>
        <w:rPr>
          <w:rFonts w:hint="eastAsia" w:ascii="仿宋_GB2312" w:hAnsi="宋体" w:eastAsia="仿宋_GB2312" w:cs="宋体"/>
          <w:color w:val="000000"/>
          <w:kern w:val="0"/>
          <w:sz w:val="32"/>
          <w:szCs w:val="32"/>
          <w:highlight w:val="none"/>
        </w:rPr>
        <w:t>产出</w:t>
      </w:r>
      <w:r>
        <w:rPr>
          <w:rFonts w:ascii="仿宋_GB2312" w:hAnsi="宋体" w:eastAsia="仿宋_GB2312" w:cs="宋体"/>
          <w:color w:val="000000"/>
          <w:kern w:val="0"/>
          <w:sz w:val="32"/>
          <w:szCs w:val="32"/>
          <w:highlight w:val="none"/>
        </w:rPr>
        <w:t>成本</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ascii="仿宋_GB2312" w:hAnsi="仿宋_GB2312" w:eastAsia="仿宋_GB2312" w:cs="仿宋_GB2312"/>
          <w:sz w:val="32"/>
          <w:szCs w:val="32"/>
          <w:highlight w:val="none"/>
        </w:rPr>
        <w:t>年度，市</w:t>
      </w:r>
      <w:r>
        <w:rPr>
          <w:rFonts w:hint="eastAsia" w:ascii="仿宋_GB2312" w:hAnsi="仿宋_GB2312" w:eastAsia="仿宋_GB2312" w:cs="仿宋_GB2312"/>
          <w:sz w:val="32"/>
          <w:szCs w:val="32"/>
          <w:highlight w:val="none"/>
        </w:rPr>
        <w:t>应急局在具体工作中严格执行中华人民共和国政府采购法》、《中华人民共和国政府采购法实施条例》、北京市政府采购管理办法、以及单位内部《项目采购竞争比选暂行办法》等文件规定，严格履行政府采购程序，同时工作过程中厉行节约原则，杜绝资金浪费，降低成本支出。整体上，市应急局各项工作成本控制在预算范围之内，成本控制情况较好。</w:t>
      </w:r>
    </w:p>
    <w:p>
      <w:pPr>
        <w:numPr>
          <w:ilvl w:val="0"/>
          <w:numId w:val="1"/>
        </w:numPr>
        <w:pBdr>
          <w:bottom w:val="single" w:color="FFFFFF" w:sz="4" w:space="31"/>
        </w:pBdr>
        <w:topLinePunct/>
        <w:adjustRightInd w:val="0"/>
        <w:snapToGrid w:val="0"/>
        <w:spacing w:line="360" w:lineRule="auto"/>
        <w:ind w:firstLine="640" w:firstLineChars="200"/>
        <w:rPr>
          <w:rFonts w:ascii="楷体_GB2312" w:eastAsia="楷体_GB2312"/>
          <w:sz w:val="32"/>
          <w:szCs w:val="32"/>
          <w:highlight w:val="none"/>
        </w:rPr>
      </w:pPr>
      <w:r>
        <w:rPr>
          <w:rFonts w:hint="eastAsia" w:ascii="楷体_GB2312" w:eastAsia="楷体_GB2312"/>
          <w:sz w:val="32"/>
          <w:szCs w:val="32"/>
          <w:highlight w:val="none"/>
        </w:rPr>
        <w:t>效果</w:t>
      </w:r>
      <w:r>
        <w:rPr>
          <w:rFonts w:ascii="楷体_GB2312" w:eastAsia="楷体_GB2312"/>
          <w:sz w:val="32"/>
          <w:szCs w:val="32"/>
          <w:highlight w:val="none"/>
        </w:rPr>
        <w:t>实现情况分析</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rPr>
        <w:t>实施效益</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年，市应急局通过开展应急管理体系建设、值班值守工作、应急救援队伍建设、应急管理法治建设、应急管理宣传教育、安全生产等方面的工作，取得了较显著的效益。主要体现在：</w:t>
      </w:r>
    </w:p>
    <w:p>
      <w:pPr>
        <w:numPr>
          <w:ilvl w:val="0"/>
          <w:numId w:val="2"/>
        </w:numPr>
        <w:pBdr>
          <w:bottom w:val="single" w:color="FFFFFF" w:sz="4" w:space="31"/>
        </w:pBdr>
        <w:topLinePunct/>
        <w:adjustRightInd w:val="0"/>
        <w:snapToGrid w:val="0"/>
        <w:spacing w:line="360" w:lineRule="auto"/>
        <w:ind w:firstLine="642"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微软雅黑" w:eastAsia="仿宋_GB2312" w:cs="仿宋_GB2312"/>
          <w:b/>
          <w:bCs/>
          <w:i w:val="0"/>
          <w:iCs w:val="0"/>
          <w:caps w:val="0"/>
          <w:color w:val="auto"/>
          <w:spacing w:val="0"/>
          <w:sz w:val="32"/>
          <w:szCs w:val="32"/>
          <w:shd w:val="clear" w:fill="FFFFFF"/>
          <w:lang w:val="en-US" w:eastAsia="zh-CN"/>
        </w:rPr>
        <w:t>抢险救援活动及时开展。</w:t>
      </w:r>
      <w:r>
        <w:rPr>
          <w:rFonts w:hint="eastAsia" w:ascii="仿宋_GB2312" w:hAnsi="仿宋_GB2312" w:eastAsia="仿宋_GB2312" w:cs="仿宋_GB2312"/>
          <w:kern w:val="2"/>
          <w:sz w:val="32"/>
          <w:szCs w:val="32"/>
          <w:highlight w:val="none"/>
          <w:lang w:val="en-US" w:eastAsia="zh-CN" w:bidi="ar-SA"/>
        </w:rPr>
        <w:t>及时启动军地协同联动机制，商请解放军和武警部队出动1.4万余人参与抢险救灾，协调中部战区建立空域申请绿色通道，调配直升机54架次、无人机154架次，执行搜救侦察、转运伤员、空投物资、应急通信等任务。加强全过程协调调度，丰沙线门头沟段三列被困列车全部2831名旅客和乘务人员安全脱险。</w:t>
      </w:r>
    </w:p>
    <w:p>
      <w:pPr>
        <w:numPr>
          <w:ilvl w:val="0"/>
          <w:numId w:val="2"/>
        </w:numPr>
        <w:pBdr>
          <w:bottom w:val="single" w:color="FFFFFF" w:sz="4" w:space="31"/>
        </w:pBdr>
        <w:topLinePunct/>
        <w:adjustRightInd w:val="0"/>
        <w:snapToGrid w:val="0"/>
        <w:spacing w:line="360" w:lineRule="auto"/>
        <w:ind w:firstLine="642" w:firstLineChars="200"/>
        <w:rPr>
          <w:rFonts w:hint="default" w:ascii="仿宋_GB2312" w:hAnsi="仿宋_GB2312" w:eastAsia="仿宋_GB2312" w:cs="仿宋_GB2312"/>
          <w:kern w:val="2"/>
          <w:sz w:val="32"/>
          <w:szCs w:val="32"/>
          <w:highlight w:val="none"/>
          <w:lang w:val="en-US" w:eastAsia="zh-CN" w:bidi="ar-SA"/>
        </w:rPr>
      </w:pPr>
      <w:r>
        <w:rPr>
          <w:rFonts w:hint="default" w:ascii="仿宋_GB2312" w:hAnsi="微软雅黑" w:eastAsia="仿宋_GB2312" w:cs="仿宋_GB2312"/>
          <w:b/>
          <w:bCs/>
          <w:i w:val="0"/>
          <w:iCs w:val="0"/>
          <w:caps w:val="0"/>
          <w:color w:val="auto"/>
          <w:spacing w:val="0"/>
          <w:sz w:val="32"/>
          <w:szCs w:val="32"/>
          <w:shd w:val="clear" w:fill="FFFFFF"/>
          <w:lang w:val="en-US" w:eastAsia="zh-CN"/>
        </w:rPr>
        <w:t>扎实做好灾后救助和恢复重建工作。</w:t>
      </w:r>
      <w:r>
        <w:rPr>
          <w:rFonts w:hint="default" w:ascii="仿宋_GB2312" w:hAnsi="仿宋_GB2312" w:eastAsia="仿宋_GB2312" w:cs="仿宋_GB2312"/>
          <w:kern w:val="2"/>
          <w:sz w:val="32"/>
          <w:szCs w:val="32"/>
          <w:highlight w:val="none"/>
          <w:lang w:val="en-US" w:eastAsia="zh-CN" w:bidi="ar-SA"/>
        </w:rPr>
        <w:t>加强灾后调度，强化军地、央地协同，每日调度、汇总上报“五通一保”最新进展。启动市应急救助二级响应，加快落实救助政策，统筹做好应急救助资金发放，用心用情安置受灾群众生活。严格按照国家灾情统计制度相关要求，及时统计灾情损失。编制灾后恢复重建应急能力提升专项规划，积极申请灾后恢复重建和应急能力提升国债资金，扎实推动重点任务和重点项目落地落实，聚力提升防灾减灾救灾能力。</w:t>
      </w:r>
    </w:p>
    <w:p>
      <w:pPr>
        <w:numPr>
          <w:ilvl w:val="0"/>
          <w:numId w:val="2"/>
        </w:numPr>
        <w:pBdr>
          <w:bottom w:val="single" w:color="FFFFFF" w:sz="4" w:space="31"/>
        </w:pBdr>
        <w:topLinePunct/>
        <w:adjustRightInd w:val="0"/>
        <w:snapToGrid w:val="0"/>
        <w:spacing w:line="360" w:lineRule="auto"/>
        <w:ind w:firstLine="642" w:firstLineChars="200"/>
        <w:rPr>
          <w:rFonts w:hint="default" w:ascii="仿宋_GB2312" w:hAnsi="仿宋_GB2312" w:eastAsia="仿宋_GB2312" w:cs="仿宋_GB2312"/>
          <w:kern w:val="2"/>
          <w:sz w:val="32"/>
          <w:szCs w:val="32"/>
          <w:highlight w:val="none"/>
          <w:lang w:val="en-US" w:eastAsia="zh-CN" w:bidi="ar-SA"/>
        </w:rPr>
      </w:pPr>
      <w:r>
        <w:rPr>
          <w:rFonts w:hint="default" w:ascii="仿宋_GB2312" w:hAnsi="微软雅黑" w:eastAsia="仿宋_GB2312" w:cs="仿宋_GB2312"/>
          <w:b/>
          <w:bCs/>
          <w:color w:val="auto"/>
          <w:kern w:val="0"/>
          <w:sz w:val="32"/>
          <w:szCs w:val="32"/>
          <w:highlight w:val="none"/>
          <w:shd w:val="clear" w:fill="FFFFFF"/>
          <w:lang w:val="en-US" w:eastAsia="zh-CN" w:bidi="ar-SA"/>
        </w:rPr>
        <w:t>创新监管方式提升质效</w:t>
      </w:r>
      <w:r>
        <w:rPr>
          <w:rFonts w:hint="default" w:ascii="仿宋_GB2312" w:hAnsi="仿宋_GB2312" w:eastAsia="仿宋_GB2312" w:cs="仿宋_GB2312"/>
          <w:kern w:val="2"/>
          <w:sz w:val="32"/>
          <w:szCs w:val="32"/>
          <w:highlight w:val="none"/>
          <w:lang w:val="en-US" w:eastAsia="zh-CN" w:bidi="ar-SA"/>
        </w:rPr>
        <w:t>。编制市政府领导干部安全生产工作职责清单和2023年度重点工作清单，出台《关于进一步加强市级部门对区级对口部门安全生产工作指导的意见》；推动建立分类管理、分级监管模式；采取“驻地式”和常态化督察方式对事故多发地区和行业领域实施“体检式”帮扶指导，组织各区执法检查部门开展交叉互查，加大市区两级专职技术检查员配备，多措并举提升监管实效。</w:t>
      </w:r>
    </w:p>
    <w:p>
      <w:pPr>
        <w:numPr>
          <w:ilvl w:val="0"/>
          <w:numId w:val="2"/>
        </w:numPr>
        <w:pBdr>
          <w:bottom w:val="single" w:color="FFFFFF" w:sz="4" w:space="31"/>
        </w:pBdr>
        <w:topLinePunct/>
        <w:adjustRightInd w:val="0"/>
        <w:snapToGrid w:val="0"/>
        <w:spacing w:line="360" w:lineRule="auto"/>
        <w:ind w:firstLine="642" w:firstLineChars="200"/>
        <w:rPr>
          <w:rFonts w:ascii="仿宋_GB2312" w:hAnsi="宋体" w:eastAsia="仿宋_GB2312" w:cs="宋体"/>
          <w:color w:val="000000"/>
          <w:kern w:val="0"/>
          <w:sz w:val="32"/>
          <w:szCs w:val="32"/>
          <w:highlight w:val="none"/>
        </w:rPr>
      </w:pPr>
      <w:r>
        <w:rPr>
          <w:rFonts w:hint="default" w:ascii="仿宋_GB2312" w:hAnsi="仿宋_GB2312" w:eastAsia="仿宋_GB2312" w:cs="仿宋_GB2312"/>
          <w:b/>
          <w:bCs/>
          <w:kern w:val="2"/>
          <w:sz w:val="32"/>
          <w:szCs w:val="32"/>
          <w:highlight w:val="none"/>
          <w:lang w:val="en-US" w:eastAsia="zh-CN" w:bidi="ar-SA"/>
        </w:rPr>
        <w:t>全力推动全成本预算绩效全覆盖。</w:t>
      </w:r>
      <w:r>
        <w:rPr>
          <w:rFonts w:hint="default" w:ascii="仿宋_GB2312" w:hAnsi="仿宋_GB2312" w:eastAsia="仿宋_GB2312" w:cs="仿宋_GB2312"/>
          <w:kern w:val="2"/>
          <w:sz w:val="32"/>
          <w:szCs w:val="32"/>
          <w:highlight w:val="none"/>
          <w:lang w:val="en-US" w:eastAsia="zh-CN" w:bidi="ar-SA"/>
        </w:rPr>
        <w:t>进一步修订完善相关制度，紧盯市财政最新预算管理和政府采购相关政策，修订《北京市应急管理局采购工作管理办法》，增加重大灾害紧急项目、采购工作人员相关的法律纪律责任等内容。进一步严格预算执行约束，严控会议费、培训费、三公经费等一般性支出。进一步深化预算绩效管理，研究制定应急领域政府购买服务预算管理和绩效管理制度，出台政府购买服务工作实施方案，认真做好全面预算绩效管理，有序推进事前绩效评估、事中运行监控，成本绩效评价、事后绩效评价等工作，评价工作覆盖全局项目，绩效评价覆盖率100%。此外,高标准完成全国“两会”、中国国际服贸会、北京电影节、“一带一路”高峰论坛等重大活动服务保障任务等重大活动保障任务。充分发挥应急部门统筹协调,担当兜底作用,围绕扫雪铲冰、水电气热运行保障、极寒天气安全生产、值班值守等城市运行领域强化调度准备,为12月强降雪、寒潮应对创造了安全的社会环境。</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服务对象满意度</w:t>
      </w:r>
    </w:p>
    <w:p>
      <w:pPr>
        <w:numPr>
          <w:ilvl w:val="0"/>
          <w:numId w:val="0"/>
        </w:numPr>
        <w:pBdr>
          <w:bottom w:val="single" w:color="FFFFFF" w:sz="4" w:space="31"/>
        </w:pBdr>
        <w:topLinePunct/>
        <w:adjustRightInd w:val="0"/>
        <w:snapToGrid w:val="0"/>
        <w:spacing w:line="360" w:lineRule="auto"/>
        <w:rPr>
          <w:rFonts w:hint="eastAsia" w:ascii="仿宋_GB2312" w:hAnsi="仿宋_GB2312" w:eastAsia="仿宋_GB2312" w:cs="仿宋_GB2312"/>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年度，</w:t>
      </w:r>
      <w:r>
        <w:rPr>
          <w:rFonts w:hint="eastAsia" w:ascii="仿宋_GB2312" w:hAnsi="仿宋_GB2312" w:eastAsia="仿宋_GB2312" w:cs="仿宋_GB2312"/>
          <w:sz w:val="32"/>
          <w:szCs w:val="32"/>
          <w:highlight w:val="none"/>
        </w:rPr>
        <w:t>市应急局相关项目成效较显著，相关服务对象的满意度和认可度较高</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整体上，各项目实施的服务对象满意度情况</w:t>
      </w:r>
      <w:r>
        <w:rPr>
          <w:rFonts w:hint="eastAsia" w:ascii="仿宋_GB2312" w:hAnsi="仿宋_GB2312" w:eastAsia="仿宋_GB2312" w:cs="仿宋_GB2312"/>
          <w:sz w:val="32"/>
          <w:szCs w:val="32"/>
          <w:highlight w:val="none"/>
          <w:lang w:val="en-US" w:eastAsia="zh-CN"/>
        </w:rPr>
        <w:t>较好</w:t>
      </w:r>
      <w:r>
        <w:rPr>
          <w:rFonts w:hint="eastAsia" w:ascii="仿宋_GB2312" w:hAnsi="仿宋_GB2312" w:eastAsia="仿宋_GB2312" w:cs="仿宋_GB2312"/>
          <w:sz w:val="32"/>
          <w:szCs w:val="32"/>
          <w:highlight w:val="none"/>
        </w:rPr>
        <w:t>。但评价发现，各项目普遍未开展服务对象满意度调查工作，相关工作的服务对象满意度具体实现情况缺少有效材料及数据支撑，满意度调查工作尚需加强。</w:t>
      </w:r>
    </w:p>
    <w:p>
      <w:pPr>
        <w:numPr>
          <w:ilvl w:val="0"/>
          <w:numId w:val="3"/>
        </w:numPr>
        <w:pBdr>
          <w:bottom w:val="single" w:color="FFFFFF" w:sz="4" w:space="31"/>
        </w:pBdr>
        <w:topLinePunct/>
        <w:adjustRightInd w:val="0"/>
        <w:snapToGrid w:val="0"/>
        <w:spacing w:line="360" w:lineRule="auto"/>
        <w:rPr>
          <w:rFonts w:ascii="黑体" w:hAnsi="黑体" w:eastAsia="黑体" w:cs="宋体"/>
          <w:color w:val="000000"/>
          <w:kern w:val="0"/>
          <w:sz w:val="32"/>
          <w:szCs w:val="32"/>
          <w:highlight w:val="none"/>
        </w:rPr>
      </w:pP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pPr>
        <w:numPr>
          <w:ilvl w:val="0"/>
          <w:numId w:val="4"/>
        </w:numPr>
        <w:pBdr>
          <w:bottom w:val="single" w:color="FFFFFF" w:sz="4" w:space="31"/>
        </w:pBdr>
        <w:topLinePunct/>
        <w:adjustRightInd w:val="0"/>
        <w:snapToGrid w:val="0"/>
        <w:spacing w:line="360" w:lineRule="auto"/>
        <w:ind w:firstLine="320" w:firstLineChars="100"/>
        <w:rPr>
          <w:rFonts w:hint="eastAsia" w:ascii="楷体_GB2312" w:eastAsia="楷体_GB2312"/>
          <w:sz w:val="32"/>
          <w:szCs w:val="32"/>
          <w:highlight w:val="none"/>
        </w:rPr>
      </w:pPr>
      <w:r>
        <w:rPr>
          <w:rFonts w:hint="eastAsia" w:ascii="楷体_GB2312" w:eastAsia="楷体_GB2312"/>
          <w:sz w:val="32"/>
          <w:szCs w:val="32"/>
          <w:highlight w:val="none"/>
        </w:rPr>
        <w:t>财务管理</w:t>
      </w:r>
    </w:p>
    <w:p>
      <w:pPr>
        <w:numPr>
          <w:ilvl w:val="0"/>
          <w:numId w:val="0"/>
        </w:numPr>
        <w:pBdr>
          <w:bottom w:val="single" w:color="FFFFFF" w:sz="4" w:space="31"/>
        </w:pBdr>
        <w:topLinePunct/>
        <w:adjustRightInd w:val="0"/>
        <w:snapToGrid w:val="0"/>
        <w:spacing w:line="360" w:lineRule="auto"/>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rPr>
        <w:t>财务</w:t>
      </w:r>
      <w:r>
        <w:rPr>
          <w:rFonts w:ascii="仿宋_GB2312" w:hAnsi="宋体" w:eastAsia="仿宋_GB2312" w:cs="宋体"/>
          <w:color w:val="000000"/>
          <w:kern w:val="0"/>
          <w:sz w:val="32"/>
          <w:szCs w:val="32"/>
          <w:highlight w:val="none"/>
        </w:rPr>
        <w:t>管理制度健全性</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为规范财务管理活动，加强经费保障和财务管理，市应急局制定了《财务管理制度》《经费支出管理办法》等制度或办法，相关制度中对经费执行程序及审批权、预算调整、资金的使用范围、会计核算等内容做出了明确的规定，财务管理制度较为健全。</w:t>
      </w:r>
    </w:p>
    <w:p>
      <w:pPr>
        <w:numPr>
          <w:ilvl w:val="0"/>
          <w:numId w:val="0"/>
        </w:numPr>
        <w:pBdr>
          <w:bottom w:val="single" w:color="FFFFFF" w:sz="4" w:space="31"/>
        </w:pBdr>
        <w:topLinePunct/>
        <w:adjustRightInd w:val="0"/>
        <w:snapToGrid w:val="0"/>
        <w:spacing w:line="360" w:lineRule="auto"/>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资金使用合规性</w:t>
      </w:r>
      <w:r>
        <w:rPr>
          <w:rFonts w:ascii="仿宋_GB2312" w:hAnsi="宋体" w:eastAsia="仿宋_GB2312" w:cs="宋体"/>
          <w:color w:val="000000"/>
          <w:kern w:val="0"/>
          <w:sz w:val="32"/>
          <w:szCs w:val="32"/>
          <w:highlight w:val="none"/>
        </w:rPr>
        <w:t>和安全性</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各项工作实施期间，市应急局能够遵循上述财务管理制度相关规定，对项目进行了专款专用、独立核算。项目资金拨付具有较为完整的审批程序和手续，资金使用与合同规定用途相符，未发现虚列、超标准开支的情况。项目支出明细与合同支付条款、付款票据相符，资金使用合规性</w:t>
      </w:r>
      <w:r>
        <w:rPr>
          <w:rFonts w:ascii="仿宋_GB2312" w:hAnsi="宋体" w:eastAsia="仿宋_GB2312" w:cs="宋体"/>
          <w:color w:val="000000"/>
          <w:kern w:val="0"/>
          <w:sz w:val="32"/>
          <w:szCs w:val="32"/>
          <w:highlight w:val="none"/>
        </w:rPr>
        <w:t>和安全性</w:t>
      </w:r>
      <w:r>
        <w:rPr>
          <w:rFonts w:hint="eastAsia" w:ascii="仿宋_GB2312" w:hAnsi="宋体" w:eastAsia="仿宋_GB2312" w:cs="宋体"/>
          <w:color w:val="000000"/>
          <w:kern w:val="0"/>
          <w:sz w:val="32"/>
          <w:szCs w:val="32"/>
          <w:highlight w:val="none"/>
        </w:rPr>
        <w:t>较好。</w:t>
      </w:r>
    </w:p>
    <w:p>
      <w:pPr>
        <w:numPr>
          <w:ilvl w:val="0"/>
          <w:numId w:val="0"/>
        </w:numPr>
        <w:pBdr>
          <w:bottom w:val="single" w:color="FFFFFF" w:sz="4" w:space="31"/>
        </w:pBdr>
        <w:topLinePunct/>
        <w:adjustRightInd w:val="0"/>
        <w:snapToGrid w:val="0"/>
        <w:spacing w:line="360" w:lineRule="auto"/>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会计</w:t>
      </w:r>
      <w:r>
        <w:rPr>
          <w:rFonts w:ascii="仿宋_GB2312" w:hAnsi="宋体" w:eastAsia="仿宋_GB2312" w:cs="宋体"/>
          <w:color w:val="000000"/>
          <w:kern w:val="0"/>
          <w:sz w:val="32"/>
          <w:szCs w:val="32"/>
          <w:highlight w:val="none"/>
        </w:rPr>
        <w:t>基础信息完善性</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市应急局会计基础信息较为完善，相关会计凭证、会计账簿、财务报表、重要经济合同及财务管理有关的各种文件由会计专人管理，财务报表编报及时，数据真实可靠、全面完整。</w:t>
      </w:r>
    </w:p>
    <w:p>
      <w:pPr>
        <w:numPr>
          <w:ilvl w:val="0"/>
          <w:numId w:val="4"/>
        </w:numPr>
        <w:pBdr>
          <w:bottom w:val="single" w:color="FFFFFF" w:sz="4" w:space="31"/>
        </w:pBdr>
        <w:topLinePunct/>
        <w:adjustRightInd w:val="0"/>
        <w:snapToGrid w:val="0"/>
        <w:spacing w:line="360" w:lineRule="auto"/>
        <w:ind w:firstLine="320" w:firstLineChars="100"/>
        <w:rPr>
          <w:rFonts w:hint="eastAsia" w:ascii="楷体_GB2312" w:eastAsia="楷体_GB2312"/>
          <w:sz w:val="32"/>
          <w:szCs w:val="32"/>
          <w:highlight w:val="none"/>
        </w:rPr>
      </w:pPr>
      <w:r>
        <w:rPr>
          <w:rFonts w:hint="eastAsia" w:ascii="楷体_GB2312" w:eastAsia="楷体_GB2312"/>
          <w:sz w:val="32"/>
          <w:szCs w:val="32"/>
          <w:highlight w:val="none"/>
        </w:rPr>
        <w:t>资产管理</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市应急局制定了《北京市应急管理局固定资产和无形资产管理办法》等资产管理制度，制度中对固定资产购置管理控制流程、固定资产出入库管理控制流程、固定资产维修管理控制流程、固定资产盘点管理控制流程、固定资产报废管理控制流程等内容也进行了明确规定。在固定资产管理过程中，市应急局资产管理部门按部门建立了固定资产领用登记账，登记各部门占有固定资产情况，每年定期对固定资产进行全面资产清查、盘点，保证账账相符，账实相符。同时，固定资产购置申请文件、审批文件及购入验收单等文件较为完备，固定资产的处置较为规范、完整。</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截至202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年底，市应急局资产总额33629.5</w:t>
      </w:r>
      <w:r>
        <w:rPr>
          <w:rFonts w:hint="eastAsia" w:ascii="仿宋_GB2312" w:hAnsi="宋体" w:eastAsia="仿宋_GB2312" w:cs="宋体"/>
          <w:color w:val="000000"/>
          <w:kern w:val="0"/>
          <w:sz w:val="32"/>
          <w:szCs w:val="32"/>
          <w:highlight w:val="none"/>
          <w:lang w:val="en-US" w:eastAsia="zh-CN"/>
        </w:rPr>
        <w:t>4</w:t>
      </w:r>
      <w:r>
        <w:rPr>
          <w:rFonts w:hint="eastAsia" w:ascii="仿宋_GB2312" w:hAnsi="宋体" w:eastAsia="仿宋_GB2312" w:cs="宋体"/>
          <w:color w:val="000000"/>
          <w:kern w:val="0"/>
          <w:sz w:val="32"/>
          <w:szCs w:val="32"/>
          <w:highlight w:val="none"/>
        </w:rPr>
        <w:t>万元，其中固定资产总额11963.88万元，流动资产 6820.04 万元,长期投资0.00万元；负债总额 922.52 万元，净资产总额 32707.02 万元。</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整体上，市应急局资产保持安全完整，资产配置较合理，资产使用和处置方面不存在未经批准擅自出租、出借资产、不按要求进行报批或资产不公开处置行为。</w:t>
      </w:r>
    </w:p>
    <w:p>
      <w:pPr>
        <w:numPr>
          <w:ilvl w:val="0"/>
          <w:numId w:val="4"/>
        </w:numPr>
        <w:pBdr>
          <w:bottom w:val="single" w:color="FFFFFF" w:sz="4" w:space="31"/>
        </w:pBdr>
        <w:topLinePunct/>
        <w:adjustRightInd w:val="0"/>
        <w:snapToGrid w:val="0"/>
        <w:spacing w:line="360" w:lineRule="auto"/>
        <w:ind w:firstLine="320" w:firstLineChars="100"/>
        <w:rPr>
          <w:rFonts w:ascii="楷体_GB2312" w:eastAsia="楷体_GB2312"/>
          <w:sz w:val="32"/>
          <w:szCs w:val="32"/>
          <w:highlight w:val="none"/>
        </w:rPr>
      </w:pPr>
      <w:r>
        <w:rPr>
          <w:rFonts w:hint="eastAsia" w:ascii="楷体_GB2312" w:eastAsia="楷体_GB2312"/>
          <w:sz w:val="32"/>
          <w:szCs w:val="32"/>
          <w:highlight w:val="none"/>
        </w:rPr>
        <w:t>绩效</w:t>
      </w:r>
      <w:r>
        <w:rPr>
          <w:rFonts w:ascii="楷体_GB2312" w:eastAsia="楷体_GB2312"/>
          <w:sz w:val="32"/>
          <w:szCs w:val="32"/>
          <w:highlight w:val="none"/>
        </w:rPr>
        <w:t>管理</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rPr>
        <w:t>组织机构设置情况</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市应急局</w:t>
      </w:r>
      <w:r>
        <w:rPr>
          <w:rFonts w:hint="eastAsia" w:ascii="仿宋_GB2312" w:hAnsi="仿宋_GB2312" w:eastAsia="仿宋_GB2312" w:cs="仿宋_GB2312"/>
          <w:sz w:val="32"/>
          <w:szCs w:val="32"/>
          <w:highlight w:val="none"/>
        </w:rPr>
        <w:t>建立了较为健全的绩效管理组织机构并明确了相关负责人职责，</w:t>
      </w:r>
      <w:r>
        <w:rPr>
          <w:rFonts w:hint="eastAsia" w:ascii="仿宋_GB2312" w:eastAsia="仿宋_GB2312"/>
          <w:color w:val="000000"/>
          <w:sz w:val="32"/>
          <w:szCs w:val="32"/>
          <w:highlight w:val="none"/>
        </w:rPr>
        <w:t>根据市财政局全过程预算绩效管理工作要求，成立预算绩效管理工作领导小组，负责拟定、审批预算绩效管理工作的相关规定性文件，监督检查预算绩效管理工作，组织指导预算绩效管理工作，定期对预算绩效管理工作进行总结、分析等工作。同时，各部门在预算绩效管理工作中逐步形成了较好的沟通协调机制，在部门预算绩效管理过程中，在市应急局绩效工作主管领导带领下，由财务处牵头</w:t>
      </w:r>
      <w:r>
        <w:rPr>
          <w:rFonts w:hint="eastAsia" w:ascii="仿宋_GB2312" w:hAnsi="仿宋_GB2312" w:eastAsia="仿宋_GB2312" w:cs="仿宋_GB2312"/>
          <w:sz w:val="32"/>
          <w:szCs w:val="32"/>
          <w:highlight w:val="none"/>
        </w:rPr>
        <w:t>组织</w:t>
      </w:r>
      <w:r>
        <w:rPr>
          <w:rFonts w:hint="eastAsia" w:ascii="仿宋_GB2312" w:eastAsia="仿宋_GB2312"/>
          <w:color w:val="000000"/>
          <w:sz w:val="32"/>
          <w:szCs w:val="32"/>
          <w:highlight w:val="none"/>
        </w:rPr>
        <w:t>，</w:t>
      </w:r>
      <w:r>
        <w:rPr>
          <w:rFonts w:hint="eastAsia" w:ascii="仿宋_GB2312" w:hAnsi="仿宋_GB2312" w:eastAsia="仿宋_GB2312" w:cs="仿宋_GB2312"/>
          <w:sz w:val="32"/>
          <w:szCs w:val="32"/>
          <w:highlight w:val="none"/>
        </w:rPr>
        <w:t>各部门按照各自职责完成项目申报、资金使用等工作，在工作中定期对工作任务的完成情况、效益目标的实现情况进行总结，对并本部门项目的预算绩效工作负具体责任。</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绩效信息汇总分析、采取相关措施情况</w:t>
      </w:r>
    </w:p>
    <w:p>
      <w:pPr>
        <w:numPr>
          <w:ilvl w:val="0"/>
          <w:numId w:val="0"/>
        </w:numPr>
        <w:pBdr>
          <w:bottom w:val="single" w:color="FFFFFF" w:sz="4" w:space="31"/>
        </w:pBdr>
        <w:topLinePunct/>
        <w:adjustRightInd w:val="0"/>
        <w:snapToGrid w:val="0"/>
        <w:spacing w:line="360" w:lineRule="auto"/>
        <w:rPr>
          <w:rFonts w:ascii="仿宋_GB2312" w:hAnsi="宋体" w:eastAsia="仿宋_GB2312"/>
          <w:color w:val="FF0000"/>
          <w:kern w:val="0"/>
          <w:sz w:val="32"/>
          <w:szCs w:val="32"/>
          <w:highlight w:val="none"/>
        </w:rPr>
      </w:pPr>
      <w:r>
        <w:rPr>
          <w:rFonts w:hint="eastAsia" w:ascii="仿宋_GB2312" w:eastAsia="仿宋_GB2312"/>
          <w:color w:val="000000"/>
          <w:sz w:val="32"/>
          <w:szCs w:val="32"/>
          <w:highlight w:val="none"/>
        </w:rPr>
        <w:t>为更好地开展全过程预算绩效管理工作，并确保部门绩效目标的实现，及时发现部门预算执行中出现的问题并进行纠偏，市应急局实施全过程绩效监控工作。</w:t>
      </w:r>
      <w:r>
        <w:rPr>
          <w:rFonts w:ascii="仿宋_GB2312" w:hAnsi="宋体" w:eastAsia="仿宋_GB2312"/>
          <w:color w:val="FF0000"/>
          <w:kern w:val="0"/>
          <w:sz w:val="32"/>
          <w:szCs w:val="32"/>
          <w:highlight w:val="none"/>
        </w:rPr>
        <w:t xml:space="preserve"> </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eastAsia="仿宋_GB2312"/>
          <w:sz w:val="32"/>
          <w:szCs w:val="32"/>
          <w:highlight w:val="none"/>
        </w:rPr>
      </w:pPr>
      <w:r>
        <w:rPr>
          <w:rFonts w:hint="eastAsia" w:ascii="仿宋_GB2312" w:eastAsia="仿宋_GB2312"/>
          <w:color w:val="000000"/>
          <w:sz w:val="32"/>
          <w:szCs w:val="32"/>
          <w:highlight w:val="none"/>
        </w:rPr>
        <w:t>项目申报</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严格按照北京市202</w:t>
      </w: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年度预算编制的相关要求开展年度预算编制工作。同时，按照</w:t>
      </w:r>
      <w:r>
        <w:rPr>
          <w:rFonts w:hint="eastAsia" w:ascii="仿宋_GB2312" w:eastAsia="仿宋_GB2312"/>
          <w:sz w:val="32"/>
          <w:szCs w:val="32"/>
          <w:highlight w:val="none"/>
          <w:lang w:val="zh-TW"/>
        </w:rPr>
        <w:t>《中共北京市委 北京市人民政府关于全面实施预算绩效管理的实施意见》（京发〔2019〕12号）、《北京市预算绩效目标管理办法》（京财绩效〔2020〕2137号）、《北京市预算绩效管理办法和事前绩效评估管理办法》（京财绩效〔20</w:t>
      </w:r>
      <w:r>
        <w:rPr>
          <w:rFonts w:ascii="仿宋_GB2312" w:eastAsia="仿宋_GB2312"/>
          <w:sz w:val="32"/>
          <w:szCs w:val="32"/>
          <w:highlight w:val="none"/>
          <w:lang w:val="zh-TW"/>
        </w:rPr>
        <w:t>19</w:t>
      </w:r>
      <w:r>
        <w:rPr>
          <w:rFonts w:hint="eastAsia" w:ascii="仿宋_GB2312" w:eastAsia="仿宋_GB2312"/>
          <w:sz w:val="32"/>
          <w:szCs w:val="32"/>
          <w:highlight w:val="none"/>
          <w:lang w:val="zh-TW"/>
        </w:rPr>
        <w:t>〕2129号）</w:t>
      </w:r>
      <w:r>
        <w:rPr>
          <w:rFonts w:hint="eastAsia" w:ascii="仿宋_GB2312" w:eastAsia="仿宋_GB2312"/>
          <w:color w:val="000000"/>
          <w:sz w:val="32"/>
          <w:szCs w:val="32"/>
          <w:highlight w:val="none"/>
        </w:rPr>
        <w:t>等文件要求，对各部门申报202</w:t>
      </w: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年预算的所有项目从</w:t>
      </w:r>
      <w:r>
        <w:rPr>
          <w:rFonts w:hint="eastAsia" w:ascii="仿宋_GB2312" w:hAnsi="宋体" w:eastAsia="仿宋_GB2312" w:cs="仿宋_GB2312"/>
          <w:kern w:val="0"/>
          <w:sz w:val="32"/>
          <w:szCs w:val="30"/>
          <w:highlight w:val="none"/>
        </w:rPr>
        <w:t>项目立项必要性、投入经济性、绩效目标合理性、实施方案有效性、筹资合规性等方面</w:t>
      </w:r>
      <w:r>
        <w:rPr>
          <w:rFonts w:hint="eastAsia" w:ascii="仿宋_GB2312" w:eastAsia="仿宋_GB2312"/>
          <w:color w:val="000000"/>
          <w:sz w:val="32"/>
          <w:szCs w:val="32"/>
          <w:highlight w:val="none"/>
        </w:rPr>
        <w:t>开展了</w:t>
      </w:r>
      <w:r>
        <w:rPr>
          <w:rFonts w:hint="eastAsia" w:ascii="仿宋_GB2312" w:eastAsia="仿宋_GB2312"/>
          <w:sz w:val="32"/>
          <w:szCs w:val="32"/>
          <w:highlight w:val="none"/>
        </w:rPr>
        <w:t>资金评审、事前绩效评估工作，并形成相关工作报告。</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Arial" w:eastAsia="仿宋_GB2312" w:cs="Arial"/>
          <w:sz w:val="32"/>
          <w:szCs w:val="32"/>
          <w:highlight w:val="none"/>
          <w:shd w:val="clear" w:color="auto" w:fill="FFFFFF"/>
        </w:rPr>
      </w:pPr>
      <w:r>
        <w:rPr>
          <w:rFonts w:hint="eastAsia" w:ascii="仿宋_GB2312" w:eastAsia="仿宋_GB2312"/>
          <w:color w:val="000000"/>
          <w:sz w:val="32"/>
          <w:szCs w:val="32"/>
          <w:highlight w:val="none"/>
        </w:rPr>
        <w:t>项目执行：按照</w:t>
      </w:r>
      <w:r>
        <w:rPr>
          <w:rFonts w:hint="eastAsia" w:ascii="仿宋_GB2312" w:hAnsi="Arial" w:eastAsia="仿宋_GB2312" w:cs="Arial"/>
          <w:sz w:val="32"/>
          <w:szCs w:val="32"/>
          <w:highlight w:val="none"/>
          <w:shd w:val="clear" w:color="auto" w:fill="FFFFFF"/>
        </w:rPr>
        <w:t>《北京市市级部门预算绩效运行监控管理办法》（京财绩效〔2020〕2034号）《北京市</w:t>
      </w:r>
      <w:r>
        <w:rPr>
          <w:rFonts w:hint="eastAsia" w:ascii="仿宋_GB2312" w:hAnsi="Arial" w:eastAsia="仿宋_GB2312" w:cs="Arial"/>
          <w:sz w:val="32"/>
          <w:szCs w:val="32"/>
          <w:highlight w:val="none"/>
          <w:shd w:val="clear" w:color="auto" w:fill="FFFFFF"/>
          <w:lang w:val="en-US" w:eastAsia="zh-CN"/>
        </w:rPr>
        <w:t>项目支出绩效评价管理办法</w:t>
      </w:r>
      <w:r>
        <w:rPr>
          <w:rFonts w:hint="eastAsia" w:ascii="仿宋_GB2312" w:hAnsi="Arial" w:eastAsia="仿宋_GB2312" w:cs="Arial"/>
          <w:sz w:val="32"/>
          <w:szCs w:val="32"/>
          <w:highlight w:val="none"/>
          <w:shd w:val="clear" w:color="auto" w:fill="FFFFFF"/>
        </w:rPr>
        <w:t>》（京财绩效〔202</w:t>
      </w:r>
      <w:r>
        <w:rPr>
          <w:rFonts w:hint="eastAsia" w:ascii="仿宋_GB2312" w:hAnsi="Arial" w:eastAsia="仿宋_GB2312" w:cs="Arial"/>
          <w:sz w:val="32"/>
          <w:szCs w:val="32"/>
          <w:highlight w:val="none"/>
          <w:shd w:val="clear" w:color="auto" w:fill="FFFFFF"/>
          <w:lang w:val="en-US" w:eastAsia="zh-CN"/>
        </w:rPr>
        <w:t>0</w:t>
      </w:r>
      <w:r>
        <w:rPr>
          <w:rFonts w:hint="eastAsia" w:ascii="仿宋_GB2312" w:hAnsi="Arial" w:eastAsia="仿宋_GB2312" w:cs="Arial"/>
          <w:sz w:val="32"/>
          <w:szCs w:val="32"/>
          <w:highlight w:val="none"/>
          <w:shd w:val="clear" w:color="auto" w:fill="FFFFFF"/>
        </w:rPr>
        <w:t>〕</w:t>
      </w:r>
      <w:r>
        <w:rPr>
          <w:rFonts w:hint="eastAsia" w:ascii="仿宋_GB2312" w:hAnsi="Arial" w:eastAsia="仿宋_GB2312" w:cs="Arial"/>
          <w:sz w:val="32"/>
          <w:szCs w:val="32"/>
          <w:highlight w:val="none"/>
          <w:shd w:val="clear" w:color="auto" w:fill="FFFFFF"/>
          <w:lang w:val="en-US" w:eastAsia="zh-CN"/>
        </w:rPr>
        <w:t>2146</w:t>
      </w:r>
      <w:r>
        <w:rPr>
          <w:rFonts w:hint="eastAsia" w:ascii="仿宋_GB2312" w:hAnsi="Arial" w:eastAsia="仿宋_GB2312" w:cs="Arial"/>
          <w:sz w:val="32"/>
          <w:szCs w:val="32"/>
          <w:highlight w:val="none"/>
          <w:shd w:val="clear" w:color="auto" w:fill="FFFFFF"/>
        </w:rPr>
        <w:t>号）等文件要求，</w:t>
      </w:r>
      <w:r>
        <w:rPr>
          <w:rFonts w:hint="eastAsia" w:ascii="仿宋_GB2312" w:eastAsia="仿宋_GB2312"/>
          <w:bCs/>
          <w:sz w:val="32"/>
          <w:szCs w:val="32"/>
          <w:highlight w:val="none"/>
        </w:rPr>
        <w:t>及时组织开展部门预算执行情况和绩效目标实现程度的监督、控制和管理，并形成相应工作成果</w:t>
      </w:r>
      <w:r>
        <w:rPr>
          <w:rFonts w:hint="eastAsia" w:ascii="仿宋_GB2312" w:hAnsi="Arial" w:eastAsia="仿宋_GB2312" w:cs="Arial"/>
          <w:sz w:val="32"/>
          <w:szCs w:val="32"/>
          <w:highlight w:val="none"/>
          <w:shd w:val="clear" w:color="auto" w:fill="FFFFFF"/>
        </w:rPr>
        <w:t>。</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项目总结：202</w:t>
      </w: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年，各项工作执行终了，按照市财政局《</w:t>
      </w:r>
      <w:r>
        <w:rPr>
          <w:rFonts w:hint="eastAsia" w:ascii="仿宋_GB2312" w:eastAsia="仿宋_GB2312"/>
          <w:color w:val="000000"/>
          <w:sz w:val="32"/>
          <w:szCs w:val="32"/>
          <w:highlight w:val="none"/>
          <w:lang w:val="en"/>
        </w:rPr>
        <w:t>北京市财政局关于</w:t>
      </w:r>
      <w:r>
        <w:rPr>
          <w:rFonts w:hint="eastAsia" w:ascii="仿宋_GB2312" w:eastAsia="仿宋_GB2312"/>
          <w:color w:val="000000"/>
          <w:sz w:val="32"/>
          <w:szCs w:val="32"/>
          <w:highlight w:val="none"/>
          <w:lang w:val="en-US" w:eastAsia="zh-CN"/>
        </w:rPr>
        <w:t>开展</w:t>
      </w:r>
      <w:r>
        <w:rPr>
          <w:rFonts w:hint="eastAsia" w:ascii="仿宋_GB2312" w:eastAsia="仿宋_GB2312"/>
          <w:color w:val="000000"/>
          <w:sz w:val="32"/>
          <w:szCs w:val="32"/>
          <w:highlight w:val="none"/>
          <w:lang w:val="e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lang w:val="en"/>
        </w:rPr>
        <w:t>年</w:t>
      </w:r>
      <w:r>
        <w:rPr>
          <w:rFonts w:hint="eastAsia" w:ascii="仿宋_GB2312" w:eastAsia="仿宋_GB2312"/>
          <w:color w:val="000000"/>
          <w:sz w:val="32"/>
          <w:szCs w:val="32"/>
          <w:highlight w:val="none"/>
          <w:lang w:val="en-US" w:eastAsia="zh-CN"/>
        </w:rPr>
        <w:t>预算绩效管理相关工作的函</w:t>
      </w:r>
      <w:r>
        <w:rPr>
          <w:rFonts w:hint="eastAsia" w:ascii="仿宋_GB2312" w:eastAsia="仿宋_GB2312"/>
          <w:color w:val="000000"/>
          <w:sz w:val="32"/>
          <w:szCs w:val="32"/>
          <w:highlight w:val="none"/>
        </w:rPr>
        <w:t>》相关要求，组织开展绩效自评工作，</w:t>
      </w:r>
      <w:r>
        <w:rPr>
          <w:rFonts w:hint="eastAsia" w:ascii="仿宋_GB2312" w:eastAsia="仿宋_GB2312"/>
          <w:b/>
          <w:color w:val="000000"/>
          <w:sz w:val="32"/>
          <w:szCs w:val="32"/>
          <w:highlight w:val="none"/>
        </w:rPr>
        <w:t>一是</w:t>
      </w:r>
      <w:r>
        <w:rPr>
          <w:rFonts w:hint="eastAsia" w:ascii="仿宋_GB2312" w:eastAsia="仿宋_GB2312"/>
          <w:color w:val="000000"/>
          <w:sz w:val="32"/>
          <w:szCs w:val="32"/>
          <w:highlight w:val="none"/>
        </w:rPr>
        <w:t>组织开展了对本级处室及所属预算单位共计</w:t>
      </w:r>
      <w:r>
        <w:rPr>
          <w:rFonts w:hint="eastAsia" w:ascii="仿宋_GB2312" w:eastAsia="仿宋_GB2312"/>
          <w:color w:val="000000"/>
          <w:sz w:val="32"/>
          <w:szCs w:val="32"/>
          <w:highlight w:val="none"/>
          <w:lang w:val="en-US" w:eastAsia="zh-CN"/>
        </w:rPr>
        <w:t>192</w:t>
      </w:r>
      <w:r>
        <w:rPr>
          <w:rFonts w:hint="eastAsia" w:ascii="仿宋_GB2312" w:eastAsia="仿宋_GB2312"/>
          <w:color w:val="000000"/>
          <w:sz w:val="32"/>
          <w:szCs w:val="32"/>
          <w:highlight w:val="none"/>
        </w:rPr>
        <w:t>个项目（除涉密项目）的自评工作；</w:t>
      </w:r>
      <w:r>
        <w:rPr>
          <w:rFonts w:hint="eastAsia" w:ascii="仿宋_GB2312" w:eastAsia="仿宋_GB2312"/>
          <w:b/>
          <w:color w:val="000000"/>
          <w:sz w:val="32"/>
          <w:szCs w:val="32"/>
          <w:highlight w:val="none"/>
        </w:rPr>
        <w:t>二是</w:t>
      </w:r>
      <w:r>
        <w:rPr>
          <w:rFonts w:hint="eastAsia" w:ascii="仿宋_GB2312" w:eastAsia="仿宋_GB2312"/>
          <w:color w:val="000000"/>
          <w:sz w:val="32"/>
          <w:szCs w:val="32"/>
          <w:highlight w:val="none"/>
        </w:rPr>
        <w:t>按照“</w:t>
      </w:r>
      <w:r>
        <w:rPr>
          <w:rFonts w:hint="eastAsia" w:ascii="仿宋_GB2312" w:hAnsi="仿宋_GB2312" w:eastAsia="仿宋_GB2312" w:cs="仿宋_GB2312"/>
          <w:color w:val="auto"/>
          <w:sz w:val="32"/>
          <w:szCs w:val="32"/>
          <w:highlight w:val="none"/>
          <w:u w:val="none"/>
        </w:rPr>
        <w:t>优先从202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z w:val="32"/>
          <w:szCs w:val="32"/>
          <w:highlight w:val="none"/>
          <w:u w:val="none"/>
        </w:rPr>
        <w:t>年度</w:t>
      </w:r>
      <w:r>
        <w:rPr>
          <w:rFonts w:hint="eastAsia" w:ascii="仿宋_GB2312" w:hAnsi="仿宋_GB2312" w:eastAsia="仿宋_GB2312" w:cs="仿宋_GB2312"/>
          <w:color w:val="auto"/>
          <w:sz w:val="32"/>
          <w:szCs w:val="32"/>
          <w:highlight w:val="none"/>
          <w:u w:val="none"/>
          <w:lang w:eastAsia="zh-CN"/>
        </w:rPr>
        <w:t>巡视、审计、监督检查、事前绩效评估发现问题的，</w:t>
      </w:r>
      <w:r>
        <w:rPr>
          <w:rFonts w:hint="eastAsia" w:ascii="仿宋_GB2312" w:hAnsi="仿宋_GB2312" w:eastAsia="仿宋_GB2312" w:cs="仿宋_GB2312"/>
          <w:color w:val="auto"/>
          <w:sz w:val="32"/>
          <w:szCs w:val="32"/>
          <w:highlight w:val="none"/>
          <w:u w:val="none"/>
        </w:rPr>
        <w:t>9月底预算执行进度不足75%的</w:t>
      </w:r>
      <w:r>
        <w:rPr>
          <w:rFonts w:hint="eastAsia" w:ascii="仿宋_GB2312" w:hAnsi="仿宋_GB2312" w:eastAsia="仿宋_GB2312" w:cs="仿宋_GB2312"/>
          <w:color w:val="auto"/>
          <w:sz w:val="32"/>
          <w:szCs w:val="32"/>
          <w:highlight w:val="none"/>
          <w:u w:val="none"/>
          <w:lang w:eastAsia="zh-CN"/>
        </w:rPr>
        <w:t>，年度执行中存在预算调剂的项目，以及所属事业单位政府采购服务</w:t>
      </w:r>
      <w:r>
        <w:rPr>
          <w:rFonts w:hint="eastAsia" w:ascii="仿宋_GB2312" w:hAnsi="仿宋_GB2312" w:eastAsia="仿宋_GB2312" w:cs="仿宋_GB2312"/>
          <w:color w:val="auto"/>
          <w:sz w:val="32"/>
          <w:szCs w:val="32"/>
          <w:highlight w:val="none"/>
          <w:u w:val="none"/>
        </w:rPr>
        <w:t>类、中央直达资金</w:t>
      </w:r>
      <w:r>
        <w:rPr>
          <w:rFonts w:hint="eastAsia" w:ascii="仿宋_GB2312" w:hAnsi="仿宋_GB2312" w:eastAsia="仿宋_GB2312" w:cs="仿宋_GB2312"/>
          <w:color w:val="auto"/>
          <w:sz w:val="32"/>
          <w:szCs w:val="32"/>
          <w:highlight w:val="none"/>
          <w:u w:val="none"/>
          <w:lang w:eastAsia="zh-CN"/>
        </w:rPr>
        <w:t>项目中</w:t>
      </w:r>
      <w:r>
        <w:rPr>
          <w:rFonts w:hint="eastAsia" w:ascii="仿宋_GB2312" w:hAnsi="仿宋_GB2312" w:eastAsia="仿宋_GB2312" w:cs="仿宋_GB2312"/>
          <w:color w:val="auto"/>
          <w:sz w:val="32"/>
          <w:szCs w:val="32"/>
          <w:highlight w:val="none"/>
          <w:u w:val="none"/>
        </w:rPr>
        <w:t>至少选取</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个项目开展部门</w:t>
      </w:r>
      <w:r>
        <w:rPr>
          <w:rFonts w:hint="eastAsia" w:ascii="仿宋_GB2312" w:hAnsi="仿宋_GB2312" w:eastAsia="仿宋_GB2312" w:cs="仿宋_GB2312"/>
          <w:color w:val="auto"/>
          <w:sz w:val="32"/>
          <w:szCs w:val="32"/>
          <w:highlight w:val="none"/>
          <w:u w:val="none"/>
          <w:lang w:eastAsia="zh-CN"/>
        </w:rPr>
        <w:t>重点</w:t>
      </w:r>
      <w:r>
        <w:rPr>
          <w:rFonts w:hint="eastAsia" w:ascii="仿宋_GB2312" w:hAnsi="仿宋_GB2312" w:eastAsia="仿宋_GB2312" w:cs="仿宋_GB2312"/>
          <w:color w:val="auto"/>
          <w:sz w:val="32"/>
          <w:szCs w:val="32"/>
          <w:highlight w:val="none"/>
          <w:u w:val="none"/>
        </w:rPr>
        <w:t>绩效评价</w:t>
      </w:r>
      <w:r>
        <w:rPr>
          <w:rFonts w:hint="eastAsia" w:ascii="仿宋_GB2312" w:eastAsia="仿宋_GB2312"/>
          <w:color w:val="000000"/>
          <w:sz w:val="32"/>
          <w:szCs w:val="32"/>
          <w:highlight w:val="none"/>
        </w:rPr>
        <w:t>”的原则，选取</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城市安全风险评估工作服务项目</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和“特种作业人员安全技术考试费项目”</w:t>
      </w:r>
      <w:r>
        <w:rPr>
          <w:rFonts w:hint="eastAsia" w:ascii="仿宋_GB2312" w:eastAsia="仿宋_GB2312"/>
          <w:color w:val="000000"/>
          <w:sz w:val="32"/>
          <w:szCs w:val="32"/>
          <w:highlight w:val="none"/>
        </w:rPr>
        <w:t>开展了重点项目绩效评价。</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eastAsia="仿宋_GB2312"/>
          <w:bCs/>
          <w:color w:val="000000"/>
          <w:sz w:val="32"/>
          <w:szCs w:val="32"/>
          <w:highlight w:val="none"/>
        </w:rPr>
      </w:pPr>
      <w:r>
        <w:rPr>
          <w:rFonts w:hint="eastAsia" w:ascii="仿宋_GB2312" w:hAnsi="仿宋_GB2312" w:eastAsia="仿宋_GB2312" w:cs="仿宋_GB2312"/>
          <w:bCs/>
          <w:sz w:val="32"/>
          <w:szCs w:val="32"/>
          <w:highlight w:val="none"/>
        </w:rPr>
        <w:t>总体上，市应急局在预算执行过程中采取了较为有效的措施确保部门绩效目标实现，各部门绩效相关过程资料保存较为完备，</w:t>
      </w:r>
      <w:r>
        <w:rPr>
          <w:rFonts w:hint="eastAsia" w:ascii="仿宋_GB2312" w:eastAsia="仿宋_GB2312"/>
          <w:bCs/>
          <w:color w:val="000000"/>
          <w:sz w:val="32"/>
          <w:szCs w:val="32"/>
          <w:highlight w:val="none"/>
        </w:rPr>
        <w:t>相关数据真实、准确，能够较好地体现各部门履职情况。</w:t>
      </w:r>
    </w:p>
    <w:p>
      <w:pPr>
        <w:numPr>
          <w:ilvl w:val="0"/>
          <w:numId w:val="4"/>
        </w:numPr>
        <w:pBdr>
          <w:bottom w:val="single" w:color="FFFFFF" w:sz="4" w:space="31"/>
        </w:pBdr>
        <w:topLinePunct/>
        <w:adjustRightInd w:val="0"/>
        <w:snapToGrid w:val="0"/>
        <w:spacing w:line="360" w:lineRule="auto"/>
        <w:ind w:firstLine="320" w:firstLineChars="100"/>
        <w:rPr>
          <w:rFonts w:hint="eastAsia" w:ascii="楷体_GB2312" w:eastAsia="楷体_GB2312"/>
          <w:sz w:val="32"/>
          <w:szCs w:val="32"/>
          <w:highlight w:val="none"/>
        </w:rPr>
      </w:pPr>
      <w:r>
        <w:rPr>
          <w:rFonts w:hint="eastAsia" w:ascii="楷体_GB2312" w:eastAsia="楷体_GB2312"/>
          <w:sz w:val="32"/>
          <w:szCs w:val="32"/>
          <w:highlight w:val="none"/>
        </w:rPr>
        <w:t>结转结余率</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市应急局</w:t>
      </w:r>
      <w:r>
        <w:rPr>
          <w:rFonts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3</w:t>
      </w:r>
      <w:r>
        <w:rPr>
          <w:rFonts w:hint="eastAsia" w:ascii="仿宋_GB2312" w:hAnsi="仿宋_GB2312" w:eastAsia="仿宋_GB2312" w:cs="仿宋_GB2312"/>
          <w:bCs/>
          <w:sz w:val="32"/>
          <w:szCs w:val="32"/>
          <w:highlight w:val="none"/>
        </w:rPr>
        <w:t>年度结转结余总额5,872.26万元，支出预算数55,423.44万元，结转结余率为</w:t>
      </w:r>
      <w:r>
        <w:rPr>
          <w:rFonts w:hint="eastAsia" w:ascii="仿宋_GB2312" w:hAnsi="仿宋_GB2312" w:eastAsia="仿宋_GB2312" w:cs="仿宋_GB2312"/>
          <w:bCs/>
          <w:sz w:val="32"/>
          <w:szCs w:val="32"/>
          <w:highlight w:val="none"/>
          <w:lang w:val="en-US" w:eastAsia="zh-CN"/>
        </w:rPr>
        <w:t>10.6</w:t>
      </w:r>
      <w:r>
        <w:rPr>
          <w:rFonts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rPr>
        <w:t>市应急局</w:t>
      </w:r>
      <w:r>
        <w:rPr>
          <w:rFonts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年度结转结余总额</w:t>
      </w:r>
      <w:r>
        <w:rPr>
          <w:rFonts w:hint="eastAsia" w:ascii="仿宋_GB2312" w:hAnsi="宋体" w:eastAsia="仿宋_GB2312" w:cs="宋体"/>
          <w:color w:val="000000"/>
          <w:kern w:val="0"/>
          <w:sz w:val="32"/>
          <w:szCs w:val="32"/>
          <w:highlight w:val="none"/>
        </w:rPr>
        <w:t>3</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776</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08</w:t>
      </w:r>
      <w:r>
        <w:rPr>
          <w:rFonts w:hint="eastAsia" w:ascii="仿宋_GB2312" w:hAnsi="仿宋_GB2312" w:eastAsia="仿宋_GB2312" w:cs="仿宋_GB2312"/>
          <w:bCs/>
          <w:sz w:val="32"/>
          <w:szCs w:val="32"/>
        </w:rPr>
        <w:t>万元，支出预算数</w:t>
      </w:r>
      <w:r>
        <w:rPr>
          <w:rFonts w:hint="eastAsia" w:ascii="仿宋_GB2312" w:hAnsi="宋体" w:eastAsia="仿宋_GB2312" w:cs="宋体"/>
          <w:color w:val="000000"/>
          <w:kern w:val="0"/>
          <w:sz w:val="32"/>
          <w:szCs w:val="32"/>
          <w:highlight w:val="none"/>
        </w:rPr>
        <w:t>58</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387</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2</w:t>
      </w:r>
      <w:r>
        <w:rPr>
          <w:rFonts w:hint="eastAsia" w:ascii="仿宋_GB2312" w:hAnsi="宋体" w:eastAsia="仿宋_GB2312" w:cs="宋体"/>
          <w:color w:val="000000"/>
          <w:kern w:val="0"/>
          <w:sz w:val="32"/>
          <w:szCs w:val="32"/>
          <w:highlight w:val="none"/>
          <w:lang w:val="en-US" w:eastAsia="zh-CN"/>
        </w:rPr>
        <w:t>4</w:t>
      </w:r>
      <w:r>
        <w:rPr>
          <w:rFonts w:hint="eastAsia" w:ascii="仿宋_GB2312" w:hAnsi="仿宋_GB2312" w:eastAsia="仿宋_GB2312" w:cs="仿宋_GB2312"/>
          <w:bCs/>
          <w:sz w:val="32"/>
          <w:szCs w:val="32"/>
        </w:rPr>
        <w:t>万元，结转结余率为</w:t>
      </w:r>
      <w:r>
        <w:rPr>
          <w:rFonts w:hint="eastAsia" w:ascii="仿宋_GB2312" w:hAnsi="仿宋_GB2312" w:eastAsia="仿宋_GB2312" w:cs="仿宋_GB2312"/>
          <w:bCs/>
          <w:sz w:val="32"/>
          <w:szCs w:val="32"/>
          <w:highlight w:val="none"/>
          <w:lang w:val="en-US" w:eastAsia="zh-CN"/>
        </w:rPr>
        <w:t>6.47</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highlight w:val="none"/>
        </w:rPr>
        <w:t>。</w:t>
      </w:r>
    </w:p>
    <w:p>
      <w:pPr>
        <w:numPr>
          <w:ilvl w:val="0"/>
          <w:numId w:val="0"/>
        </w:numPr>
        <w:pBdr>
          <w:bottom w:val="single" w:color="FFFFFF" w:sz="4" w:space="31"/>
        </w:pBdr>
        <w:topLinePunct/>
        <w:adjustRightInd w:val="0"/>
        <w:snapToGrid w:val="0"/>
        <w:spacing w:line="360" w:lineRule="auto"/>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lang w:eastAsia="zh-CN"/>
        </w:rPr>
        <w:t>（</w:t>
      </w:r>
      <w:r>
        <w:rPr>
          <w:rFonts w:hint="eastAsia" w:ascii="楷体_GB2312" w:eastAsia="楷体_GB2312"/>
          <w:sz w:val="32"/>
          <w:szCs w:val="32"/>
          <w:highlight w:val="none"/>
          <w:lang w:val="en-US" w:eastAsia="zh-CN"/>
        </w:rPr>
        <w:t>五</w:t>
      </w:r>
      <w:r>
        <w:rPr>
          <w:rFonts w:hint="eastAsia" w:ascii="楷体_GB2312" w:eastAsia="楷体_GB2312"/>
          <w:sz w:val="32"/>
          <w:szCs w:val="32"/>
          <w:highlight w:val="none"/>
          <w:lang w:eastAsia="zh-CN"/>
        </w:rPr>
        <w:t>）</w:t>
      </w:r>
      <w:r>
        <w:rPr>
          <w:rFonts w:hint="eastAsia" w:ascii="楷体_GB2312" w:eastAsia="楷体_GB2312"/>
          <w:sz w:val="32"/>
          <w:szCs w:val="32"/>
          <w:highlight w:val="none"/>
        </w:rPr>
        <w:t>部门预决算差异率</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市应急局</w:t>
      </w:r>
      <w:r>
        <w:rPr>
          <w:rFonts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3</w:t>
      </w:r>
      <w:r>
        <w:rPr>
          <w:rFonts w:hint="eastAsia" w:ascii="仿宋_GB2312" w:hAnsi="仿宋_GB2312" w:eastAsia="仿宋_GB2312" w:cs="仿宋_GB2312"/>
          <w:bCs/>
          <w:sz w:val="32"/>
          <w:szCs w:val="32"/>
          <w:highlight w:val="none"/>
        </w:rPr>
        <w:t>年度部门决算数</w:t>
      </w:r>
      <w:r>
        <w:rPr>
          <w:rFonts w:hint="eastAsia" w:ascii="仿宋_GB2312" w:hAnsi="宋体" w:eastAsia="仿宋_GB2312" w:cs="宋体"/>
          <w:color w:val="000000"/>
          <w:kern w:val="0"/>
          <w:sz w:val="32"/>
          <w:szCs w:val="32"/>
          <w:highlight w:val="none"/>
        </w:rPr>
        <w:t>62,028.80</w:t>
      </w:r>
      <w:r>
        <w:rPr>
          <w:rFonts w:hint="eastAsia" w:ascii="仿宋_GB2312" w:hAnsi="仿宋_GB2312" w:eastAsia="仿宋_GB2312" w:cs="仿宋_GB2312"/>
          <w:bCs/>
          <w:sz w:val="32"/>
          <w:szCs w:val="32"/>
          <w:highlight w:val="none"/>
        </w:rPr>
        <w:t>万元，与年初部门预算数</w:t>
      </w:r>
      <w:r>
        <w:rPr>
          <w:rFonts w:hint="eastAsia" w:ascii="仿宋_GB2312" w:hAnsi="宋体" w:eastAsia="仿宋_GB2312" w:cs="宋体"/>
          <w:color w:val="000000"/>
          <w:kern w:val="0"/>
          <w:sz w:val="32"/>
          <w:szCs w:val="32"/>
          <w:highlight w:val="none"/>
        </w:rPr>
        <w:t>55,423.44</w:t>
      </w:r>
      <w:r>
        <w:rPr>
          <w:rFonts w:hint="eastAsia" w:ascii="仿宋_GB2312" w:hAnsi="仿宋_GB2312" w:eastAsia="仿宋_GB2312" w:cs="仿宋_GB2312"/>
          <w:bCs/>
          <w:sz w:val="32"/>
          <w:szCs w:val="32"/>
          <w:highlight w:val="none"/>
        </w:rPr>
        <w:t>万元对比，部门预决算差异率为</w:t>
      </w:r>
      <w:r>
        <w:rPr>
          <w:rFonts w:hint="eastAsia" w:ascii="仿宋_GB2312" w:hAnsi="仿宋_GB2312" w:eastAsia="仿宋_GB2312" w:cs="仿宋_GB2312"/>
          <w:bCs/>
          <w:sz w:val="32"/>
          <w:szCs w:val="32"/>
          <w:highlight w:val="none"/>
          <w:lang w:val="en-US" w:eastAsia="zh-CN"/>
        </w:rPr>
        <w:t>11.92</w:t>
      </w:r>
      <w:r>
        <w:rPr>
          <w:rFonts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rPr>
        <w:t>。</w:t>
      </w:r>
    </w:p>
    <w:p>
      <w:pPr>
        <w:numPr>
          <w:ilvl w:val="0"/>
          <w:numId w:val="0"/>
        </w:numPr>
        <w:pBdr>
          <w:bottom w:val="single" w:color="FFFFFF" w:sz="4" w:space="31"/>
        </w:pBdr>
        <w:topLinePunct/>
        <w:adjustRightInd w:val="0"/>
        <w:snapToGrid w:val="0"/>
        <w:spacing w:line="360" w:lineRule="auto"/>
        <w:ind w:firstLine="640" w:firstLineChars="20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lang w:val="en-US" w:eastAsia="zh-CN"/>
        </w:rPr>
        <w:t>五、</w:t>
      </w:r>
      <w:r>
        <w:rPr>
          <w:rFonts w:hint="eastAsia" w:ascii="黑体" w:hAnsi="黑体" w:eastAsia="黑体" w:cs="宋体"/>
          <w:color w:val="000000"/>
          <w:kern w:val="0"/>
          <w:sz w:val="32"/>
          <w:szCs w:val="32"/>
          <w:highlight w:val="none"/>
        </w:rPr>
        <w:t>总体</w:t>
      </w:r>
      <w:r>
        <w:rPr>
          <w:rFonts w:ascii="黑体" w:hAnsi="黑体" w:eastAsia="黑体" w:cs="宋体"/>
          <w:color w:val="000000"/>
          <w:kern w:val="0"/>
          <w:sz w:val="32"/>
          <w:szCs w:val="32"/>
          <w:highlight w:val="none"/>
        </w:rPr>
        <w:t>评价结论</w:t>
      </w:r>
    </w:p>
    <w:p>
      <w:pPr>
        <w:numPr>
          <w:ilvl w:val="0"/>
          <w:numId w:val="5"/>
        </w:numPr>
        <w:pBdr>
          <w:bottom w:val="single" w:color="FFFFFF" w:sz="4" w:space="31"/>
        </w:pBdr>
        <w:topLinePunct/>
        <w:adjustRightInd w:val="0"/>
        <w:snapToGrid w:val="0"/>
        <w:spacing w:line="360" w:lineRule="auto"/>
        <w:ind w:firstLine="320" w:firstLineChars="100"/>
        <w:rPr>
          <w:rFonts w:hint="eastAsia" w:ascii="楷体_GB2312" w:eastAsia="楷体_GB2312"/>
          <w:sz w:val="32"/>
          <w:szCs w:val="32"/>
          <w:highlight w:val="none"/>
        </w:rPr>
      </w:pPr>
      <w:r>
        <w:rPr>
          <w:rFonts w:hint="eastAsia" w:ascii="楷体_GB2312" w:eastAsia="楷体_GB2312"/>
          <w:sz w:val="32"/>
          <w:szCs w:val="32"/>
          <w:highlight w:val="none"/>
        </w:rPr>
        <w:t>评价</w:t>
      </w:r>
      <w:r>
        <w:rPr>
          <w:rFonts w:ascii="楷体_GB2312" w:eastAsia="楷体_GB2312"/>
          <w:sz w:val="32"/>
          <w:szCs w:val="32"/>
          <w:highlight w:val="none"/>
        </w:rPr>
        <w:t>得分</w:t>
      </w:r>
      <w:r>
        <w:rPr>
          <w:rFonts w:hint="eastAsia" w:ascii="楷体_GB2312" w:eastAsia="楷体_GB2312"/>
          <w:sz w:val="32"/>
          <w:szCs w:val="32"/>
          <w:highlight w:val="none"/>
        </w:rPr>
        <w:t>情况</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市应急局坚决贯彻落实党中央、国务院，市委、市政府及应急管理部各项决策部署，严防严控重大安全风险，稳扎稳打提高防灾减灾救灾能力，常抓不懈打造协同高效应急救援体系，圆满完成了各项工作任务，营造了良好安全环境。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年度市应急局履职成效显著，部门整体绩效自评总分</w:t>
      </w:r>
      <w:r>
        <w:rPr>
          <w:rFonts w:ascii="仿宋_GB2312" w:hAnsi="仿宋_GB2312" w:eastAsia="仿宋_GB2312" w:cs="仿宋_GB2312"/>
          <w:b/>
          <w:sz w:val="32"/>
          <w:szCs w:val="32"/>
          <w:highlight w:val="none"/>
        </w:rPr>
        <w:t>9</w:t>
      </w:r>
      <w:r>
        <w:rPr>
          <w:rFonts w:hint="eastAsia" w:ascii="仿宋_GB2312" w:hAnsi="仿宋_GB2312" w:eastAsia="仿宋_GB2312" w:cs="仿宋_GB2312"/>
          <w:b/>
          <w:sz w:val="32"/>
          <w:szCs w:val="32"/>
          <w:highlight w:val="none"/>
          <w:lang w:val="en-US" w:eastAsia="zh-CN"/>
        </w:rPr>
        <w:t>3</w:t>
      </w:r>
      <w:r>
        <w:rPr>
          <w:rFonts w:ascii="仿宋_GB2312" w:hAnsi="仿宋_GB2312" w:eastAsia="仿宋_GB2312" w:cs="仿宋_GB2312"/>
          <w:b/>
          <w:sz w:val="32"/>
          <w:szCs w:val="32"/>
          <w:highlight w:val="none"/>
        </w:rPr>
        <w:t>.</w:t>
      </w:r>
      <w:r>
        <w:rPr>
          <w:rFonts w:hint="eastAsia" w:ascii="仿宋_GB2312" w:hAnsi="仿宋_GB2312" w:eastAsia="仿宋_GB2312" w:cs="仿宋_GB2312"/>
          <w:b/>
          <w:sz w:val="32"/>
          <w:szCs w:val="32"/>
          <w:highlight w:val="none"/>
          <w:lang w:val="en-US" w:eastAsia="zh-CN"/>
        </w:rPr>
        <w:t>25</w:t>
      </w:r>
      <w:r>
        <w:rPr>
          <w:rFonts w:hint="eastAsia" w:ascii="仿宋_GB2312" w:hAnsi="仿宋_GB2312" w:eastAsia="仿宋_GB2312" w:cs="仿宋_GB2312"/>
          <w:b/>
          <w:sz w:val="32"/>
          <w:szCs w:val="32"/>
          <w:highlight w:val="none"/>
        </w:rPr>
        <w:t>分</w:t>
      </w:r>
      <w:r>
        <w:rPr>
          <w:rFonts w:hint="eastAsia" w:ascii="仿宋_GB2312" w:hAnsi="仿宋_GB2312" w:eastAsia="仿宋_GB2312" w:cs="仿宋_GB2312"/>
          <w:sz w:val="32"/>
          <w:szCs w:val="32"/>
          <w:highlight w:val="none"/>
        </w:rPr>
        <w:t>，评价等级为“</w:t>
      </w:r>
      <w:r>
        <w:rPr>
          <w:rFonts w:hint="eastAsia" w:ascii="仿宋_GB2312" w:hAnsi="仿宋_GB2312" w:eastAsia="仿宋_GB2312" w:cs="仿宋_GB2312"/>
          <w:b/>
          <w:sz w:val="32"/>
          <w:szCs w:val="32"/>
          <w:highlight w:val="none"/>
        </w:rPr>
        <w:t>优</w:t>
      </w:r>
      <w:r>
        <w:rPr>
          <w:rFonts w:hint="eastAsia" w:ascii="仿宋_GB2312" w:hAnsi="仿宋_GB2312" w:eastAsia="仿宋_GB2312" w:cs="仿宋_GB2312"/>
          <w:sz w:val="32"/>
          <w:szCs w:val="32"/>
          <w:highlight w:val="none"/>
        </w:rPr>
        <w:t>”。</w:t>
      </w:r>
    </w:p>
    <w:p>
      <w:pPr>
        <w:numPr>
          <w:ilvl w:val="0"/>
          <w:numId w:val="5"/>
        </w:numPr>
        <w:pBdr>
          <w:bottom w:val="single" w:color="FFFFFF" w:sz="4" w:space="31"/>
        </w:pBdr>
        <w:topLinePunct/>
        <w:adjustRightInd w:val="0"/>
        <w:snapToGrid w:val="0"/>
        <w:spacing w:line="360" w:lineRule="auto"/>
        <w:ind w:firstLine="320" w:firstLineChars="100"/>
        <w:rPr>
          <w:rFonts w:hint="eastAsia" w:ascii="楷体_GB2312" w:eastAsia="楷体_GB2312"/>
          <w:sz w:val="32"/>
          <w:szCs w:val="32"/>
          <w:highlight w:val="none"/>
        </w:rPr>
      </w:pPr>
      <w:r>
        <w:rPr>
          <w:rFonts w:hint="eastAsia" w:ascii="楷体_GB2312" w:eastAsia="楷体_GB2312"/>
          <w:sz w:val="32"/>
          <w:szCs w:val="32"/>
          <w:highlight w:val="none"/>
        </w:rPr>
        <w:t>存在的问题及原因分析</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Arial" w:eastAsia="仿宋_GB2312" w:cs="Arial"/>
          <w:b w:val="0"/>
          <w:bCs/>
          <w:sz w:val="32"/>
          <w:szCs w:val="32"/>
          <w:highlight w:val="none"/>
          <w:shd w:val="clear" w:color="auto" w:fill="FFFFFF"/>
          <w:lang w:val="en-US" w:eastAsia="zh-CN"/>
        </w:rPr>
      </w:pPr>
      <w:r>
        <w:rPr>
          <w:rFonts w:hint="eastAsia" w:ascii="仿宋_GB2312" w:hAnsi="Arial" w:eastAsia="仿宋_GB2312" w:cs="Arial"/>
          <w:b w:val="0"/>
          <w:bCs/>
          <w:sz w:val="32"/>
          <w:szCs w:val="32"/>
          <w:highlight w:val="none"/>
          <w:shd w:val="clear" w:color="auto" w:fill="FFFFFF"/>
          <w:lang w:val="en-US" w:eastAsia="zh-CN"/>
        </w:rPr>
        <w:t>1.</w:t>
      </w:r>
      <w:r>
        <w:rPr>
          <w:rFonts w:hint="eastAsia" w:ascii="仿宋_GB2312" w:hAnsi="Arial" w:eastAsia="仿宋_GB2312" w:cs="Arial"/>
          <w:b w:val="0"/>
          <w:bCs/>
          <w:sz w:val="32"/>
          <w:szCs w:val="32"/>
          <w:highlight w:val="none"/>
          <w:shd w:val="clear" w:color="auto" w:fill="FFFFFF"/>
        </w:rPr>
        <w:t>部门整体绩效</w:t>
      </w:r>
      <w:r>
        <w:rPr>
          <w:rFonts w:hint="eastAsia" w:ascii="仿宋_GB2312" w:hAnsi="Arial" w:eastAsia="仿宋_GB2312" w:cs="Arial"/>
          <w:b w:val="0"/>
          <w:bCs/>
          <w:sz w:val="32"/>
          <w:szCs w:val="32"/>
          <w:highlight w:val="none"/>
          <w:shd w:val="clear" w:color="auto" w:fill="FFFFFF"/>
          <w:lang w:val="en-US" w:eastAsia="zh-CN"/>
        </w:rPr>
        <w:t>目标</w:t>
      </w:r>
      <w:r>
        <w:rPr>
          <w:rFonts w:hint="eastAsia" w:ascii="仿宋_GB2312" w:hAnsi="Arial" w:eastAsia="仿宋_GB2312" w:cs="Arial"/>
          <w:b w:val="0"/>
          <w:bCs/>
          <w:sz w:val="32"/>
          <w:szCs w:val="32"/>
          <w:highlight w:val="none"/>
          <w:shd w:val="clear" w:color="auto" w:fill="FFFFFF"/>
        </w:rPr>
        <w:t>设置</w:t>
      </w:r>
      <w:r>
        <w:rPr>
          <w:rFonts w:hint="eastAsia" w:ascii="仿宋_GB2312" w:hAnsi="Arial" w:eastAsia="仿宋_GB2312" w:cs="Arial"/>
          <w:b w:val="0"/>
          <w:bCs/>
          <w:sz w:val="32"/>
          <w:szCs w:val="32"/>
          <w:highlight w:val="none"/>
          <w:shd w:val="clear" w:color="auto" w:fill="FFFFFF"/>
          <w:lang w:val="en-US" w:eastAsia="zh-CN"/>
        </w:rPr>
        <w:t>全面性有待加强</w:t>
      </w:r>
      <w:bookmarkStart w:id="2" w:name="_Toc425505304"/>
      <w:bookmarkStart w:id="3" w:name="_Toc425494658"/>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宋体"/>
          <w:color w:val="000000"/>
          <w:kern w:val="0"/>
          <w:sz w:val="32"/>
          <w:szCs w:val="32"/>
          <w:highlight w:val="none"/>
        </w:rPr>
      </w:pPr>
      <w:r>
        <w:rPr>
          <w:rFonts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ascii="仿宋_GB2312" w:hAnsi="宋体" w:eastAsia="仿宋_GB2312" w:cs="宋体"/>
          <w:color w:val="000000"/>
          <w:kern w:val="0"/>
          <w:sz w:val="32"/>
          <w:szCs w:val="32"/>
          <w:highlight w:val="none"/>
        </w:rPr>
        <w:t>年度，市应急局结合自身职能以及年度</w:t>
      </w:r>
      <w:r>
        <w:rPr>
          <w:rFonts w:hint="eastAsia" w:ascii="仿宋_GB2312" w:hAnsi="宋体" w:eastAsia="仿宋_GB2312" w:cs="宋体"/>
          <w:color w:val="000000"/>
          <w:kern w:val="0"/>
          <w:sz w:val="32"/>
          <w:szCs w:val="32"/>
          <w:highlight w:val="none"/>
          <w:lang w:val="en-US" w:eastAsia="zh-CN"/>
        </w:rPr>
        <w:t>工作内容分别从</w:t>
      </w:r>
      <w:r>
        <w:rPr>
          <w:rFonts w:hint="eastAsia" w:ascii="仿宋_GB2312" w:hAnsi="宋体" w:eastAsia="仿宋_GB2312" w:cs="宋体"/>
          <w:color w:val="000000"/>
          <w:kern w:val="0"/>
          <w:sz w:val="32"/>
          <w:szCs w:val="32"/>
          <w:highlight w:val="none"/>
        </w:rPr>
        <w:t>部门日常运转、应急管理及执法检查法律事务、危险化学品生产企业安全监管</w:t>
      </w:r>
      <w:r>
        <w:rPr>
          <w:rFonts w:hint="eastAsia" w:ascii="仿宋_GB2312" w:hAnsi="宋体" w:eastAsia="仿宋_GB2312" w:cs="宋体"/>
          <w:color w:val="000000"/>
          <w:kern w:val="0"/>
          <w:sz w:val="32"/>
          <w:szCs w:val="32"/>
          <w:highlight w:val="none"/>
          <w:lang w:eastAsia="zh-CN"/>
        </w:rPr>
        <w:t>、应急预案体系建设、安全预防及隐患治理、应急管理信息化建设、应急宣传教育</w:t>
      </w:r>
      <w:r>
        <w:rPr>
          <w:rFonts w:hint="eastAsia" w:ascii="仿宋_GB2312" w:hAnsi="宋体" w:eastAsia="仿宋_GB2312" w:cs="宋体"/>
          <w:color w:val="000000"/>
          <w:kern w:val="0"/>
          <w:sz w:val="32"/>
          <w:szCs w:val="32"/>
          <w:highlight w:val="none"/>
        </w:rPr>
        <w:t>等</w:t>
      </w:r>
      <w:r>
        <w:rPr>
          <w:rFonts w:hint="eastAsia" w:ascii="仿宋_GB2312" w:hAnsi="宋体" w:eastAsia="仿宋_GB2312" w:cs="宋体"/>
          <w:color w:val="000000"/>
          <w:kern w:val="0"/>
          <w:sz w:val="32"/>
          <w:szCs w:val="32"/>
          <w:highlight w:val="none"/>
          <w:lang w:val="en-US" w:eastAsia="zh-CN"/>
        </w:rPr>
        <w:t>方面设置了</w:t>
      </w:r>
      <w:r>
        <w:rPr>
          <w:rFonts w:hint="eastAsia" w:ascii="仿宋_GB2312" w:hAnsi="仿宋_GB2312" w:eastAsia="仿宋_GB2312" w:cs="仿宋_GB2312"/>
          <w:sz w:val="32"/>
          <w:szCs w:val="32"/>
          <w:highlight w:val="none"/>
        </w:rPr>
        <w:t>部门整体绩效目标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从机构运行保障类工作、自然灾害救助、森林消防应急救援、应急预案管理活动、地震及地质灾害管理、危险化学品管理、科技与信息化工作相关活动、应急救援力量建设、宣传教育活动、应急救援能力提升、安全预防及隐患治理、突发事前预警信息发布活动</w:t>
      </w:r>
      <w:r>
        <w:rPr>
          <w:rFonts w:hint="eastAsia" w:ascii="仿宋_GB2312" w:hAnsi="Arial" w:eastAsia="仿宋_GB2312" w:cs="Arial"/>
          <w:sz w:val="32"/>
          <w:szCs w:val="32"/>
          <w:shd w:val="clear" w:color="auto" w:fill="FFFFFF"/>
        </w:rPr>
        <w:t>等方面设置了部门整体绩效指标</w:t>
      </w:r>
      <w:r>
        <w:rPr>
          <w:rFonts w:hint="eastAsia" w:ascii="仿宋_GB2312" w:hAnsi="仿宋_GB2312" w:eastAsia="仿宋_GB2312" w:cs="仿宋_GB2312"/>
          <w:sz w:val="32"/>
          <w:szCs w:val="32"/>
          <w:highlight w:val="none"/>
        </w:rPr>
        <w:t>，</w:t>
      </w:r>
      <w:r>
        <w:rPr>
          <w:rFonts w:hint="eastAsia" w:ascii="仿宋_GB2312" w:hAnsi="Arial" w:eastAsia="仿宋_GB2312" w:cs="Arial"/>
          <w:sz w:val="32"/>
          <w:szCs w:val="32"/>
          <w:highlight w:val="none"/>
          <w:shd w:val="clear" w:color="auto" w:fill="FFFFFF"/>
        </w:rPr>
        <w:t>但现有目标设置内容不够全面，</w:t>
      </w:r>
      <w:r>
        <w:rPr>
          <w:rFonts w:hint="eastAsia" w:ascii="仿宋_GB2312" w:hAnsi="宋体" w:eastAsia="仿宋_GB2312" w:cs="宋体"/>
          <w:color w:val="000000"/>
          <w:kern w:val="0"/>
          <w:sz w:val="32"/>
          <w:szCs w:val="32"/>
          <w:highlight w:val="none"/>
        </w:rPr>
        <w:t>绩效指标</w:t>
      </w:r>
      <w:r>
        <w:rPr>
          <w:rFonts w:hint="eastAsia" w:ascii="仿宋_GB2312" w:hAnsi="宋体" w:eastAsia="仿宋_GB2312" w:cs="宋体"/>
          <w:color w:val="000000"/>
          <w:kern w:val="0"/>
          <w:sz w:val="32"/>
          <w:szCs w:val="32"/>
          <w:highlight w:val="none"/>
          <w:lang w:val="en-US" w:eastAsia="zh-CN"/>
        </w:rPr>
        <w:t>的</w:t>
      </w:r>
      <w:r>
        <w:rPr>
          <w:rFonts w:hint="eastAsia" w:ascii="仿宋_GB2312" w:hAnsi="宋体" w:eastAsia="仿宋_GB2312" w:cs="宋体"/>
          <w:color w:val="000000"/>
          <w:kern w:val="0"/>
          <w:sz w:val="32"/>
          <w:szCs w:val="32"/>
          <w:highlight w:val="none"/>
        </w:rPr>
        <w:t>设置规范</w:t>
      </w:r>
      <w:r>
        <w:rPr>
          <w:rFonts w:hint="eastAsia" w:ascii="仿宋_GB2312" w:hAnsi="宋体" w:eastAsia="仿宋_GB2312" w:cs="宋体"/>
          <w:color w:val="000000"/>
          <w:kern w:val="0"/>
          <w:sz w:val="32"/>
          <w:szCs w:val="32"/>
          <w:highlight w:val="none"/>
          <w:lang w:val="en-US" w:eastAsia="zh-CN"/>
        </w:rPr>
        <w:t>性有待进一步加强</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val="en-US" w:eastAsia="zh-CN"/>
        </w:rPr>
        <w:t>可增加关于部门整体的</w:t>
      </w:r>
      <w:r>
        <w:rPr>
          <w:rFonts w:hint="eastAsia" w:ascii="仿宋_GB2312" w:hAnsi="宋体" w:eastAsia="仿宋_GB2312" w:cs="宋体"/>
          <w:color w:val="000000"/>
          <w:kern w:val="0"/>
          <w:sz w:val="32"/>
          <w:szCs w:val="32"/>
          <w:highlight w:val="none"/>
        </w:rPr>
        <w:t>产出</w:t>
      </w:r>
      <w:r>
        <w:rPr>
          <w:rFonts w:hint="eastAsia" w:ascii="仿宋_GB2312" w:hAnsi="宋体" w:eastAsia="仿宋_GB2312" w:cs="宋体"/>
          <w:color w:val="000000"/>
          <w:kern w:val="0"/>
          <w:sz w:val="32"/>
          <w:szCs w:val="32"/>
          <w:highlight w:val="none"/>
          <w:lang w:val="en-US" w:eastAsia="zh-CN"/>
        </w:rPr>
        <w:t>时效、成本</w:t>
      </w:r>
      <w:r>
        <w:rPr>
          <w:rFonts w:hint="eastAsia" w:ascii="仿宋_GB2312" w:hAnsi="宋体" w:eastAsia="仿宋_GB2312" w:cs="宋体"/>
          <w:color w:val="000000"/>
          <w:kern w:val="0"/>
          <w:sz w:val="32"/>
          <w:szCs w:val="32"/>
          <w:highlight w:val="none"/>
        </w:rPr>
        <w:t>等情况</w:t>
      </w:r>
      <w:r>
        <w:rPr>
          <w:rFonts w:hint="eastAsia" w:ascii="仿宋_GB2312" w:hAnsi="宋体" w:eastAsia="仿宋_GB2312" w:cs="宋体"/>
          <w:color w:val="000000"/>
          <w:kern w:val="0"/>
          <w:sz w:val="32"/>
          <w:szCs w:val="32"/>
          <w:highlight w:val="none"/>
          <w:lang w:val="en-US" w:eastAsia="zh-CN"/>
        </w:rPr>
        <w:t>指标</w:t>
      </w:r>
      <w:r>
        <w:rPr>
          <w:rFonts w:hint="eastAsia" w:ascii="仿宋_GB2312" w:hAnsi="宋体" w:eastAsia="仿宋_GB2312" w:cs="宋体"/>
          <w:color w:val="000000"/>
          <w:kern w:val="0"/>
          <w:sz w:val="32"/>
          <w:szCs w:val="32"/>
          <w:highlight w:val="none"/>
        </w:rPr>
        <w:t>。</w:t>
      </w:r>
      <w:bookmarkEnd w:id="2"/>
      <w:bookmarkEnd w:id="3"/>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Arial" w:eastAsia="仿宋_GB2312" w:cs="Arial"/>
          <w:b w:val="0"/>
          <w:bCs/>
          <w:sz w:val="32"/>
          <w:szCs w:val="32"/>
          <w:shd w:val="clear" w:color="auto" w:fill="FFFFFF"/>
        </w:rPr>
      </w:pPr>
      <w:r>
        <w:rPr>
          <w:rFonts w:hint="eastAsia" w:ascii="仿宋_GB2312" w:hAnsi="Arial" w:eastAsia="仿宋_GB2312" w:cs="Arial"/>
          <w:b w:val="0"/>
          <w:bCs/>
          <w:sz w:val="32"/>
          <w:szCs w:val="32"/>
          <w:shd w:val="clear" w:color="auto" w:fill="FFFFFF"/>
          <w:lang w:val="en-US" w:eastAsia="zh-CN"/>
        </w:rPr>
        <w:t>2.</w:t>
      </w:r>
      <w:r>
        <w:rPr>
          <w:rFonts w:hint="eastAsia" w:ascii="仿宋_GB2312" w:hAnsi="Arial" w:eastAsia="仿宋_GB2312" w:cs="Arial"/>
          <w:b w:val="0"/>
          <w:bCs/>
          <w:sz w:val="32"/>
          <w:szCs w:val="32"/>
          <w:shd w:val="clear" w:color="auto" w:fill="FFFFFF"/>
        </w:rPr>
        <w:t>各部门项目支出绩效管理意识仍需提高，项目成效资料整理分析不足</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宋体" w:eastAsia="仿宋_GB2312" w:cs="仿宋_GB2312"/>
          <w:color w:val="000000"/>
          <w:kern w:val="0"/>
          <w:sz w:val="32"/>
          <w:szCs w:val="32"/>
        </w:rPr>
      </w:pPr>
      <w:r>
        <w:rPr>
          <w:rFonts w:hint="eastAsia" w:ascii="仿宋_GB2312" w:hAnsi="Arial" w:eastAsia="仿宋_GB2312" w:cs="Arial"/>
          <w:sz w:val="32"/>
          <w:szCs w:val="32"/>
          <w:shd w:val="clear" w:color="auto" w:fill="FFFFFF"/>
        </w:rPr>
        <w:t>根据各部门提交的项目相关资料，项目产出成果较清晰，资料充分，部分项目收集了主要服务对象的应用证明等效益资料，项目实施的效益体现较好。但各部门绩效管理意识仍要继续提高，对项目成果运用效果、满意度调查等资料系统收集、整理、总结分析的意识不足，绩效资料归集力度尚需</w:t>
      </w:r>
      <w:r>
        <w:rPr>
          <w:rFonts w:hint="eastAsia" w:ascii="仿宋_GB2312" w:hAnsi="Arial" w:eastAsia="仿宋_GB2312" w:cs="Arial"/>
          <w:sz w:val="32"/>
          <w:szCs w:val="32"/>
          <w:shd w:val="clear" w:color="auto" w:fill="FFFFFF"/>
          <w:lang w:val="en-US" w:eastAsia="zh-CN"/>
        </w:rPr>
        <w:t>加强</w:t>
      </w:r>
      <w:r>
        <w:rPr>
          <w:rFonts w:hint="eastAsia" w:ascii="仿宋_GB2312" w:hAnsi="宋体" w:eastAsia="仿宋_GB2312" w:cs="仿宋_GB2312"/>
          <w:color w:val="000000"/>
          <w:kern w:val="0"/>
          <w:sz w:val="32"/>
          <w:szCs w:val="32"/>
        </w:rPr>
        <w:t>。</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Arial" w:eastAsia="仿宋_GB2312" w:cs="Arial"/>
          <w:b w:val="0"/>
          <w:bCs/>
          <w:sz w:val="32"/>
          <w:szCs w:val="32"/>
          <w:shd w:val="clear" w:color="auto" w:fill="FFFFFF"/>
        </w:rPr>
      </w:pPr>
      <w:r>
        <w:rPr>
          <w:rFonts w:hint="eastAsia" w:ascii="仿宋_GB2312" w:hAnsi="Arial" w:eastAsia="仿宋_GB2312" w:cs="Arial"/>
          <w:b w:val="0"/>
          <w:bCs/>
          <w:sz w:val="32"/>
          <w:szCs w:val="32"/>
          <w:shd w:val="clear" w:color="auto" w:fill="FFFFFF"/>
          <w:lang w:val="en-US" w:eastAsia="zh-CN"/>
        </w:rPr>
        <w:t>3.</w:t>
      </w:r>
      <w:r>
        <w:rPr>
          <w:rFonts w:hint="eastAsia" w:ascii="仿宋_GB2312" w:hAnsi="Arial" w:eastAsia="仿宋_GB2312" w:cs="Arial"/>
          <w:b w:val="0"/>
          <w:bCs/>
          <w:sz w:val="32"/>
          <w:szCs w:val="32"/>
          <w:shd w:val="clear" w:color="auto" w:fill="FFFFFF"/>
        </w:rPr>
        <w:t>巨灾防范应对存在薄弱环节，隐患排查整治亟需提质增效</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Arial" w:eastAsia="仿宋_GB2312" w:cs="Arial"/>
          <w:sz w:val="32"/>
          <w:szCs w:val="32"/>
          <w:shd w:val="clear" w:color="auto" w:fill="FFFFFF"/>
        </w:rPr>
      </w:pPr>
      <w:r>
        <w:rPr>
          <w:rFonts w:hint="eastAsia" w:ascii="仿宋_GB2312" w:hAnsi="Arial" w:eastAsia="仿宋_GB2312" w:cs="Arial"/>
          <w:sz w:val="32"/>
          <w:szCs w:val="32"/>
          <w:shd w:val="clear" w:color="auto" w:fill="FFFFFF"/>
        </w:rPr>
        <w:t>市区两级自上而下的巨灾应对机制尚不完善，央地、军地、京津冀联合工作机制需优化。灾害分区、分时段、分强度精准预报预警能力不足，城市基础设施容灾抗灾韧性低。基层应急救援基础薄弱，巨灾情景下的社会动员、转移避险、物资储备、自救互救等能力亟需提升。应急避难场所容量不足，配套设施不完善，缺乏必备的供水、供电等应急设施。“4·18”重大火灾事故发生后，全市迅速组织开展安全生产和火灾隐患大排查大整治，研究制定了一系列硬措施，安全生产形势总体平稳。但</w:t>
      </w:r>
      <w:bookmarkStart w:id="4" w:name="_GoBack"/>
      <w:bookmarkEnd w:id="4"/>
      <w:r>
        <w:rPr>
          <w:rFonts w:hint="eastAsia" w:ascii="仿宋_GB2312" w:hAnsi="Arial" w:eastAsia="仿宋_GB2312" w:cs="Arial"/>
          <w:sz w:val="32"/>
          <w:szCs w:val="32"/>
          <w:shd w:val="clear" w:color="auto" w:fill="FFFFFF"/>
        </w:rPr>
        <w:t>是安全生产责任落实仍有差距，养老机构、医疗机构、核心城区的平房院落待拆迁滞留区域、城乡结合部地区等部分行业领域“顽症固疾”治理难度大，建筑施工、电动自行车、燃气等个别行业领域事故屡禁不止，社会影响较大事故时有发生。</w:t>
      </w:r>
    </w:p>
    <w:p>
      <w:pPr>
        <w:numPr>
          <w:ilvl w:val="0"/>
          <w:numId w:val="0"/>
        </w:numPr>
        <w:pBdr>
          <w:bottom w:val="single" w:color="FFFFFF" w:sz="4" w:space="31"/>
        </w:pBdr>
        <w:topLinePunct/>
        <w:adjustRightInd w:val="0"/>
        <w:snapToGrid w:val="0"/>
        <w:spacing w:line="360" w:lineRule="auto"/>
        <w:ind w:leftChars="0" w:firstLine="640" w:firstLineChars="200"/>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lang w:val="en-US" w:eastAsia="zh-CN"/>
        </w:rPr>
        <w:t>六、</w:t>
      </w:r>
      <w:r>
        <w:rPr>
          <w:rFonts w:hint="eastAsia" w:ascii="黑体" w:hAnsi="黑体" w:eastAsia="黑体" w:cs="宋体"/>
          <w:color w:val="000000"/>
          <w:kern w:val="0"/>
          <w:sz w:val="32"/>
          <w:szCs w:val="32"/>
          <w:highlight w:val="none"/>
        </w:rPr>
        <w:t>措施建议</w:t>
      </w:r>
    </w:p>
    <w:p>
      <w:pPr>
        <w:numPr>
          <w:ilvl w:val="0"/>
          <w:numId w:val="0"/>
        </w:numPr>
        <w:pBdr>
          <w:bottom w:val="single" w:color="FFFFFF" w:sz="4" w:space="31"/>
        </w:pBdr>
        <w:topLinePunct/>
        <w:adjustRightInd w:val="0"/>
        <w:snapToGrid w:val="0"/>
        <w:spacing w:line="360" w:lineRule="auto"/>
        <w:ind w:firstLine="640" w:firstLineChars="200"/>
        <w:rPr>
          <w:rFonts w:hint="eastAsia" w:ascii="楷体_GB2312" w:eastAsia="楷体_GB2312"/>
          <w:sz w:val="32"/>
          <w:szCs w:val="32"/>
          <w:lang w:val="en-US" w:eastAsia="zh-CN"/>
        </w:rPr>
      </w:pPr>
      <w:r>
        <w:rPr>
          <w:rFonts w:hint="eastAsia" w:ascii="楷体_GB2312" w:eastAsia="楷体_GB2312"/>
          <w:sz w:val="32"/>
          <w:szCs w:val="32"/>
          <w:lang w:eastAsia="zh-CN"/>
        </w:rPr>
        <w:t>（</w:t>
      </w:r>
      <w:r>
        <w:rPr>
          <w:rFonts w:hint="eastAsia" w:ascii="楷体_GB2312" w:eastAsia="楷体_GB2312"/>
          <w:sz w:val="32"/>
          <w:szCs w:val="32"/>
          <w:lang w:val="en-US" w:eastAsia="zh-CN"/>
        </w:rPr>
        <w:t>一</w:t>
      </w:r>
      <w:r>
        <w:rPr>
          <w:rFonts w:hint="eastAsia" w:ascii="楷体_GB2312" w:eastAsia="楷体_GB2312"/>
          <w:sz w:val="32"/>
          <w:szCs w:val="32"/>
          <w:lang w:eastAsia="zh-CN"/>
        </w:rPr>
        <w:t>）</w:t>
      </w:r>
      <w:r>
        <w:rPr>
          <w:rFonts w:hint="eastAsia" w:ascii="楷体_GB2312" w:eastAsia="楷体_GB2312"/>
          <w:sz w:val="32"/>
          <w:szCs w:val="32"/>
        </w:rPr>
        <w:t>规范设置绩效目标</w:t>
      </w:r>
      <w:r>
        <w:rPr>
          <w:rFonts w:hint="eastAsia" w:ascii="楷体_GB2312" w:eastAsia="楷体_GB2312"/>
          <w:sz w:val="32"/>
          <w:szCs w:val="32"/>
          <w:lang w:eastAsia="zh-CN"/>
        </w:rPr>
        <w:t>，</w:t>
      </w:r>
      <w:r>
        <w:rPr>
          <w:rFonts w:hint="eastAsia" w:ascii="楷体_GB2312" w:eastAsia="楷体_GB2312"/>
          <w:sz w:val="32"/>
          <w:szCs w:val="32"/>
          <w:lang w:val="en-US" w:eastAsia="zh-CN"/>
        </w:rPr>
        <w:t>确保财政资金使用可考核性</w:t>
      </w:r>
    </w:p>
    <w:p>
      <w:pPr>
        <w:numPr>
          <w:ilvl w:val="0"/>
          <w:numId w:val="0"/>
        </w:numPr>
        <w:pBdr>
          <w:bottom w:val="single" w:color="FFFFFF" w:sz="4" w:space="31"/>
        </w:pBdr>
        <w:topLinePunct/>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建议项目单位</w:t>
      </w:r>
      <w:r>
        <w:rPr>
          <w:rFonts w:hint="eastAsia" w:ascii="仿宋_GB2312" w:hAnsi="仿宋_GB2312" w:eastAsia="仿宋_GB2312" w:cs="仿宋_GB2312"/>
          <w:sz w:val="32"/>
          <w:szCs w:val="32"/>
          <w:lang w:val="en-US" w:eastAsia="zh-CN"/>
        </w:rPr>
        <w:t>结合《北京市预算绩效管理办法》《北京市预算绩效目标管理办法》《北京市项目支出绩效评价管理办法》等相关文件，合理、全面设置部门整体绩效目标</w:t>
      </w:r>
      <w:r>
        <w:rPr>
          <w:rFonts w:hint="eastAsia" w:ascii="仿宋_GB2312" w:hAnsi="仿宋_GB2312" w:eastAsia="仿宋_GB2312" w:cs="仿宋_GB2312"/>
          <w:sz w:val="32"/>
          <w:szCs w:val="32"/>
        </w:rPr>
        <w:t>，</w:t>
      </w:r>
      <w:r>
        <w:rPr>
          <w:rFonts w:hint="eastAsia" w:ascii="仿宋_GB2312" w:eastAsia="仿宋_GB2312"/>
          <w:sz w:val="32"/>
          <w:szCs w:val="32"/>
        </w:rPr>
        <w:t>确保目标内容较为完整，</w:t>
      </w:r>
      <w:r>
        <w:rPr>
          <w:rFonts w:hint="eastAsia" w:ascii="仿宋_GB2312" w:hAnsi="仿宋_GB2312" w:eastAsia="仿宋_GB2312" w:cs="仿宋_GB2312"/>
          <w:sz w:val="32"/>
          <w:szCs w:val="32"/>
        </w:rPr>
        <w:t>明晰项目预期产出对应的预期效益内容，可以“通过开展……，实现……的目的”的形式阐述；绩效指标方面，严格按照财政部门对于项目绩效指标填报的相关要求，从产出数量、质量、</w:t>
      </w:r>
      <w:r>
        <w:rPr>
          <w:rFonts w:hint="eastAsia" w:ascii="仿宋_GB2312" w:hAnsi="仿宋_GB2312" w:eastAsia="仿宋_GB2312" w:cs="仿宋_GB2312"/>
          <w:sz w:val="32"/>
          <w:szCs w:val="32"/>
          <w:lang w:val="en-US" w:eastAsia="zh-CN"/>
        </w:rPr>
        <w:t>时效</w:t>
      </w:r>
      <w:r>
        <w:rPr>
          <w:rFonts w:hint="eastAsia" w:ascii="仿宋_GB2312" w:hAnsi="仿宋_GB2312" w:eastAsia="仿宋_GB2312" w:cs="仿宋_GB2312"/>
          <w:sz w:val="32"/>
          <w:szCs w:val="32"/>
        </w:rPr>
        <w:t>、成本、效益和满意度等方面设置全面、明确、细化、可考核的绩效指标，提高指标设置的完整性和有效性。</w:t>
      </w:r>
    </w:p>
    <w:p>
      <w:pPr>
        <w:numPr>
          <w:ilvl w:val="0"/>
          <w:numId w:val="0"/>
        </w:numPr>
        <w:pBdr>
          <w:bottom w:val="single" w:color="FFFFFF" w:sz="4" w:space="31"/>
        </w:pBdr>
        <w:topLinePunct/>
        <w:adjustRightInd w:val="0"/>
        <w:snapToGrid w:val="0"/>
        <w:spacing w:line="360" w:lineRule="auto"/>
        <w:ind w:firstLine="640" w:firstLineChars="20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eastAsia="zh-CN"/>
        </w:rPr>
        <w:t>（二）</w:t>
      </w:r>
      <w:r>
        <w:rPr>
          <w:rFonts w:hint="eastAsia" w:ascii="楷体_GB2312" w:hAnsi="楷体_GB2312" w:eastAsia="楷体_GB2312" w:cs="楷体_GB2312"/>
          <w:color w:val="000000"/>
          <w:kern w:val="0"/>
          <w:sz w:val="32"/>
          <w:szCs w:val="32"/>
        </w:rPr>
        <w:t xml:space="preserve">加强年度工作执行管理，提高过程监督管理有效性 </w:t>
      </w:r>
    </w:p>
    <w:p>
      <w:pPr>
        <w:numPr>
          <w:ilvl w:val="0"/>
          <w:numId w:val="0"/>
        </w:numPr>
        <w:pBdr>
          <w:bottom w:val="single" w:color="FFFFFF" w:sz="4" w:space="31"/>
        </w:pBdr>
        <w:topLinePunct/>
        <w:adjustRightInd w:val="0"/>
        <w:snapToGrid w:val="0"/>
        <w:spacing w:line="360" w:lineRule="auto"/>
        <w:ind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建议</w:t>
      </w:r>
      <w:r>
        <w:rPr>
          <w:rFonts w:hint="eastAsia" w:ascii="仿宋_GB2312" w:hAnsi="仿宋_GB2312" w:eastAsia="仿宋_GB2312" w:cs="仿宋_GB2312"/>
          <w:color w:val="000000"/>
          <w:kern w:val="0"/>
          <w:sz w:val="32"/>
          <w:szCs w:val="32"/>
          <w:lang w:val="en-US" w:eastAsia="zh-CN"/>
        </w:rPr>
        <w:t>市应急局</w:t>
      </w:r>
      <w:r>
        <w:rPr>
          <w:rFonts w:hint="eastAsia" w:ascii="仿宋_GB2312" w:hAnsi="仿宋_GB2312" w:eastAsia="仿宋_GB2312" w:cs="仿宋_GB2312"/>
          <w:color w:val="000000"/>
          <w:kern w:val="0"/>
          <w:sz w:val="32"/>
          <w:szCs w:val="32"/>
        </w:rPr>
        <w:t>进一步加强年度工作执行管理，加强对各部门年度工作和预算执行的跟踪管理及中期监控结果的应用，针对相关项目工作或预算执行进度缓慢等情况，落实相关人员责任，积极推动相关工作进行，确保实施年度内各项业务工作顺利完成，达到预期效益，提高过程监督管理的有效性。</w:t>
      </w:r>
    </w:p>
    <w:p>
      <w:pPr>
        <w:numPr>
          <w:ilvl w:val="0"/>
          <w:numId w:val="0"/>
        </w:numPr>
        <w:pBdr>
          <w:bottom w:val="single" w:color="FFFFFF" w:sz="4" w:space="31"/>
        </w:pBdr>
        <w:topLinePunct/>
        <w:adjustRightInd w:val="0"/>
        <w:snapToGrid w:val="0"/>
        <w:spacing w:line="360" w:lineRule="auto"/>
        <w:ind w:leftChars="0" w:firstLine="640" w:firstLineChars="200"/>
        <w:rPr>
          <w:rFonts w:hint="eastAsia" w:ascii="楷体_GB2312" w:eastAsia="楷体_GB2312"/>
          <w:sz w:val="32"/>
          <w:szCs w:val="32"/>
        </w:rPr>
      </w:pPr>
      <w:r>
        <w:rPr>
          <w:rFonts w:hint="eastAsia" w:ascii="楷体_GB2312" w:eastAsia="楷体_GB2312"/>
          <w:sz w:val="32"/>
          <w:szCs w:val="32"/>
          <w:lang w:eastAsia="zh-CN"/>
        </w:rPr>
        <w:t>（三）</w:t>
      </w:r>
      <w:r>
        <w:rPr>
          <w:rFonts w:hint="eastAsia" w:ascii="楷体_GB2312" w:eastAsia="楷体_GB2312"/>
          <w:sz w:val="32"/>
          <w:szCs w:val="32"/>
        </w:rPr>
        <w:t>逐步提高各部门预算绩效管理意识，完善工作成效整理分析</w:t>
      </w:r>
    </w:p>
    <w:p>
      <w:pPr>
        <w:numPr>
          <w:ilvl w:val="0"/>
          <w:numId w:val="0"/>
        </w:numPr>
        <w:pBdr>
          <w:bottom w:val="single" w:color="FFFFFF" w:sz="4" w:space="31"/>
        </w:pBdr>
        <w:topLinePunct/>
        <w:adjustRightInd w:val="0"/>
        <w:snapToGrid w:val="0"/>
        <w:spacing w:line="360" w:lineRule="auto"/>
        <w:ind w:leftChars="0" w:firstLine="640" w:firstLineChars="200"/>
      </w:pPr>
      <w:r>
        <w:rPr>
          <w:rFonts w:hint="eastAsia" w:ascii="仿宋_GB2312" w:hAnsi="Arial" w:eastAsia="仿宋_GB2312" w:cs="Arial"/>
          <w:sz w:val="32"/>
          <w:szCs w:val="32"/>
          <w:shd w:val="clear" w:color="auto" w:fill="FFFFFF"/>
        </w:rPr>
        <w:t>建议逐步提高各部门预算绩效管理意识，进一步完善项目成效资料的收集、整理、分析。从项目申报、预算编制、执行跟踪、绩效评价、结果应用等方面提高全过程预算绩效管理意识，保障资金的安全规范运行，确保资金使用效益的发挥。</w:t>
      </w:r>
      <w:r>
        <w:rPr>
          <w:rFonts w:hint="eastAsia" w:ascii="仿宋_GB2312" w:hAnsi="仿宋_GB2312" w:eastAsia="仿宋_GB2312" w:cs="仿宋_GB2312"/>
          <w:color w:val="000000"/>
          <w:kern w:val="0"/>
          <w:sz w:val="32"/>
          <w:szCs w:val="32"/>
        </w:rPr>
        <w:t>同时，对单位开展项目后效益性材料的收集、整理、分析工作进一步加强，充分分析项目实施成效情况。针对直接面向社会主体及公众或事关群众切身利益的相关工作，加强服务对象满意度调查工作，充分呈现实施效益，并为后续工作开展提供参考。</w:t>
      </w: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Noto Sans CJK JP Bold">
    <w:panose1 w:val="020B0800000000000000"/>
    <w:charset w:val="86"/>
    <w:family w:val="auto"/>
    <w:pitch w:val="default"/>
    <w:sig w:usb0="3000000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9525">
                        <a:noFill/>
                      </a:ln>
                    </wps:spPr>
                    <wps:txbx>
                      <w:txbxContent>
                        <w:p>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DOqXm5zwAAAAUBAAAP&#10;AAAAAAAAAAEAIAAAADgAAABkcnMvZG93bnJldi54bWxQSwECFAAUAAAACACHTuJAlw+dP9IBAACE&#10;AwAADgAAAAAAAAABACAAAAA0AQAAZHJzL2Uyb0RvYy54bWxQSwUGAAAAAAYABgBZAQAAeAU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9525">
                        <a:noFill/>
                      </a:ln>
                    </wps:spPr>
                    <wps:txbx>
                      <w:txbxContent>
                        <w:sdt>
                          <w:sdtPr>
                            <w:id w:val="18171184"/>
                          </w:sdtPr>
                          <w:sdtContent>
                            <w:p>
                              <w:pPr>
                                <w:pStyle w:val="8"/>
                                <w:jc w:val="center"/>
                              </w:pPr>
                            </w:p>
                          </w:sdtContent>
                        </w:sdt>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DOqXm5zwAAAAUBAAAP&#10;AAAAAAAAAAEAIAAAADgAAABkcnMvZG93bnJldi54bWxQSwECFAAUAAAACACHTuJA9vPBLtIBAACE&#10;AwAADgAAAAAAAAABACAAAAA0AQAAZHJzL2Uyb0RvYy54bWxQSwUGAAAAAAYABgBZAQAAeAUAAAAA&#10;">
              <v:fill on="f" focussize="0,0"/>
              <v:stroke on="f"/>
              <v:imagedata o:title=""/>
              <o:lock v:ext="edit" aspectratio="f"/>
              <v:textbox inset="0mm,0mm,0mm,0mm" style="mso-fit-shape-to-text:t;">
                <w:txbxContent>
                  <w:sdt>
                    <w:sdtPr>
                      <w:id w:val="18171184"/>
                    </w:sdtPr>
                    <w:sdtContent>
                      <w:p>
                        <w:pPr>
                          <w:pStyle w:val="8"/>
                          <w:jc w:val="center"/>
                        </w:pPr>
                      </w:p>
                    </w:sdtContent>
                  </w:sdt>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0"/>
        <w:snapToGrid w:val="0"/>
      </w:pPr>
      <w:r>
        <w:rPr>
          <w:rStyle w:val="18"/>
        </w:rPr>
        <w:footnoteRef/>
      </w:r>
      <w:r>
        <w:t xml:space="preserve"> </w:t>
      </w:r>
      <w:r>
        <w:rPr>
          <w:rFonts w:hint="eastAsia"/>
        </w:rPr>
        <w:t>除当年任务外，另有部分上年延续性任务将在本年度完成。</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88259"/>
    <w:multiLevelType w:val="singleLevel"/>
    <w:tmpl w:val="90088259"/>
    <w:lvl w:ilvl="0" w:tentative="0">
      <w:start w:val="2"/>
      <w:numFmt w:val="chineseCounting"/>
      <w:suff w:val="nothing"/>
      <w:lvlText w:val="（%1）"/>
      <w:lvlJc w:val="left"/>
      <w:rPr>
        <w:rFonts w:hint="eastAsia"/>
      </w:rPr>
    </w:lvl>
  </w:abstractNum>
  <w:abstractNum w:abstractNumId="1">
    <w:nsid w:val="C4403A71"/>
    <w:multiLevelType w:val="singleLevel"/>
    <w:tmpl w:val="C4403A71"/>
    <w:lvl w:ilvl="0" w:tentative="0">
      <w:start w:val="1"/>
      <w:numFmt w:val="decimal"/>
      <w:suff w:val="nothing"/>
      <w:lvlText w:val="（%1）"/>
      <w:lvlJc w:val="left"/>
    </w:lvl>
  </w:abstractNum>
  <w:abstractNum w:abstractNumId="2">
    <w:nsid w:val="D0C84EB2"/>
    <w:multiLevelType w:val="singleLevel"/>
    <w:tmpl w:val="D0C84EB2"/>
    <w:lvl w:ilvl="0" w:tentative="0">
      <w:start w:val="1"/>
      <w:numFmt w:val="chineseCounting"/>
      <w:suff w:val="nothing"/>
      <w:lvlText w:val="（%1）"/>
      <w:lvlJc w:val="left"/>
      <w:rPr>
        <w:rFonts w:hint="eastAsia"/>
      </w:rPr>
    </w:lvl>
  </w:abstractNum>
  <w:abstractNum w:abstractNumId="3">
    <w:nsid w:val="46643B5B"/>
    <w:multiLevelType w:val="singleLevel"/>
    <w:tmpl w:val="46643B5B"/>
    <w:lvl w:ilvl="0" w:tentative="0">
      <w:start w:val="1"/>
      <w:numFmt w:val="chineseCounting"/>
      <w:suff w:val="nothing"/>
      <w:lvlText w:val="（%1）"/>
      <w:lvlJc w:val="left"/>
      <w:rPr>
        <w:rFonts w:hint="eastAsia"/>
      </w:rPr>
    </w:lvl>
  </w:abstractNum>
  <w:abstractNum w:abstractNumId="4">
    <w:nsid w:val="52964D88"/>
    <w:multiLevelType w:val="singleLevel"/>
    <w:tmpl w:val="52964D88"/>
    <w:lvl w:ilvl="0" w:tentative="0">
      <w:start w:val="4"/>
      <w:numFmt w:val="chineseCounting"/>
      <w:suff w:val="nothing"/>
      <w:lvlText w:val="%1、"/>
      <w:lvlJc w:val="left"/>
      <w:rPr>
        <w:rFonts w:hint="eastAsia"/>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YzUzMWQ4OWI0YzBkYjYzMDRhZTY5ZjZkYmFmYTgifQ=="/>
  </w:docVars>
  <w:rsids>
    <w:rsidRoot w:val="008B5B0F"/>
    <w:rsid w:val="00024828"/>
    <w:rsid w:val="00027976"/>
    <w:rsid w:val="00027E95"/>
    <w:rsid w:val="00045AE8"/>
    <w:rsid w:val="00051968"/>
    <w:rsid w:val="00066099"/>
    <w:rsid w:val="0006688A"/>
    <w:rsid w:val="0008691E"/>
    <w:rsid w:val="00087413"/>
    <w:rsid w:val="00093AE7"/>
    <w:rsid w:val="000C7CE3"/>
    <w:rsid w:val="00104AB9"/>
    <w:rsid w:val="00124C52"/>
    <w:rsid w:val="0012792F"/>
    <w:rsid w:val="00134A4F"/>
    <w:rsid w:val="001374FA"/>
    <w:rsid w:val="0014265E"/>
    <w:rsid w:val="00160398"/>
    <w:rsid w:val="00173554"/>
    <w:rsid w:val="00185323"/>
    <w:rsid w:val="001A3799"/>
    <w:rsid w:val="001B7FEF"/>
    <w:rsid w:val="001E1DF7"/>
    <w:rsid w:val="00201B41"/>
    <w:rsid w:val="002544E2"/>
    <w:rsid w:val="002B621C"/>
    <w:rsid w:val="002C7465"/>
    <w:rsid w:val="002E0B9D"/>
    <w:rsid w:val="002E6FC4"/>
    <w:rsid w:val="00313830"/>
    <w:rsid w:val="00320F51"/>
    <w:rsid w:val="00324632"/>
    <w:rsid w:val="00357CE1"/>
    <w:rsid w:val="00373C4D"/>
    <w:rsid w:val="00380F0F"/>
    <w:rsid w:val="003855C3"/>
    <w:rsid w:val="003966B3"/>
    <w:rsid w:val="003B2BEB"/>
    <w:rsid w:val="003C055F"/>
    <w:rsid w:val="004273A4"/>
    <w:rsid w:val="00464361"/>
    <w:rsid w:val="00480B2E"/>
    <w:rsid w:val="00490889"/>
    <w:rsid w:val="004C4028"/>
    <w:rsid w:val="004C431E"/>
    <w:rsid w:val="004D2AF1"/>
    <w:rsid w:val="004E2D79"/>
    <w:rsid w:val="004E41C0"/>
    <w:rsid w:val="005130DD"/>
    <w:rsid w:val="00543BCF"/>
    <w:rsid w:val="00546F05"/>
    <w:rsid w:val="005813B3"/>
    <w:rsid w:val="00590B3C"/>
    <w:rsid w:val="005B1849"/>
    <w:rsid w:val="005F45D7"/>
    <w:rsid w:val="006815E9"/>
    <w:rsid w:val="006A5FCB"/>
    <w:rsid w:val="006C6189"/>
    <w:rsid w:val="006D1872"/>
    <w:rsid w:val="00716AF6"/>
    <w:rsid w:val="00744327"/>
    <w:rsid w:val="00757E5F"/>
    <w:rsid w:val="00763806"/>
    <w:rsid w:val="00782344"/>
    <w:rsid w:val="00785CA5"/>
    <w:rsid w:val="0079070C"/>
    <w:rsid w:val="00791520"/>
    <w:rsid w:val="007A27A7"/>
    <w:rsid w:val="007A78C3"/>
    <w:rsid w:val="007C3C5D"/>
    <w:rsid w:val="007D73F9"/>
    <w:rsid w:val="007E5CA4"/>
    <w:rsid w:val="007E65F8"/>
    <w:rsid w:val="00803D3C"/>
    <w:rsid w:val="00820421"/>
    <w:rsid w:val="00833353"/>
    <w:rsid w:val="00855737"/>
    <w:rsid w:val="00856FFB"/>
    <w:rsid w:val="00877FA2"/>
    <w:rsid w:val="00886F21"/>
    <w:rsid w:val="00887882"/>
    <w:rsid w:val="008A46D2"/>
    <w:rsid w:val="008B5B0F"/>
    <w:rsid w:val="008E6109"/>
    <w:rsid w:val="008F5180"/>
    <w:rsid w:val="00907A49"/>
    <w:rsid w:val="00960B74"/>
    <w:rsid w:val="009917BF"/>
    <w:rsid w:val="00993A8A"/>
    <w:rsid w:val="00993C55"/>
    <w:rsid w:val="009A2C39"/>
    <w:rsid w:val="009C06BA"/>
    <w:rsid w:val="009D171D"/>
    <w:rsid w:val="00A23F77"/>
    <w:rsid w:val="00A26074"/>
    <w:rsid w:val="00A37F59"/>
    <w:rsid w:val="00A6304D"/>
    <w:rsid w:val="00A754BA"/>
    <w:rsid w:val="00A906AB"/>
    <w:rsid w:val="00AD0911"/>
    <w:rsid w:val="00AD10DA"/>
    <w:rsid w:val="00AE37C3"/>
    <w:rsid w:val="00B43BF5"/>
    <w:rsid w:val="00B535FD"/>
    <w:rsid w:val="00B730AE"/>
    <w:rsid w:val="00B74200"/>
    <w:rsid w:val="00BC479A"/>
    <w:rsid w:val="00BF118B"/>
    <w:rsid w:val="00C11B36"/>
    <w:rsid w:val="00C14236"/>
    <w:rsid w:val="00C2512E"/>
    <w:rsid w:val="00C70CD1"/>
    <w:rsid w:val="00C73BA8"/>
    <w:rsid w:val="00C7608B"/>
    <w:rsid w:val="00CB3F12"/>
    <w:rsid w:val="00CC5433"/>
    <w:rsid w:val="00CF3D48"/>
    <w:rsid w:val="00D10B2B"/>
    <w:rsid w:val="00D34E3E"/>
    <w:rsid w:val="00D47576"/>
    <w:rsid w:val="00D517B9"/>
    <w:rsid w:val="00D952D7"/>
    <w:rsid w:val="00D95A9E"/>
    <w:rsid w:val="00DD428B"/>
    <w:rsid w:val="00DD4A0F"/>
    <w:rsid w:val="00DE40BE"/>
    <w:rsid w:val="00E0435A"/>
    <w:rsid w:val="00E32CB6"/>
    <w:rsid w:val="00E3716B"/>
    <w:rsid w:val="00E37317"/>
    <w:rsid w:val="00E45F78"/>
    <w:rsid w:val="00E80EFB"/>
    <w:rsid w:val="00E97C40"/>
    <w:rsid w:val="00EB3CB5"/>
    <w:rsid w:val="00F1574A"/>
    <w:rsid w:val="00F40234"/>
    <w:rsid w:val="00F556B6"/>
    <w:rsid w:val="00F64D6B"/>
    <w:rsid w:val="00F81099"/>
    <w:rsid w:val="00FC7B12"/>
    <w:rsid w:val="01087EB9"/>
    <w:rsid w:val="01167E41"/>
    <w:rsid w:val="01241874"/>
    <w:rsid w:val="01722CB2"/>
    <w:rsid w:val="0234734A"/>
    <w:rsid w:val="02AF706D"/>
    <w:rsid w:val="02B15FDF"/>
    <w:rsid w:val="02F25F62"/>
    <w:rsid w:val="03215DBB"/>
    <w:rsid w:val="03353615"/>
    <w:rsid w:val="036A7F01"/>
    <w:rsid w:val="0378670A"/>
    <w:rsid w:val="03A501CB"/>
    <w:rsid w:val="03B27F74"/>
    <w:rsid w:val="03B73B01"/>
    <w:rsid w:val="03EB6F0D"/>
    <w:rsid w:val="0450088E"/>
    <w:rsid w:val="04F64C0C"/>
    <w:rsid w:val="05023861"/>
    <w:rsid w:val="05401B55"/>
    <w:rsid w:val="05560A2F"/>
    <w:rsid w:val="05912922"/>
    <w:rsid w:val="05DB5DA1"/>
    <w:rsid w:val="06123E51"/>
    <w:rsid w:val="061C3045"/>
    <w:rsid w:val="06605B8A"/>
    <w:rsid w:val="06A04567"/>
    <w:rsid w:val="07912DA4"/>
    <w:rsid w:val="07B04361"/>
    <w:rsid w:val="07FD39CF"/>
    <w:rsid w:val="087864FF"/>
    <w:rsid w:val="093940DD"/>
    <w:rsid w:val="094F1D87"/>
    <w:rsid w:val="096C0C2F"/>
    <w:rsid w:val="09957320"/>
    <w:rsid w:val="09E958A4"/>
    <w:rsid w:val="0A314A5F"/>
    <w:rsid w:val="0A8F0E98"/>
    <w:rsid w:val="0A8F77DA"/>
    <w:rsid w:val="0AB70FD4"/>
    <w:rsid w:val="0AC32D72"/>
    <w:rsid w:val="0B49336B"/>
    <w:rsid w:val="0B766C3D"/>
    <w:rsid w:val="0B786F10"/>
    <w:rsid w:val="0BCD2885"/>
    <w:rsid w:val="0BFE30B0"/>
    <w:rsid w:val="0C313C61"/>
    <w:rsid w:val="0C3554D5"/>
    <w:rsid w:val="0CAB136C"/>
    <w:rsid w:val="0D0E47EC"/>
    <w:rsid w:val="0D1004D5"/>
    <w:rsid w:val="0D2059A1"/>
    <w:rsid w:val="0DAA2944"/>
    <w:rsid w:val="0DF21E89"/>
    <w:rsid w:val="0E7A0A6B"/>
    <w:rsid w:val="0E867B25"/>
    <w:rsid w:val="0E97238F"/>
    <w:rsid w:val="0EA570C0"/>
    <w:rsid w:val="0EC22D49"/>
    <w:rsid w:val="0EC44641"/>
    <w:rsid w:val="0F124980"/>
    <w:rsid w:val="0F183329"/>
    <w:rsid w:val="0F9F35B5"/>
    <w:rsid w:val="0FCE4EB8"/>
    <w:rsid w:val="0FDB778A"/>
    <w:rsid w:val="10090274"/>
    <w:rsid w:val="101C53E4"/>
    <w:rsid w:val="104571EC"/>
    <w:rsid w:val="109A303F"/>
    <w:rsid w:val="10DB6789"/>
    <w:rsid w:val="11066BE4"/>
    <w:rsid w:val="11095633"/>
    <w:rsid w:val="114F0F7D"/>
    <w:rsid w:val="115E0D78"/>
    <w:rsid w:val="11925540"/>
    <w:rsid w:val="11CB66CF"/>
    <w:rsid w:val="11EF30D5"/>
    <w:rsid w:val="11F1718B"/>
    <w:rsid w:val="1209552B"/>
    <w:rsid w:val="125F4AD9"/>
    <w:rsid w:val="12B122A1"/>
    <w:rsid w:val="12E1241C"/>
    <w:rsid w:val="13040630"/>
    <w:rsid w:val="13B42B8C"/>
    <w:rsid w:val="13C01572"/>
    <w:rsid w:val="13C55B13"/>
    <w:rsid w:val="13CC5AF2"/>
    <w:rsid w:val="13D933B3"/>
    <w:rsid w:val="1418591C"/>
    <w:rsid w:val="14215E20"/>
    <w:rsid w:val="145C6A4F"/>
    <w:rsid w:val="149C5DA2"/>
    <w:rsid w:val="14C36503"/>
    <w:rsid w:val="14D1055E"/>
    <w:rsid w:val="14FA311C"/>
    <w:rsid w:val="151A4565"/>
    <w:rsid w:val="15621FF4"/>
    <w:rsid w:val="158624A4"/>
    <w:rsid w:val="15CD30D4"/>
    <w:rsid w:val="15E35936"/>
    <w:rsid w:val="15F5699D"/>
    <w:rsid w:val="160411F9"/>
    <w:rsid w:val="16521030"/>
    <w:rsid w:val="166A105C"/>
    <w:rsid w:val="168956CB"/>
    <w:rsid w:val="1701726B"/>
    <w:rsid w:val="19523682"/>
    <w:rsid w:val="19853D6F"/>
    <w:rsid w:val="19BE0478"/>
    <w:rsid w:val="19CA3B2A"/>
    <w:rsid w:val="19FF4EFF"/>
    <w:rsid w:val="1A30670A"/>
    <w:rsid w:val="1A4402E4"/>
    <w:rsid w:val="1A5D1E4D"/>
    <w:rsid w:val="1ACD6503"/>
    <w:rsid w:val="1AE714F4"/>
    <w:rsid w:val="1B020AEE"/>
    <w:rsid w:val="1B413F32"/>
    <w:rsid w:val="1B4D65D0"/>
    <w:rsid w:val="1B79706E"/>
    <w:rsid w:val="1B843349"/>
    <w:rsid w:val="1BD8116C"/>
    <w:rsid w:val="1BE8425F"/>
    <w:rsid w:val="1BFA5CEB"/>
    <w:rsid w:val="1C094530"/>
    <w:rsid w:val="1C4D43E8"/>
    <w:rsid w:val="1C5B603D"/>
    <w:rsid w:val="1C8774A4"/>
    <w:rsid w:val="1C9B50C2"/>
    <w:rsid w:val="1CE031F4"/>
    <w:rsid w:val="1D216B94"/>
    <w:rsid w:val="1D273C7E"/>
    <w:rsid w:val="1D8141E7"/>
    <w:rsid w:val="1DAC2B92"/>
    <w:rsid w:val="1DC83AA1"/>
    <w:rsid w:val="1DDA607C"/>
    <w:rsid w:val="1EB26C23"/>
    <w:rsid w:val="1EEE4E69"/>
    <w:rsid w:val="1EFF7E9F"/>
    <w:rsid w:val="1F000B4B"/>
    <w:rsid w:val="1F1502F5"/>
    <w:rsid w:val="1F2F1600"/>
    <w:rsid w:val="1F326F07"/>
    <w:rsid w:val="1F476E96"/>
    <w:rsid w:val="1F6B50A5"/>
    <w:rsid w:val="1F784764"/>
    <w:rsid w:val="1FD7645C"/>
    <w:rsid w:val="200126DA"/>
    <w:rsid w:val="20DD4B56"/>
    <w:rsid w:val="21487245"/>
    <w:rsid w:val="216871EF"/>
    <w:rsid w:val="216B6250"/>
    <w:rsid w:val="21AE660E"/>
    <w:rsid w:val="221A5555"/>
    <w:rsid w:val="229E253E"/>
    <w:rsid w:val="22A94D9B"/>
    <w:rsid w:val="22BE5B20"/>
    <w:rsid w:val="233F39BA"/>
    <w:rsid w:val="238D35B8"/>
    <w:rsid w:val="2396641E"/>
    <w:rsid w:val="239B1445"/>
    <w:rsid w:val="239E57CC"/>
    <w:rsid w:val="23B45211"/>
    <w:rsid w:val="24173370"/>
    <w:rsid w:val="24254020"/>
    <w:rsid w:val="24597D08"/>
    <w:rsid w:val="247B04AF"/>
    <w:rsid w:val="249F78FA"/>
    <w:rsid w:val="253E7BAE"/>
    <w:rsid w:val="25822115"/>
    <w:rsid w:val="25BA78DD"/>
    <w:rsid w:val="25E00E07"/>
    <w:rsid w:val="25FD2B10"/>
    <w:rsid w:val="26195D97"/>
    <w:rsid w:val="2669364D"/>
    <w:rsid w:val="267254BA"/>
    <w:rsid w:val="267345A6"/>
    <w:rsid w:val="268B16B8"/>
    <w:rsid w:val="26A36CBE"/>
    <w:rsid w:val="272E062A"/>
    <w:rsid w:val="277219C6"/>
    <w:rsid w:val="27CA50E7"/>
    <w:rsid w:val="281D1523"/>
    <w:rsid w:val="288A6A7E"/>
    <w:rsid w:val="28C7465D"/>
    <w:rsid w:val="28EB2DCA"/>
    <w:rsid w:val="292C436E"/>
    <w:rsid w:val="29410199"/>
    <w:rsid w:val="2A3A20B0"/>
    <w:rsid w:val="2AA95F43"/>
    <w:rsid w:val="2AE732B3"/>
    <w:rsid w:val="2AF52D17"/>
    <w:rsid w:val="2B7A2ED8"/>
    <w:rsid w:val="2B941DE3"/>
    <w:rsid w:val="2BAB53BD"/>
    <w:rsid w:val="2BD548C2"/>
    <w:rsid w:val="2BFB46B8"/>
    <w:rsid w:val="2C15691A"/>
    <w:rsid w:val="2C8754B0"/>
    <w:rsid w:val="2CAE19A1"/>
    <w:rsid w:val="2D651BC0"/>
    <w:rsid w:val="2D7670D4"/>
    <w:rsid w:val="2D905E9E"/>
    <w:rsid w:val="2E306730"/>
    <w:rsid w:val="2E4A1231"/>
    <w:rsid w:val="2E854FDF"/>
    <w:rsid w:val="2E901F39"/>
    <w:rsid w:val="2E964B4A"/>
    <w:rsid w:val="2E9950E3"/>
    <w:rsid w:val="2EBE394A"/>
    <w:rsid w:val="2EC41349"/>
    <w:rsid w:val="2F1923C6"/>
    <w:rsid w:val="2F3D7462"/>
    <w:rsid w:val="2F5A2B9B"/>
    <w:rsid w:val="2F692854"/>
    <w:rsid w:val="2F695E11"/>
    <w:rsid w:val="30204114"/>
    <w:rsid w:val="30375632"/>
    <w:rsid w:val="30831BEF"/>
    <w:rsid w:val="30E5713B"/>
    <w:rsid w:val="3131521A"/>
    <w:rsid w:val="31AA697C"/>
    <w:rsid w:val="31BF5F26"/>
    <w:rsid w:val="31FE4ACD"/>
    <w:rsid w:val="32801DE9"/>
    <w:rsid w:val="32BE28D5"/>
    <w:rsid w:val="32F5676C"/>
    <w:rsid w:val="33124630"/>
    <w:rsid w:val="331905DD"/>
    <w:rsid w:val="33285069"/>
    <w:rsid w:val="33350984"/>
    <w:rsid w:val="33362639"/>
    <w:rsid w:val="33DB7F23"/>
    <w:rsid w:val="34EA01E7"/>
    <w:rsid w:val="355472CF"/>
    <w:rsid w:val="357C4F4F"/>
    <w:rsid w:val="359851E2"/>
    <w:rsid w:val="35FC0E2C"/>
    <w:rsid w:val="35FC5257"/>
    <w:rsid w:val="363D2995"/>
    <w:rsid w:val="36583D83"/>
    <w:rsid w:val="366A031C"/>
    <w:rsid w:val="36F436F3"/>
    <w:rsid w:val="36FC5018"/>
    <w:rsid w:val="373953F9"/>
    <w:rsid w:val="379D736F"/>
    <w:rsid w:val="37E73A2F"/>
    <w:rsid w:val="37FE1CE4"/>
    <w:rsid w:val="38271F5E"/>
    <w:rsid w:val="387323FF"/>
    <w:rsid w:val="38963E74"/>
    <w:rsid w:val="38C675BC"/>
    <w:rsid w:val="38E7357D"/>
    <w:rsid w:val="38F372D7"/>
    <w:rsid w:val="38F96682"/>
    <w:rsid w:val="39025E27"/>
    <w:rsid w:val="39543EC1"/>
    <w:rsid w:val="395E68B0"/>
    <w:rsid w:val="3994620E"/>
    <w:rsid w:val="39AF71C2"/>
    <w:rsid w:val="39B2100E"/>
    <w:rsid w:val="3A514C03"/>
    <w:rsid w:val="3A5D3453"/>
    <w:rsid w:val="3A761975"/>
    <w:rsid w:val="3A8D5B90"/>
    <w:rsid w:val="3A943D98"/>
    <w:rsid w:val="3AA703BB"/>
    <w:rsid w:val="3B20521B"/>
    <w:rsid w:val="3B6E720C"/>
    <w:rsid w:val="3C75215E"/>
    <w:rsid w:val="3C8C1304"/>
    <w:rsid w:val="3D251D2B"/>
    <w:rsid w:val="3DBF7514"/>
    <w:rsid w:val="3EEC6B92"/>
    <w:rsid w:val="3EFE2AEC"/>
    <w:rsid w:val="3F044EEB"/>
    <w:rsid w:val="3F0965C7"/>
    <w:rsid w:val="3F484DAA"/>
    <w:rsid w:val="3F9800CE"/>
    <w:rsid w:val="40305A0D"/>
    <w:rsid w:val="40683A0E"/>
    <w:rsid w:val="407A6010"/>
    <w:rsid w:val="40933102"/>
    <w:rsid w:val="40AB05E0"/>
    <w:rsid w:val="40DF2289"/>
    <w:rsid w:val="4114490A"/>
    <w:rsid w:val="41865602"/>
    <w:rsid w:val="4187785D"/>
    <w:rsid w:val="41D13583"/>
    <w:rsid w:val="41D7043D"/>
    <w:rsid w:val="42636D7B"/>
    <w:rsid w:val="430C5CD0"/>
    <w:rsid w:val="43267DB4"/>
    <w:rsid w:val="432E005F"/>
    <w:rsid w:val="43AE3D35"/>
    <w:rsid w:val="43CB1CEA"/>
    <w:rsid w:val="43E8689E"/>
    <w:rsid w:val="4413082D"/>
    <w:rsid w:val="4477737D"/>
    <w:rsid w:val="44CA13D2"/>
    <w:rsid w:val="45112526"/>
    <w:rsid w:val="45471C8F"/>
    <w:rsid w:val="454D3019"/>
    <w:rsid w:val="45782225"/>
    <w:rsid w:val="45BA483C"/>
    <w:rsid w:val="464E3B63"/>
    <w:rsid w:val="46C36AD6"/>
    <w:rsid w:val="46D65E8D"/>
    <w:rsid w:val="46E22D96"/>
    <w:rsid w:val="47120220"/>
    <w:rsid w:val="471A0BA3"/>
    <w:rsid w:val="47413903"/>
    <w:rsid w:val="47AC3530"/>
    <w:rsid w:val="481F015C"/>
    <w:rsid w:val="483B2089"/>
    <w:rsid w:val="48734360"/>
    <w:rsid w:val="48D9796D"/>
    <w:rsid w:val="48DA53F3"/>
    <w:rsid w:val="49023533"/>
    <w:rsid w:val="49027CFB"/>
    <w:rsid w:val="490D5677"/>
    <w:rsid w:val="4945024A"/>
    <w:rsid w:val="495241D1"/>
    <w:rsid w:val="49871793"/>
    <w:rsid w:val="499C5266"/>
    <w:rsid w:val="4A3C252F"/>
    <w:rsid w:val="4A484FA8"/>
    <w:rsid w:val="4A6C6960"/>
    <w:rsid w:val="4A7D0285"/>
    <w:rsid w:val="4AA9081F"/>
    <w:rsid w:val="4AAD14B7"/>
    <w:rsid w:val="4ACF028E"/>
    <w:rsid w:val="4AE90AA3"/>
    <w:rsid w:val="4B860B75"/>
    <w:rsid w:val="4BAE3C96"/>
    <w:rsid w:val="4BEF01F0"/>
    <w:rsid w:val="4C335065"/>
    <w:rsid w:val="4C437D42"/>
    <w:rsid w:val="4C8E0D08"/>
    <w:rsid w:val="4C9A45C3"/>
    <w:rsid w:val="4CB41748"/>
    <w:rsid w:val="4CF06938"/>
    <w:rsid w:val="4CF62A6A"/>
    <w:rsid w:val="4CFC358B"/>
    <w:rsid w:val="4D0B266A"/>
    <w:rsid w:val="4D0B2D43"/>
    <w:rsid w:val="4D1C18C0"/>
    <w:rsid w:val="4DD87B17"/>
    <w:rsid w:val="4DF8032A"/>
    <w:rsid w:val="4EB17D0E"/>
    <w:rsid w:val="4ED253DD"/>
    <w:rsid w:val="4ED31DAB"/>
    <w:rsid w:val="4EE2617F"/>
    <w:rsid w:val="4F291B1F"/>
    <w:rsid w:val="4F5F06CA"/>
    <w:rsid w:val="4F8071AE"/>
    <w:rsid w:val="4F8A4D4C"/>
    <w:rsid w:val="4F9B44E2"/>
    <w:rsid w:val="4FAB28B1"/>
    <w:rsid w:val="4FEA26F9"/>
    <w:rsid w:val="502A4B6D"/>
    <w:rsid w:val="50995D69"/>
    <w:rsid w:val="50AB0BBB"/>
    <w:rsid w:val="50B34B9E"/>
    <w:rsid w:val="50CC1513"/>
    <w:rsid w:val="50FC5D97"/>
    <w:rsid w:val="51144038"/>
    <w:rsid w:val="515B5638"/>
    <w:rsid w:val="51BB06AF"/>
    <w:rsid w:val="51BB3754"/>
    <w:rsid w:val="51C554FB"/>
    <w:rsid w:val="51F12CAB"/>
    <w:rsid w:val="521E16B9"/>
    <w:rsid w:val="52400153"/>
    <w:rsid w:val="5274047E"/>
    <w:rsid w:val="5292407B"/>
    <w:rsid w:val="532235F8"/>
    <w:rsid w:val="533770B5"/>
    <w:rsid w:val="5357641A"/>
    <w:rsid w:val="54000F4B"/>
    <w:rsid w:val="542D5D4B"/>
    <w:rsid w:val="54741131"/>
    <w:rsid w:val="54841F50"/>
    <w:rsid w:val="54C51AC2"/>
    <w:rsid w:val="5538282A"/>
    <w:rsid w:val="554B3C39"/>
    <w:rsid w:val="556034A5"/>
    <w:rsid w:val="558C76BA"/>
    <w:rsid w:val="559F58B0"/>
    <w:rsid w:val="55D246BE"/>
    <w:rsid w:val="56554363"/>
    <w:rsid w:val="56C535F0"/>
    <w:rsid w:val="571668B8"/>
    <w:rsid w:val="57385217"/>
    <w:rsid w:val="57836F9E"/>
    <w:rsid w:val="57901855"/>
    <w:rsid w:val="57AD7CAE"/>
    <w:rsid w:val="57F130FC"/>
    <w:rsid w:val="57F14196"/>
    <w:rsid w:val="5816141F"/>
    <w:rsid w:val="583C11F1"/>
    <w:rsid w:val="588418A2"/>
    <w:rsid w:val="59214904"/>
    <w:rsid w:val="59810C90"/>
    <w:rsid w:val="59937403"/>
    <w:rsid w:val="59B86C63"/>
    <w:rsid w:val="59CC729D"/>
    <w:rsid w:val="5A612D83"/>
    <w:rsid w:val="5A612FDC"/>
    <w:rsid w:val="5AAC73A1"/>
    <w:rsid w:val="5AF00C14"/>
    <w:rsid w:val="5B145B2B"/>
    <w:rsid w:val="5B1B6B72"/>
    <w:rsid w:val="5B302B18"/>
    <w:rsid w:val="5B3F58A2"/>
    <w:rsid w:val="5B471D1B"/>
    <w:rsid w:val="5B7A034D"/>
    <w:rsid w:val="5BF32543"/>
    <w:rsid w:val="5C36515A"/>
    <w:rsid w:val="5C6B6EC7"/>
    <w:rsid w:val="5C74089D"/>
    <w:rsid w:val="5CA23821"/>
    <w:rsid w:val="5CAB456C"/>
    <w:rsid w:val="5D075142"/>
    <w:rsid w:val="5D292464"/>
    <w:rsid w:val="5D410D3A"/>
    <w:rsid w:val="5D5638FC"/>
    <w:rsid w:val="5D5A50DE"/>
    <w:rsid w:val="5D654F5E"/>
    <w:rsid w:val="5D8C3CBF"/>
    <w:rsid w:val="5D8F0C11"/>
    <w:rsid w:val="5E5D65C4"/>
    <w:rsid w:val="5E7A29BF"/>
    <w:rsid w:val="5EDB779E"/>
    <w:rsid w:val="5EDC5A85"/>
    <w:rsid w:val="5F01176B"/>
    <w:rsid w:val="5F21708F"/>
    <w:rsid w:val="5F40108F"/>
    <w:rsid w:val="5F562883"/>
    <w:rsid w:val="5F842901"/>
    <w:rsid w:val="603960A1"/>
    <w:rsid w:val="60777241"/>
    <w:rsid w:val="612A3A34"/>
    <w:rsid w:val="61607B01"/>
    <w:rsid w:val="61C731F9"/>
    <w:rsid w:val="61CF6D90"/>
    <w:rsid w:val="61EE6978"/>
    <w:rsid w:val="6201108D"/>
    <w:rsid w:val="62580983"/>
    <w:rsid w:val="627B0ED1"/>
    <w:rsid w:val="62917182"/>
    <w:rsid w:val="62F22ED0"/>
    <w:rsid w:val="630E712A"/>
    <w:rsid w:val="63AF2F0D"/>
    <w:rsid w:val="63B4054E"/>
    <w:rsid w:val="63BE3DC6"/>
    <w:rsid w:val="63D97ADA"/>
    <w:rsid w:val="641A6252"/>
    <w:rsid w:val="645415A9"/>
    <w:rsid w:val="645F69D7"/>
    <w:rsid w:val="64BB30C5"/>
    <w:rsid w:val="64BC4925"/>
    <w:rsid w:val="65151CD1"/>
    <w:rsid w:val="654C7493"/>
    <w:rsid w:val="65C02C47"/>
    <w:rsid w:val="65C7273D"/>
    <w:rsid w:val="6608182C"/>
    <w:rsid w:val="66647198"/>
    <w:rsid w:val="66A17A4B"/>
    <w:rsid w:val="66F76BE6"/>
    <w:rsid w:val="67322798"/>
    <w:rsid w:val="677E3B51"/>
    <w:rsid w:val="67965A5E"/>
    <w:rsid w:val="680B0B93"/>
    <w:rsid w:val="681857CF"/>
    <w:rsid w:val="68771F38"/>
    <w:rsid w:val="691014E0"/>
    <w:rsid w:val="691661A9"/>
    <w:rsid w:val="69236875"/>
    <w:rsid w:val="697264A9"/>
    <w:rsid w:val="6A3A2346"/>
    <w:rsid w:val="6A695FA0"/>
    <w:rsid w:val="6A697518"/>
    <w:rsid w:val="6A9055D6"/>
    <w:rsid w:val="6AAF2B96"/>
    <w:rsid w:val="6B5E763B"/>
    <w:rsid w:val="6B774100"/>
    <w:rsid w:val="6B90618A"/>
    <w:rsid w:val="6BAC2035"/>
    <w:rsid w:val="6BB71D68"/>
    <w:rsid w:val="6BBA0280"/>
    <w:rsid w:val="6BD11B7B"/>
    <w:rsid w:val="6C4A22C1"/>
    <w:rsid w:val="6C6226E8"/>
    <w:rsid w:val="6CA07E9A"/>
    <w:rsid w:val="6D9F7C05"/>
    <w:rsid w:val="6DDB7F26"/>
    <w:rsid w:val="6E442F31"/>
    <w:rsid w:val="6E7027F6"/>
    <w:rsid w:val="6EA532DB"/>
    <w:rsid w:val="6ED26380"/>
    <w:rsid w:val="6ED421FE"/>
    <w:rsid w:val="6ED42964"/>
    <w:rsid w:val="6EFC3B7D"/>
    <w:rsid w:val="6FD1139C"/>
    <w:rsid w:val="701D34A2"/>
    <w:rsid w:val="705F07D2"/>
    <w:rsid w:val="70D55E5E"/>
    <w:rsid w:val="712515B4"/>
    <w:rsid w:val="714B70A2"/>
    <w:rsid w:val="71683AC5"/>
    <w:rsid w:val="716C2019"/>
    <w:rsid w:val="71883FA5"/>
    <w:rsid w:val="71BB3952"/>
    <w:rsid w:val="71DF677C"/>
    <w:rsid w:val="71F06318"/>
    <w:rsid w:val="71F13744"/>
    <w:rsid w:val="73331353"/>
    <w:rsid w:val="736D4C33"/>
    <w:rsid w:val="737A2F33"/>
    <w:rsid w:val="739E2AEB"/>
    <w:rsid w:val="73E0655B"/>
    <w:rsid w:val="73E21D8C"/>
    <w:rsid w:val="73FE13EC"/>
    <w:rsid w:val="742C4914"/>
    <w:rsid w:val="742E7A5B"/>
    <w:rsid w:val="74EF3F55"/>
    <w:rsid w:val="74FD1955"/>
    <w:rsid w:val="75124F36"/>
    <w:rsid w:val="7542652C"/>
    <w:rsid w:val="75523C06"/>
    <w:rsid w:val="75797A28"/>
    <w:rsid w:val="75863E67"/>
    <w:rsid w:val="75B21B18"/>
    <w:rsid w:val="75CC2C74"/>
    <w:rsid w:val="764C2866"/>
    <w:rsid w:val="764C5781"/>
    <w:rsid w:val="76787D48"/>
    <w:rsid w:val="76B914BF"/>
    <w:rsid w:val="77064B05"/>
    <w:rsid w:val="77633384"/>
    <w:rsid w:val="776406F1"/>
    <w:rsid w:val="7784698E"/>
    <w:rsid w:val="77C26B0E"/>
    <w:rsid w:val="781343CC"/>
    <w:rsid w:val="78141C36"/>
    <w:rsid w:val="781C7B4C"/>
    <w:rsid w:val="783866C4"/>
    <w:rsid w:val="784D4694"/>
    <w:rsid w:val="78FB3062"/>
    <w:rsid w:val="792F47E8"/>
    <w:rsid w:val="797D7CED"/>
    <w:rsid w:val="79872B48"/>
    <w:rsid w:val="799E47DE"/>
    <w:rsid w:val="79FC2BC1"/>
    <w:rsid w:val="7A193789"/>
    <w:rsid w:val="7A7D7F3E"/>
    <w:rsid w:val="7A7F3702"/>
    <w:rsid w:val="7B1A1164"/>
    <w:rsid w:val="7BD22170"/>
    <w:rsid w:val="7BD91E09"/>
    <w:rsid w:val="7BDC7CAF"/>
    <w:rsid w:val="7C296138"/>
    <w:rsid w:val="7C4E5C4F"/>
    <w:rsid w:val="7C5B4900"/>
    <w:rsid w:val="7C5E3462"/>
    <w:rsid w:val="7C6A1384"/>
    <w:rsid w:val="7C7A391F"/>
    <w:rsid w:val="7D382992"/>
    <w:rsid w:val="7D7E3C5A"/>
    <w:rsid w:val="7DA15513"/>
    <w:rsid w:val="7DF66253"/>
    <w:rsid w:val="7DF75B5A"/>
    <w:rsid w:val="7E0A7ECC"/>
    <w:rsid w:val="7E114E3E"/>
    <w:rsid w:val="7E2827E4"/>
    <w:rsid w:val="7ECA23AF"/>
    <w:rsid w:val="7EEF1EA0"/>
    <w:rsid w:val="7F2178FF"/>
    <w:rsid w:val="7F4F67AD"/>
    <w:rsid w:val="7FAD4032"/>
    <w:rsid w:val="D7792694"/>
    <w:rsid w:val="ECF83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0"/>
      <w:ind w:firstLine="420" w:firstLineChars="200"/>
    </w:pPr>
  </w:style>
  <w:style w:type="paragraph" w:styleId="3">
    <w:name w:val="Body Text Indent"/>
    <w:basedOn w:val="1"/>
    <w:next w:val="4"/>
    <w:qFormat/>
    <w:uiPriority w:val="0"/>
    <w:pPr>
      <w:ind w:firstLine="611" w:firstLineChars="196"/>
    </w:pPr>
  </w:style>
  <w:style w:type="paragraph" w:styleId="4">
    <w:name w:val="Normal Indent"/>
    <w:basedOn w:val="1"/>
    <w:next w:val="1"/>
    <w:qFormat/>
    <w:uiPriority w:val="0"/>
    <w:pPr>
      <w:ind w:firstLine="200" w:firstLineChars="200"/>
    </w:pPr>
  </w:style>
  <w:style w:type="paragraph" w:styleId="5">
    <w:name w:val="caption"/>
    <w:basedOn w:val="1"/>
    <w:next w:val="1"/>
    <w:unhideWhenUsed/>
    <w:qFormat/>
    <w:uiPriority w:val="0"/>
    <w:rPr>
      <w:rFonts w:eastAsia="黑体" w:asciiTheme="majorHAnsi" w:hAnsiTheme="majorHAnsi" w:cstheme="majorBidi"/>
      <w:sz w:val="20"/>
      <w:szCs w:val="20"/>
    </w:rPr>
  </w:style>
  <w:style w:type="paragraph" w:styleId="6">
    <w:name w:val="Document Map"/>
    <w:basedOn w:val="1"/>
    <w:link w:val="20"/>
    <w:qFormat/>
    <w:uiPriority w:val="0"/>
    <w:rPr>
      <w:rFonts w:ascii="宋体"/>
      <w:sz w:val="18"/>
      <w:szCs w:val="18"/>
    </w:rPr>
  </w:style>
  <w:style w:type="paragraph" w:styleId="7">
    <w:name w:val="Balloon Text"/>
    <w:basedOn w:val="1"/>
    <w:link w:val="21"/>
    <w:qFormat/>
    <w:uiPriority w:val="0"/>
    <w:rPr>
      <w:sz w:val="18"/>
      <w:szCs w:val="18"/>
    </w:rPr>
  </w:style>
  <w:style w:type="paragraph" w:styleId="8">
    <w:name w:val="footer"/>
    <w:basedOn w:val="1"/>
    <w:qFormat/>
    <w:uiPriority w:val="99"/>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footnote text"/>
    <w:basedOn w:val="1"/>
    <w:qFormat/>
    <w:uiPriority w:val="0"/>
    <w:pPr>
      <w:snapToGrid w:val="0"/>
      <w:jc w:val="left"/>
    </w:pPr>
    <w:rPr>
      <w:sz w:val="18"/>
      <w:szCs w:val="18"/>
    </w:rPr>
  </w:style>
  <w:style w:type="paragraph" w:styleId="11">
    <w:name w:val="Body Text 2"/>
    <w:basedOn w:val="1"/>
    <w:link w:val="22"/>
    <w:qFormat/>
    <w:uiPriority w:val="0"/>
    <w:pPr>
      <w:wordWrap w:val="0"/>
      <w:spacing w:after="120" w:line="480" w:lineRule="auto"/>
    </w:pPr>
    <w:rPr>
      <w:rFonts w:ascii="仿宋_GB2312" w:eastAsia="仿宋_GB2312"/>
      <w:sz w:val="30"/>
      <w:szCs w:val="30"/>
    </w:rPr>
  </w:style>
  <w:style w:type="paragraph" w:styleId="12">
    <w:name w:val="Normal (Web)"/>
    <w:basedOn w:val="1"/>
    <w:qFormat/>
    <w:uiPriority w:val="99"/>
    <w:pPr>
      <w:spacing w:beforeAutospacing="1" w:afterAutospacing="1"/>
      <w:jc w:val="left"/>
    </w:pPr>
    <w:rPr>
      <w:kern w:val="0"/>
      <w:sz w:val="24"/>
    </w:rPr>
  </w:style>
  <w:style w:type="table" w:styleId="14">
    <w:name w:val="Table Grid"/>
    <w:basedOn w:val="13"/>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Strong"/>
    <w:basedOn w:val="15"/>
    <w:qFormat/>
    <w:uiPriority w:val="22"/>
    <w:rPr>
      <w:b/>
      <w:bCs/>
    </w:rPr>
  </w:style>
  <w:style w:type="character" w:styleId="17">
    <w:name w:val="Hyperlink"/>
    <w:basedOn w:val="15"/>
    <w:qFormat/>
    <w:uiPriority w:val="0"/>
    <w:rPr>
      <w:color w:val="0000FF"/>
      <w:u w:val="single"/>
    </w:rPr>
  </w:style>
  <w:style w:type="character" w:styleId="18">
    <w:name w:val="footnote reference"/>
    <w:basedOn w:val="15"/>
    <w:qFormat/>
    <w:uiPriority w:val="0"/>
    <w:rPr>
      <w:vertAlign w:val="superscript"/>
    </w:rPr>
  </w:style>
  <w:style w:type="paragraph" w:styleId="19">
    <w:name w:val="List Paragraph"/>
    <w:basedOn w:val="1"/>
    <w:qFormat/>
    <w:uiPriority w:val="99"/>
    <w:pPr>
      <w:ind w:firstLine="420" w:firstLineChars="200"/>
    </w:pPr>
  </w:style>
  <w:style w:type="character" w:customStyle="1" w:styleId="20">
    <w:name w:val="文档结构图 Char"/>
    <w:basedOn w:val="15"/>
    <w:link w:val="6"/>
    <w:qFormat/>
    <w:uiPriority w:val="0"/>
    <w:rPr>
      <w:rFonts w:ascii="宋体"/>
      <w:kern w:val="2"/>
      <w:sz w:val="18"/>
      <w:szCs w:val="18"/>
    </w:rPr>
  </w:style>
  <w:style w:type="character" w:customStyle="1" w:styleId="21">
    <w:name w:val="批注框文本 Char"/>
    <w:basedOn w:val="15"/>
    <w:link w:val="7"/>
    <w:qFormat/>
    <w:uiPriority w:val="0"/>
    <w:rPr>
      <w:kern w:val="2"/>
      <w:sz w:val="18"/>
      <w:szCs w:val="18"/>
    </w:rPr>
  </w:style>
  <w:style w:type="character" w:customStyle="1" w:styleId="22">
    <w:name w:val="正文文本 2 Char"/>
    <w:basedOn w:val="15"/>
    <w:link w:val="11"/>
    <w:qFormat/>
    <w:uiPriority w:val="0"/>
    <w:rPr>
      <w:rFonts w:ascii="仿宋_GB2312" w:eastAsia="仿宋_GB2312"/>
      <w:kern w:val="2"/>
      <w:sz w:val="30"/>
      <w:szCs w:val="30"/>
    </w:rPr>
  </w:style>
  <w:style w:type="character" w:customStyle="1" w:styleId="23">
    <w:name w:val="font1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37</Pages>
  <Words>24137</Words>
  <Characters>24774</Characters>
  <Lines>8</Lines>
  <Paragraphs>51</Paragraphs>
  <TotalTime>6</TotalTime>
  <ScaleCrop>false</ScaleCrop>
  <LinksUpToDate>false</LinksUpToDate>
  <CharactersWithSpaces>24784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2022-05-31T21:47:00Z</dcterms:created>
  <dc:creator>Administrator.DESKTOP-QGIU0D6</dc:creator>
  <cp:lastModifiedBy>uos</cp:lastModifiedBy>
  <cp:lastPrinted>2024-05-16T17:25:00Z</cp:lastPrinted>
  <dcterms:modified xsi:type="dcterms:W3CDTF">2024-06-19T15:06:26Z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488B88F43B5A426A8AAE846FCD409D8C_13</vt:lpwstr>
  </property>
</Properties>
</file>