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pPr>
    </w:p>
    <w:p>
      <w:pPr>
        <w:jc w:val="center"/>
      </w:pPr>
    </w:p>
    <w:p>
      <w:pPr>
        <w:jc w:val="center"/>
      </w:pPr>
    </w:p>
    <w:p>
      <w:pPr>
        <w:jc w:val="center"/>
      </w:pPr>
    </w:p>
    <w:p>
      <w:pPr>
        <w:adjustRightInd w:val="0"/>
        <w:snapToGrid w:val="0"/>
        <w:spacing w:line="360" w:lineRule="auto"/>
        <w:jc w:val="center"/>
        <w:outlineLvl w:val="0"/>
        <w:rPr>
          <w:rFonts w:eastAsia="黑体" w:cs="黑体"/>
          <w:sz w:val="48"/>
          <w:szCs w:val="48"/>
        </w:rPr>
      </w:pPr>
      <w:bookmarkStart w:id="0" w:name="_Toc12396"/>
      <w:r>
        <w:rPr>
          <w:rFonts w:hint="eastAsia" w:eastAsia="黑体" w:cs="黑体"/>
          <w:sz w:val="48"/>
          <w:szCs w:val="48"/>
        </w:rPr>
        <w:t>北京市市级财政支出项目</w:t>
      </w:r>
      <w:bookmarkEnd w:id="0"/>
    </w:p>
    <w:p>
      <w:pPr>
        <w:adjustRightInd w:val="0"/>
        <w:snapToGrid w:val="0"/>
        <w:spacing w:line="360" w:lineRule="auto"/>
        <w:jc w:val="center"/>
        <w:rPr>
          <w:rFonts w:eastAsia="黑体"/>
          <w:sz w:val="48"/>
          <w:szCs w:val="48"/>
        </w:rPr>
      </w:pPr>
      <w:r>
        <w:rPr>
          <w:rFonts w:hint="eastAsia" w:eastAsia="黑体" w:cs="黑体"/>
          <w:sz w:val="48"/>
          <w:szCs w:val="48"/>
        </w:rPr>
        <w:t>绩效评价报告</w:t>
      </w:r>
    </w:p>
    <w:p>
      <w:pPr>
        <w:jc w:val="center"/>
        <w:rPr>
          <w:rFonts w:eastAsia="宋体"/>
          <w:sz w:val="32"/>
          <w:szCs w:val="32"/>
        </w:rPr>
      </w:pPr>
    </w:p>
    <w:p>
      <w:pPr>
        <w:rPr>
          <w:rFonts w:eastAsia="宋体"/>
          <w:sz w:val="32"/>
          <w:szCs w:val="32"/>
        </w:rPr>
      </w:pPr>
    </w:p>
    <w:p>
      <w:pPr>
        <w:rPr>
          <w:rFonts w:eastAsia="宋体"/>
          <w:sz w:val="32"/>
          <w:szCs w:val="32"/>
        </w:rPr>
      </w:pPr>
    </w:p>
    <w:p>
      <w:pPr>
        <w:spacing w:line="480" w:lineRule="auto"/>
        <w:ind w:firstLine="142" w:firstLineChars="47"/>
        <w:rPr>
          <w:rFonts w:hAnsi="楷体" w:cs="仿宋_GB2312"/>
          <w:b/>
          <w:bCs/>
          <w:u w:val="single"/>
        </w:rPr>
      </w:pPr>
      <w:r>
        <w:rPr>
          <w:rFonts w:hint="eastAsia" w:hAnsi="楷体" w:cs="仿宋_GB2312"/>
          <w:b/>
          <w:bCs/>
        </w:rPr>
        <w:t>主管部门</w:t>
      </w:r>
      <w:r>
        <w:rPr>
          <w:rFonts w:hint="eastAsia" w:hAnsi="楷体" w:cs="仿宋_GB2312"/>
          <w:b/>
          <w:bCs/>
          <w:lang w:eastAsia="zh-CN"/>
        </w:rPr>
        <w:t>：</w:t>
      </w:r>
      <w:r>
        <w:rPr>
          <w:rFonts w:hint="eastAsia" w:hAnsi="楷体" w:cs="仿宋_GB2312"/>
          <w:b/>
          <w:bCs/>
          <w:u w:val="single"/>
        </w:rPr>
        <w:tab/>
      </w:r>
      <w:r>
        <w:rPr>
          <w:rFonts w:hint="eastAsia" w:hAnsi="楷体" w:cs="仿宋_GB2312"/>
          <w:b/>
          <w:bCs/>
          <w:u w:val="single"/>
        </w:rPr>
        <w:tab/>
      </w:r>
      <w:r>
        <w:rPr>
          <w:rFonts w:hint="eastAsia" w:hAnsi="楷体" w:cs="仿宋_GB2312"/>
          <w:b/>
          <w:bCs/>
          <w:u w:val="single"/>
        </w:rPr>
        <w:t xml:space="preserve">      </w:t>
      </w:r>
      <w:r>
        <w:rPr>
          <w:rFonts w:hAnsi="楷体" w:cs="仿宋_GB2312"/>
          <w:b/>
          <w:bCs/>
          <w:u w:val="single"/>
        </w:rPr>
        <w:t xml:space="preserve">   </w:t>
      </w:r>
      <w:r>
        <w:rPr>
          <w:rFonts w:hint="eastAsia" w:hAnsi="楷体" w:cs="仿宋_GB2312"/>
          <w:b/>
          <w:bCs/>
          <w:u w:val="single"/>
        </w:rPr>
        <w:t xml:space="preserve">  北京市应急管理局</w:t>
      </w:r>
      <w:r>
        <w:rPr>
          <w:rFonts w:hint="eastAsia" w:hAnsi="楷体" w:cs="仿宋_GB2312"/>
          <w:b/>
          <w:bCs/>
          <w:u w:val="single"/>
        </w:rPr>
        <w:tab/>
      </w:r>
      <w:r>
        <w:rPr>
          <w:rFonts w:hint="eastAsia" w:hAnsi="楷体" w:cs="仿宋_GB2312"/>
          <w:b/>
          <w:bCs/>
          <w:u w:val="single"/>
        </w:rPr>
        <w:t xml:space="preserve">  </w:t>
      </w:r>
      <w:r>
        <w:rPr>
          <w:rFonts w:hint="eastAsia" w:hAnsi="楷体" w:cs="仿宋_GB2312"/>
          <w:b/>
          <w:bCs/>
          <w:u w:val="single"/>
        </w:rPr>
        <w:tab/>
      </w:r>
      <w:r>
        <w:rPr>
          <w:rFonts w:hint="eastAsia" w:hAnsi="楷体" w:cs="仿宋_GB2312"/>
          <w:b/>
          <w:bCs/>
          <w:u w:val="single"/>
        </w:rPr>
        <w:tab/>
      </w:r>
      <w:r>
        <w:rPr>
          <w:rFonts w:hint="eastAsia" w:hAnsi="楷体" w:cs="仿宋_GB2312"/>
          <w:b/>
          <w:bCs/>
          <w:u w:val="single"/>
        </w:rPr>
        <w:t xml:space="preserve">   </w:t>
      </w:r>
      <w:r>
        <w:rPr>
          <w:rFonts w:hAnsi="楷体" w:cs="仿宋_GB2312"/>
          <w:b/>
          <w:bCs/>
          <w:u w:val="single"/>
        </w:rPr>
        <w:t xml:space="preserve">   </w:t>
      </w:r>
      <w:r>
        <w:rPr>
          <w:rFonts w:hint="eastAsia" w:hAnsi="楷体" w:cs="仿宋_GB2312"/>
          <w:b/>
          <w:bCs/>
          <w:u w:val="single"/>
        </w:rPr>
        <w:t xml:space="preserve">  </w:t>
      </w:r>
    </w:p>
    <w:p>
      <w:pPr>
        <w:spacing w:line="480" w:lineRule="auto"/>
        <w:ind w:firstLine="142" w:firstLineChars="47"/>
        <w:rPr>
          <w:rFonts w:hAnsi="楷体"/>
          <w:b/>
          <w:bCs/>
        </w:rPr>
      </w:pPr>
      <w:r>
        <w:rPr>
          <w:rFonts w:hint="eastAsia" w:hAnsi="楷体" w:cs="仿宋_GB2312"/>
          <w:b/>
          <w:bCs/>
        </w:rPr>
        <w:t>项目单位</w:t>
      </w:r>
      <w:r>
        <w:rPr>
          <w:rFonts w:hint="eastAsia" w:hAnsi="楷体" w:cs="仿宋_GB2312"/>
          <w:b/>
          <w:bCs/>
          <w:lang w:eastAsia="zh-CN"/>
        </w:rPr>
        <w:t>：</w:t>
      </w:r>
      <w:r>
        <w:rPr>
          <w:rFonts w:hint="eastAsia" w:hAnsi="楷体" w:cs="仿宋_GB2312"/>
          <w:b/>
          <w:bCs/>
          <w:u w:val="single"/>
        </w:rPr>
        <w:t xml:space="preserve">   </w:t>
      </w:r>
      <w:r>
        <w:rPr>
          <w:rFonts w:hint="eastAsia" w:hAnsi="楷体" w:cs="仿宋_GB2312"/>
          <w:b/>
          <w:bCs/>
          <w:u w:val="single"/>
        </w:rPr>
        <w:tab/>
      </w:r>
      <w:r>
        <w:rPr>
          <w:rFonts w:hint="eastAsia" w:hAnsi="楷体" w:cs="仿宋_GB2312"/>
          <w:b/>
          <w:bCs/>
          <w:u w:val="single"/>
        </w:rPr>
        <w:t xml:space="preserve">     </w:t>
      </w:r>
      <w:r>
        <w:rPr>
          <w:rFonts w:hAnsi="楷体" w:cs="仿宋_GB2312"/>
          <w:b/>
          <w:bCs/>
          <w:u w:val="single"/>
        </w:rPr>
        <w:t xml:space="preserve"> </w:t>
      </w:r>
      <w:r>
        <w:rPr>
          <w:rFonts w:hint="eastAsia" w:hAnsi="楷体" w:cs="仿宋_GB2312"/>
          <w:b/>
          <w:bCs/>
          <w:u w:val="single"/>
          <w:lang w:eastAsia="zh-CN"/>
        </w:rPr>
        <w:t>北京市应急管理科学技术研究院</w:t>
      </w:r>
      <w:r>
        <w:rPr>
          <w:rFonts w:hAnsi="楷体" w:cs="仿宋_GB2312"/>
          <w:b/>
          <w:bCs/>
          <w:u w:val="single"/>
        </w:rPr>
        <w:t xml:space="preserve">    </w:t>
      </w:r>
      <w:r>
        <w:rPr>
          <w:rFonts w:hint="eastAsia" w:hAnsi="楷体" w:cs="仿宋_GB2312"/>
          <w:b/>
          <w:bCs/>
          <w:u w:val="single"/>
        </w:rPr>
        <w:t xml:space="preserve">  </w:t>
      </w:r>
      <w:r>
        <w:rPr>
          <w:rFonts w:hAnsi="楷体" w:cs="仿宋_GB2312"/>
          <w:b/>
          <w:bCs/>
          <w:u w:val="single"/>
        </w:rPr>
        <w:t xml:space="preserve">   </w:t>
      </w:r>
      <w:r>
        <w:rPr>
          <w:rFonts w:hint="eastAsia" w:hAnsi="楷体" w:cs="仿宋_GB2312"/>
          <w:b/>
          <w:bCs/>
          <w:u w:val="single"/>
        </w:rPr>
        <w:t xml:space="preserve"> </w:t>
      </w:r>
    </w:p>
    <w:p>
      <w:pPr>
        <w:spacing w:line="480" w:lineRule="auto"/>
        <w:ind w:firstLine="142" w:firstLineChars="47"/>
        <w:rPr>
          <w:rFonts w:hAnsi="楷体" w:cs="仿宋_GB2312"/>
          <w:b/>
          <w:bCs/>
          <w:u w:val="single"/>
        </w:rPr>
      </w:pPr>
      <w:r>
        <w:rPr>
          <w:rFonts w:hint="eastAsia" w:hAnsi="楷体" w:cs="仿宋_GB2312"/>
          <w:b/>
          <w:bCs/>
        </w:rPr>
        <w:t>项目名称</w:t>
      </w:r>
      <w:r>
        <w:rPr>
          <w:rFonts w:hint="eastAsia" w:hAnsi="楷体" w:cs="仿宋_GB2312"/>
          <w:b/>
          <w:bCs/>
          <w:lang w:eastAsia="zh-CN"/>
        </w:rPr>
        <w:t>：</w:t>
      </w:r>
      <w:r>
        <w:rPr>
          <w:rFonts w:hint="eastAsia" w:hAnsi="楷体" w:cs="仿宋_GB2312"/>
          <w:b/>
          <w:bCs/>
        </w:rPr>
        <w:t xml:space="preserve"> </w:t>
      </w:r>
      <w:r>
        <w:rPr>
          <w:rFonts w:hint="eastAsia" w:hAnsi="楷体" w:cs="仿宋_GB2312"/>
          <w:b/>
          <w:bCs/>
          <w:u w:val="single"/>
        </w:rPr>
        <w:t xml:space="preserve">       </w:t>
      </w:r>
      <w:r>
        <w:rPr>
          <w:rFonts w:hint="eastAsia" w:hAnsi="楷体" w:cs="仿宋_GB2312"/>
          <w:b/>
          <w:bCs/>
          <w:u w:val="single"/>
          <w:lang w:eastAsia="zh-CN"/>
        </w:rPr>
        <w:t>特种作业人员安全技术考试费项目</w:t>
      </w:r>
      <w:r>
        <w:rPr>
          <w:rFonts w:hint="eastAsia" w:hAnsi="楷体" w:cs="仿宋_GB2312"/>
          <w:b/>
          <w:bCs/>
          <w:u w:val="single"/>
        </w:rPr>
        <w:t xml:space="preserve">      </w:t>
      </w:r>
    </w:p>
    <w:p>
      <w:pPr>
        <w:spacing w:line="480" w:lineRule="auto"/>
        <w:ind w:firstLine="142" w:firstLineChars="47"/>
        <w:rPr>
          <w:rFonts w:hAnsi="楷体"/>
          <w:b/>
          <w:bCs/>
        </w:rPr>
      </w:pPr>
      <w:r>
        <w:rPr>
          <w:rFonts w:hint="eastAsia" w:hAnsi="楷体"/>
          <w:b/>
          <w:bCs/>
        </w:rPr>
        <w:t>评价时间：</w:t>
      </w:r>
      <w:r>
        <w:rPr>
          <w:rFonts w:hint="eastAsia" w:hAnsi="楷体"/>
          <w:b/>
          <w:bCs/>
          <w:u w:val="single"/>
        </w:rPr>
        <w:t xml:space="preserve">       </w:t>
      </w:r>
      <w:r>
        <w:rPr>
          <w:rFonts w:hAnsi="楷体"/>
          <w:b/>
          <w:bCs/>
          <w:u w:val="single"/>
        </w:rPr>
        <w:t xml:space="preserve">      </w:t>
      </w:r>
      <w:r>
        <w:rPr>
          <w:rFonts w:hint="eastAsia" w:hAnsi="楷体"/>
          <w:b/>
          <w:bCs/>
          <w:u w:val="single"/>
        </w:rPr>
        <w:t xml:space="preserve">   202</w:t>
      </w:r>
      <w:r>
        <w:rPr>
          <w:rFonts w:hint="eastAsia" w:hAnsi="楷体"/>
          <w:b/>
          <w:bCs/>
          <w:u w:val="single"/>
          <w:lang w:val="en-US" w:eastAsia="zh-CN"/>
        </w:rPr>
        <w:t>4</w:t>
      </w:r>
      <w:r>
        <w:rPr>
          <w:rFonts w:hint="eastAsia" w:hAnsi="楷体"/>
          <w:b/>
          <w:bCs/>
          <w:u w:val="single"/>
        </w:rPr>
        <w:t xml:space="preserve">年5月         </w:t>
      </w:r>
      <w:r>
        <w:rPr>
          <w:rFonts w:hAnsi="楷体"/>
          <w:b/>
          <w:bCs/>
          <w:u w:val="single"/>
        </w:rPr>
        <w:t xml:space="preserve">       </w:t>
      </w:r>
      <w:r>
        <w:rPr>
          <w:rFonts w:hint="eastAsia" w:hAnsi="楷体"/>
          <w:b/>
          <w:bCs/>
          <w:u w:val="single"/>
        </w:rPr>
        <w:t xml:space="preserve">  </w:t>
      </w:r>
    </w:p>
    <w:p>
      <w:pPr>
        <w:spacing w:line="480" w:lineRule="auto"/>
        <w:ind w:firstLine="142" w:firstLineChars="47"/>
        <w:rPr>
          <w:rFonts w:hAnsi="楷体" w:cs="仿宋_GB2312"/>
          <w:b/>
          <w:bCs/>
        </w:rPr>
      </w:pPr>
      <w:r>
        <w:rPr>
          <w:rFonts w:hint="eastAsia" w:hAnsi="楷体" w:cs="仿宋_GB2312"/>
          <w:b/>
          <w:bCs/>
        </w:rPr>
        <w:t>填报日期：</w:t>
      </w:r>
      <w:r>
        <w:rPr>
          <w:rFonts w:hint="eastAsia" w:hAnsi="楷体" w:cs="仿宋_GB2312"/>
          <w:b/>
          <w:bCs/>
          <w:u w:val="single"/>
        </w:rPr>
        <w:t xml:space="preserve">                202</w:t>
      </w:r>
      <w:r>
        <w:rPr>
          <w:rFonts w:hint="eastAsia" w:hAnsi="楷体" w:cs="仿宋_GB2312"/>
          <w:b/>
          <w:bCs/>
          <w:u w:val="single"/>
          <w:lang w:val="en-US" w:eastAsia="zh-CN"/>
        </w:rPr>
        <w:t>4</w:t>
      </w:r>
      <w:r>
        <w:rPr>
          <w:rFonts w:hint="eastAsia" w:hAnsi="楷体" w:cs="仿宋_GB2312"/>
          <w:b/>
          <w:bCs/>
          <w:u w:val="single"/>
        </w:rPr>
        <w:t xml:space="preserve">年5月                  </w:t>
      </w:r>
    </w:p>
    <w:p>
      <w:pPr>
        <w:keepNext/>
        <w:suppressAutoHyphens/>
        <w:wordWrap/>
        <w:adjustRightInd w:val="0"/>
        <w:snapToGrid w:val="0"/>
        <w:spacing w:line="360" w:lineRule="auto"/>
        <w:jc w:val="center"/>
        <w:rPr>
          <w:rFonts w:hint="eastAsia" w:ascii="Times New Roman" w:eastAsia="黑体"/>
          <w:sz w:val="32"/>
        </w:rPr>
      </w:pPr>
      <w:r>
        <w:rPr>
          <w:rFonts w:hint="eastAsia" w:ascii="Times New Roman" w:eastAsia="黑体"/>
          <w:sz w:val="32"/>
        </w:rPr>
        <w:br w:type="page"/>
      </w:r>
    </w:p>
    <w:sdt>
      <w:sdtPr>
        <w:rPr>
          <w:rFonts w:ascii="宋体" w:hAnsi="宋体" w:eastAsia="宋体" w:cs="Times New Roman"/>
          <w:kern w:val="2"/>
          <w:sz w:val="21"/>
          <w:szCs w:val="30"/>
          <w:lang w:val="en-US" w:eastAsia="zh-CN" w:bidi="ar-SA"/>
        </w:rPr>
        <w:id w:val="147455480"/>
        <w15:color w:val="DBDBDB"/>
        <w:docPartObj>
          <w:docPartGallery w:val="Table of Contents"/>
          <w:docPartUnique/>
        </w:docPartObj>
      </w:sdtPr>
      <w:sdtEndPr>
        <w:rPr>
          <w:rFonts w:hint="eastAsia" w:ascii="Times New Roman" w:hAnsi="Times New Roman" w:eastAsia="黑体" w:cs="Times New Roman"/>
          <w:b/>
          <w:kern w:val="2"/>
          <w:sz w:val="30"/>
          <w:szCs w:val="30"/>
          <w:lang w:val="en-US" w:eastAsia="zh-CN" w:bidi="ar-SA"/>
        </w:rPr>
      </w:sdtEndPr>
      <w:sdtContent>
        <w:p>
          <w:pPr>
            <w:spacing w:before="0" w:beforeLines="0" w:after="0" w:afterLines="0" w:line="240" w:lineRule="auto"/>
            <w:ind w:left="0" w:leftChars="0" w:right="0" w:rightChars="0" w:firstLine="0" w:firstLineChars="0"/>
            <w:jc w:val="center"/>
            <w:rPr>
              <w:rFonts w:hint="eastAsia" w:ascii="Times New Roman" w:eastAsia="黑体"/>
              <w:sz w:val="32"/>
            </w:rPr>
          </w:pPr>
          <w:r>
            <w:rPr>
              <w:rFonts w:hint="eastAsia" w:ascii="Times New Roman" w:eastAsia="黑体"/>
              <w:sz w:val="32"/>
            </w:rPr>
            <w:t>目录</w:t>
          </w:r>
        </w:p>
        <w:p>
          <w:pPr>
            <w:pStyle w:val="64"/>
            <w:tabs>
              <w:tab w:val="right" w:leader="dot" w:pos="8844"/>
            </w:tabs>
            <w:rPr>
              <w:b/>
            </w:rPr>
          </w:pPr>
          <w:r>
            <w:rPr>
              <w:rFonts w:hint="eastAsia" w:ascii="Times New Roman" w:eastAsia="黑体"/>
              <w:sz w:val="32"/>
            </w:rPr>
            <w:fldChar w:fldCharType="begin"/>
          </w:r>
          <w:r>
            <w:rPr>
              <w:rFonts w:hint="eastAsia" w:ascii="Times New Roman" w:eastAsia="黑体"/>
              <w:sz w:val="32"/>
            </w:rPr>
            <w:instrText xml:space="preserve">TOC \o "1-2" \h \u </w:instrText>
          </w:r>
          <w:r>
            <w:rPr>
              <w:rFonts w:hint="eastAsia" w:ascii="Times New Roman" w:eastAsia="黑体"/>
              <w:sz w:val="32"/>
            </w:rPr>
            <w:fldChar w:fldCharType="separate"/>
          </w:r>
        </w:p>
        <w:p>
          <w:pPr>
            <w:pStyle w:val="64"/>
            <w:keepNext w:val="0"/>
            <w:keepLines w:val="0"/>
            <w:pageBreakBefore w:val="0"/>
            <w:widowControl/>
            <w:tabs>
              <w:tab w:val="right" w:leader="dot" w:pos="8844"/>
            </w:tabs>
            <w:kinsoku/>
            <w:wordWrap/>
            <w:overflowPunct/>
            <w:topLinePunct w:val="0"/>
            <w:autoSpaceDE/>
            <w:autoSpaceDN/>
            <w:bidi w:val="0"/>
            <w:adjustRightInd/>
            <w:snapToGrid/>
            <w:spacing w:line="560" w:lineRule="exact"/>
            <w:ind w:leftChars="0"/>
            <w:jc w:val="distribute"/>
            <w:textAlignment w:val="auto"/>
            <w:rPr>
              <w:rFonts w:hint="eastAsia" w:ascii="楷体" w:hAnsi="楷体" w:eastAsia="楷体" w:cs="楷体"/>
              <w:b w:val="0"/>
              <w:bCs w:val="0"/>
              <w:sz w:val="28"/>
              <w:szCs w:val="28"/>
            </w:rPr>
          </w:pPr>
          <w:r>
            <w:rPr>
              <w:rFonts w:hint="eastAsia" w:ascii="楷体" w:hAnsi="楷体" w:eastAsia="楷体" w:cs="楷体"/>
              <w:b w:val="0"/>
              <w:bCs w:val="0"/>
              <w:sz w:val="28"/>
              <w:szCs w:val="28"/>
            </w:rPr>
            <w:fldChar w:fldCharType="begin"/>
          </w:r>
          <w:r>
            <w:rPr>
              <w:rFonts w:hint="eastAsia" w:ascii="楷体" w:hAnsi="楷体" w:eastAsia="楷体" w:cs="楷体"/>
              <w:b w:val="0"/>
              <w:bCs w:val="0"/>
              <w:sz w:val="28"/>
              <w:szCs w:val="28"/>
            </w:rPr>
            <w:instrText xml:space="preserve"> HYPERLINK \l _Toc6316 </w:instrText>
          </w:r>
          <w:r>
            <w:rPr>
              <w:rFonts w:hint="eastAsia" w:ascii="楷体" w:hAnsi="楷体" w:eastAsia="楷体" w:cs="楷体"/>
              <w:b w:val="0"/>
              <w:bCs w:val="0"/>
              <w:sz w:val="28"/>
              <w:szCs w:val="28"/>
            </w:rPr>
            <w:fldChar w:fldCharType="separate"/>
          </w:r>
          <w:r>
            <w:rPr>
              <w:rFonts w:hint="eastAsia" w:ascii="楷体" w:hAnsi="楷体" w:eastAsia="楷体" w:cs="楷体"/>
              <w:b w:val="0"/>
              <w:bCs w:val="0"/>
              <w:sz w:val="28"/>
              <w:szCs w:val="28"/>
            </w:rPr>
            <w:t>一、基本情况</w:t>
          </w:r>
          <w:r>
            <w:rPr>
              <w:rFonts w:hint="eastAsia" w:ascii="楷体" w:hAnsi="楷体" w:eastAsia="楷体" w:cs="楷体"/>
              <w:b w:val="0"/>
              <w:bCs w:val="0"/>
              <w:sz w:val="28"/>
              <w:szCs w:val="28"/>
            </w:rPr>
            <w:tab/>
          </w:r>
          <w:r>
            <w:rPr>
              <w:rFonts w:hint="eastAsia" w:ascii="楷体" w:hAnsi="楷体" w:eastAsia="楷体" w:cs="楷体"/>
              <w:b w:val="0"/>
              <w:bCs w:val="0"/>
              <w:sz w:val="28"/>
              <w:szCs w:val="28"/>
            </w:rPr>
            <w:fldChar w:fldCharType="begin"/>
          </w:r>
          <w:r>
            <w:rPr>
              <w:rFonts w:hint="eastAsia" w:ascii="楷体" w:hAnsi="楷体" w:eastAsia="楷体" w:cs="楷体"/>
              <w:b w:val="0"/>
              <w:bCs w:val="0"/>
              <w:sz w:val="28"/>
              <w:szCs w:val="28"/>
            </w:rPr>
            <w:instrText xml:space="preserve"> PAGEREF _Toc6316 \h </w:instrText>
          </w:r>
          <w:r>
            <w:rPr>
              <w:rFonts w:hint="eastAsia" w:ascii="楷体" w:hAnsi="楷体" w:eastAsia="楷体" w:cs="楷体"/>
              <w:b w:val="0"/>
              <w:bCs w:val="0"/>
              <w:sz w:val="28"/>
              <w:szCs w:val="28"/>
            </w:rPr>
            <w:fldChar w:fldCharType="separate"/>
          </w:r>
          <w:r>
            <w:rPr>
              <w:rFonts w:hint="eastAsia" w:ascii="楷体" w:hAnsi="楷体" w:eastAsia="楷体" w:cs="楷体"/>
              <w:b w:val="0"/>
              <w:bCs w:val="0"/>
              <w:sz w:val="28"/>
              <w:szCs w:val="28"/>
            </w:rPr>
            <w:t>1</w:t>
          </w:r>
          <w:r>
            <w:rPr>
              <w:rFonts w:hint="eastAsia" w:ascii="楷体" w:hAnsi="楷体" w:eastAsia="楷体" w:cs="楷体"/>
              <w:b w:val="0"/>
              <w:bCs w:val="0"/>
              <w:sz w:val="28"/>
              <w:szCs w:val="28"/>
            </w:rPr>
            <w:fldChar w:fldCharType="end"/>
          </w:r>
          <w:r>
            <w:rPr>
              <w:rFonts w:hint="eastAsia" w:ascii="楷体" w:hAnsi="楷体" w:eastAsia="楷体" w:cs="楷体"/>
              <w:b w:val="0"/>
              <w:bCs w:val="0"/>
              <w:sz w:val="28"/>
              <w:szCs w:val="28"/>
            </w:rPr>
            <w:fldChar w:fldCharType="end"/>
          </w:r>
        </w:p>
        <w:p>
          <w:pPr>
            <w:pStyle w:val="64"/>
            <w:keepNext w:val="0"/>
            <w:keepLines w:val="0"/>
            <w:pageBreakBefore w:val="0"/>
            <w:widowControl/>
            <w:tabs>
              <w:tab w:val="right" w:leader="dot" w:pos="8844"/>
            </w:tabs>
            <w:kinsoku/>
            <w:wordWrap/>
            <w:overflowPunct/>
            <w:topLinePunct w:val="0"/>
            <w:autoSpaceDE/>
            <w:autoSpaceDN/>
            <w:bidi w:val="0"/>
            <w:adjustRightInd/>
            <w:snapToGrid/>
            <w:spacing w:line="560" w:lineRule="exact"/>
            <w:ind w:leftChars="0"/>
            <w:jc w:val="distribute"/>
            <w:textAlignment w:val="auto"/>
            <w:rPr>
              <w:rFonts w:hint="eastAsia" w:ascii="楷体" w:hAnsi="楷体" w:eastAsia="楷体" w:cs="楷体"/>
              <w:b w:val="0"/>
              <w:bCs w:val="0"/>
              <w:sz w:val="28"/>
              <w:szCs w:val="28"/>
            </w:rPr>
          </w:pPr>
          <w:r>
            <w:rPr>
              <w:rFonts w:hint="eastAsia" w:ascii="楷体" w:hAnsi="楷体" w:eastAsia="楷体" w:cs="楷体"/>
              <w:b w:val="0"/>
              <w:bCs w:val="0"/>
              <w:sz w:val="28"/>
              <w:szCs w:val="28"/>
            </w:rPr>
            <w:fldChar w:fldCharType="begin"/>
          </w:r>
          <w:r>
            <w:rPr>
              <w:rFonts w:hint="eastAsia" w:ascii="楷体" w:hAnsi="楷体" w:eastAsia="楷体" w:cs="楷体"/>
              <w:b w:val="0"/>
              <w:bCs w:val="0"/>
              <w:sz w:val="28"/>
              <w:szCs w:val="28"/>
            </w:rPr>
            <w:instrText xml:space="preserve"> HYPERLINK \l _Toc13438 </w:instrText>
          </w:r>
          <w:r>
            <w:rPr>
              <w:rFonts w:hint="eastAsia" w:ascii="楷体" w:hAnsi="楷体" w:eastAsia="楷体" w:cs="楷体"/>
              <w:b w:val="0"/>
              <w:bCs w:val="0"/>
              <w:sz w:val="28"/>
              <w:szCs w:val="28"/>
            </w:rPr>
            <w:fldChar w:fldCharType="separate"/>
          </w:r>
          <w:r>
            <w:rPr>
              <w:rFonts w:hint="eastAsia" w:ascii="楷体" w:hAnsi="楷体" w:eastAsia="楷体" w:cs="楷体"/>
              <w:b w:val="0"/>
              <w:bCs w:val="0"/>
              <w:sz w:val="28"/>
              <w:szCs w:val="28"/>
            </w:rPr>
            <w:t>（一）项目概况</w:t>
          </w:r>
          <w:r>
            <w:rPr>
              <w:rFonts w:hint="eastAsia" w:ascii="楷体" w:hAnsi="楷体" w:eastAsia="楷体" w:cs="楷体"/>
              <w:b w:val="0"/>
              <w:bCs w:val="0"/>
              <w:sz w:val="28"/>
              <w:szCs w:val="28"/>
            </w:rPr>
            <w:tab/>
          </w:r>
          <w:r>
            <w:rPr>
              <w:rFonts w:hint="eastAsia" w:ascii="楷体" w:hAnsi="楷体" w:eastAsia="楷体" w:cs="楷体"/>
              <w:b w:val="0"/>
              <w:bCs w:val="0"/>
              <w:sz w:val="28"/>
              <w:szCs w:val="28"/>
            </w:rPr>
            <w:fldChar w:fldCharType="begin"/>
          </w:r>
          <w:r>
            <w:rPr>
              <w:rFonts w:hint="eastAsia" w:ascii="楷体" w:hAnsi="楷体" w:eastAsia="楷体" w:cs="楷体"/>
              <w:b w:val="0"/>
              <w:bCs w:val="0"/>
              <w:sz w:val="28"/>
              <w:szCs w:val="28"/>
            </w:rPr>
            <w:instrText xml:space="preserve"> PAGEREF _Toc13438 \h </w:instrText>
          </w:r>
          <w:r>
            <w:rPr>
              <w:rFonts w:hint="eastAsia" w:ascii="楷体" w:hAnsi="楷体" w:eastAsia="楷体" w:cs="楷体"/>
              <w:b w:val="0"/>
              <w:bCs w:val="0"/>
              <w:sz w:val="28"/>
              <w:szCs w:val="28"/>
            </w:rPr>
            <w:fldChar w:fldCharType="separate"/>
          </w:r>
          <w:r>
            <w:rPr>
              <w:rFonts w:hint="eastAsia" w:ascii="楷体" w:hAnsi="楷体" w:eastAsia="楷体" w:cs="楷体"/>
              <w:b w:val="0"/>
              <w:bCs w:val="0"/>
              <w:sz w:val="28"/>
              <w:szCs w:val="28"/>
            </w:rPr>
            <w:t>1</w:t>
          </w:r>
          <w:r>
            <w:rPr>
              <w:rFonts w:hint="eastAsia" w:ascii="楷体" w:hAnsi="楷体" w:eastAsia="楷体" w:cs="楷体"/>
              <w:b w:val="0"/>
              <w:bCs w:val="0"/>
              <w:sz w:val="28"/>
              <w:szCs w:val="28"/>
            </w:rPr>
            <w:fldChar w:fldCharType="end"/>
          </w:r>
          <w:r>
            <w:rPr>
              <w:rFonts w:hint="eastAsia" w:ascii="楷体" w:hAnsi="楷体" w:eastAsia="楷体" w:cs="楷体"/>
              <w:b w:val="0"/>
              <w:bCs w:val="0"/>
              <w:sz w:val="28"/>
              <w:szCs w:val="28"/>
            </w:rPr>
            <w:fldChar w:fldCharType="end"/>
          </w:r>
        </w:p>
        <w:p>
          <w:pPr>
            <w:pStyle w:val="64"/>
            <w:keepNext w:val="0"/>
            <w:keepLines w:val="0"/>
            <w:pageBreakBefore w:val="0"/>
            <w:widowControl/>
            <w:tabs>
              <w:tab w:val="right" w:leader="dot" w:pos="8844"/>
            </w:tabs>
            <w:kinsoku/>
            <w:wordWrap/>
            <w:overflowPunct/>
            <w:topLinePunct w:val="0"/>
            <w:autoSpaceDE/>
            <w:autoSpaceDN/>
            <w:bidi w:val="0"/>
            <w:adjustRightInd/>
            <w:snapToGrid/>
            <w:spacing w:line="560" w:lineRule="exact"/>
            <w:ind w:leftChars="0"/>
            <w:jc w:val="distribute"/>
            <w:textAlignment w:val="auto"/>
            <w:rPr>
              <w:rFonts w:hint="eastAsia" w:ascii="楷体" w:hAnsi="楷体" w:eastAsia="楷体" w:cs="楷体"/>
              <w:b w:val="0"/>
              <w:bCs w:val="0"/>
              <w:sz w:val="28"/>
              <w:szCs w:val="28"/>
            </w:rPr>
          </w:pPr>
          <w:r>
            <w:rPr>
              <w:rFonts w:hint="eastAsia" w:ascii="楷体" w:hAnsi="楷体" w:eastAsia="楷体" w:cs="楷体"/>
              <w:b w:val="0"/>
              <w:bCs w:val="0"/>
              <w:sz w:val="28"/>
              <w:szCs w:val="28"/>
            </w:rPr>
            <w:fldChar w:fldCharType="begin"/>
          </w:r>
          <w:r>
            <w:rPr>
              <w:rFonts w:hint="eastAsia" w:ascii="楷体" w:hAnsi="楷体" w:eastAsia="楷体" w:cs="楷体"/>
              <w:b w:val="0"/>
              <w:bCs w:val="0"/>
              <w:sz w:val="28"/>
              <w:szCs w:val="28"/>
            </w:rPr>
            <w:instrText xml:space="preserve"> HYPERLINK \l _Toc31589 </w:instrText>
          </w:r>
          <w:r>
            <w:rPr>
              <w:rFonts w:hint="eastAsia" w:ascii="楷体" w:hAnsi="楷体" w:eastAsia="楷体" w:cs="楷体"/>
              <w:b w:val="0"/>
              <w:bCs w:val="0"/>
              <w:sz w:val="28"/>
              <w:szCs w:val="28"/>
            </w:rPr>
            <w:fldChar w:fldCharType="separate"/>
          </w:r>
          <w:r>
            <w:rPr>
              <w:rFonts w:hint="eastAsia" w:ascii="楷体" w:hAnsi="楷体" w:eastAsia="楷体" w:cs="楷体"/>
              <w:b w:val="0"/>
              <w:bCs w:val="0"/>
              <w:sz w:val="28"/>
              <w:szCs w:val="28"/>
            </w:rPr>
            <w:t>（二）项目绩效目标</w:t>
          </w:r>
          <w:r>
            <w:rPr>
              <w:rFonts w:hint="eastAsia" w:ascii="楷体" w:hAnsi="楷体" w:eastAsia="楷体" w:cs="楷体"/>
              <w:b w:val="0"/>
              <w:bCs w:val="0"/>
              <w:sz w:val="28"/>
              <w:szCs w:val="28"/>
            </w:rPr>
            <w:tab/>
          </w:r>
          <w:r>
            <w:rPr>
              <w:rFonts w:hint="eastAsia" w:ascii="楷体" w:hAnsi="楷体" w:eastAsia="楷体" w:cs="楷体"/>
              <w:b w:val="0"/>
              <w:bCs w:val="0"/>
              <w:sz w:val="28"/>
              <w:szCs w:val="28"/>
            </w:rPr>
            <w:fldChar w:fldCharType="begin"/>
          </w:r>
          <w:r>
            <w:rPr>
              <w:rFonts w:hint="eastAsia" w:ascii="楷体" w:hAnsi="楷体" w:eastAsia="楷体" w:cs="楷体"/>
              <w:b w:val="0"/>
              <w:bCs w:val="0"/>
              <w:sz w:val="28"/>
              <w:szCs w:val="28"/>
            </w:rPr>
            <w:instrText xml:space="preserve"> PAGEREF _Toc31589 \h </w:instrText>
          </w:r>
          <w:r>
            <w:rPr>
              <w:rFonts w:hint="eastAsia" w:ascii="楷体" w:hAnsi="楷体" w:eastAsia="楷体" w:cs="楷体"/>
              <w:b w:val="0"/>
              <w:bCs w:val="0"/>
              <w:sz w:val="28"/>
              <w:szCs w:val="28"/>
            </w:rPr>
            <w:fldChar w:fldCharType="separate"/>
          </w:r>
          <w:r>
            <w:rPr>
              <w:rFonts w:hint="eastAsia" w:ascii="楷体" w:hAnsi="楷体" w:eastAsia="楷体" w:cs="楷体"/>
              <w:b w:val="0"/>
              <w:bCs w:val="0"/>
              <w:sz w:val="28"/>
              <w:szCs w:val="28"/>
            </w:rPr>
            <w:t>2</w:t>
          </w:r>
          <w:r>
            <w:rPr>
              <w:rFonts w:hint="eastAsia" w:ascii="楷体" w:hAnsi="楷体" w:eastAsia="楷体" w:cs="楷体"/>
              <w:b w:val="0"/>
              <w:bCs w:val="0"/>
              <w:sz w:val="28"/>
              <w:szCs w:val="28"/>
            </w:rPr>
            <w:fldChar w:fldCharType="end"/>
          </w:r>
          <w:r>
            <w:rPr>
              <w:rFonts w:hint="eastAsia" w:ascii="楷体" w:hAnsi="楷体" w:eastAsia="楷体" w:cs="楷体"/>
              <w:b w:val="0"/>
              <w:bCs w:val="0"/>
              <w:sz w:val="28"/>
              <w:szCs w:val="28"/>
            </w:rPr>
            <w:fldChar w:fldCharType="end"/>
          </w:r>
        </w:p>
        <w:p>
          <w:pPr>
            <w:pStyle w:val="64"/>
            <w:keepNext w:val="0"/>
            <w:keepLines w:val="0"/>
            <w:pageBreakBefore w:val="0"/>
            <w:widowControl/>
            <w:tabs>
              <w:tab w:val="right" w:leader="dot" w:pos="8844"/>
            </w:tabs>
            <w:kinsoku/>
            <w:wordWrap/>
            <w:overflowPunct/>
            <w:topLinePunct w:val="0"/>
            <w:autoSpaceDE/>
            <w:autoSpaceDN/>
            <w:bidi w:val="0"/>
            <w:adjustRightInd/>
            <w:snapToGrid/>
            <w:spacing w:line="560" w:lineRule="exact"/>
            <w:ind w:leftChars="0"/>
            <w:jc w:val="distribute"/>
            <w:textAlignment w:val="auto"/>
            <w:rPr>
              <w:rFonts w:hint="eastAsia" w:ascii="楷体" w:hAnsi="楷体" w:eastAsia="楷体" w:cs="楷体"/>
              <w:b w:val="0"/>
              <w:bCs w:val="0"/>
              <w:sz w:val="28"/>
              <w:szCs w:val="28"/>
            </w:rPr>
          </w:pPr>
          <w:r>
            <w:rPr>
              <w:rFonts w:hint="eastAsia" w:ascii="楷体" w:hAnsi="楷体" w:eastAsia="楷体" w:cs="楷体"/>
              <w:b w:val="0"/>
              <w:bCs w:val="0"/>
              <w:sz w:val="28"/>
              <w:szCs w:val="28"/>
            </w:rPr>
            <w:fldChar w:fldCharType="begin"/>
          </w:r>
          <w:r>
            <w:rPr>
              <w:rFonts w:hint="eastAsia" w:ascii="楷体" w:hAnsi="楷体" w:eastAsia="楷体" w:cs="楷体"/>
              <w:b w:val="0"/>
              <w:bCs w:val="0"/>
              <w:sz w:val="28"/>
              <w:szCs w:val="28"/>
            </w:rPr>
            <w:instrText xml:space="preserve"> HYPERLINK \l _Toc27721 </w:instrText>
          </w:r>
          <w:r>
            <w:rPr>
              <w:rFonts w:hint="eastAsia" w:ascii="楷体" w:hAnsi="楷体" w:eastAsia="楷体" w:cs="楷体"/>
              <w:b w:val="0"/>
              <w:bCs w:val="0"/>
              <w:sz w:val="28"/>
              <w:szCs w:val="28"/>
            </w:rPr>
            <w:fldChar w:fldCharType="separate"/>
          </w:r>
          <w:r>
            <w:rPr>
              <w:rFonts w:hint="eastAsia" w:ascii="楷体" w:hAnsi="楷体" w:eastAsia="楷体" w:cs="楷体"/>
              <w:b w:val="0"/>
              <w:bCs w:val="0"/>
              <w:sz w:val="28"/>
              <w:szCs w:val="28"/>
            </w:rPr>
            <w:t>二、绩效评价工作开展情况</w:t>
          </w:r>
          <w:r>
            <w:rPr>
              <w:rFonts w:hint="eastAsia" w:ascii="楷体" w:hAnsi="楷体" w:eastAsia="楷体" w:cs="楷体"/>
              <w:b w:val="0"/>
              <w:bCs w:val="0"/>
              <w:sz w:val="28"/>
              <w:szCs w:val="28"/>
            </w:rPr>
            <w:tab/>
          </w:r>
          <w:r>
            <w:rPr>
              <w:rFonts w:hint="eastAsia" w:ascii="楷体" w:hAnsi="楷体" w:eastAsia="楷体" w:cs="楷体"/>
              <w:b w:val="0"/>
              <w:bCs w:val="0"/>
              <w:sz w:val="28"/>
              <w:szCs w:val="28"/>
            </w:rPr>
            <w:fldChar w:fldCharType="begin"/>
          </w:r>
          <w:r>
            <w:rPr>
              <w:rFonts w:hint="eastAsia" w:ascii="楷体" w:hAnsi="楷体" w:eastAsia="楷体" w:cs="楷体"/>
              <w:b w:val="0"/>
              <w:bCs w:val="0"/>
              <w:sz w:val="28"/>
              <w:szCs w:val="28"/>
            </w:rPr>
            <w:instrText xml:space="preserve"> PAGEREF _Toc27721 \h </w:instrText>
          </w:r>
          <w:r>
            <w:rPr>
              <w:rFonts w:hint="eastAsia" w:ascii="楷体" w:hAnsi="楷体" w:eastAsia="楷体" w:cs="楷体"/>
              <w:b w:val="0"/>
              <w:bCs w:val="0"/>
              <w:sz w:val="28"/>
              <w:szCs w:val="28"/>
            </w:rPr>
            <w:fldChar w:fldCharType="separate"/>
          </w:r>
          <w:r>
            <w:rPr>
              <w:rFonts w:hint="eastAsia" w:ascii="楷体" w:hAnsi="楷体" w:eastAsia="楷体" w:cs="楷体"/>
              <w:b w:val="0"/>
              <w:bCs w:val="0"/>
              <w:sz w:val="28"/>
              <w:szCs w:val="28"/>
            </w:rPr>
            <w:t>3</w:t>
          </w:r>
          <w:r>
            <w:rPr>
              <w:rFonts w:hint="eastAsia" w:ascii="楷体" w:hAnsi="楷体" w:eastAsia="楷体" w:cs="楷体"/>
              <w:b w:val="0"/>
              <w:bCs w:val="0"/>
              <w:sz w:val="28"/>
              <w:szCs w:val="28"/>
            </w:rPr>
            <w:fldChar w:fldCharType="end"/>
          </w:r>
          <w:r>
            <w:rPr>
              <w:rFonts w:hint="eastAsia" w:ascii="楷体" w:hAnsi="楷体" w:eastAsia="楷体" w:cs="楷体"/>
              <w:b w:val="0"/>
              <w:bCs w:val="0"/>
              <w:sz w:val="28"/>
              <w:szCs w:val="28"/>
            </w:rPr>
            <w:fldChar w:fldCharType="end"/>
          </w:r>
        </w:p>
        <w:p>
          <w:pPr>
            <w:pStyle w:val="64"/>
            <w:keepNext w:val="0"/>
            <w:keepLines w:val="0"/>
            <w:pageBreakBefore w:val="0"/>
            <w:widowControl/>
            <w:tabs>
              <w:tab w:val="right" w:leader="dot" w:pos="8844"/>
            </w:tabs>
            <w:kinsoku/>
            <w:wordWrap/>
            <w:overflowPunct/>
            <w:topLinePunct w:val="0"/>
            <w:autoSpaceDE/>
            <w:autoSpaceDN/>
            <w:bidi w:val="0"/>
            <w:adjustRightInd/>
            <w:snapToGrid/>
            <w:spacing w:line="560" w:lineRule="exact"/>
            <w:ind w:leftChars="0"/>
            <w:jc w:val="distribute"/>
            <w:textAlignment w:val="auto"/>
            <w:rPr>
              <w:rFonts w:hint="eastAsia" w:ascii="楷体" w:hAnsi="楷体" w:eastAsia="楷体" w:cs="楷体"/>
              <w:b w:val="0"/>
              <w:bCs w:val="0"/>
              <w:sz w:val="28"/>
              <w:szCs w:val="28"/>
            </w:rPr>
          </w:pPr>
          <w:r>
            <w:rPr>
              <w:rFonts w:hint="eastAsia" w:ascii="楷体" w:hAnsi="楷体" w:eastAsia="楷体" w:cs="楷体"/>
              <w:b w:val="0"/>
              <w:bCs w:val="0"/>
              <w:sz w:val="28"/>
              <w:szCs w:val="28"/>
            </w:rPr>
            <w:fldChar w:fldCharType="begin"/>
          </w:r>
          <w:r>
            <w:rPr>
              <w:rFonts w:hint="eastAsia" w:ascii="楷体" w:hAnsi="楷体" w:eastAsia="楷体" w:cs="楷体"/>
              <w:b w:val="0"/>
              <w:bCs w:val="0"/>
              <w:sz w:val="28"/>
              <w:szCs w:val="28"/>
            </w:rPr>
            <w:instrText xml:space="preserve"> HYPERLINK \l _Toc19142 </w:instrText>
          </w:r>
          <w:r>
            <w:rPr>
              <w:rFonts w:hint="eastAsia" w:ascii="楷体" w:hAnsi="楷体" w:eastAsia="楷体" w:cs="楷体"/>
              <w:b w:val="0"/>
              <w:bCs w:val="0"/>
              <w:sz w:val="28"/>
              <w:szCs w:val="28"/>
            </w:rPr>
            <w:fldChar w:fldCharType="separate"/>
          </w:r>
          <w:r>
            <w:rPr>
              <w:rFonts w:hint="eastAsia" w:ascii="楷体" w:hAnsi="楷体" w:eastAsia="楷体" w:cs="楷体"/>
              <w:b w:val="0"/>
              <w:bCs w:val="0"/>
              <w:sz w:val="28"/>
              <w:szCs w:val="28"/>
            </w:rPr>
            <w:t>（一）绩效评价目的、对象及范围</w:t>
          </w:r>
          <w:r>
            <w:rPr>
              <w:rFonts w:hint="eastAsia" w:ascii="楷体" w:hAnsi="楷体" w:eastAsia="楷体" w:cs="楷体"/>
              <w:b w:val="0"/>
              <w:bCs w:val="0"/>
              <w:sz w:val="28"/>
              <w:szCs w:val="28"/>
            </w:rPr>
            <w:tab/>
          </w:r>
          <w:r>
            <w:rPr>
              <w:rFonts w:hint="eastAsia" w:ascii="楷体" w:hAnsi="楷体" w:eastAsia="楷体" w:cs="楷体"/>
              <w:b w:val="0"/>
              <w:bCs w:val="0"/>
              <w:sz w:val="28"/>
              <w:szCs w:val="28"/>
            </w:rPr>
            <w:fldChar w:fldCharType="begin"/>
          </w:r>
          <w:r>
            <w:rPr>
              <w:rFonts w:hint="eastAsia" w:ascii="楷体" w:hAnsi="楷体" w:eastAsia="楷体" w:cs="楷体"/>
              <w:b w:val="0"/>
              <w:bCs w:val="0"/>
              <w:sz w:val="28"/>
              <w:szCs w:val="28"/>
            </w:rPr>
            <w:instrText xml:space="preserve"> PAGEREF _Toc19142 \h </w:instrText>
          </w:r>
          <w:r>
            <w:rPr>
              <w:rFonts w:hint="eastAsia" w:ascii="楷体" w:hAnsi="楷体" w:eastAsia="楷体" w:cs="楷体"/>
              <w:b w:val="0"/>
              <w:bCs w:val="0"/>
              <w:sz w:val="28"/>
              <w:szCs w:val="28"/>
            </w:rPr>
            <w:fldChar w:fldCharType="separate"/>
          </w:r>
          <w:r>
            <w:rPr>
              <w:rFonts w:hint="eastAsia" w:ascii="楷体" w:hAnsi="楷体" w:eastAsia="楷体" w:cs="楷体"/>
              <w:b w:val="0"/>
              <w:bCs w:val="0"/>
              <w:sz w:val="28"/>
              <w:szCs w:val="28"/>
            </w:rPr>
            <w:t>3</w:t>
          </w:r>
          <w:r>
            <w:rPr>
              <w:rFonts w:hint="eastAsia" w:ascii="楷体" w:hAnsi="楷体" w:eastAsia="楷体" w:cs="楷体"/>
              <w:b w:val="0"/>
              <w:bCs w:val="0"/>
              <w:sz w:val="28"/>
              <w:szCs w:val="28"/>
            </w:rPr>
            <w:fldChar w:fldCharType="end"/>
          </w:r>
          <w:r>
            <w:rPr>
              <w:rFonts w:hint="eastAsia" w:ascii="楷体" w:hAnsi="楷体" w:eastAsia="楷体" w:cs="楷体"/>
              <w:b w:val="0"/>
              <w:bCs w:val="0"/>
              <w:sz w:val="28"/>
              <w:szCs w:val="28"/>
            </w:rPr>
            <w:fldChar w:fldCharType="end"/>
          </w:r>
        </w:p>
        <w:p>
          <w:pPr>
            <w:pStyle w:val="64"/>
            <w:keepNext w:val="0"/>
            <w:keepLines w:val="0"/>
            <w:pageBreakBefore w:val="0"/>
            <w:widowControl/>
            <w:tabs>
              <w:tab w:val="right" w:leader="dot" w:pos="8844"/>
            </w:tabs>
            <w:kinsoku/>
            <w:wordWrap/>
            <w:overflowPunct/>
            <w:topLinePunct w:val="0"/>
            <w:autoSpaceDE/>
            <w:autoSpaceDN/>
            <w:bidi w:val="0"/>
            <w:adjustRightInd/>
            <w:snapToGrid/>
            <w:spacing w:line="560" w:lineRule="exact"/>
            <w:ind w:leftChars="0"/>
            <w:jc w:val="distribute"/>
            <w:textAlignment w:val="auto"/>
            <w:rPr>
              <w:rFonts w:hint="eastAsia" w:ascii="楷体" w:hAnsi="楷体" w:eastAsia="楷体" w:cs="楷体"/>
              <w:b w:val="0"/>
              <w:bCs w:val="0"/>
              <w:sz w:val="28"/>
              <w:szCs w:val="28"/>
            </w:rPr>
          </w:pPr>
          <w:r>
            <w:rPr>
              <w:rFonts w:hint="eastAsia" w:ascii="楷体" w:hAnsi="楷体" w:eastAsia="楷体" w:cs="楷体"/>
              <w:b w:val="0"/>
              <w:bCs w:val="0"/>
              <w:sz w:val="28"/>
              <w:szCs w:val="28"/>
            </w:rPr>
            <w:fldChar w:fldCharType="begin"/>
          </w:r>
          <w:r>
            <w:rPr>
              <w:rFonts w:hint="eastAsia" w:ascii="楷体" w:hAnsi="楷体" w:eastAsia="楷体" w:cs="楷体"/>
              <w:b w:val="0"/>
              <w:bCs w:val="0"/>
              <w:sz w:val="28"/>
              <w:szCs w:val="28"/>
            </w:rPr>
            <w:instrText xml:space="preserve"> HYPERLINK \l _Toc22019 </w:instrText>
          </w:r>
          <w:r>
            <w:rPr>
              <w:rFonts w:hint="eastAsia" w:ascii="楷体" w:hAnsi="楷体" w:eastAsia="楷体" w:cs="楷体"/>
              <w:b w:val="0"/>
              <w:bCs w:val="0"/>
              <w:sz w:val="28"/>
              <w:szCs w:val="28"/>
            </w:rPr>
            <w:fldChar w:fldCharType="separate"/>
          </w:r>
          <w:r>
            <w:rPr>
              <w:rFonts w:hint="eastAsia" w:ascii="楷体" w:hAnsi="楷体" w:eastAsia="楷体" w:cs="楷体"/>
              <w:b w:val="0"/>
              <w:bCs w:val="0"/>
              <w:sz w:val="28"/>
              <w:szCs w:val="28"/>
            </w:rPr>
            <w:t>（二）绩效评价原则、方法及指标体系</w:t>
          </w:r>
          <w:r>
            <w:rPr>
              <w:rFonts w:hint="eastAsia" w:ascii="楷体" w:hAnsi="楷体" w:eastAsia="楷体" w:cs="楷体"/>
              <w:b w:val="0"/>
              <w:bCs w:val="0"/>
              <w:sz w:val="28"/>
              <w:szCs w:val="28"/>
            </w:rPr>
            <w:tab/>
          </w:r>
          <w:r>
            <w:rPr>
              <w:rFonts w:hint="eastAsia" w:ascii="楷体" w:hAnsi="楷体" w:eastAsia="楷体" w:cs="楷体"/>
              <w:b w:val="0"/>
              <w:bCs w:val="0"/>
              <w:sz w:val="28"/>
              <w:szCs w:val="28"/>
            </w:rPr>
            <w:fldChar w:fldCharType="begin"/>
          </w:r>
          <w:r>
            <w:rPr>
              <w:rFonts w:hint="eastAsia" w:ascii="楷体" w:hAnsi="楷体" w:eastAsia="楷体" w:cs="楷体"/>
              <w:b w:val="0"/>
              <w:bCs w:val="0"/>
              <w:sz w:val="28"/>
              <w:szCs w:val="28"/>
            </w:rPr>
            <w:instrText xml:space="preserve"> PAGEREF _Toc22019 \h </w:instrText>
          </w:r>
          <w:r>
            <w:rPr>
              <w:rFonts w:hint="eastAsia" w:ascii="楷体" w:hAnsi="楷体" w:eastAsia="楷体" w:cs="楷体"/>
              <w:b w:val="0"/>
              <w:bCs w:val="0"/>
              <w:sz w:val="28"/>
              <w:szCs w:val="28"/>
            </w:rPr>
            <w:fldChar w:fldCharType="separate"/>
          </w:r>
          <w:r>
            <w:rPr>
              <w:rFonts w:hint="eastAsia" w:ascii="楷体" w:hAnsi="楷体" w:eastAsia="楷体" w:cs="楷体"/>
              <w:b w:val="0"/>
              <w:bCs w:val="0"/>
              <w:sz w:val="28"/>
              <w:szCs w:val="28"/>
            </w:rPr>
            <w:t>4</w:t>
          </w:r>
          <w:r>
            <w:rPr>
              <w:rFonts w:hint="eastAsia" w:ascii="楷体" w:hAnsi="楷体" w:eastAsia="楷体" w:cs="楷体"/>
              <w:b w:val="0"/>
              <w:bCs w:val="0"/>
              <w:sz w:val="28"/>
              <w:szCs w:val="28"/>
            </w:rPr>
            <w:fldChar w:fldCharType="end"/>
          </w:r>
          <w:r>
            <w:rPr>
              <w:rFonts w:hint="eastAsia" w:ascii="楷体" w:hAnsi="楷体" w:eastAsia="楷体" w:cs="楷体"/>
              <w:b w:val="0"/>
              <w:bCs w:val="0"/>
              <w:sz w:val="28"/>
              <w:szCs w:val="28"/>
            </w:rPr>
            <w:fldChar w:fldCharType="end"/>
          </w:r>
        </w:p>
        <w:p>
          <w:pPr>
            <w:pStyle w:val="64"/>
            <w:keepNext w:val="0"/>
            <w:keepLines w:val="0"/>
            <w:pageBreakBefore w:val="0"/>
            <w:widowControl/>
            <w:tabs>
              <w:tab w:val="right" w:leader="dot" w:pos="8844"/>
            </w:tabs>
            <w:kinsoku/>
            <w:wordWrap/>
            <w:overflowPunct/>
            <w:topLinePunct w:val="0"/>
            <w:autoSpaceDE/>
            <w:autoSpaceDN/>
            <w:bidi w:val="0"/>
            <w:adjustRightInd/>
            <w:snapToGrid/>
            <w:spacing w:line="560" w:lineRule="exact"/>
            <w:ind w:leftChars="0"/>
            <w:jc w:val="distribute"/>
            <w:textAlignment w:val="auto"/>
            <w:rPr>
              <w:rFonts w:hint="eastAsia" w:ascii="楷体" w:hAnsi="楷体" w:eastAsia="楷体" w:cs="楷体"/>
              <w:b w:val="0"/>
              <w:bCs w:val="0"/>
              <w:sz w:val="28"/>
              <w:szCs w:val="28"/>
            </w:rPr>
          </w:pPr>
          <w:r>
            <w:rPr>
              <w:rFonts w:hint="eastAsia" w:ascii="楷体" w:hAnsi="楷体" w:eastAsia="楷体" w:cs="楷体"/>
              <w:b w:val="0"/>
              <w:bCs w:val="0"/>
              <w:sz w:val="28"/>
              <w:szCs w:val="28"/>
            </w:rPr>
            <w:fldChar w:fldCharType="begin"/>
          </w:r>
          <w:r>
            <w:rPr>
              <w:rFonts w:hint="eastAsia" w:ascii="楷体" w:hAnsi="楷体" w:eastAsia="楷体" w:cs="楷体"/>
              <w:b w:val="0"/>
              <w:bCs w:val="0"/>
              <w:sz w:val="28"/>
              <w:szCs w:val="28"/>
            </w:rPr>
            <w:instrText xml:space="preserve"> HYPERLINK \l _Toc20892 </w:instrText>
          </w:r>
          <w:r>
            <w:rPr>
              <w:rFonts w:hint="eastAsia" w:ascii="楷体" w:hAnsi="楷体" w:eastAsia="楷体" w:cs="楷体"/>
              <w:b w:val="0"/>
              <w:bCs w:val="0"/>
              <w:sz w:val="28"/>
              <w:szCs w:val="28"/>
            </w:rPr>
            <w:fldChar w:fldCharType="separate"/>
          </w:r>
          <w:r>
            <w:rPr>
              <w:rFonts w:hint="eastAsia" w:ascii="楷体" w:hAnsi="楷体" w:eastAsia="楷体" w:cs="楷体"/>
              <w:b w:val="0"/>
              <w:bCs w:val="0"/>
              <w:sz w:val="28"/>
              <w:szCs w:val="28"/>
            </w:rPr>
            <w:t>（三）绩效评价工作过程</w:t>
          </w:r>
          <w:r>
            <w:rPr>
              <w:rFonts w:hint="eastAsia" w:ascii="楷体" w:hAnsi="楷体" w:eastAsia="楷体" w:cs="楷体"/>
              <w:b w:val="0"/>
              <w:bCs w:val="0"/>
              <w:sz w:val="28"/>
              <w:szCs w:val="28"/>
            </w:rPr>
            <w:tab/>
          </w:r>
          <w:r>
            <w:rPr>
              <w:rFonts w:hint="eastAsia" w:ascii="楷体" w:hAnsi="楷体" w:eastAsia="楷体" w:cs="楷体"/>
              <w:b w:val="0"/>
              <w:bCs w:val="0"/>
              <w:sz w:val="28"/>
              <w:szCs w:val="28"/>
            </w:rPr>
            <w:fldChar w:fldCharType="begin"/>
          </w:r>
          <w:r>
            <w:rPr>
              <w:rFonts w:hint="eastAsia" w:ascii="楷体" w:hAnsi="楷体" w:eastAsia="楷体" w:cs="楷体"/>
              <w:b w:val="0"/>
              <w:bCs w:val="0"/>
              <w:sz w:val="28"/>
              <w:szCs w:val="28"/>
            </w:rPr>
            <w:instrText xml:space="preserve"> PAGEREF _Toc20892 \h </w:instrText>
          </w:r>
          <w:r>
            <w:rPr>
              <w:rFonts w:hint="eastAsia" w:ascii="楷体" w:hAnsi="楷体" w:eastAsia="楷体" w:cs="楷体"/>
              <w:b w:val="0"/>
              <w:bCs w:val="0"/>
              <w:sz w:val="28"/>
              <w:szCs w:val="28"/>
            </w:rPr>
            <w:fldChar w:fldCharType="separate"/>
          </w:r>
          <w:r>
            <w:rPr>
              <w:rFonts w:hint="eastAsia" w:ascii="楷体" w:hAnsi="楷体" w:eastAsia="楷体" w:cs="楷体"/>
              <w:b w:val="0"/>
              <w:bCs w:val="0"/>
              <w:sz w:val="28"/>
              <w:szCs w:val="28"/>
            </w:rPr>
            <w:t>5</w:t>
          </w:r>
          <w:r>
            <w:rPr>
              <w:rFonts w:hint="eastAsia" w:ascii="楷体" w:hAnsi="楷体" w:eastAsia="楷体" w:cs="楷体"/>
              <w:b w:val="0"/>
              <w:bCs w:val="0"/>
              <w:sz w:val="28"/>
              <w:szCs w:val="28"/>
            </w:rPr>
            <w:fldChar w:fldCharType="end"/>
          </w:r>
          <w:r>
            <w:rPr>
              <w:rFonts w:hint="eastAsia" w:ascii="楷体" w:hAnsi="楷体" w:eastAsia="楷体" w:cs="楷体"/>
              <w:b w:val="0"/>
              <w:bCs w:val="0"/>
              <w:sz w:val="28"/>
              <w:szCs w:val="28"/>
            </w:rPr>
            <w:fldChar w:fldCharType="end"/>
          </w:r>
        </w:p>
        <w:p>
          <w:pPr>
            <w:pStyle w:val="64"/>
            <w:keepNext w:val="0"/>
            <w:keepLines w:val="0"/>
            <w:pageBreakBefore w:val="0"/>
            <w:widowControl/>
            <w:tabs>
              <w:tab w:val="right" w:leader="dot" w:pos="8844"/>
            </w:tabs>
            <w:kinsoku/>
            <w:wordWrap/>
            <w:overflowPunct/>
            <w:topLinePunct w:val="0"/>
            <w:autoSpaceDE/>
            <w:autoSpaceDN/>
            <w:bidi w:val="0"/>
            <w:adjustRightInd/>
            <w:snapToGrid/>
            <w:spacing w:line="560" w:lineRule="exact"/>
            <w:ind w:leftChars="0"/>
            <w:jc w:val="distribute"/>
            <w:textAlignment w:val="auto"/>
            <w:rPr>
              <w:rFonts w:hint="eastAsia" w:ascii="楷体" w:hAnsi="楷体" w:eastAsia="楷体" w:cs="楷体"/>
              <w:b w:val="0"/>
              <w:bCs w:val="0"/>
              <w:sz w:val="28"/>
              <w:szCs w:val="28"/>
            </w:rPr>
          </w:pPr>
          <w:r>
            <w:rPr>
              <w:rFonts w:hint="eastAsia" w:ascii="楷体" w:hAnsi="楷体" w:eastAsia="楷体" w:cs="楷体"/>
              <w:b w:val="0"/>
              <w:bCs w:val="0"/>
              <w:sz w:val="28"/>
              <w:szCs w:val="28"/>
            </w:rPr>
            <w:fldChar w:fldCharType="begin"/>
          </w:r>
          <w:r>
            <w:rPr>
              <w:rFonts w:hint="eastAsia" w:ascii="楷体" w:hAnsi="楷体" w:eastAsia="楷体" w:cs="楷体"/>
              <w:b w:val="0"/>
              <w:bCs w:val="0"/>
              <w:sz w:val="28"/>
              <w:szCs w:val="28"/>
            </w:rPr>
            <w:instrText xml:space="preserve"> HYPERLINK \l _Toc4756 </w:instrText>
          </w:r>
          <w:r>
            <w:rPr>
              <w:rFonts w:hint="eastAsia" w:ascii="楷体" w:hAnsi="楷体" w:eastAsia="楷体" w:cs="楷体"/>
              <w:b w:val="0"/>
              <w:bCs w:val="0"/>
              <w:sz w:val="28"/>
              <w:szCs w:val="28"/>
            </w:rPr>
            <w:fldChar w:fldCharType="separate"/>
          </w:r>
          <w:r>
            <w:rPr>
              <w:rFonts w:hint="eastAsia" w:ascii="楷体" w:hAnsi="楷体" w:eastAsia="楷体" w:cs="楷体"/>
              <w:b w:val="0"/>
              <w:bCs w:val="0"/>
              <w:sz w:val="28"/>
              <w:szCs w:val="28"/>
            </w:rPr>
            <w:t>三、综合评价情况及评价结论</w:t>
          </w:r>
          <w:r>
            <w:rPr>
              <w:rFonts w:hint="eastAsia" w:ascii="楷体" w:hAnsi="楷体" w:eastAsia="楷体" w:cs="楷体"/>
              <w:b w:val="0"/>
              <w:bCs w:val="0"/>
              <w:sz w:val="28"/>
              <w:szCs w:val="28"/>
            </w:rPr>
            <w:tab/>
          </w:r>
          <w:r>
            <w:rPr>
              <w:rFonts w:hint="eastAsia" w:ascii="楷体" w:hAnsi="楷体" w:eastAsia="楷体" w:cs="楷体"/>
              <w:b w:val="0"/>
              <w:bCs w:val="0"/>
              <w:sz w:val="28"/>
              <w:szCs w:val="28"/>
            </w:rPr>
            <w:fldChar w:fldCharType="begin"/>
          </w:r>
          <w:r>
            <w:rPr>
              <w:rFonts w:hint="eastAsia" w:ascii="楷体" w:hAnsi="楷体" w:eastAsia="楷体" w:cs="楷体"/>
              <w:b w:val="0"/>
              <w:bCs w:val="0"/>
              <w:sz w:val="28"/>
              <w:szCs w:val="28"/>
            </w:rPr>
            <w:instrText xml:space="preserve"> PAGEREF _Toc4756 \h </w:instrText>
          </w:r>
          <w:r>
            <w:rPr>
              <w:rFonts w:hint="eastAsia" w:ascii="楷体" w:hAnsi="楷体" w:eastAsia="楷体" w:cs="楷体"/>
              <w:b w:val="0"/>
              <w:bCs w:val="0"/>
              <w:sz w:val="28"/>
              <w:szCs w:val="28"/>
            </w:rPr>
            <w:fldChar w:fldCharType="separate"/>
          </w:r>
          <w:r>
            <w:rPr>
              <w:rFonts w:hint="eastAsia" w:ascii="楷体" w:hAnsi="楷体" w:eastAsia="楷体" w:cs="楷体"/>
              <w:b w:val="0"/>
              <w:bCs w:val="0"/>
              <w:sz w:val="28"/>
              <w:szCs w:val="28"/>
            </w:rPr>
            <w:t>6</w:t>
          </w:r>
          <w:r>
            <w:rPr>
              <w:rFonts w:hint="eastAsia" w:ascii="楷体" w:hAnsi="楷体" w:eastAsia="楷体" w:cs="楷体"/>
              <w:b w:val="0"/>
              <w:bCs w:val="0"/>
              <w:sz w:val="28"/>
              <w:szCs w:val="28"/>
            </w:rPr>
            <w:fldChar w:fldCharType="end"/>
          </w:r>
          <w:r>
            <w:rPr>
              <w:rFonts w:hint="eastAsia" w:ascii="楷体" w:hAnsi="楷体" w:eastAsia="楷体" w:cs="楷体"/>
              <w:b w:val="0"/>
              <w:bCs w:val="0"/>
              <w:sz w:val="28"/>
              <w:szCs w:val="28"/>
            </w:rPr>
            <w:fldChar w:fldCharType="end"/>
          </w:r>
        </w:p>
        <w:p>
          <w:pPr>
            <w:pStyle w:val="64"/>
            <w:keepNext w:val="0"/>
            <w:keepLines w:val="0"/>
            <w:pageBreakBefore w:val="0"/>
            <w:widowControl/>
            <w:tabs>
              <w:tab w:val="right" w:leader="dot" w:pos="8844"/>
            </w:tabs>
            <w:kinsoku/>
            <w:wordWrap/>
            <w:overflowPunct/>
            <w:topLinePunct w:val="0"/>
            <w:autoSpaceDE/>
            <w:autoSpaceDN/>
            <w:bidi w:val="0"/>
            <w:adjustRightInd/>
            <w:snapToGrid/>
            <w:spacing w:line="560" w:lineRule="exact"/>
            <w:ind w:leftChars="0"/>
            <w:jc w:val="distribute"/>
            <w:textAlignment w:val="auto"/>
            <w:rPr>
              <w:rFonts w:hint="eastAsia" w:ascii="楷体" w:hAnsi="楷体" w:eastAsia="楷体" w:cs="楷体"/>
              <w:b w:val="0"/>
              <w:bCs w:val="0"/>
              <w:sz w:val="28"/>
              <w:szCs w:val="28"/>
            </w:rPr>
          </w:pPr>
          <w:r>
            <w:rPr>
              <w:rFonts w:hint="eastAsia" w:ascii="楷体" w:hAnsi="楷体" w:eastAsia="楷体" w:cs="楷体"/>
              <w:b w:val="0"/>
              <w:bCs w:val="0"/>
              <w:sz w:val="28"/>
              <w:szCs w:val="28"/>
            </w:rPr>
            <w:fldChar w:fldCharType="begin"/>
          </w:r>
          <w:r>
            <w:rPr>
              <w:rFonts w:hint="eastAsia" w:ascii="楷体" w:hAnsi="楷体" w:eastAsia="楷体" w:cs="楷体"/>
              <w:b w:val="0"/>
              <w:bCs w:val="0"/>
              <w:sz w:val="28"/>
              <w:szCs w:val="28"/>
            </w:rPr>
            <w:instrText xml:space="preserve"> HYPERLINK \l _Toc20820 </w:instrText>
          </w:r>
          <w:r>
            <w:rPr>
              <w:rFonts w:hint="eastAsia" w:ascii="楷体" w:hAnsi="楷体" w:eastAsia="楷体" w:cs="楷体"/>
              <w:b w:val="0"/>
              <w:bCs w:val="0"/>
              <w:sz w:val="28"/>
              <w:szCs w:val="28"/>
            </w:rPr>
            <w:fldChar w:fldCharType="separate"/>
          </w:r>
          <w:r>
            <w:rPr>
              <w:rFonts w:hint="eastAsia" w:ascii="楷体" w:hAnsi="楷体" w:eastAsia="楷体" w:cs="楷体"/>
              <w:b w:val="0"/>
              <w:bCs w:val="0"/>
              <w:sz w:val="28"/>
              <w:szCs w:val="28"/>
            </w:rPr>
            <w:t>四、绩效评价指标分析</w:t>
          </w:r>
          <w:r>
            <w:rPr>
              <w:rFonts w:hint="eastAsia" w:ascii="楷体" w:hAnsi="楷体" w:eastAsia="楷体" w:cs="楷体"/>
              <w:b w:val="0"/>
              <w:bCs w:val="0"/>
              <w:sz w:val="28"/>
              <w:szCs w:val="28"/>
            </w:rPr>
            <w:tab/>
          </w:r>
          <w:bookmarkStart w:id="116" w:name="_GoBack"/>
          <w:bookmarkEnd w:id="116"/>
          <w:r>
            <w:rPr>
              <w:rFonts w:hint="eastAsia" w:ascii="楷体" w:hAnsi="楷体" w:eastAsia="楷体" w:cs="楷体"/>
              <w:b w:val="0"/>
              <w:bCs w:val="0"/>
              <w:sz w:val="28"/>
              <w:szCs w:val="28"/>
            </w:rPr>
            <w:fldChar w:fldCharType="begin"/>
          </w:r>
          <w:r>
            <w:rPr>
              <w:rFonts w:hint="eastAsia" w:ascii="楷体" w:hAnsi="楷体" w:eastAsia="楷体" w:cs="楷体"/>
              <w:b w:val="0"/>
              <w:bCs w:val="0"/>
              <w:sz w:val="28"/>
              <w:szCs w:val="28"/>
            </w:rPr>
            <w:instrText xml:space="preserve"> PAGEREF _Toc20820 \h </w:instrText>
          </w:r>
          <w:r>
            <w:rPr>
              <w:rFonts w:hint="eastAsia" w:ascii="楷体" w:hAnsi="楷体" w:eastAsia="楷体" w:cs="楷体"/>
              <w:b w:val="0"/>
              <w:bCs w:val="0"/>
              <w:sz w:val="28"/>
              <w:szCs w:val="28"/>
            </w:rPr>
            <w:fldChar w:fldCharType="separate"/>
          </w:r>
          <w:r>
            <w:rPr>
              <w:rFonts w:hint="eastAsia" w:ascii="楷体" w:hAnsi="楷体" w:eastAsia="楷体" w:cs="楷体"/>
              <w:b w:val="0"/>
              <w:bCs w:val="0"/>
              <w:sz w:val="28"/>
              <w:szCs w:val="28"/>
            </w:rPr>
            <w:t>7</w:t>
          </w:r>
          <w:r>
            <w:rPr>
              <w:rFonts w:hint="eastAsia" w:ascii="楷体" w:hAnsi="楷体" w:eastAsia="楷体" w:cs="楷体"/>
              <w:b w:val="0"/>
              <w:bCs w:val="0"/>
              <w:sz w:val="28"/>
              <w:szCs w:val="28"/>
            </w:rPr>
            <w:fldChar w:fldCharType="end"/>
          </w:r>
          <w:r>
            <w:rPr>
              <w:rFonts w:hint="eastAsia" w:ascii="楷体" w:hAnsi="楷体" w:eastAsia="楷体" w:cs="楷体"/>
              <w:b w:val="0"/>
              <w:bCs w:val="0"/>
              <w:sz w:val="28"/>
              <w:szCs w:val="28"/>
            </w:rPr>
            <w:fldChar w:fldCharType="end"/>
          </w:r>
        </w:p>
        <w:p>
          <w:pPr>
            <w:pStyle w:val="64"/>
            <w:keepNext w:val="0"/>
            <w:keepLines w:val="0"/>
            <w:pageBreakBefore w:val="0"/>
            <w:widowControl/>
            <w:tabs>
              <w:tab w:val="right" w:leader="dot" w:pos="8844"/>
            </w:tabs>
            <w:kinsoku/>
            <w:wordWrap/>
            <w:overflowPunct/>
            <w:topLinePunct w:val="0"/>
            <w:autoSpaceDE/>
            <w:autoSpaceDN/>
            <w:bidi w:val="0"/>
            <w:adjustRightInd/>
            <w:snapToGrid/>
            <w:spacing w:line="560" w:lineRule="exact"/>
            <w:ind w:leftChars="0"/>
            <w:jc w:val="distribute"/>
            <w:textAlignment w:val="auto"/>
            <w:rPr>
              <w:rFonts w:hint="eastAsia" w:ascii="楷体" w:hAnsi="楷体" w:eastAsia="楷体" w:cs="楷体"/>
              <w:b w:val="0"/>
              <w:bCs w:val="0"/>
              <w:sz w:val="28"/>
              <w:szCs w:val="28"/>
            </w:rPr>
          </w:pPr>
          <w:r>
            <w:rPr>
              <w:rFonts w:hint="eastAsia" w:ascii="楷体" w:hAnsi="楷体" w:eastAsia="楷体" w:cs="楷体"/>
              <w:b w:val="0"/>
              <w:bCs w:val="0"/>
              <w:sz w:val="28"/>
              <w:szCs w:val="28"/>
            </w:rPr>
            <w:fldChar w:fldCharType="begin"/>
          </w:r>
          <w:r>
            <w:rPr>
              <w:rFonts w:hint="eastAsia" w:ascii="楷体" w:hAnsi="楷体" w:eastAsia="楷体" w:cs="楷体"/>
              <w:b w:val="0"/>
              <w:bCs w:val="0"/>
              <w:sz w:val="28"/>
              <w:szCs w:val="28"/>
            </w:rPr>
            <w:instrText xml:space="preserve"> HYPERLINK \l _Toc31052 </w:instrText>
          </w:r>
          <w:r>
            <w:rPr>
              <w:rFonts w:hint="eastAsia" w:ascii="楷体" w:hAnsi="楷体" w:eastAsia="楷体" w:cs="楷体"/>
              <w:b w:val="0"/>
              <w:bCs w:val="0"/>
              <w:sz w:val="28"/>
              <w:szCs w:val="28"/>
            </w:rPr>
            <w:fldChar w:fldCharType="separate"/>
          </w:r>
          <w:r>
            <w:rPr>
              <w:rFonts w:hint="eastAsia" w:ascii="楷体" w:hAnsi="楷体" w:eastAsia="楷体" w:cs="楷体"/>
              <w:b w:val="0"/>
              <w:bCs w:val="0"/>
              <w:sz w:val="28"/>
              <w:szCs w:val="28"/>
            </w:rPr>
            <w:t>（一）项目决策情况</w:t>
          </w:r>
          <w:r>
            <w:rPr>
              <w:rFonts w:hint="eastAsia" w:ascii="楷体" w:hAnsi="楷体" w:eastAsia="楷体" w:cs="楷体"/>
              <w:b w:val="0"/>
              <w:bCs w:val="0"/>
              <w:sz w:val="28"/>
              <w:szCs w:val="28"/>
            </w:rPr>
            <w:tab/>
          </w:r>
          <w:r>
            <w:rPr>
              <w:rFonts w:hint="eastAsia" w:ascii="楷体" w:hAnsi="楷体" w:eastAsia="楷体" w:cs="楷体"/>
              <w:b w:val="0"/>
              <w:bCs w:val="0"/>
              <w:sz w:val="28"/>
              <w:szCs w:val="28"/>
            </w:rPr>
            <w:fldChar w:fldCharType="begin"/>
          </w:r>
          <w:r>
            <w:rPr>
              <w:rFonts w:hint="eastAsia" w:ascii="楷体" w:hAnsi="楷体" w:eastAsia="楷体" w:cs="楷体"/>
              <w:b w:val="0"/>
              <w:bCs w:val="0"/>
              <w:sz w:val="28"/>
              <w:szCs w:val="28"/>
            </w:rPr>
            <w:instrText xml:space="preserve"> PAGEREF _Toc31052 \h </w:instrText>
          </w:r>
          <w:r>
            <w:rPr>
              <w:rFonts w:hint="eastAsia" w:ascii="楷体" w:hAnsi="楷体" w:eastAsia="楷体" w:cs="楷体"/>
              <w:b w:val="0"/>
              <w:bCs w:val="0"/>
              <w:sz w:val="28"/>
              <w:szCs w:val="28"/>
            </w:rPr>
            <w:fldChar w:fldCharType="separate"/>
          </w:r>
          <w:r>
            <w:rPr>
              <w:rFonts w:hint="eastAsia" w:ascii="楷体" w:hAnsi="楷体" w:eastAsia="楷体" w:cs="楷体"/>
              <w:b w:val="0"/>
              <w:bCs w:val="0"/>
              <w:sz w:val="28"/>
              <w:szCs w:val="28"/>
            </w:rPr>
            <w:t>7</w:t>
          </w:r>
          <w:r>
            <w:rPr>
              <w:rFonts w:hint="eastAsia" w:ascii="楷体" w:hAnsi="楷体" w:eastAsia="楷体" w:cs="楷体"/>
              <w:b w:val="0"/>
              <w:bCs w:val="0"/>
              <w:sz w:val="28"/>
              <w:szCs w:val="28"/>
            </w:rPr>
            <w:fldChar w:fldCharType="end"/>
          </w:r>
          <w:r>
            <w:rPr>
              <w:rFonts w:hint="eastAsia" w:ascii="楷体" w:hAnsi="楷体" w:eastAsia="楷体" w:cs="楷体"/>
              <w:b w:val="0"/>
              <w:bCs w:val="0"/>
              <w:sz w:val="28"/>
              <w:szCs w:val="28"/>
            </w:rPr>
            <w:fldChar w:fldCharType="end"/>
          </w:r>
        </w:p>
        <w:p>
          <w:pPr>
            <w:pStyle w:val="64"/>
            <w:keepNext w:val="0"/>
            <w:keepLines w:val="0"/>
            <w:pageBreakBefore w:val="0"/>
            <w:widowControl/>
            <w:tabs>
              <w:tab w:val="right" w:leader="dot" w:pos="8844"/>
            </w:tabs>
            <w:kinsoku/>
            <w:wordWrap/>
            <w:overflowPunct/>
            <w:topLinePunct w:val="0"/>
            <w:autoSpaceDE/>
            <w:autoSpaceDN/>
            <w:bidi w:val="0"/>
            <w:adjustRightInd/>
            <w:snapToGrid/>
            <w:spacing w:line="560" w:lineRule="exact"/>
            <w:ind w:leftChars="0"/>
            <w:jc w:val="distribute"/>
            <w:textAlignment w:val="auto"/>
            <w:rPr>
              <w:rFonts w:hint="eastAsia" w:ascii="楷体" w:hAnsi="楷体" w:eastAsia="楷体" w:cs="楷体"/>
              <w:b w:val="0"/>
              <w:bCs w:val="0"/>
              <w:sz w:val="28"/>
              <w:szCs w:val="28"/>
            </w:rPr>
          </w:pPr>
          <w:r>
            <w:rPr>
              <w:rFonts w:hint="eastAsia" w:ascii="楷体" w:hAnsi="楷体" w:eastAsia="楷体" w:cs="楷体"/>
              <w:b w:val="0"/>
              <w:bCs w:val="0"/>
              <w:sz w:val="28"/>
              <w:szCs w:val="28"/>
            </w:rPr>
            <w:fldChar w:fldCharType="begin"/>
          </w:r>
          <w:r>
            <w:rPr>
              <w:rFonts w:hint="eastAsia" w:ascii="楷体" w:hAnsi="楷体" w:eastAsia="楷体" w:cs="楷体"/>
              <w:b w:val="0"/>
              <w:bCs w:val="0"/>
              <w:sz w:val="28"/>
              <w:szCs w:val="28"/>
            </w:rPr>
            <w:instrText xml:space="preserve"> HYPERLINK \l _Toc22833 </w:instrText>
          </w:r>
          <w:r>
            <w:rPr>
              <w:rFonts w:hint="eastAsia" w:ascii="楷体" w:hAnsi="楷体" w:eastAsia="楷体" w:cs="楷体"/>
              <w:b w:val="0"/>
              <w:bCs w:val="0"/>
              <w:sz w:val="28"/>
              <w:szCs w:val="28"/>
            </w:rPr>
            <w:fldChar w:fldCharType="separate"/>
          </w:r>
          <w:r>
            <w:rPr>
              <w:rFonts w:hint="eastAsia" w:ascii="楷体" w:hAnsi="楷体" w:eastAsia="楷体" w:cs="楷体"/>
              <w:b w:val="0"/>
              <w:bCs w:val="0"/>
              <w:sz w:val="28"/>
              <w:szCs w:val="28"/>
            </w:rPr>
            <w:t>（二）项目过程情况</w:t>
          </w:r>
          <w:r>
            <w:rPr>
              <w:rFonts w:hint="eastAsia" w:ascii="楷体" w:hAnsi="楷体" w:eastAsia="楷体" w:cs="楷体"/>
              <w:b w:val="0"/>
              <w:bCs w:val="0"/>
              <w:sz w:val="28"/>
              <w:szCs w:val="28"/>
            </w:rPr>
            <w:tab/>
          </w:r>
          <w:r>
            <w:rPr>
              <w:rFonts w:hint="eastAsia" w:ascii="楷体" w:hAnsi="楷体" w:eastAsia="楷体" w:cs="楷体"/>
              <w:b w:val="0"/>
              <w:bCs w:val="0"/>
              <w:sz w:val="28"/>
              <w:szCs w:val="28"/>
            </w:rPr>
            <w:fldChar w:fldCharType="begin"/>
          </w:r>
          <w:r>
            <w:rPr>
              <w:rFonts w:hint="eastAsia" w:ascii="楷体" w:hAnsi="楷体" w:eastAsia="楷体" w:cs="楷体"/>
              <w:b w:val="0"/>
              <w:bCs w:val="0"/>
              <w:sz w:val="28"/>
              <w:szCs w:val="28"/>
            </w:rPr>
            <w:instrText xml:space="preserve"> PAGEREF _Toc22833 \h </w:instrText>
          </w:r>
          <w:r>
            <w:rPr>
              <w:rFonts w:hint="eastAsia" w:ascii="楷体" w:hAnsi="楷体" w:eastAsia="楷体" w:cs="楷体"/>
              <w:b w:val="0"/>
              <w:bCs w:val="0"/>
              <w:sz w:val="28"/>
              <w:szCs w:val="28"/>
            </w:rPr>
            <w:fldChar w:fldCharType="separate"/>
          </w:r>
          <w:r>
            <w:rPr>
              <w:rFonts w:hint="eastAsia" w:ascii="楷体" w:hAnsi="楷体" w:eastAsia="楷体" w:cs="楷体"/>
              <w:b w:val="0"/>
              <w:bCs w:val="0"/>
              <w:sz w:val="28"/>
              <w:szCs w:val="28"/>
            </w:rPr>
            <w:t>10</w:t>
          </w:r>
          <w:r>
            <w:rPr>
              <w:rFonts w:hint="eastAsia" w:ascii="楷体" w:hAnsi="楷体" w:eastAsia="楷体" w:cs="楷体"/>
              <w:b w:val="0"/>
              <w:bCs w:val="0"/>
              <w:sz w:val="28"/>
              <w:szCs w:val="28"/>
            </w:rPr>
            <w:fldChar w:fldCharType="end"/>
          </w:r>
          <w:r>
            <w:rPr>
              <w:rFonts w:hint="eastAsia" w:ascii="楷体" w:hAnsi="楷体" w:eastAsia="楷体" w:cs="楷体"/>
              <w:b w:val="0"/>
              <w:bCs w:val="0"/>
              <w:sz w:val="28"/>
              <w:szCs w:val="28"/>
            </w:rPr>
            <w:fldChar w:fldCharType="end"/>
          </w:r>
        </w:p>
        <w:p>
          <w:pPr>
            <w:pStyle w:val="64"/>
            <w:keepNext w:val="0"/>
            <w:keepLines w:val="0"/>
            <w:pageBreakBefore w:val="0"/>
            <w:widowControl/>
            <w:tabs>
              <w:tab w:val="right" w:leader="dot" w:pos="8844"/>
            </w:tabs>
            <w:kinsoku/>
            <w:wordWrap/>
            <w:overflowPunct/>
            <w:topLinePunct w:val="0"/>
            <w:autoSpaceDE/>
            <w:autoSpaceDN/>
            <w:bidi w:val="0"/>
            <w:adjustRightInd/>
            <w:snapToGrid/>
            <w:spacing w:line="560" w:lineRule="exact"/>
            <w:ind w:leftChars="0"/>
            <w:jc w:val="distribute"/>
            <w:textAlignment w:val="auto"/>
            <w:rPr>
              <w:rFonts w:hint="eastAsia" w:ascii="楷体" w:hAnsi="楷体" w:eastAsia="楷体" w:cs="楷体"/>
              <w:b w:val="0"/>
              <w:bCs w:val="0"/>
              <w:sz w:val="28"/>
              <w:szCs w:val="28"/>
            </w:rPr>
          </w:pPr>
          <w:r>
            <w:rPr>
              <w:rFonts w:hint="eastAsia" w:ascii="楷体" w:hAnsi="楷体" w:eastAsia="楷体" w:cs="楷体"/>
              <w:b w:val="0"/>
              <w:bCs w:val="0"/>
              <w:sz w:val="28"/>
              <w:szCs w:val="28"/>
            </w:rPr>
            <w:fldChar w:fldCharType="begin"/>
          </w:r>
          <w:r>
            <w:rPr>
              <w:rFonts w:hint="eastAsia" w:ascii="楷体" w:hAnsi="楷体" w:eastAsia="楷体" w:cs="楷体"/>
              <w:b w:val="0"/>
              <w:bCs w:val="0"/>
              <w:sz w:val="28"/>
              <w:szCs w:val="28"/>
            </w:rPr>
            <w:instrText xml:space="preserve"> HYPERLINK \l _Toc25802 </w:instrText>
          </w:r>
          <w:r>
            <w:rPr>
              <w:rFonts w:hint="eastAsia" w:ascii="楷体" w:hAnsi="楷体" w:eastAsia="楷体" w:cs="楷体"/>
              <w:b w:val="0"/>
              <w:bCs w:val="0"/>
              <w:sz w:val="28"/>
              <w:szCs w:val="28"/>
            </w:rPr>
            <w:fldChar w:fldCharType="separate"/>
          </w:r>
          <w:r>
            <w:rPr>
              <w:rFonts w:hint="eastAsia" w:ascii="楷体" w:hAnsi="楷体" w:eastAsia="楷体" w:cs="楷体"/>
              <w:b w:val="0"/>
              <w:bCs w:val="0"/>
              <w:sz w:val="28"/>
              <w:szCs w:val="28"/>
            </w:rPr>
            <w:t>（三）项目产出情况</w:t>
          </w:r>
          <w:r>
            <w:rPr>
              <w:rFonts w:hint="eastAsia" w:ascii="楷体" w:hAnsi="楷体" w:eastAsia="楷体" w:cs="楷体"/>
              <w:b w:val="0"/>
              <w:bCs w:val="0"/>
              <w:sz w:val="28"/>
              <w:szCs w:val="28"/>
            </w:rPr>
            <w:tab/>
          </w:r>
          <w:r>
            <w:rPr>
              <w:rFonts w:hint="eastAsia" w:ascii="楷体" w:hAnsi="楷体" w:eastAsia="楷体" w:cs="楷体"/>
              <w:b w:val="0"/>
              <w:bCs w:val="0"/>
              <w:sz w:val="28"/>
              <w:szCs w:val="28"/>
            </w:rPr>
            <w:fldChar w:fldCharType="begin"/>
          </w:r>
          <w:r>
            <w:rPr>
              <w:rFonts w:hint="eastAsia" w:ascii="楷体" w:hAnsi="楷体" w:eastAsia="楷体" w:cs="楷体"/>
              <w:b w:val="0"/>
              <w:bCs w:val="0"/>
              <w:sz w:val="28"/>
              <w:szCs w:val="28"/>
            </w:rPr>
            <w:instrText xml:space="preserve"> PAGEREF _Toc25802 \h </w:instrText>
          </w:r>
          <w:r>
            <w:rPr>
              <w:rFonts w:hint="eastAsia" w:ascii="楷体" w:hAnsi="楷体" w:eastAsia="楷体" w:cs="楷体"/>
              <w:b w:val="0"/>
              <w:bCs w:val="0"/>
              <w:sz w:val="28"/>
              <w:szCs w:val="28"/>
            </w:rPr>
            <w:fldChar w:fldCharType="separate"/>
          </w:r>
          <w:r>
            <w:rPr>
              <w:rFonts w:hint="eastAsia" w:ascii="楷体" w:hAnsi="楷体" w:eastAsia="楷体" w:cs="楷体"/>
              <w:b w:val="0"/>
              <w:bCs w:val="0"/>
              <w:sz w:val="28"/>
              <w:szCs w:val="28"/>
            </w:rPr>
            <w:t>12</w:t>
          </w:r>
          <w:r>
            <w:rPr>
              <w:rFonts w:hint="eastAsia" w:ascii="楷体" w:hAnsi="楷体" w:eastAsia="楷体" w:cs="楷体"/>
              <w:b w:val="0"/>
              <w:bCs w:val="0"/>
              <w:sz w:val="28"/>
              <w:szCs w:val="28"/>
            </w:rPr>
            <w:fldChar w:fldCharType="end"/>
          </w:r>
          <w:r>
            <w:rPr>
              <w:rFonts w:hint="eastAsia" w:ascii="楷体" w:hAnsi="楷体" w:eastAsia="楷体" w:cs="楷体"/>
              <w:b w:val="0"/>
              <w:bCs w:val="0"/>
              <w:sz w:val="28"/>
              <w:szCs w:val="28"/>
            </w:rPr>
            <w:fldChar w:fldCharType="end"/>
          </w:r>
        </w:p>
        <w:p>
          <w:pPr>
            <w:pStyle w:val="64"/>
            <w:keepNext w:val="0"/>
            <w:keepLines w:val="0"/>
            <w:pageBreakBefore w:val="0"/>
            <w:widowControl/>
            <w:tabs>
              <w:tab w:val="right" w:leader="dot" w:pos="8844"/>
            </w:tabs>
            <w:kinsoku/>
            <w:wordWrap/>
            <w:overflowPunct/>
            <w:topLinePunct w:val="0"/>
            <w:autoSpaceDE/>
            <w:autoSpaceDN/>
            <w:bidi w:val="0"/>
            <w:adjustRightInd/>
            <w:snapToGrid/>
            <w:spacing w:line="560" w:lineRule="exact"/>
            <w:ind w:leftChars="0"/>
            <w:jc w:val="distribute"/>
            <w:textAlignment w:val="auto"/>
            <w:rPr>
              <w:rFonts w:hint="eastAsia" w:ascii="楷体" w:hAnsi="楷体" w:eastAsia="楷体" w:cs="楷体"/>
              <w:b w:val="0"/>
              <w:bCs w:val="0"/>
              <w:sz w:val="28"/>
              <w:szCs w:val="28"/>
            </w:rPr>
          </w:pPr>
          <w:r>
            <w:rPr>
              <w:rFonts w:hint="eastAsia" w:ascii="楷体" w:hAnsi="楷体" w:eastAsia="楷体" w:cs="楷体"/>
              <w:b w:val="0"/>
              <w:bCs w:val="0"/>
              <w:sz w:val="28"/>
              <w:szCs w:val="28"/>
            </w:rPr>
            <w:fldChar w:fldCharType="begin"/>
          </w:r>
          <w:r>
            <w:rPr>
              <w:rFonts w:hint="eastAsia" w:ascii="楷体" w:hAnsi="楷体" w:eastAsia="楷体" w:cs="楷体"/>
              <w:b w:val="0"/>
              <w:bCs w:val="0"/>
              <w:sz w:val="28"/>
              <w:szCs w:val="28"/>
            </w:rPr>
            <w:instrText xml:space="preserve"> HYPERLINK \l _Toc26643 </w:instrText>
          </w:r>
          <w:r>
            <w:rPr>
              <w:rFonts w:hint="eastAsia" w:ascii="楷体" w:hAnsi="楷体" w:eastAsia="楷体" w:cs="楷体"/>
              <w:b w:val="0"/>
              <w:bCs w:val="0"/>
              <w:sz w:val="28"/>
              <w:szCs w:val="28"/>
            </w:rPr>
            <w:fldChar w:fldCharType="separate"/>
          </w:r>
          <w:r>
            <w:rPr>
              <w:rFonts w:hint="eastAsia" w:ascii="楷体" w:hAnsi="楷体" w:eastAsia="楷体" w:cs="楷体"/>
              <w:b w:val="0"/>
              <w:bCs w:val="0"/>
              <w:sz w:val="28"/>
              <w:szCs w:val="28"/>
            </w:rPr>
            <w:t>（四）项目效益情况</w:t>
          </w:r>
          <w:r>
            <w:rPr>
              <w:rFonts w:hint="eastAsia" w:ascii="楷体" w:hAnsi="楷体" w:eastAsia="楷体" w:cs="楷体"/>
              <w:b w:val="0"/>
              <w:bCs w:val="0"/>
              <w:sz w:val="28"/>
              <w:szCs w:val="28"/>
            </w:rPr>
            <w:tab/>
          </w:r>
          <w:r>
            <w:rPr>
              <w:rFonts w:hint="eastAsia" w:ascii="楷体" w:hAnsi="楷体" w:eastAsia="楷体" w:cs="楷体"/>
              <w:b w:val="0"/>
              <w:bCs w:val="0"/>
              <w:sz w:val="28"/>
              <w:szCs w:val="28"/>
            </w:rPr>
            <w:fldChar w:fldCharType="begin"/>
          </w:r>
          <w:r>
            <w:rPr>
              <w:rFonts w:hint="eastAsia" w:ascii="楷体" w:hAnsi="楷体" w:eastAsia="楷体" w:cs="楷体"/>
              <w:b w:val="0"/>
              <w:bCs w:val="0"/>
              <w:sz w:val="28"/>
              <w:szCs w:val="28"/>
            </w:rPr>
            <w:instrText xml:space="preserve"> PAGEREF _Toc26643 \h </w:instrText>
          </w:r>
          <w:r>
            <w:rPr>
              <w:rFonts w:hint="eastAsia" w:ascii="楷体" w:hAnsi="楷体" w:eastAsia="楷体" w:cs="楷体"/>
              <w:b w:val="0"/>
              <w:bCs w:val="0"/>
              <w:sz w:val="28"/>
              <w:szCs w:val="28"/>
            </w:rPr>
            <w:fldChar w:fldCharType="separate"/>
          </w:r>
          <w:r>
            <w:rPr>
              <w:rFonts w:hint="eastAsia" w:ascii="楷体" w:hAnsi="楷体" w:eastAsia="楷体" w:cs="楷体"/>
              <w:b w:val="0"/>
              <w:bCs w:val="0"/>
              <w:sz w:val="28"/>
              <w:szCs w:val="28"/>
            </w:rPr>
            <w:t>12</w:t>
          </w:r>
          <w:r>
            <w:rPr>
              <w:rFonts w:hint="eastAsia" w:ascii="楷体" w:hAnsi="楷体" w:eastAsia="楷体" w:cs="楷体"/>
              <w:b w:val="0"/>
              <w:bCs w:val="0"/>
              <w:sz w:val="28"/>
              <w:szCs w:val="28"/>
            </w:rPr>
            <w:fldChar w:fldCharType="end"/>
          </w:r>
          <w:r>
            <w:rPr>
              <w:rFonts w:hint="eastAsia" w:ascii="楷体" w:hAnsi="楷体" w:eastAsia="楷体" w:cs="楷体"/>
              <w:b w:val="0"/>
              <w:bCs w:val="0"/>
              <w:sz w:val="28"/>
              <w:szCs w:val="28"/>
            </w:rPr>
            <w:fldChar w:fldCharType="end"/>
          </w:r>
        </w:p>
        <w:p>
          <w:pPr>
            <w:pStyle w:val="64"/>
            <w:keepNext w:val="0"/>
            <w:keepLines w:val="0"/>
            <w:pageBreakBefore w:val="0"/>
            <w:widowControl/>
            <w:tabs>
              <w:tab w:val="right" w:leader="dot" w:pos="8844"/>
            </w:tabs>
            <w:kinsoku/>
            <w:wordWrap/>
            <w:overflowPunct/>
            <w:topLinePunct w:val="0"/>
            <w:autoSpaceDE/>
            <w:autoSpaceDN/>
            <w:bidi w:val="0"/>
            <w:adjustRightInd/>
            <w:snapToGrid/>
            <w:spacing w:line="560" w:lineRule="exact"/>
            <w:ind w:leftChars="0"/>
            <w:jc w:val="distribute"/>
            <w:textAlignment w:val="auto"/>
            <w:rPr>
              <w:rFonts w:hint="eastAsia" w:ascii="楷体" w:hAnsi="楷体" w:eastAsia="楷体" w:cs="楷体"/>
              <w:b w:val="0"/>
              <w:bCs w:val="0"/>
              <w:sz w:val="28"/>
              <w:szCs w:val="28"/>
            </w:rPr>
          </w:pPr>
          <w:r>
            <w:rPr>
              <w:rFonts w:hint="eastAsia" w:ascii="楷体" w:hAnsi="楷体" w:eastAsia="楷体" w:cs="楷体"/>
              <w:b w:val="0"/>
              <w:bCs w:val="0"/>
              <w:sz w:val="28"/>
              <w:szCs w:val="28"/>
            </w:rPr>
            <w:fldChar w:fldCharType="begin"/>
          </w:r>
          <w:r>
            <w:rPr>
              <w:rFonts w:hint="eastAsia" w:ascii="楷体" w:hAnsi="楷体" w:eastAsia="楷体" w:cs="楷体"/>
              <w:b w:val="0"/>
              <w:bCs w:val="0"/>
              <w:sz w:val="28"/>
              <w:szCs w:val="28"/>
            </w:rPr>
            <w:instrText xml:space="preserve"> HYPERLINK \l _Toc13354 </w:instrText>
          </w:r>
          <w:r>
            <w:rPr>
              <w:rFonts w:hint="eastAsia" w:ascii="楷体" w:hAnsi="楷体" w:eastAsia="楷体" w:cs="楷体"/>
              <w:b w:val="0"/>
              <w:bCs w:val="0"/>
              <w:sz w:val="28"/>
              <w:szCs w:val="28"/>
            </w:rPr>
            <w:fldChar w:fldCharType="separate"/>
          </w:r>
          <w:r>
            <w:rPr>
              <w:rFonts w:hint="eastAsia" w:ascii="楷体" w:hAnsi="楷体" w:eastAsia="楷体" w:cs="楷体"/>
              <w:b w:val="0"/>
              <w:bCs w:val="0"/>
              <w:sz w:val="28"/>
              <w:szCs w:val="28"/>
            </w:rPr>
            <w:t>五、主要的经验及做法、存在的问题及原因分析</w:t>
          </w:r>
          <w:r>
            <w:rPr>
              <w:rFonts w:hint="eastAsia" w:ascii="楷体" w:hAnsi="楷体" w:eastAsia="楷体" w:cs="楷体"/>
              <w:b w:val="0"/>
              <w:bCs w:val="0"/>
              <w:sz w:val="28"/>
              <w:szCs w:val="28"/>
            </w:rPr>
            <w:tab/>
          </w:r>
          <w:r>
            <w:rPr>
              <w:rFonts w:hint="eastAsia" w:ascii="楷体" w:hAnsi="楷体" w:eastAsia="楷体" w:cs="楷体"/>
              <w:b w:val="0"/>
              <w:bCs w:val="0"/>
              <w:sz w:val="28"/>
              <w:szCs w:val="28"/>
            </w:rPr>
            <w:fldChar w:fldCharType="begin"/>
          </w:r>
          <w:r>
            <w:rPr>
              <w:rFonts w:hint="eastAsia" w:ascii="楷体" w:hAnsi="楷体" w:eastAsia="楷体" w:cs="楷体"/>
              <w:b w:val="0"/>
              <w:bCs w:val="0"/>
              <w:sz w:val="28"/>
              <w:szCs w:val="28"/>
            </w:rPr>
            <w:instrText xml:space="preserve"> PAGEREF _Toc13354 \h </w:instrText>
          </w:r>
          <w:r>
            <w:rPr>
              <w:rFonts w:hint="eastAsia" w:ascii="楷体" w:hAnsi="楷体" w:eastAsia="楷体" w:cs="楷体"/>
              <w:b w:val="0"/>
              <w:bCs w:val="0"/>
              <w:sz w:val="28"/>
              <w:szCs w:val="28"/>
            </w:rPr>
            <w:fldChar w:fldCharType="separate"/>
          </w:r>
          <w:r>
            <w:rPr>
              <w:rFonts w:hint="eastAsia" w:ascii="楷体" w:hAnsi="楷体" w:eastAsia="楷体" w:cs="楷体"/>
              <w:b w:val="0"/>
              <w:bCs w:val="0"/>
              <w:sz w:val="28"/>
              <w:szCs w:val="28"/>
            </w:rPr>
            <w:t>13</w:t>
          </w:r>
          <w:r>
            <w:rPr>
              <w:rFonts w:hint="eastAsia" w:ascii="楷体" w:hAnsi="楷体" w:eastAsia="楷体" w:cs="楷体"/>
              <w:b w:val="0"/>
              <w:bCs w:val="0"/>
              <w:sz w:val="28"/>
              <w:szCs w:val="28"/>
            </w:rPr>
            <w:fldChar w:fldCharType="end"/>
          </w:r>
          <w:r>
            <w:rPr>
              <w:rFonts w:hint="eastAsia" w:ascii="楷体" w:hAnsi="楷体" w:eastAsia="楷体" w:cs="楷体"/>
              <w:b w:val="0"/>
              <w:bCs w:val="0"/>
              <w:sz w:val="28"/>
              <w:szCs w:val="28"/>
            </w:rPr>
            <w:fldChar w:fldCharType="end"/>
          </w:r>
        </w:p>
        <w:p>
          <w:pPr>
            <w:pStyle w:val="64"/>
            <w:keepNext w:val="0"/>
            <w:keepLines w:val="0"/>
            <w:pageBreakBefore w:val="0"/>
            <w:widowControl/>
            <w:tabs>
              <w:tab w:val="right" w:leader="dot" w:pos="8844"/>
            </w:tabs>
            <w:kinsoku/>
            <w:wordWrap/>
            <w:overflowPunct/>
            <w:topLinePunct w:val="0"/>
            <w:autoSpaceDE/>
            <w:autoSpaceDN/>
            <w:bidi w:val="0"/>
            <w:adjustRightInd/>
            <w:snapToGrid/>
            <w:spacing w:line="560" w:lineRule="exact"/>
            <w:ind w:leftChars="0"/>
            <w:jc w:val="distribute"/>
            <w:textAlignment w:val="auto"/>
            <w:rPr>
              <w:rFonts w:hint="eastAsia" w:ascii="楷体" w:hAnsi="楷体" w:eastAsia="楷体" w:cs="楷体"/>
              <w:b w:val="0"/>
              <w:bCs w:val="0"/>
              <w:sz w:val="28"/>
              <w:szCs w:val="28"/>
            </w:rPr>
          </w:pPr>
          <w:r>
            <w:rPr>
              <w:rFonts w:hint="eastAsia" w:ascii="楷体" w:hAnsi="楷体" w:eastAsia="楷体" w:cs="楷体"/>
              <w:b w:val="0"/>
              <w:bCs w:val="0"/>
              <w:sz w:val="28"/>
              <w:szCs w:val="28"/>
            </w:rPr>
            <w:fldChar w:fldCharType="begin"/>
          </w:r>
          <w:r>
            <w:rPr>
              <w:rFonts w:hint="eastAsia" w:ascii="楷体" w:hAnsi="楷体" w:eastAsia="楷体" w:cs="楷体"/>
              <w:b w:val="0"/>
              <w:bCs w:val="0"/>
              <w:sz w:val="28"/>
              <w:szCs w:val="28"/>
            </w:rPr>
            <w:instrText xml:space="preserve"> HYPERLINK \l _Toc13691 </w:instrText>
          </w:r>
          <w:r>
            <w:rPr>
              <w:rFonts w:hint="eastAsia" w:ascii="楷体" w:hAnsi="楷体" w:eastAsia="楷体" w:cs="楷体"/>
              <w:b w:val="0"/>
              <w:bCs w:val="0"/>
              <w:sz w:val="28"/>
              <w:szCs w:val="28"/>
            </w:rPr>
            <w:fldChar w:fldCharType="separate"/>
          </w:r>
          <w:r>
            <w:rPr>
              <w:rFonts w:hint="eastAsia" w:ascii="楷体" w:hAnsi="楷体" w:eastAsia="楷体" w:cs="楷体"/>
              <w:b w:val="0"/>
              <w:bCs w:val="0"/>
              <w:sz w:val="28"/>
              <w:szCs w:val="28"/>
            </w:rPr>
            <w:t>（一）主要经验及做法</w:t>
          </w:r>
          <w:r>
            <w:rPr>
              <w:rFonts w:hint="eastAsia" w:ascii="楷体" w:hAnsi="楷体" w:eastAsia="楷体" w:cs="楷体"/>
              <w:b w:val="0"/>
              <w:bCs w:val="0"/>
              <w:sz w:val="28"/>
              <w:szCs w:val="28"/>
            </w:rPr>
            <w:tab/>
          </w:r>
          <w:r>
            <w:rPr>
              <w:rFonts w:hint="eastAsia" w:ascii="楷体" w:hAnsi="楷体" w:eastAsia="楷体" w:cs="楷体"/>
              <w:b w:val="0"/>
              <w:bCs w:val="0"/>
              <w:sz w:val="28"/>
              <w:szCs w:val="28"/>
            </w:rPr>
            <w:fldChar w:fldCharType="begin"/>
          </w:r>
          <w:r>
            <w:rPr>
              <w:rFonts w:hint="eastAsia" w:ascii="楷体" w:hAnsi="楷体" w:eastAsia="楷体" w:cs="楷体"/>
              <w:b w:val="0"/>
              <w:bCs w:val="0"/>
              <w:sz w:val="28"/>
              <w:szCs w:val="28"/>
            </w:rPr>
            <w:instrText xml:space="preserve"> PAGEREF _Toc13691 \h </w:instrText>
          </w:r>
          <w:r>
            <w:rPr>
              <w:rFonts w:hint="eastAsia" w:ascii="楷体" w:hAnsi="楷体" w:eastAsia="楷体" w:cs="楷体"/>
              <w:b w:val="0"/>
              <w:bCs w:val="0"/>
              <w:sz w:val="28"/>
              <w:szCs w:val="28"/>
            </w:rPr>
            <w:fldChar w:fldCharType="separate"/>
          </w:r>
          <w:r>
            <w:rPr>
              <w:rFonts w:hint="eastAsia" w:ascii="楷体" w:hAnsi="楷体" w:eastAsia="楷体" w:cs="楷体"/>
              <w:b w:val="0"/>
              <w:bCs w:val="0"/>
              <w:sz w:val="28"/>
              <w:szCs w:val="28"/>
            </w:rPr>
            <w:t>13</w:t>
          </w:r>
          <w:r>
            <w:rPr>
              <w:rFonts w:hint="eastAsia" w:ascii="楷体" w:hAnsi="楷体" w:eastAsia="楷体" w:cs="楷体"/>
              <w:b w:val="0"/>
              <w:bCs w:val="0"/>
              <w:sz w:val="28"/>
              <w:szCs w:val="28"/>
            </w:rPr>
            <w:fldChar w:fldCharType="end"/>
          </w:r>
          <w:r>
            <w:rPr>
              <w:rFonts w:hint="eastAsia" w:ascii="楷体" w:hAnsi="楷体" w:eastAsia="楷体" w:cs="楷体"/>
              <w:b w:val="0"/>
              <w:bCs w:val="0"/>
              <w:sz w:val="28"/>
              <w:szCs w:val="28"/>
            </w:rPr>
            <w:fldChar w:fldCharType="end"/>
          </w:r>
        </w:p>
        <w:p>
          <w:pPr>
            <w:pStyle w:val="64"/>
            <w:keepNext w:val="0"/>
            <w:keepLines w:val="0"/>
            <w:pageBreakBefore w:val="0"/>
            <w:widowControl/>
            <w:tabs>
              <w:tab w:val="right" w:leader="dot" w:pos="8844"/>
            </w:tabs>
            <w:kinsoku/>
            <w:wordWrap/>
            <w:overflowPunct/>
            <w:topLinePunct w:val="0"/>
            <w:autoSpaceDE/>
            <w:autoSpaceDN/>
            <w:bidi w:val="0"/>
            <w:adjustRightInd/>
            <w:snapToGrid/>
            <w:spacing w:line="560" w:lineRule="exact"/>
            <w:ind w:leftChars="0"/>
            <w:jc w:val="distribute"/>
            <w:textAlignment w:val="auto"/>
            <w:rPr>
              <w:rFonts w:hint="eastAsia" w:ascii="楷体" w:hAnsi="楷体" w:eastAsia="楷体" w:cs="楷体"/>
              <w:b w:val="0"/>
              <w:bCs w:val="0"/>
              <w:sz w:val="28"/>
              <w:szCs w:val="28"/>
            </w:rPr>
          </w:pPr>
          <w:r>
            <w:rPr>
              <w:rFonts w:hint="eastAsia" w:ascii="楷体" w:hAnsi="楷体" w:eastAsia="楷体" w:cs="楷体"/>
              <w:b w:val="0"/>
              <w:bCs w:val="0"/>
              <w:sz w:val="28"/>
              <w:szCs w:val="28"/>
            </w:rPr>
            <w:fldChar w:fldCharType="begin"/>
          </w:r>
          <w:r>
            <w:rPr>
              <w:rFonts w:hint="eastAsia" w:ascii="楷体" w:hAnsi="楷体" w:eastAsia="楷体" w:cs="楷体"/>
              <w:b w:val="0"/>
              <w:bCs w:val="0"/>
              <w:sz w:val="28"/>
              <w:szCs w:val="28"/>
            </w:rPr>
            <w:instrText xml:space="preserve"> HYPERLINK \l _Toc2677 </w:instrText>
          </w:r>
          <w:r>
            <w:rPr>
              <w:rFonts w:hint="eastAsia" w:ascii="楷体" w:hAnsi="楷体" w:eastAsia="楷体" w:cs="楷体"/>
              <w:b w:val="0"/>
              <w:bCs w:val="0"/>
              <w:sz w:val="28"/>
              <w:szCs w:val="28"/>
            </w:rPr>
            <w:fldChar w:fldCharType="separate"/>
          </w:r>
          <w:r>
            <w:rPr>
              <w:rFonts w:hint="eastAsia" w:ascii="楷体" w:hAnsi="楷体" w:eastAsia="楷体" w:cs="楷体"/>
              <w:b w:val="0"/>
              <w:bCs w:val="0"/>
              <w:sz w:val="28"/>
              <w:szCs w:val="28"/>
            </w:rPr>
            <w:t>（二）存在的主要问题及原因分析</w:t>
          </w:r>
          <w:r>
            <w:rPr>
              <w:rFonts w:hint="eastAsia" w:ascii="楷体" w:hAnsi="楷体" w:eastAsia="楷体" w:cs="楷体"/>
              <w:b w:val="0"/>
              <w:bCs w:val="0"/>
              <w:sz w:val="28"/>
              <w:szCs w:val="28"/>
            </w:rPr>
            <w:tab/>
          </w:r>
          <w:r>
            <w:rPr>
              <w:rFonts w:hint="eastAsia" w:ascii="楷体" w:hAnsi="楷体" w:eastAsia="楷体" w:cs="楷体"/>
              <w:b w:val="0"/>
              <w:bCs w:val="0"/>
              <w:sz w:val="28"/>
              <w:szCs w:val="28"/>
            </w:rPr>
            <w:fldChar w:fldCharType="begin"/>
          </w:r>
          <w:r>
            <w:rPr>
              <w:rFonts w:hint="eastAsia" w:ascii="楷体" w:hAnsi="楷体" w:eastAsia="楷体" w:cs="楷体"/>
              <w:b w:val="0"/>
              <w:bCs w:val="0"/>
              <w:sz w:val="28"/>
              <w:szCs w:val="28"/>
            </w:rPr>
            <w:instrText xml:space="preserve"> PAGEREF _Toc2677 \h </w:instrText>
          </w:r>
          <w:r>
            <w:rPr>
              <w:rFonts w:hint="eastAsia" w:ascii="楷体" w:hAnsi="楷体" w:eastAsia="楷体" w:cs="楷体"/>
              <w:b w:val="0"/>
              <w:bCs w:val="0"/>
              <w:sz w:val="28"/>
              <w:szCs w:val="28"/>
            </w:rPr>
            <w:fldChar w:fldCharType="separate"/>
          </w:r>
          <w:r>
            <w:rPr>
              <w:rFonts w:hint="eastAsia" w:ascii="楷体" w:hAnsi="楷体" w:eastAsia="楷体" w:cs="楷体"/>
              <w:b w:val="0"/>
              <w:bCs w:val="0"/>
              <w:sz w:val="28"/>
              <w:szCs w:val="28"/>
            </w:rPr>
            <w:t>14</w:t>
          </w:r>
          <w:r>
            <w:rPr>
              <w:rFonts w:hint="eastAsia" w:ascii="楷体" w:hAnsi="楷体" w:eastAsia="楷体" w:cs="楷体"/>
              <w:b w:val="0"/>
              <w:bCs w:val="0"/>
              <w:sz w:val="28"/>
              <w:szCs w:val="28"/>
            </w:rPr>
            <w:fldChar w:fldCharType="end"/>
          </w:r>
          <w:r>
            <w:rPr>
              <w:rFonts w:hint="eastAsia" w:ascii="楷体" w:hAnsi="楷体" w:eastAsia="楷体" w:cs="楷体"/>
              <w:b w:val="0"/>
              <w:bCs w:val="0"/>
              <w:sz w:val="28"/>
              <w:szCs w:val="28"/>
            </w:rPr>
            <w:fldChar w:fldCharType="end"/>
          </w:r>
        </w:p>
        <w:p>
          <w:pPr>
            <w:pStyle w:val="64"/>
            <w:keepNext w:val="0"/>
            <w:keepLines w:val="0"/>
            <w:pageBreakBefore w:val="0"/>
            <w:widowControl/>
            <w:tabs>
              <w:tab w:val="right" w:leader="dot" w:pos="8844"/>
            </w:tabs>
            <w:kinsoku/>
            <w:wordWrap/>
            <w:overflowPunct/>
            <w:topLinePunct w:val="0"/>
            <w:autoSpaceDE/>
            <w:autoSpaceDN/>
            <w:bidi w:val="0"/>
            <w:adjustRightInd/>
            <w:snapToGrid/>
            <w:spacing w:line="560" w:lineRule="exact"/>
            <w:ind w:leftChars="0"/>
            <w:jc w:val="distribute"/>
            <w:textAlignment w:val="auto"/>
            <w:rPr>
              <w:rFonts w:hint="eastAsia" w:ascii="楷体" w:hAnsi="楷体" w:eastAsia="楷体" w:cs="楷体"/>
              <w:b w:val="0"/>
              <w:bCs w:val="0"/>
              <w:sz w:val="28"/>
              <w:szCs w:val="28"/>
            </w:rPr>
          </w:pPr>
          <w:r>
            <w:rPr>
              <w:rFonts w:hint="eastAsia" w:ascii="楷体" w:hAnsi="楷体" w:eastAsia="楷体" w:cs="楷体"/>
              <w:b w:val="0"/>
              <w:bCs w:val="0"/>
              <w:sz w:val="28"/>
              <w:szCs w:val="28"/>
            </w:rPr>
            <w:fldChar w:fldCharType="begin"/>
          </w:r>
          <w:r>
            <w:rPr>
              <w:rFonts w:hint="eastAsia" w:ascii="楷体" w:hAnsi="楷体" w:eastAsia="楷体" w:cs="楷体"/>
              <w:b w:val="0"/>
              <w:bCs w:val="0"/>
              <w:sz w:val="28"/>
              <w:szCs w:val="28"/>
            </w:rPr>
            <w:instrText xml:space="preserve"> HYPERLINK \l _Toc9141 </w:instrText>
          </w:r>
          <w:r>
            <w:rPr>
              <w:rFonts w:hint="eastAsia" w:ascii="楷体" w:hAnsi="楷体" w:eastAsia="楷体" w:cs="楷体"/>
              <w:b w:val="0"/>
              <w:bCs w:val="0"/>
              <w:sz w:val="28"/>
              <w:szCs w:val="28"/>
            </w:rPr>
            <w:fldChar w:fldCharType="separate"/>
          </w:r>
          <w:r>
            <w:rPr>
              <w:rFonts w:hint="eastAsia" w:ascii="楷体" w:hAnsi="楷体" w:eastAsia="楷体" w:cs="楷体"/>
              <w:b w:val="0"/>
              <w:bCs w:val="0"/>
              <w:sz w:val="28"/>
              <w:szCs w:val="28"/>
            </w:rPr>
            <w:t>六、有关建议</w:t>
          </w:r>
          <w:r>
            <w:rPr>
              <w:rFonts w:hint="eastAsia" w:ascii="楷体" w:hAnsi="楷体" w:eastAsia="楷体" w:cs="楷体"/>
              <w:b w:val="0"/>
              <w:bCs w:val="0"/>
              <w:sz w:val="28"/>
              <w:szCs w:val="28"/>
            </w:rPr>
            <w:tab/>
          </w:r>
          <w:r>
            <w:rPr>
              <w:rFonts w:hint="eastAsia" w:ascii="楷体" w:hAnsi="楷体" w:eastAsia="楷体" w:cs="楷体"/>
              <w:b w:val="0"/>
              <w:bCs w:val="0"/>
              <w:sz w:val="28"/>
              <w:szCs w:val="28"/>
            </w:rPr>
            <w:fldChar w:fldCharType="begin"/>
          </w:r>
          <w:r>
            <w:rPr>
              <w:rFonts w:hint="eastAsia" w:ascii="楷体" w:hAnsi="楷体" w:eastAsia="楷体" w:cs="楷体"/>
              <w:b w:val="0"/>
              <w:bCs w:val="0"/>
              <w:sz w:val="28"/>
              <w:szCs w:val="28"/>
            </w:rPr>
            <w:instrText xml:space="preserve"> PAGEREF _Toc9141 \h </w:instrText>
          </w:r>
          <w:r>
            <w:rPr>
              <w:rFonts w:hint="eastAsia" w:ascii="楷体" w:hAnsi="楷体" w:eastAsia="楷体" w:cs="楷体"/>
              <w:b w:val="0"/>
              <w:bCs w:val="0"/>
              <w:sz w:val="28"/>
              <w:szCs w:val="28"/>
            </w:rPr>
            <w:fldChar w:fldCharType="separate"/>
          </w:r>
          <w:r>
            <w:rPr>
              <w:rFonts w:hint="eastAsia" w:ascii="楷体" w:hAnsi="楷体" w:eastAsia="楷体" w:cs="楷体"/>
              <w:b w:val="0"/>
              <w:bCs w:val="0"/>
              <w:sz w:val="28"/>
              <w:szCs w:val="28"/>
            </w:rPr>
            <w:t>14</w:t>
          </w:r>
          <w:r>
            <w:rPr>
              <w:rFonts w:hint="eastAsia" w:ascii="楷体" w:hAnsi="楷体" w:eastAsia="楷体" w:cs="楷体"/>
              <w:b w:val="0"/>
              <w:bCs w:val="0"/>
              <w:sz w:val="28"/>
              <w:szCs w:val="28"/>
            </w:rPr>
            <w:fldChar w:fldCharType="end"/>
          </w:r>
          <w:r>
            <w:rPr>
              <w:rFonts w:hint="eastAsia" w:ascii="楷体" w:hAnsi="楷体" w:eastAsia="楷体" w:cs="楷体"/>
              <w:b w:val="0"/>
              <w:bCs w:val="0"/>
              <w:sz w:val="28"/>
              <w:szCs w:val="28"/>
            </w:rPr>
            <w:fldChar w:fldCharType="end"/>
          </w:r>
        </w:p>
        <w:p>
          <w:pPr>
            <w:pStyle w:val="64"/>
            <w:keepNext w:val="0"/>
            <w:keepLines w:val="0"/>
            <w:pageBreakBefore w:val="0"/>
            <w:widowControl/>
            <w:tabs>
              <w:tab w:val="right" w:leader="dot" w:pos="8844"/>
            </w:tabs>
            <w:kinsoku/>
            <w:wordWrap/>
            <w:overflowPunct/>
            <w:topLinePunct w:val="0"/>
            <w:autoSpaceDE/>
            <w:autoSpaceDN/>
            <w:bidi w:val="0"/>
            <w:adjustRightInd/>
            <w:snapToGrid/>
            <w:spacing w:line="560" w:lineRule="exact"/>
            <w:ind w:leftChars="0"/>
            <w:jc w:val="distribute"/>
            <w:textAlignment w:val="auto"/>
            <w:rPr>
              <w:rFonts w:hint="eastAsia" w:ascii="楷体" w:hAnsi="楷体" w:eastAsia="楷体" w:cs="楷体"/>
              <w:b w:val="0"/>
              <w:bCs w:val="0"/>
              <w:sz w:val="28"/>
              <w:szCs w:val="28"/>
            </w:rPr>
          </w:pPr>
          <w:r>
            <w:rPr>
              <w:rFonts w:hint="eastAsia" w:ascii="楷体" w:hAnsi="楷体" w:eastAsia="楷体" w:cs="楷体"/>
              <w:b w:val="0"/>
              <w:bCs w:val="0"/>
              <w:sz w:val="28"/>
              <w:szCs w:val="28"/>
            </w:rPr>
            <w:fldChar w:fldCharType="begin"/>
          </w:r>
          <w:r>
            <w:rPr>
              <w:rFonts w:hint="eastAsia" w:ascii="楷体" w:hAnsi="楷体" w:eastAsia="楷体" w:cs="楷体"/>
              <w:b w:val="0"/>
              <w:bCs w:val="0"/>
              <w:sz w:val="28"/>
              <w:szCs w:val="28"/>
            </w:rPr>
            <w:instrText xml:space="preserve"> HYPERLINK \l _Toc26271 </w:instrText>
          </w:r>
          <w:r>
            <w:rPr>
              <w:rFonts w:hint="eastAsia" w:ascii="楷体" w:hAnsi="楷体" w:eastAsia="楷体" w:cs="楷体"/>
              <w:b w:val="0"/>
              <w:bCs w:val="0"/>
              <w:sz w:val="28"/>
              <w:szCs w:val="28"/>
            </w:rPr>
            <w:fldChar w:fldCharType="separate"/>
          </w:r>
          <w:r>
            <w:rPr>
              <w:rFonts w:hint="eastAsia" w:ascii="楷体" w:hAnsi="楷体" w:eastAsia="楷体" w:cs="楷体"/>
              <w:b w:val="0"/>
              <w:bCs w:val="0"/>
              <w:sz w:val="28"/>
              <w:szCs w:val="28"/>
            </w:rPr>
            <w:t>（一）完善绩效目标及指标设置</w:t>
          </w:r>
          <w:r>
            <w:rPr>
              <w:rFonts w:hint="eastAsia" w:ascii="楷体" w:hAnsi="楷体" w:eastAsia="楷体" w:cs="楷体"/>
              <w:b w:val="0"/>
              <w:bCs w:val="0"/>
              <w:sz w:val="28"/>
              <w:szCs w:val="28"/>
            </w:rPr>
            <w:tab/>
          </w:r>
          <w:r>
            <w:rPr>
              <w:rFonts w:hint="eastAsia" w:ascii="楷体" w:hAnsi="楷体" w:eastAsia="楷体" w:cs="楷体"/>
              <w:b w:val="0"/>
              <w:bCs w:val="0"/>
              <w:sz w:val="28"/>
              <w:szCs w:val="28"/>
            </w:rPr>
            <w:fldChar w:fldCharType="begin"/>
          </w:r>
          <w:r>
            <w:rPr>
              <w:rFonts w:hint="eastAsia" w:ascii="楷体" w:hAnsi="楷体" w:eastAsia="楷体" w:cs="楷体"/>
              <w:b w:val="0"/>
              <w:bCs w:val="0"/>
              <w:sz w:val="28"/>
              <w:szCs w:val="28"/>
            </w:rPr>
            <w:instrText xml:space="preserve"> PAGEREF _Toc26271 \h </w:instrText>
          </w:r>
          <w:r>
            <w:rPr>
              <w:rFonts w:hint="eastAsia" w:ascii="楷体" w:hAnsi="楷体" w:eastAsia="楷体" w:cs="楷体"/>
              <w:b w:val="0"/>
              <w:bCs w:val="0"/>
              <w:sz w:val="28"/>
              <w:szCs w:val="28"/>
            </w:rPr>
            <w:fldChar w:fldCharType="separate"/>
          </w:r>
          <w:r>
            <w:rPr>
              <w:rFonts w:hint="eastAsia" w:ascii="楷体" w:hAnsi="楷体" w:eastAsia="楷体" w:cs="楷体"/>
              <w:b w:val="0"/>
              <w:bCs w:val="0"/>
              <w:sz w:val="28"/>
              <w:szCs w:val="28"/>
            </w:rPr>
            <w:t>14</w:t>
          </w:r>
          <w:r>
            <w:rPr>
              <w:rFonts w:hint="eastAsia" w:ascii="楷体" w:hAnsi="楷体" w:eastAsia="楷体" w:cs="楷体"/>
              <w:b w:val="0"/>
              <w:bCs w:val="0"/>
              <w:sz w:val="28"/>
              <w:szCs w:val="28"/>
            </w:rPr>
            <w:fldChar w:fldCharType="end"/>
          </w:r>
          <w:r>
            <w:rPr>
              <w:rFonts w:hint="eastAsia" w:ascii="楷体" w:hAnsi="楷体" w:eastAsia="楷体" w:cs="楷体"/>
              <w:b w:val="0"/>
              <w:bCs w:val="0"/>
              <w:sz w:val="28"/>
              <w:szCs w:val="28"/>
            </w:rPr>
            <w:fldChar w:fldCharType="end"/>
          </w:r>
        </w:p>
        <w:p>
          <w:pPr>
            <w:pStyle w:val="64"/>
            <w:keepNext w:val="0"/>
            <w:keepLines w:val="0"/>
            <w:pageBreakBefore w:val="0"/>
            <w:widowControl/>
            <w:tabs>
              <w:tab w:val="right" w:leader="dot" w:pos="8844"/>
            </w:tabs>
            <w:kinsoku/>
            <w:wordWrap/>
            <w:overflowPunct/>
            <w:topLinePunct w:val="0"/>
            <w:autoSpaceDE/>
            <w:autoSpaceDN/>
            <w:bidi w:val="0"/>
            <w:adjustRightInd/>
            <w:snapToGrid/>
            <w:spacing w:line="560" w:lineRule="exact"/>
            <w:ind w:leftChars="0"/>
            <w:jc w:val="distribute"/>
            <w:textAlignment w:val="auto"/>
            <w:rPr>
              <w:rFonts w:hint="eastAsia" w:ascii="楷体" w:hAnsi="楷体" w:eastAsia="楷体" w:cs="楷体"/>
              <w:b w:val="0"/>
              <w:bCs w:val="0"/>
              <w:sz w:val="28"/>
              <w:szCs w:val="28"/>
            </w:rPr>
          </w:pPr>
          <w:r>
            <w:rPr>
              <w:rFonts w:hint="eastAsia" w:ascii="楷体" w:hAnsi="楷体" w:eastAsia="楷体" w:cs="楷体"/>
              <w:b w:val="0"/>
              <w:bCs w:val="0"/>
              <w:sz w:val="28"/>
              <w:szCs w:val="28"/>
            </w:rPr>
            <w:fldChar w:fldCharType="begin"/>
          </w:r>
          <w:r>
            <w:rPr>
              <w:rFonts w:hint="eastAsia" w:ascii="楷体" w:hAnsi="楷体" w:eastAsia="楷体" w:cs="楷体"/>
              <w:b w:val="0"/>
              <w:bCs w:val="0"/>
              <w:sz w:val="28"/>
              <w:szCs w:val="28"/>
            </w:rPr>
            <w:instrText xml:space="preserve"> HYPERLINK \l _Toc11342 </w:instrText>
          </w:r>
          <w:r>
            <w:rPr>
              <w:rFonts w:hint="eastAsia" w:ascii="楷体" w:hAnsi="楷体" w:eastAsia="楷体" w:cs="楷体"/>
              <w:b w:val="0"/>
              <w:bCs w:val="0"/>
              <w:sz w:val="28"/>
              <w:szCs w:val="28"/>
            </w:rPr>
            <w:fldChar w:fldCharType="separate"/>
          </w:r>
          <w:r>
            <w:rPr>
              <w:rFonts w:hint="eastAsia" w:ascii="楷体" w:hAnsi="楷体" w:eastAsia="楷体" w:cs="楷体"/>
              <w:b w:val="0"/>
              <w:bCs w:val="0"/>
              <w:sz w:val="28"/>
              <w:szCs w:val="28"/>
            </w:rPr>
            <w:t>（二）提升项目整体申报逻辑</w:t>
          </w:r>
          <w:r>
            <w:rPr>
              <w:rFonts w:hint="eastAsia" w:ascii="楷体" w:hAnsi="楷体" w:eastAsia="楷体" w:cs="楷体"/>
              <w:b w:val="0"/>
              <w:bCs w:val="0"/>
              <w:sz w:val="28"/>
              <w:szCs w:val="28"/>
            </w:rPr>
            <w:tab/>
          </w:r>
          <w:r>
            <w:rPr>
              <w:rFonts w:hint="eastAsia" w:ascii="楷体" w:hAnsi="楷体" w:eastAsia="楷体" w:cs="楷体"/>
              <w:b w:val="0"/>
              <w:bCs w:val="0"/>
              <w:sz w:val="28"/>
              <w:szCs w:val="28"/>
            </w:rPr>
            <w:fldChar w:fldCharType="begin"/>
          </w:r>
          <w:r>
            <w:rPr>
              <w:rFonts w:hint="eastAsia" w:ascii="楷体" w:hAnsi="楷体" w:eastAsia="楷体" w:cs="楷体"/>
              <w:b w:val="0"/>
              <w:bCs w:val="0"/>
              <w:sz w:val="28"/>
              <w:szCs w:val="28"/>
            </w:rPr>
            <w:instrText xml:space="preserve"> PAGEREF _Toc11342 \h </w:instrText>
          </w:r>
          <w:r>
            <w:rPr>
              <w:rFonts w:hint="eastAsia" w:ascii="楷体" w:hAnsi="楷体" w:eastAsia="楷体" w:cs="楷体"/>
              <w:b w:val="0"/>
              <w:bCs w:val="0"/>
              <w:sz w:val="28"/>
              <w:szCs w:val="28"/>
            </w:rPr>
            <w:fldChar w:fldCharType="separate"/>
          </w:r>
          <w:r>
            <w:rPr>
              <w:rFonts w:hint="eastAsia" w:ascii="楷体" w:hAnsi="楷体" w:eastAsia="楷体" w:cs="楷体"/>
              <w:b w:val="0"/>
              <w:bCs w:val="0"/>
              <w:sz w:val="28"/>
              <w:szCs w:val="28"/>
            </w:rPr>
            <w:t>15</w:t>
          </w:r>
          <w:r>
            <w:rPr>
              <w:rFonts w:hint="eastAsia" w:ascii="楷体" w:hAnsi="楷体" w:eastAsia="楷体" w:cs="楷体"/>
              <w:b w:val="0"/>
              <w:bCs w:val="0"/>
              <w:sz w:val="28"/>
              <w:szCs w:val="28"/>
            </w:rPr>
            <w:fldChar w:fldCharType="end"/>
          </w:r>
          <w:r>
            <w:rPr>
              <w:rFonts w:hint="eastAsia" w:ascii="楷体" w:hAnsi="楷体" w:eastAsia="楷体" w:cs="楷体"/>
              <w:b w:val="0"/>
              <w:bCs w:val="0"/>
              <w:sz w:val="28"/>
              <w:szCs w:val="28"/>
            </w:rPr>
            <w:fldChar w:fldCharType="end"/>
          </w:r>
        </w:p>
        <w:p>
          <w:pPr>
            <w:pStyle w:val="64"/>
            <w:keepNext w:val="0"/>
            <w:keepLines w:val="0"/>
            <w:pageBreakBefore w:val="0"/>
            <w:widowControl/>
            <w:tabs>
              <w:tab w:val="right" w:leader="dot" w:pos="8844"/>
            </w:tabs>
            <w:kinsoku/>
            <w:wordWrap/>
            <w:overflowPunct/>
            <w:topLinePunct w:val="0"/>
            <w:autoSpaceDE/>
            <w:autoSpaceDN/>
            <w:bidi w:val="0"/>
            <w:adjustRightInd/>
            <w:snapToGrid/>
            <w:spacing w:line="560" w:lineRule="exact"/>
            <w:ind w:leftChars="0"/>
            <w:jc w:val="distribute"/>
            <w:textAlignment w:val="auto"/>
            <w:rPr>
              <w:rFonts w:hint="eastAsia" w:ascii="楷体" w:hAnsi="楷体" w:eastAsia="楷体" w:cs="楷体"/>
              <w:b w:val="0"/>
              <w:bCs w:val="0"/>
              <w:sz w:val="28"/>
              <w:szCs w:val="28"/>
            </w:rPr>
          </w:pPr>
          <w:r>
            <w:rPr>
              <w:rFonts w:hint="eastAsia" w:ascii="楷体" w:hAnsi="楷体" w:eastAsia="楷体" w:cs="楷体"/>
              <w:b w:val="0"/>
              <w:bCs w:val="0"/>
              <w:sz w:val="28"/>
              <w:szCs w:val="28"/>
            </w:rPr>
            <w:fldChar w:fldCharType="begin"/>
          </w:r>
          <w:r>
            <w:rPr>
              <w:rFonts w:hint="eastAsia" w:ascii="楷体" w:hAnsi="楷体" w:eastAsia="楷体" w:cs="楷体"/>
              <w:b w:val="0"/>
              <w:bCs w:val="0"/>
              <w:sz w:val="28"/>
              <w:szCs w:val="28"/>
            </w:rPr>
            <w:instrText xml:space="preserve"> HYPERLINK \l _Toc16557 </w:instrText>
          </w:r>
          <w:r>
            <w:rPr>
              <w:rFonts w:hint="eastAsia" w:ascii="楷体" w:hAnsi="楷体" w:eastAsia="楷体" w:cs="楷体"/>
              <w:b w:val="0"/>
              <w:bCs w:val="0"/>
              <w:sz w:val="28"/>
              <w:szCs w:val="28"/>
            </w:rPr>
            <w:fldChar w:fldCharType="separate"/>
          </w:r>
          <w:r>
            <w:rPr>
              <w:rFonts w:hint="eastAsia" w:ascii="楷体" w:hAnsi="楷体" w:eastAsia="楷体" w:cs="楷体"/>
              <w:b w:val="0"/>
              <w:bCs w:val="0"/>
              <w:sz w:val="28"/>
              <w:szCs w:val="28"/>
            </w:rPr>
            <w:t>（三）提升项目</w:t>
          </w:r>
          <w:r>
            <w:rPr>
              <w:rFonts w:hint="eastAsia" w:ascii="楷体" w:hAnsi="楷体" w:eastAsia="楷体" w:cs="楷体"/>
              <w:b w:val="0"/>
              <w:bCs w:val="0"/>
              <w:sz w:val="28"/>
              <w:szCs w:val="28"/>
              <w:lang w:val="en-US" w:eastAsia="zh-CN"/>
            </w:rPr>
            <w:t>管理机制</w:t>
          </w:r>
          <w:r>
            <w:rPr>
              <w:rFonts w:hint="eastAsia" w:ascii="楷体" w:hAnsi="楷体" w:eastAsia="楷体" w:cs="楷体"/>
              <w:b w:val="0"/>
              <w:bCs w:val="0"/>
              <w:sz w:val="28"/>
              <w:szCs w:val="28"/>
            </w:rPr>
            <w:tab/>
          </w:r>
          <w:r>
            <w:rPr>
              <w:rFonts w:hint="eastAsia" w:ascii="楷体" w:hAnsi="楷体" w:eastAsia="楷体" w:cs="楷体"/>
              <w:b w:val="0"/>
              <w:bCs w:val="0"/>
              <w:sz w:val="28"/>
              <w:szCs w:val="28"/>
            </w:rPr>
            <w:fldChar w:fldCharType="begin"/>
          </w:r>
          <w:r>
            <w:rPr>
              <w:rFonts w:hint="eastAsia" w:ascii="楷体" w:hAnsi="楷体" w:eastAsia="楷体" w:cs="楷体"/>
              <w:b w:val="0"/>
              <w:bCs w:val="0"/>
              <w:sz w:val="28"/>
              <w:szCs w:val="28"/>
            </w:rPr>
            <w:instrText xml:space="preserve"> PAGEREF _Toc16557 \h </w:instrText>
          </w:r>
          <w:r>
            <w:rPr>
              <w:rFonts w:hint="eastAsia" w:ascii="楷体" w:hAnsi="楷体" w:eastAsia="楷体" w:cs="楷体"/>
              <w:b w:val="0"/>
              <w:bCs w:val="0"/>
              <w:sz w:val="28"/>
              <w:szCs w:val="28"/>
            </w:rPr>
            <w:fldChar w:fldCharType="separate"/>
          </w:r>
          <w:r>
            <w:rPr>
              <w:rFonts w:hint="eastAsia" w:ascii="楷体" w:hAnsi="楷体" w:eastAsia="楷体" w:cs="楷体"/>
              <w:b w:val="0"/>
              <w:bCs w:val="0"/>
              <w:sz w:val="28"/>
              <w:szCs w:val="28"/>
            </w:rPr>
            <w:t>15</w:t>
          </w:r>
          <w:r>
            <w:rPr>
              <w:rFonts w:hint="eastAsia" w:ascii="楷体" w:hAnsi="楷体" w:eastAsia="楷体" w:cs="楷体"/>
              <w:b w:val="0"/>
              <w:bCs w:val="0"/>
              <w:sz w:val="28"/>
              <w:szCs w:val="28"/>
            </w:rPr>
            <w:fldChar w:fldCharType="end"/>
          </w:r>
          <w:r>
            <w:rPr>
              <w:rFonts w:hint="eastAsia" w:ascii="楷体" w:hAnsi="楷体" w:eastAsia="楷体" w:cs="楷体"/>
              <w:b w:val="0"/>
              <w:bCs w:val="0"/>
              <w:sz w:val="28"/>
              <w:szCs w:val="28"/>
            </w:rPr>
            <w:fldChar w:fldCharType="end"/>
          </w:r>
        </w:p>
        <w:p>
          <w:pPr>
            <w:pStyle w:val="64"/>
            <w:keepNext w:val="0"/>
            <w:keepLines w:val="0"/>
            <w:pageBreakBefore w:val="0"/>
            <w:widowControl/>
            <w:tabs>
              <w:tab w:val="right" w:leader="dot" w:pos="8844"/>
            </w:tabs>
            <w:kinsoku/>
            <w:wordWrap/>
            <w:overflowPunct/>
            <w:topLinePunct w:val="0"/>
            <w:autoSpaceDE/>
            <w:autoSpaceDN/>
            <w:bidi w:val="0"/>
            <w:adjustRightInd/>
            <w:snapToGrid/>
            <w:spacing w:line="560" w:lineRule="exact"/>
            <w:ind w:leftChars="0"/>
            <w:jc w:val="distribute"/>
            <w:textAlignment w:val="auto"/>
            <w:rPr>
              <w:rFonts w:hint="eastAsia" w:ascii="楷体" w:hAnsi="楷体" w:eastAsia="楷体" w:cs="楷体"/>
              <w:b w:val="0"/>
              <w:bCs w:val="0"/>
              <w:sz w:val="28"/>
              <w:szCs w:val="28"/>
            </w:rPr>
          </w:pPr>
          <w:r>
            <w:rPr>
              <w:rFonts w:hint="eastAsia" w:ascii="楷体" w:hAnsi="楷体" w:eastAsia="楷体" w:cs="楷体"/>
              <w:b w:val="0"/>
              <w:bCs w:val="0"/>
              <w:sz w:val="28"/>
              <w:szCs w:val="28"/>
            </w:rPr>
            <w:fldChar w:fldCharType="begin"/>
          </w:r>
          <w:r>
            <w:rPr>
              <w:rFonts w:hint="eastAsia" w:ascii="楷体" w:hAnsi="楷体" w:eastAsia="楷体" w:cs="楷体"/>
              <w:b w:val="0"/>
              <w:bCs w:val="0"/>
              <w:sz w:val="28"/>
              <w:szCs w:val="28"/>
            </w:rPr>
            <w:instrText xml:space="preserve"> HYPERLINK \l _Toc24895 </w:instrText>
          </w:r>
          <w:r>
            <w:rPr>
              <w:rFonts w:hint="eastAsia" w:ascii="楷体" w:hAnsi="楷体" w:eastAsia="楷体" w:cs="楷体"/>
              <w:b w:val="0"/>
              <w:bCs w:val="0"/>
              <w:sz w:val="28"/>
              <w:szCs w:val="28"/>
            </w:rPr>
            <w:fldChar w:fldCharType="separate"/>
          </w:r>
          <w:r>
            <w:rPr>
              <w:rFonts w:hint="eastAsia" w:ascii="楷体" w:hAnsi="楷体" w:eastAsia="楷体" w:cs="楷体"/>
              <w:b w:val="0"/>
              <w:bCs w:val="0"/>
              <w:sz w:val="28"/>
              <w:szCs w:val="28"/>
            </w:rPr>
            <w:t>七、其他需要说明的问题</w:t>
          </w:r>
          <w:r>
            <w:rPr>
              <w:rFonts w:hint="eastAsia" w:ascii="楷体" w:hAnsi="楷体" w:eastAsia="楷体" w:cs="楷体"/>
              <w:b w:val="0"/>
              <w:bCs w:val="0"/>
              <w:sz w:val="28"/>
              <w:szCs w:val="28"/>
            </w:rPr>
            <w:tab/>
          </w:r>
          <w:r>
            <w:rPr>
              <w:rFonts w:hint="eastAsia" w:ascii="楷体" w:hAnsi="楷体" w:eastAsia="楷体" w:cs="楷体"/>
              <w:b w:val="0"/>
              <w:bCs w:val="0"/>
              <w:sz w:val="28"/>
              <w:szCs w:val="28"/>
            </w:rPr>
            <w:fldChar w:fldCharType="begin"/>
          </w:r>
          <w:r>
            <w:rPr>
              <w:rFonts w:hint="eastAsia" w:ascii="楷体" w:hAnsi="楷体" w:eastAsia="楷体" w:cs="楷体"/>
              <w:b w:val="0"/>
              <w:bCs w:val="0"/>
              <w:sz w:val="28"/>
              <w:szCs w:val="28"/>
            </w:rPr>
            <w:instrText xml:space="preserve"> PAGEREF _Toc24895 \h </w:instrText>
          </w:r>
          <w:r>
            <w:rPr>
              <w:rFonts w:hint="eastAsia" w:ascii="楷体" w:hAnsi="楷体" w:eastAsia="楷体" w:cs="楷体"/>
              <w:b w:val="0"/>
              <w:bCs w:val="0"/>
              <w:sz w:val="28"/>
              <w:szCs w:val="28"/>
            </w:rPr>
            <w:fldChar w:fldCharType="separate"/>
          </w:r>
          <w:r>
            <w:rPr>
              <w:rFonts w:hint="eastAsia" w:ascii="楷体" w:hAnsi="楷体" w:eastAsia="楷体" w:cs="楷体"/>
              <w:b w:val="0"/>
              <w:bCs w:val="0"/>
              <w:sz w:val="28"/>
              <w:szCs w:val="28"/>
            </w:rPr>
            <w:t>15</w:t>
          </w:r>
          <w:r>
            <w:rPr>
              <w:rFonts w:hint="eastAsia" w:ascii="楷体" w:hAnsi="楷体" w:eastAsia="楷体" w:cs="楷体"/>
              <w:b w:val="0"/>
              <w:bCs w:val="0"/>
              <w:sz w:val="28"/>
              <w:szCs w:val="28"/>
            </w:rPr>
            <w:fldChar w:fldCharType="end"/>
          </w:r>
          <w:r>
            <w:rPr>
              <w:rFonts w:hint="eastAsia" w:ascii="楷体" w:hAnsi="楷体" w:eastAsia="楷体" w:cs="楷体"/>
              <w:b w:val="0"/>
              <w:bCs w:val="0"/>
              <w:sz w:val="28"/>
              <w:szCs w:val="28"/>
            </w:rPr>
            <w:fldChar w:fldCharType="end"/>
          </w:r>
        </w:p>
        <w:p>
          <w:pPr>
            <w:pStyle w:val="64"/>
            <w:keepNext w:val="0"/>
            <w:keepLines w:val="0"/>
            <w:pageBreakBefore w:val="0"/>
            <w:widowControl/>
            <w:tabs>
              <w:tab w:val="right" w:leader="dot" w:pos="8844"/>
            </w:tabs>
            <w:kinsoku/>
            <w:wordWrap/>
            <w:overflowPunct/>
            <w:topLinePunct w:val="0"/>
            <w:autoSpaceDE/>
            <w:autoSpaceDN/>
            <w:bidi w:val="0"/>
            <w:adjustRightInd/>
            <w:snapToGrid/>
            <w:spacing w:line="560" w:lineRule="exact"/>
            <w:ind w:leftChars="0"/>
            <w:jc w:val="distribute"/>
            <w:textAlignment w:val="auto"/>
            <w:rPr>
              <w:rFonts w:hint="eastAsia" w:ascii="楷体" w:hAnsi="楷体" w:eastAsia="楷体" w:cs="楷体"/>
              <w:b w:val="0"/>
              <w:bCs w:val="0"/>
              <w:sz w:val="28"/>
              <w:szCs w:val="28"/>
            </w:rPr>
          </w:pPr>
          <w:r>
            <w:rPr>
              <w:rFonts w:hint="eastAsia" w:ascii="楷体" w:hAnsi="楷体" w:eastAsia="楷体" w:cs="楷体"/>
              <w:b w:val="0"/>
              <w:bCs w:val="0"/>
              <w:sz w:val="28"/>
              <w:szCs w:val="28"/>
            </w:rPr>
            <w:fldChar w:fldCharType="begin"/>
          </w:r>
          <w:r>
            <w:rPr>
              <w:rFonts w:hint="eastAsia" w:ascii="楷体" w:hAnsi="楷体" w:eastAsia="楷体" w:cs="楷体"/>
              <w:b w:val="0"/>
              <w:bCs w:val="0"/>
              <w:sz w:val="28"/>
              <w:szCs w:val="28"/>
            </w:rPr>
            <w:instrText xml:space="preserve"> HYPERLINK \l _Toc31913 </w:instrText>
          </w:r>
          <w:r>
            <w:rPr>
              <w:rFonts w:hint="eastAsia" w:ascii="楷体" w:hAnsi="楷体" w:eastAsia="楷体" w:cs="楷体"/>
              <w:b w:val="0"/>
              <w:bCs w:val="0"/>
              <w:sz w:val="28"/>
              <w:szCs w:val="28"/>
            </w:rPr>
            <w:fldChar w:fldCharType="separate"/>
          </w:r>
          <w:r>
            <w:rPr>
              <w:rFonts w:hint="eastAsia" w:ascii="楷体" w:hAnsi="楷体" w:eastAsia="楷体" w:cs="楷体"/>
              <w:b w:val="0"/>
              <w:bCs w:val="0"/>
              <w:sz w:val="28"/>
              <w:szCs w:val="28"/>
            </w:rPr>
            <w:t>八、附件</w:t>
          </w:r>
          <w:r>
            <w:rPr>
              <w:rFonts w:hint="eastAsia" w:ascii="楷体" w:hAnsi="楷体" w:eastAsia="楷体" w:cs="楷体"/>
              <w:b w:val="0"/>
              <w:bCs w:val="0"/>
              <w:sz w:val="28"/>
              <w:szCs w:val="28"/>
            </w:rPr>
            <w:tab/>
          </w:r>
          <w:r>
            <w:rPr>
              <w:rFonts w:hint="eastAsia" w:ascii="楷体" w:hAnsi="楷体" w:eastAsia="楷体" w:cs="楷体"/>
              <w:b w:val="0"/>
              <w:bCs w:val="0"/>
              <w:sz w:val="28"/>
              <w:szCs w:val="28"/>
            </w:rPr>
            <w:fldChar w:fldCharType="begin"/>
          </w:r>
          <w:r>
            <w:rPr>
              <w:rFonts w:hint="eastAsia" w:ascii="楷体" w:hAnsi="楷体" w:eastAsia="楷体" w:cs="楷体"/>
              <w:b w:val="0"/>
              <w:bCs w:val="0"/>
              <w:sz w:val="28"/>
              <w:szCs w:val="28"/>
            </w:rPr>
            <w:instrText xml:space="preserve"> PAGEREF _Toc31913 \h </w:instrText>
          </w:r>
          <w:r>
            <w:rPr>
              <w:rFonts w:hint="eastAsia" w:ascii="楷体" w:hAnsi="楷体" w:eastAsia="楷体" w:cs="楷体"/>
              <w:b w:val="0"/>
              <w:bCs w:val="0"/>
              <w:sz w:val="28"/>
              <w:szCs w:val="28"/>
            </w:rPr>
            <w:fldChar w:fldCharType="separate"/>
          </w:r>
          <w:r>
            <w:rPr>
              <w:rFonts w:hint="eastAsia" w:ascii="楷体" w:hAnsi="楷体" w:eastAsia="楷体" w:cs="楷体"/>
              <w:b w:val="0"/>
              <w:bCs w:val="0"/>
              <w:sz w:val="28"/>
              <w:szCs w:val="28"/>
            </w:rPr>
            <w:t>15</w:t>
          </w:r>
          <w:r>
            <w:rPr>
              <w:rFonts w:hint="eastAsia" w:ascii="楷体" w:hAnsi="楷体" w:eastAsia="楷体" w:cs="楷体"/>
              <w:b w:val="0"/>
              <w:bCs w:val="0"/>
              <w:sz w:val="28"/>
              <w:szCs w:val="28"/>
            </w:rPr>
            <w:fldChar w:fldCharType="end"/>
          </w:r>
          <w:r>
            <w:rPr>
              <w:rFonts w:hint="eastAsia" w:ascii="楷体" w:hAnsi="楷体" w:eastAsia="楷体" w:cs="楷体"/>
              <w:b w:val="0"/>
              <w:bCs w:val="0"/>
              <w:sz w:val="28"/>
              <w:szCs w:val="28"/>
            </w:rPr>
            <w:fldChar w:fldCharType="end"/>
          </w:r>
        </w:p>
        <w:p>
          <w:pPr>
            <w:pStyle w:val="64"/>
            <w:keepNext w:val="0"/>
            <w:keepLines w:val="0"/>
            <w:pageBreakBefore w:val="0"/>
            <w:widowControl/>
            <w:tabs>
              <w:tab w:val="right" w:leader="dot" w:pos="8844"/>
            </w:tabs>
            <w:kinsoku/>
            <w:wordWrap/>
            <w:overflowPunct/>
            <w:topLinePunct w:val="0"/>
            <w:autoSpaceDE/>
            <w:autoSpaceDN/>
            <w:bidi w:val="0"/>
            <w:adjustRightInd/>
            <w:snapToGrid/>
            <w:spacing w:line="560" w:lineRule="exact"/>
            <w:ind w:leftChars="0"/>
            <w:jc w:val="distribute"/>
            <w:textAlignment w:val="auto"/>
            <w:rPr>
              <w:rFonts w:hint="eastAsia" w:ascii="楷体" w:hAnsi="楷体" w:eastAsia="楷体" w:cs="楷体"/>
              <w:b w:val="0"/>
              <w:bCs w:val="0"/>
              <w:sz w:val="28"/>
              <w:szCs w:val="28"/>
            </w:rPr>
          </w:pPr>
          <w:r>
            <w:rPr>
              <w:rFonts w:hint="eastAsia" w:ascii="楷体" w:hAnsi="楷体" w:eastAsia="楷体" w:cs="楷体"/>
              <w:b w:val="0"/>
              <w:bCs w:val="0"/>
              <w:sz w:val="28"/>
              <w:szCs w:val="28"/>
            </w:rPr>
            <w:fldChar w:fldCharType="begin"/>
          </w:r>
          <w:r>
            <w:rPr>
              <w:rFonts w:hint="eastAsia" w:ascii="楷体" w:hAnsi="楷体" w:eastAsia="楷体" w:cs="楷体"/>
              <w:b w:val="0"/>
              <w:bCs w:val="0"/>
              <w:sz w:val="28"/>
              <w:szCs w:val="28"/>
            </w:rPr>
            <w:instrText xml:space="preserve"> HYPERLINK \l _Toc12409 </w:instrText>
          </w:r>
          <w:r>
            <w:rPr>
              <w:rFonts w:hint="eastAsia" w:ascii="楷体" w:hAnsi="楷体" w:eastAsia="楷体" w:cs="楷体"/>
              <w:b w:val="0"/>
              <w:bCs w:val="0"/>
              <w:sz w:val="28"/>
              <w:szCs w:val="28"/>
            </w:rPr>
            <w:fldChar w:fldCharType="separate"/>
          </w:r>
          <w:r>
            <w:rPr>
              <w:rFonts w:hint="eastAsia" w:ascii="楷体" w:hAnsi="楷体" w:eastAsia="楷体" w:cs="楷体"/>
              <w:b w:val="0"/>
              <w:bCs w:val="0"/>
              <w:sz w:val="28"/>
              <w:szCs w:val="28"/>
            </w:rPr>
            <w:t>附件1：项目绩效评价指标体系及打分情况表</w:t>
          </w:r>
          <w:r>
            <w:rPr>
              <w:rFonts w:hint="eastAsia" w:ascii="楷体" w:hAnsi="楷体" w:eastAsia="楷体" w:cs="楷体"/>
              <w:b w:val="0"/>
              <w:bCs w:val="0"/>
              <w:sz w:val="28"/>
              <w:szCs w:val="28"/>
            </w:rPr>
            <w:tab/>
          </w:r>
          <w:r>
            <w:rPr>
              <w:rFonts w:hint="eastAsia" w:ascii="楷体" w:hAnsi="楷体" w:eastAsia="楷体" w:cs="楷体"/>
              <w:b w:val="0"/>
              <w:bCs w:val="0"/>
              <w:sz w:val="28"/>
              <w:szCs w:val="28"/>
            </w:rPr>
            <w:fldChar w:fldCharType="begin"/>
          </w:r>
          <w:r>
            <w:rPr>
              <w:rFonts w:hint="eastAsia" w:ascii="楷体" w:hAnsi="楷体" w:eastAsia="楷体" w:cs="楷体"/>
              <w:b w:val="0"/>
              <w:bCs w:val="0"/>
              <w:sz w:val="28"/>
              <w:szCs w:val="28"/>
            </w:rPr>
            <w:instrText xml:space="preserve"> PAGEREF _Toc12409 \h </w:instrText>
          </w:r>
          <w:r>
            <w:rPr>
              <w:rFonts w:hint="eastAsia" w:ascii="楷体" w:hAnsi="楷体" w:eastAsia="楷体" w:cs="楷体"/>
              <w:b w:val="0"/>
              <w:bCs w:val="0"/>
              <w:sz w:val="28"/>
              <w:szCs w:val="28"/>
            </w:rPr>
            <w:fldChar w:fldCharType="separate"/>
          </w:r>
          <w:r>
            <w:rPr>
              <w:rFonts w:hint="eastAsia" w:ascii="楷体" w:hAnsi="楷体" w:eastAsia="楷体" w:cs="楷体"/>
              <w:b w:val="0"/>
              <w:bCs w:val="0"/>
              <w:sz w:val="28"/>
              <w:szCs w:val="28"/>
            </w:rPr>
            <w:t>15</w:t>
          </w:r>
          <w:r>
            <w:rPr>
              <w:rFonts w:hint="eastAsia" w:ascii="楷体" w:hAnsi="楷体" w:eastAsia="楷体" w:cs="楷体"/>
              <w:b w:val="0"/>
              <w:bCs w:val="0"/>
              <w:sz w:val="28"/>
              <w:szCs w:val="28"/>
            </w:rPr>
            <w:fldChar w:fldCharType="end"/>
          </w:r>
          <w:r>
            <w:rPr>
              <w:rFonts w:hint="eastAsia" w:ascii="楷体" w:hAnsi="楷体" w:eastAsia="楷体" w:cs="楷体"/>
              <w:b w:val="0"/>
              <w:bCs w:val="0"/>
              <w:sz w:val="28"/>
              <w:szCs w:val="28"/>
            </w:rPr>
            <w:fldChar w:fldCharType="end"/>
          </w:r>
        </w:p>
        <w:p>
          <w:pPr>
            <w:pStyle w:val="64"/>
            <w:keepNext w:val="0"/>
            <w:keepLines w:val="0"/>
            <w:pageBreakBefore w:val="0"/>
            <w:widowControl/>
            <w:tabs>
              <w:tab w:val="right" w:leader="dot" w:pos="8844"/>
            </w:tabs>
            <w:kinsoku/>
            <w:wordWrap/>
            <w:overflowPunct/>
            <w:topLinePunct w:val="0"/>
            <w:autoSpaceDE/>
            <w:autoSpaceDN/>
            <w:bidi w:val="0"/>
            <w:adjustRightInd/>
            <w:snapToGrid/>
            <w:spacing w:line="560" w:lineRule="exact"/>
            <w:ind w:leftChars="0"/>
            <w:jc w:val="distribute"/>
            <w:textAlignment w:val="auto"/>
            <w:rPr>
              <w:rFonts w:hint="eastAsia" w:ascii="楷体" w:hAnsi="楷体" w:eastAsia="楷体" w:cs="楷体"/>
              <w:b w:val="0"/>
              <w:bCs w:val="0"/>
              <w:sz w:val="28"/>
              <w:szCs w:val="28"/>
            </w:rPr>
          </w:pPr>
          <w:r>
            <w:rPr>
              <w:rFonts w:hint="eastAsia" w:ascii="楷体" w:hAnsi="楷体" w:eastAsia="楷体" w:cs="楷体"/>
              <w:b w:val="0"/>
              <w:bCs w:val="0"/>
              <w:sz w:val="28"/>
              <w:szCs w:val="28"/>
            </w:rPr>
            <w:fldChar w:fldCharType="begin"/>
          </w:r>
          <w:r>
            <w:rPr>
              <w:rFonts w:hint="eastAsia" w:ascii="楷体" w:hAnsi="楷体" w:eastAsia="楷体" w:cs="楷体"/>
              <w:b w:val="0"/>
              <w:bCs w:val="0"/>
              <w:sz w:val="28"/>
              <w:szCs w:val="28"/>
            </w:rPr>
            <w:instrText xml:space="preserve"> HYPERLINK \l _Toc19086 </w:instrText>
          </w:r>
          <w:r>
            <w:rPr>
              <w:rFonts w:hint="eastAsia" w:ascii="楷体" w:hAnsi="楷体" w:eastAsia="楷体" w:cs="楷体"/>
              <w:b w:val="0"/>
              <w:bCs w:val="0"/>
              <w:sz w:val="28"/>
              <w:szCs w:val="28"/>
            </w:rPr>
            <w:fldChar w:fldCharType="separate"/>
          </w:r>
          <w:r>
            <w:rPr>
              <w:rFonts w:hint="eastAsia" w:ascii="楷体" w:hAnsi="楷体" w:eastAsia="楷体" w:cs="楷体"/>
              <w:b w:val="0"/>
              <w:bCs w:val="0"/>
              <w:sz w:val="28"/>
              <w:szCs w:val="28"/>
            </w:rPr>
            <w:t>附件2：专家及评价工作组情况表</w:t>
          </w:r>
          <w:r>
            <w:rPr>
              <w:rFonts w:hint="eastAsia" w:ascii="楷体" w:hAnsi="楷体" w:eastAsia="楷体" w:cs="楷体"/>
              <w:b w:val="0"/>
              <w:bCs w:val="0"/>
              <w:sz w:val="28"/>
              <w:szCs w:val="28"/>
            </w:rPr>
            <w:tab/>
          </w:r>
          <w:r>
            <w:rPr>
              <w:rFonts w:hint="eastAsia" w:ascii="楷体" w:hAnsi="楷体" w:eastAsia="楷体" w:cs="楷体"/>
              <w:b w:val="0"/>
              <w:bCs w:val="0"/>
              <w:sz w:val="28"/>
              <w:szCs w:val="28"/>
            </w:rPr>
            <w:fldChar w:fldCharType="begin"/>
          </w:r>
          <w:r>
            <w:rPr>
              <w:rFonts w:hint="eastAsia" w:ascii="楷体" w:hAnsi="楷体" w:eastAsia="楷体" w:cs="楷体"/>
              <w:b w:val="0"/>
              <w:bCs w:val="0"/>
              <w:sz w:val="28"/>
              <w:szCs w:val="28"/>
            </w:rPr>
            <w:instrText xml:space="preserve"> PAGEREF _Toc19086 \h </w:instrText>
          </w:r>
          <w:r>
            <w:rPr>
              <w:rFonts w:hint="eastAsia" w:ascii="楷体" w:hAnsi="楷体" w:eastAsia="楷体" w:cs="楷体"/>
              <w:b w:val="0"/>
              <w:bCs w:val="0"/>
              <w:sz w:val="28"/>
              <w:szCs w:val="28"/>
            </w:rPr>
            <w:fldChar w:fldCharType="separate"/>
          </w:r>
          <w:r>
            <w:rPr>
              <w:rFonts w:hint="eastAsia" w:ascii="楷体" w:hAnsi="楷体" w:eastAsia="楷体" w:cs="楷体"/>
              <w:b w:val="0"/>
              <w:bCs w:val="0"/>
              <w:sz w:val="28"/>
              <w:szCs w:val="28"/>
            </w:rPr>
            <w:t>15</w:t>
          </w:r>
          <w:r>
            <w:rPr>
              <w:rFonts w:hint="eastAsia" w:ascii="楷体" w:hAnsi="楷体" w:eastAsia="楷体" w:cs="楷体"/>
              <w:b w:val="0"/>
              <w:bCs w:val="0"/>
              <w:sz w:val="28"/>
              <w:szCs w:val="28"/>
            </w:rPr>
            <w:fldChar w:fldCharType="end"/>
          </w:r>
          <w:r>
            <w:rPr>
              <w:rFonts w:hint="eastAsia" w:ascii="楷体" w:hAnsi="楷体" w:eastAsia="楷体" w:cs="楷体"/>
              <w:b w:val="0"/>
              <w:bCs w:val="0"/>
              <w:sz w:val="28"/>
              <w:szCs w:val="28"/>
            </w:rPr>
            <w:fldChar w:fldCharType="end"/>
          </w:r>
        </w:p>
        <w:p>
          <w:pPr>
            <w:pStyle w:val="64"/>
            <w:keepNext w:val="0"/>
            <w:keepLines w:val="0"/>
            <w:pageBreakBefore w:val="0"/>
            <w:widowControl/>
            <w:tabs>
              <w:tab w:val="right" w:leader="dot" w:pos="8844"/>
            </w:tabs>
            <w:kinsoku/>
            <w:wordWrap/>
            <w:overflowPunct/>
            <w:topLinePunct w:val="0"/>
            <w:autoSpaceDE/>
            <w:autoSpaceDN/>
            <w:bidi w:val="0"/>
            <w:adjustRightInd/>
            <w:snapToGrid/>
            <w:spacing w:line="560" w:lineRule="exact"/>
            <w:ind w:leftChars="0"/>
            <w:jc w:val="distribute"/>
            <w:textAlignment w:val="auto"/>
            <w:rPr>
              <w:b/>
            </w:rPr>
          </w:pPr>
          <w:r>
            <w:rPr>
              <w:rFonts w:hint="eastAsia" w:ascii="楷体" w:hAnsi="楷体" w:eastAsia="楷体" w:cs="楷体"/>
              <w:b w:val="0"/>
              <w:bCs w:val="0"/>
              <w:sz w:val="28"/>
              <w:szCs w:val="28"/>
            </w:rPr>
            <w:fldChar w:fldCharType="begin"/>
          </w:r>
          <w:r>
            <w:rPr>
              <w:rFonts w:hint="eastAsia" w:ascii="楷体" w:hAnsi="楷体" w:eastAsia="楷体" w:cs="楷体"/>
              <w:b w:val="0"/>
              <w:bCs w:val="0"/>
              <w:sz w:val="28"/>
              <w:szCs w:val="28"/>
            </w:rPr>
            <w:instrText xml:space="preserve"> HYPERLINK \l _Toc17584 </w:instrText>
          </w:r>
          <w:r>
            <w:rPr>
              <w:rFonts w:hint="eastAsia" w:ascii="楷体" w:hAnsi="楷体" w:eastAsia="楷体" w:cs="楷体"/>
              <w:b w:val="0"/>
              <w:bCs w:val="0"/>
              <w:sz w:val="28"/>
              <w:szCs w:val="28"/>
            </w:rPr>
            <w:fldChar w:fldCharType="separate"/>
          </w:r>
          <w:r>
            <w:rPr>
              <w:rFonts w:hint="eastAsia" w:ascii="楷体" w:hAnsi="楷体" w:eastAsia="楷体" w:cs="楷体"/>
              <w:b w:val="0"/>
              <w:bCs w:val="0"/>
              <w:sz w:val="28"/>
              <w:szCs w:val="28"/>
            </w:rPr>
            <w:t>附件3：评价专家意见汇总书</w:t>
          </w:r>
          <w:r>
            <w:rPr>
              <w:rFonts w:hint="eastAsia" w:ascii="楷体" w:hAnsi="楷体" w:eastAsia="楷体" w:cs="楷体"/>
              <w:b w:val="0"/>
              <w:bCs w:val="0"/>
              <w:sz w:val="28"/>
              <w:szCs w:val="28"/>
            </w:rPr>
            <w:tab/>
          </w:r>
          <w:r>
            <w:rPr>
              <w:rFonts w:hint="eastAsia" w:ascii="楷体" w:hAnsi="楷体" w:eastAsia="楷体" w:cs="楷体"/>
              <w:b w:val="0"/>
              <w:bCs w:val="0"/>
              <w:sz w:val="28"/>
              <w:szCs w:val="28"/>
            </w:rPr>
            <w:fldChar w:fldCharType="begin"/>
          </w:r>
          <w:r>
            <w:rPr>
              <w:rFonts w:hint="eastAsia" w:ascii="楷体" w:hAnsi="楷体" w:eastAsia="楷体" w:cs="楷体"/>
              <w:b w:val="0"/>
              <w:bCs w:val="0"/>
              <w:sz w:val="28"/>
              <w:szCs w:val="28"/>
            </w:rPr>
            <w:instrText xml:space="preserve"> PAGEREF _Toc17584 \h </w:instrText>
          </w:r>
          <w:r>
            <w:rPr>
              <w:rFonts w:hint="eastAsia" w:ascii="楷体" w:hAnsi="楷体" w:eastAsia="楷体" w:cs="楷体"/>
              <w:b w:val="0"/>
              <w:bCs w:val="0"/>
              <w:sz w:val="28"/>
              <w:szCs w:val="28"/>
            </w:rPr>
            <w:fldChar w:fldCharType="separate"/>
          </w:r>
          <w:r>
            <w:rPr>
              <w:rFonts w:hint="eastAsia" w:ascii="楷体" w:hAnsi="楷体" w:eastAsia="楷体" w:cs="楷体"/>
              <w:b w:val="0"/>
              <w:bCs w:val="0"/>
              <w:sz w:val="28"/>
              <w:szCs w:val="28"/>
            </w:rPr>
            <w:t>15</w:t>
          </w:r>
          <w:r>
            <w:rPr>
              <w:rFonts w:hint="eastAsia" w:ascii="楷体" w:hAnsi="楷体" w:eastAsia="楷体" w:cs="楷体"/>
              <w:b w:val="0"/>
              <w:bCs w:val="0"/>
              <w:sz w:val="28"/>
              <w:szCs w:val="28"/>
            </w:rPr>
            <w:fldChar w:fldCharType="end"/>
          </w:r>
          <w:r>
            <w:rPr>
              <w:rFonts w:hint="eastAsia" w:ascii="楷体" w:hAnsi="楷体" w:eastAsia="楷体" w:cs="楷体"/>
              <w:b w:val="0"/>
              <w:bCs w:val="0"/>
              <w:sz w:val="28"/>
              <w:szCs w:val="28"/>
            </w:rPr>
            <w:fldChar w:fldCharType="end"/>
          </w:r>
        </w:p>
        <w:p>
          <w:pPr>
            <w:keepNext/>
            <w:suppressAutoHyphens/>
            <w:wordWrap/>
            <w:adjustRightInd w:val="0"/>
            <w:snapToGrid w:val="0"/>
            <w:spacing w:line="360" w:lineRule="auto"/>
            <w:jc w:val="center"/>
            <w:rPr>
              <w:rFonts w:hint="eastAsia" w:ascii="Times New Roman" w:eastAsia="黑体"/>
              <w:sz w:val="32"/>
            </w:rPr>
          </w:pPr>
          <w:r>
            <w:rPr>
              <w:rFonts w:hint="eastAsia" w:ascii="Times New Roman" w:eastAsia="黑体"/>
              <w:b/>
            </w:rPr>
            <w:fldChar w:fldCharType="end"/>
          </w:r>
        </w:p>
      </w:sdtContent>
    </w:sdt>
    <w:p>
      <w:pPr>
        <w:keepNext/>
        <w:widowControl/>
        <w:suppressAutoHyphens/>
        <w:wordWrap/>
        <w:topLinePunct/>
        <w:adjustRightInd w:val="0"/>
        <w:snapToGrid w:val="0"/>
        <w:spacing w:line="360" w:lineRule="auto"/>
        <w:jc w:val="center"/>
        <w:sectPr>
          <w:headerReference r:id="rId3" w:type="default"/>
          <w:footerReference r:id="rId4" w:type="default"/>
          <w:footerReference r:id="rId5" w:type="even"/>
          <w:pgSz w:w="11906" w:h="16838"/>
          <w:pgMar w:top="2098" w:right="1531" w:bottom="1984" w:left="1531" w:header="850" w:footer="1417" w:gutter="0"/>
          <w:cols w:space="720" w:num="1"/>
          <w:docGrid w:type="lines" w:linePitch="411" w:charSpace="0"/>
        </w:sectPr>
      </w:pPr>
    </w:p>
    <w:p>
      <w:pPr>
        <w:keepNext/>
        <w:widowControl/>
        <w:suppressAutoHyphens/>
        <w:wordWrap/>
        <w:topLinePunct/>
        <w:adjustRightInd w:val="0"/>
        <w:snapToGrid w:val="0"/>
        <w:spacing w:line="540" w:lineRule="exact"/>
        <w:jc w:val="center"/>
        <w:sectPr>
          <w:footerReference r:id="rId6" w:type="default"/>
          <w:type w:val="continuous"/>
          <w:pgSz w:w="11906" w:h="16838"/>
          <w:pgMar w:top="2098" w:right="1531" w:bottom="1984" w:left="1531" w:header="850" w:footer="1417" w:gutter="0"/>
          <w:pgNumType w:start="1"/>
          <w:cols w:space="720" w:num="1"/>
          <w:docGrid w:type="lines" w:linePitch="411" w:charSpace="0"/>
        </w:sectPr>
      </w:pPr>
    </w:p>
    <w:p>
      <w:pPr>
        <w:wordWrap/>
        <w:adjustRightInd w:val="0"/>
        <w:snapToGrid w:val="0"/>
        <w:spacing w:line="360" w:lineRule="auto"/>
        <w:jc w:val="center"/>
        <w:outlineLvl w:val="0"/>
        <w:rPr>
          <w:sz w:val="32"/>
          <w:szCs w:val="32"/>
        </w:rPr>
      </w:pPr>
      <w:bookmarkStart w:id="1" w:name="_Toc16311"/>
      <w:r>
        <w:rPr>
          <w:rFonts w:hint="eastAsia" w:ascii="华文中宋" w:hAnsi="华文中宋" w:eastAsia="华文中宋"/>
          <w:bCs/>
          <w:sz w:val="36"/>
          <w:szCs w:val="44"/>
          <w:lang w:eastAsia="zh-CN"/>
        </w:rPr>
        <w:t>特种作业人员安全技术考试费项目</w:t>
      </w:r>
      <w:r>
        <w:rPr>
          <w:rFonts w:hint="eastAsia" w:ascii="华文中宋" w:hAnsi="华文中宋" w:eastAsia="华文中宋"/>
          <w:bCs/>
          <w:sz w:val="36"/>
          <w:szCs w:val="44"/>
        </w:rPr>
        <w:t>绩效评价报告</w:t>
      </w:r>
      <w:bookmarkEnd w:id="1"/>
    </w:p>
    <w:p>
      <w:pPr>
        <w:wordWrap/>
        <w:adjustRightInd w:val="0"/>
        <w:snapToGrid w:val="0"/>
        <w:spacing w:line="360" w:lineRule="auto"/>
        <w:ind w:firstLine="640" w:firstLineChars="200"/>
        <w:outlineLvl w:val="0"/>
        <w:rPr>
          <w:rFonts w:ascii="Times New Roman" w:eastAsia="黑体"/>
          <w:sz w:val="32"/>
        </w:rPr>
      </w:pPr>
      <w:bookmarkStart w:id="2" w:name="_Toc6605"/>
      <w:bookmarkStart w:id="3" w:name="_Toc16064"/>
      <w:bookmarkStart w:id="4" w:name="_Toc336506954"/>
      <w:bookmarkStart w:id="5" w:name="_Toc336506889"/>
      <w:bookmarkStart w:id="6" w:name="_Toc23574"/>
      <w:bookmarkStart w:id="7" w:name="_Toc6316"/>
      <w:r>
        <w:rPr>
          <w:rFonts w:hint="eastAsia" w:ascii="Times New Roman" w:eastAsia="黑体"/>
          <w:sz w:val="32"/>
        </w:rPr>
        <w:t>一、</w:t>
      </w:r>
      <w:bookmarkEnd w:id="2"/>
      <w:bookmarkEnd w:id="3"/>
      <w:bookmarkEnd w:id="4"/>
      <w:bookmarkEnd w:id="5"/>
      <w:r>
        <w:rPr>
          <w:rFonts w:hint="eastAsia" w:ascii="Times New Roman" w:eastAsia="黑体"/>
          <w:sz w:val="32"/>
        </w:rPr>
        <w:t>基本情况</w:t>
      </w:r>
      <w:bookmarkEnd w:id="6"/>
      <w:bookmarkEnd w:id="7"/>
    </w:p>
    <w:p>
      <w:pPr>
        <w:wordWrap/>
        <w:adjustRightInd w:val="0"/>
        <w:snapToGrid w:val="0"/>
        <w:spacing w:line="360" w:lineRule="auto"/>
        <w:ind w:firstLine="640" w:firstLineChars="200"/>
        <w:outlineLvl w:val="1"/>
        <w:rPr>
          <w:rFonts w:ascii="Times New Roman" w:eastAsia="楷体_GB2312"/>
          <w:sz w:val="32"/>
        </w:rPr>
      </w:pPr>
      <w:bookmarkStart w:id="8" w:name="_Toc320182850"/>
      <w:bookmarkStart w:id="9" w:name="_Toc26635"/>
      <w:bookmarkStart w:id="10" w:name="_Toc32139"/>
      <w:bookmarkStart w:id="11" w:name="_Toc9395"/>
      <w:bookmarkStart w:id="12" w:name="_Toc336506955"/>
      <w:bookmarkStart w:id="13" w:name="_Toc336506890"/>
      <w:bookmarkStart w:id="14" w:name="_Toc13438"/>
      <w:r>
        <w:rPr>
          <w:rFonts w:hint="eastAsia" w:ascii="Times New Roman" w:eastAsia="楷体_GB2312"/>
          <w:sz w:val="32"/>
        </w:rPr>
        <w:t>（一）项目概况</w:t>
      </w:r>
      <w:bookmarkEnd w:id="8"/>
      <w:bookmarkEnd w:id="9"/>
      <w:bookmarkEnd w:id="10"/>
      <w:bookmarkEnd w:id="11"/>
      <w:bookmarkEnd w:id="12"/>
      <w:bookmarkEnd w:id="13"/>
      <w:bookmarkEnd w:id="14"/>
    </w:p>
    <w:p>
      <w:pPr>
        <w:suppressAutoHyphens/>
        <w:wordWrap/>
        <w:adjustRightInd w:val="0"/>
        <w:snapToGrid w:val="0"/>
        <w:spacing w:line="360" w:lineRule="auto"/>
        <w:ind w:firstLine="640" w:firstLineChars="200"/>
        <w:outlineLvl w:val="2"/>
        <w:rPr>
          <w:sz w:val="32"/>
          <w:szCs w:val="32"/>
        </w:rPr>
      </w:pPr>
      <w:r>
        <w:rPr>
          <w:rFonts w:hint="eastAsia"/>
          <w:sz w:val="32"/>
          <w:szCs w:val="32"/>
        </w:rPr>
        <w:t>1.项目背景</w:t>
      </w:r>
    </w:p>
    <w:p>
      <w:pPr>
        <w:adjustRightInd w:val="0"/>
        <w:snapToGrid w:val="0"/>
        <w:spacing w:line="360" w:lineRule="auto"/>
        <w:ind w:firstLine="561"/>
        <w:rPr>
          <w:rFonts w:hAnsi="Malgun Gothic" w:cs="Malgun Gothic"/>
          <w:sz w:val="32"/>
          <w:szCs w:val="32"/>
        </w:rPr>
      </w:pPr>
      <w:r>
        <w:rPr>
          <w:rFonts w:hint="eastAsia" w:hAnsi="Malgun Gothic" w:cs="Malgun Gothic"/>
          <w:sz w:val="32"/>
          <w:szCs w:val="32"/>
        </w:rPr>
        <w:t>根据原国家安监总局令第30号《特种作业人员安全技术培训考核管理规定》要求，对从事特种作业及高危行业的从业人员，必须通过培训考试领取相关证件后方可持证上岗。根据《中共北京市应急管理局委员会关于印发局属事业单位内设机构及岗位设置方案的通知》，</w:t>
      </w:r>
      <w:r>
        <w:rPr>
          <w:rFonts w:hint="eastAsia" w:hAnsi="Malgun Gothic" w:cs="Malgun Gothic"/>
          <w:sz w:val="32"/>
          <w:szCs w:val="32"/>
          <w:lang w:eastAsia="zh-CN"/>
        </w:rPr>
        <w:t>北京市应急管理科学技术研究院</w:t>
      </w:r>
      <w:r>
        <w:rPr>
          <w:rFonts w:hint="eastAsia" w:hAnsi="Malgun Gothic" w:cs="Malgun Gothic"/>
          <w:sz w:val="32"/>
          <w:szCs w:val="32"/>
        </w:rPr>
        <w:t>负责应急管理、安全生产、防灾减灾救灾领域有关考试组织、材料审核、考试巡考、证件制发等工作；负责考核业务管理系统使用、前台管理工作；负责考试有关业务咨询等工作。202</w:t>
      </w:r>
      <w:r>
        <w:rPr>
          <w:rFonts w:hint="eastAsia" w:hAnsi="Malgun Gothic" w:cs="Malgun Gothic"/>
          <w:sz w:val="32"/>
          <w:szCs w:val="32"/>
          <w:lang w:val="en-US" w:eastAsia="zh-CN"/>
        </w:rPr>
        <w:t>3</w:t>
      </w:r>
      <w:r>
        <w:rPr>
          <w:rFonts w:hint="eastAsia" w:hAnsi="Malgun Gothic" w:cs="Malgun Gothic"/>
          <w:sz w:val="32"/>
          <w:szCs w:val="32"/>
        </w:rPr>
        <w:t>年度</w:t>
      </w:r>
      <w:r>
        <w:rPr>
          <w:rFonts w:hint="eastAsia" w:hAnsi="Malgun Gothic" w:cs="Malgun Gothic"/>
          <w:sz w:val="32"/>
          <w:szCs w:val="32"/>
          <w:lang w:eastAsia="zh-CN"/>
        </w:rPr>
        <w:t>北京市应急管理科学技术研究院</w:t>
      </w:r>
      <w:r>
        <w:rPr>
          <w:rFonts w:hint="eastAsia" w:hAnsi="Malgun Gothic" w:cs="Malgun Gothic"/>
          <w:sz w:val="32"/>
          <w:szCs w:val="32"/>
        </w:rPr>
        <w:t>（以下简称“</w:t>
      </w:r>
      <w:r>
        <w:rPr>
          <w:rFonts w:hint="eastAsia" w:hAnsi="Malgun Gothic" w:cs="Malgun Gothic"/>
          <w:sz w:val="32"/>
          <w:szCs w:val="32"/>
          <w:lang w:eastAsia="zh-CN"/>
        </w:rPr>
        <w:t>应急</w:t>
      </w:r>
      <w:r>
        <w:rPr>
          <w:rFonts w:hint="eastAsia" w:hAnsi="Malgun Gothic" w:cs="Malgun Gothic"/>
          <w:sz w:val="32"/>
          <w:szCs w:val="32"/>
        </w:rPr>
        <w:t>研究院”）实施</w:t>
      </w:r>
      <w:r>
        <w:rPr>
          <w:rFonts w:hint="eastAsia" w:hAnsi="Malgun Gothic" w:cs="Malgun Gothic"/>
          <w:sz w:val="32"/>
          <w:szCs w:val="32"/>
          <w:lang w:eastAsia="zh-CN"/>
        </w:rPr>
        <w:t>特种作业人员安全技术考试费项目</w:t>
      </w:r>
      <w:r>
        <w:rPr>
          <w:rFonts w:hint="eastAsia" w:hAnsi="Malgun Gothic" w:cs="Malgun Gothic"/>
          <w:sz w:val="32"/>
          <w:szCs w:val="32"/>
        </w:rPr>
        <w:t>（以下简称“项目”）。</w:t>
      </w:r>
    </w:p>
    <w:p>
      <w:pPr>
        <w:suppressAutoHyphens/>
        <w:wordWrap/>
        <w:adjustRightInd w:val="0"/>
        <w:snapToGrid w:val="0"/>
        <w:spacing w:line="360" w:lineRule="auto"/>
        <w:ind w:firstLine="640" w:firstLineChars="200"/>
        <w:outlineLvl w:val="2"/>
        <w:rPr>
          <w:sz w:val="32"/>
          <w:szCs w:val="32"/>
        </w:rPr>
      </w:pPr>
      <w:r>
        <w:rPr>
          <w:rFonts w:hint="eastAsia"/>
          <w:sz w:val="32"/>
          <w:szCs w:val="32"/>
        </w:rPr>
        <w:t>2.项目主要内容及实施情况</w:t>
      </w:r>
    </w:p>
    <w:p>
      <w:pPr>
        <w:pStyle w:val="55"/>
        <w:suppressAutoHyphens/>
        <w:wordWrap/>
        <w:adjustRightInd w:val="0"/>
        <w:snapToGrid w:val="0"/>
        <w:ind w:firstLine="640"/>
        <w:rPr>
          <w:sz w:val="32"/>
          <w:szCs w:val="24"/>
        </w:rPr>
      </w:pPr>
      <w:r>
        <w:rPr>
          <w:rFonts w:hint="eastAsia"/>
          <w:sz w:val="32"/>
          <w:szCs w:val="24"/>
        </w:rPr>
        <w:t>（1）项目内容</w:t>
      </w:r>
    </w:p>
    <w:p>
      <w:pPr>
        <w:pStyle w:val="55"/>
        <w:suppressAutoHyphens/>
        <w:wordWrap/>
        <w:adjustRightInd w:val="0"/>
        <w:snapToGrid w:val="0"/>
        <w:ind w:firstLine="640"/>
        <w:rPr>
          <w:rFonts w:hint="eastAsia"/>
          <w:sz w:val="32"/>
          <w:szCs w:val="24"/>
          <w:lang w:val="en-US" w:eastAsia="zh-CN"/>
        </w:rPr>
      </w:pPr>
      <w:r>
        <w:rPr>
          <w:rFonts w:hint="eastAsia"/>
          <w:sz w:val="32"/>
          <w:szCs w:val="24"/>
          <w:lang w:val="en-US" w:eastAsia="zh-CN"/>
        </w:rPr>
        <w:t>根据《中共北京市应急管理局委员会关于印发局属事业单位内设机构及岗位设置方案的通知》，应急研究院考试管理中心负责应急管理、安全生产、防灾减灾救灾领域有关考试组织、材料审核、考试巡考、证件制发等工作；负责考核业务管理系统使用、前台管理工作；负责考试有关业务咨询等工作。该项目主要内容为拨付特种作业人员安全技术考试费1275万元，年中追加255万元，共计1530万元。</w:t>
      </w:r>
    </w:p>
    <w:p>
      <w:pPr>
        <w:pStyle w:val="55"/>
        <w:suppressAutoHyphens/>
        <w:wordWrap/>
        <w:adjustRightInd w:val="0"/>
        <w:snapToGrid w:val="0"/>
        <w:ind w:firstLine="640"/>
        <w:rPr>
          <w:sz w:val="32"/>
          <w:szCs w:val="24"/>
        </w:rPr>
      </w:pPr>
      <w:r>
        <w:rPr>
          <w:rFonts w:hint="eastAsia"/>
          <w:sz w:val="32"/>
          <w:szCs w:val="24"/>
          <w:lang w:val="en-US" w:eastAsia="zh-CN"/>
        </w:rPr>
        <w:t>按照国家和本市对特种作业人员有关规定，按照年度考试计划，预计完成本市近18万人次的特种作业人员安全资格考试组织工作，确保符合行政许可要求的人员持证上岗，实现安全生产，确保人民群众的生命和财产安全</w:t>
      </w:r>
      <w:r>
        <w:rPr>
          <w:rFonts w:hint="eastAsia"/>
          <w:sz w:val="32"/>
          <w:szCs w:val="24"/>
          <w:lang w:eastAsia="zh-CN"/>
        </w:rPr>
        <w:t>。</w:t>
      </w:r>
    </w:p>
    <w:p>
      <w:pPr>
        <w:pStyle w:val="55"/>
        <w:suppressAutoHyphens/>
        <w:wordWrap/>
        <w:adjustRightInd w:val="0"/>
        <w:snapToGrid w:val="0"/>
        <w:ind w:firstLine="640"/>
        <w:rPr>
          <w:sz w:val="32"/>
          <w:szCs w:val="24"/>
        </w:rPr>
      </w:pPr>
      <w:r>
        <w:rPr>
          <w:rFonts w:hint="eastAsia"/>
          <w:sz w:val="32"/>
          <w:szCs w:val="24"/>
        </w:rPr>
        <w:t>（2）项目完成情况</w:t>
      </w:r>
    </w:p>
    <w:p>
      <w:pPr>
        <w:pStyle w:val="55"/>
        <w:suppressAutoHyphens/>
        <w:wordWrap/>
        <w:adjustRightInd w:val="0"/>
        <w:snapToGrid w:val="0"/>
        <w:ind w:firstLine="640"/>
        <w:rPr>
          <w:rFonts w:hint="default" w:eastAsia="仿宋_GB2312"/>
          <w:sz w:val="32"/>
          <w:szCs w:val="24"/>
          <w:lang w:val="en-US" w:eastAsia="zh-CN"/>
        </w:rPr>
      </w:pPr>
      <w:r>
        <w:rPr>
          <w:rFonts w:hint="eastAsia"/>
          <w:sz w:val="32"/>
          <w:szCs w:val="24"/>
        </w:rPr>
        <w:t>该项目为跨年</w:t>
      </w:r>
      <w:r>
        <w:rPr>
          <w:rFonts w:hint="eastAsia"/>
          <w:sz w:val="32"/>
          <w:szCs w:val="24"/>
          <w:lang w:val="en-US" w:eastAsia="zh-CN"/>
        </w:rPr>
        <w:t>项目</w:t>
      </w:r>
      <w:r>
        <w:rPr>
          <w:rFonts w:hint="eastAsia"/>
          <w:sz w:val="32"/>
          <w:szCs w:val="24"/>
        </w:rPr>
        <w:t>，</w:t>
      </w:r>
      <w:r>
        <w:rPr>
          <w:rFonts w:hint="eastAsia"/>
          <w:sz w:val="32"/>
          <w:szCs w:val="24"/>
          <w:lang w:val="en-US" w:eastAsia="zh-CN"/>
        </w:rPr>
        <w:t>项目计划未2022年9月-2023年10期间报名的特种作业人员组织安全资格考试</w:t>
      </w:r>
      <w:r>
        <w:rPr>
          <w:rFonts w:hint="eastAsia"/>
          <w:sz w:val="32"/>
          <w:szCs w:val="24"/>
        </w:rPr>
        <w:t>。</w:t>
      </w:r>
      <w:r>
        <w:rPr>
          <w:rFonts w:hint="eastAsia"/>
          <w:sz w:val="32"/>
          <w:szCs w:val="24"/>
          <w:lang w:val="en-US" w:eastAsia="zh-CN"/>
        </w:rPr>
        <w:t>由于2022年疫情原因，考试安排延迟至2023年2月开展，本项目实际执行时间为2023年2月-2023年10月，截止评价日，项目计划工作内容已全部完成。</w:t>
      </w:r>
    </w:p>
    <w:p>
      <w:pPr>
        <w:suppressAutoHyphens/>
        <w:wordWrap/>
        <w:adjustRightInd w:val="0"/>
        <w:snapToGrid w:val="0"/>
        <w:spacing w:line="360" w:lineRule="auto"/>
        <w:ind w:firstLine="640" w:firstLineChars="200"/>
        <w:outlineLvl w:val="2"/>
        <w:rPr>
          <w:sz w:val="32"/>
        </w:rPr>
      </w:pPr>
      <w:r>
        <w:rPr>
          <w:rFonts w:hint="eastAsia"/>
          <w:sz w:val="32"/>
        </w:rPr>
        <w:t>3.项目资金投入和使用情况</w:t>
      </w:r>
    </w:p>
    <w:p>
      <w:pPr>
        <w:suppressAutoHyphens/>
        <w:wordWrap/>
        <w:adjustRightInd w:val="0"/>
        <w:snapToGrid w:val="0"/>
        <w:spacing w:line="360" w:lineRule="auto"/>
        <w:ind w:firstLine="640" w:firstLineChars="200"/>
        <w:rPr>
          <w:sz w:val="32"/>
          <w:szCs w:val="24"/>
        </w:rPr>
      </w:pPr>
      <w:bookmarkStart w:id="15" w:name="_Toc336506892"/>
      <w:bookmarkStart w:id="16" w:name="_Toc2015"/>
      <w:bookmarkStart w:id="17" w:name="_Toc336506957"/>
      <w:bookmarkStart w:id="18" w:name="_Toc8349"/>
      <w:r>
        <w:rPr>
          <w:rFonts w:hint="eastAsia"/>
          <w:sz w:val="32"/>
          <w:szCs w:val="24"/>
        </w:rPr>
        <w:t>（1）项目总体资金投入情况</w:t>
      </w:r>
    </w:p>
    <w:p>
      <w:pPr>
        <w:suppressAutoHyphens/>
        <w:wordWrap/>
        <w:adjustRightInd w:val="0"/>
        <w:snapToGrid w:val="0"/>
        <w:spacing w:line="360" w:lineRule="auto"/>
        <w:ind w:firstLine="640" w:firstLineChars="200"/>
        <w:rPr>
          <w:sz w:val="32"/>
          <w:szCs w:val="24"/>
        </w:rPr>
      </w:pPr>
      <w:r>
        <w:rPr>
          <w:rFonts w:hint="eastAsia"/>
          <w:sz w:val="32"/>
          <w:szCs w:val="24"/>
        </w:rPr>
        <w:t>该项目</w:t>
      </w:r>
      <w:r>
        <w:rPr>
          <w:rFonts w:hint="eastAsia"/>
          <w:sz w:val="32"/>
          <w:szCs w:val="24"/>
          <w:lang w:val="en-US" w:eastAsia="zh-CN"/>
        </w:rPr>
        <w:t>年初</w:t>
      </w:r>
      <w:r>
        <w:rPr>
          <w:rFonts w:hint="eastAsia"/>
          <w:sz w:val="32"/>
          <w:szCs w:val="24"/>
        </w:rPr>
        <w:t>预算金额为</w:t>
      </w:r>
      <w:r>
        <w:rPr>
          <w:rFonts w:hint="eastAsia"/>
          <w:sz w:val="32"/>
          <w:szCs w:val="24"/>
          <w:lang w:val="en-US" w:eastAsia="zh-CN"/>
        </w:rPr>
        <w:t>1275</w:t>
      </w:r>
      <w:r>
        <w:rPr>
          <w:rFonts w:hint="eastAsia"/>
          <w:sz w:val="32"/>
          <w:szCs w:val="24"/>
        </w:rPr>
        <w:t>万元，</w:t>
      </w:r>
      <w:r>
        <w:rPr>
          <w:rFonts w:hint="eastAsia"/>
          <w:sz w:val="32"/>
          <w:szCs w:val="24"/>
          <w:lang w:val="en-US" w:eastAsia="zh-CN"/>
        </w:rPr>
        <w:t>2023年7月追加预算255万元，项目全年预算1530万元</w:t>
      </w:r>
      <w:r>
        <w:rPr>
          <w:rFonts w:hint="eastAsia"/>
          <w:sz w:val="32"/>
          <w:szCs w:val="24"/>
        </w:rPr>
        <w:t>。</w:t>
      </w:r>
    </w:p>
    <w:p>
      <w:pPr>
        <w:wordWrap/>
        <w:adjustRightInd w:val="0"/>
        <w:snapToGrid w:val="0"/>
        <w:spacing w:line="360" w:lineRule="auto"/>
        <w:ind w:firstLine="640" w:firstLineChars="200"/>
        <w:outlineLvl w:val="1"/>
        <w:rPr>
          <w:rFonts w:ascii="Times New Roman" w:eastAsia="楷体_GB2312"/>
          <w:sz w:val="32"/>
        </w:rPr>
      </w:pPr>
      <w:bookmarkStart w:id="19" w:name="_Toc31589"/>
      <w:bookmarkStart w:id="20" w:name="_Toc13970"/>
      <w:r>
        <w:rPr>
          <w:rFonts w:hint="eastAsia" w:ascii="Times New Roman" w:eastAsia="楷体_GB2312"/>
          <w:sz w:val="32"/>
        </w:rPr>
        <w:t>（二）项目绩效目标</w:t>
      </w:r>
      <w:bookmarkEnd w:id="15"/>
      <w:bookmarkEnd w:id="16"/>
      <w:bookmarkEnd w:id="17"/>
      <w:bookmarkEnd w:id="18"/>
      <w:bookmarkEnd w:id="19"/>
      <w:bookmarkEnd w:id="20"/>
    </w:p>
    <w:p>
      <w:pPr>
        <w:wordWrap/>
        <w:adjustRightInd w:val="0"/>
        <w:snapToGrid w:val="0"/>
        <w:spacing w:line="360" w:lineRule="auto"/>
        <w:ind w:firstLine="640" w:firstLineChars="200"/>
        <w:rPr>
          <w:sz w:val="32"/>
          <w:szCs w:val="24"/>
        </w:rPr>
      </w:pPr>
      <w:bookmarkStart w:id="21" w:name="_Toc336506958"/>
      <w:bookmarkStart w:id="22" w:name="_Toc336506893"/>
      <w:r>
        <w:rPr>
          <w:rFonts w:hint="eastAsia"/>
          <w:sz w:val="32"/>
          <w:szCs w:val="24"/>
        </w:rPr>
        <w:t>年度绩效目标：按照国家和本市对特种作业人员有关规定，按照年度考试计划，完成本市特种作业人员安全资格考试组织工作，保证符合行政许可要求的人员持证上岗，实现安全生产，确保人民群众的生命和财产安全。</w:t>
      </w:r>
    </w:p>
    <w:p>
      <w:pPr>
        <w:wordWrap/>
        <w:adjustRightInd w:val="0"/>
        <w:snapToGrid w:val="0"/>
        <w:spacing w:line="360" w:lineRule="auto"/>
        <w:ind w:firstLine="640" w:firstLineChars="200"/>
        <w:rPr>
          <w:rFonts w:ascii="黑体" w:eastAsia="黑体"/>
          <w:iCs/>
          <w:sz w:val="28"/>
          <w:szCs w:val="24"/>
        </w:rPr>
      </w:pPr>
      <w:r>
        <w:rPr>
          <w:rFonts w:hint="eastAsia"/>
          <w:sz w:val="32"/>
          <w:szCs w:val="24"/>
        </w:rPr>
        <w:t>具体绩效指标见表2。</w:t>
      </w:r>
    </w:p>
    <w:p>
      <w:pPr>
        <w:wordWrap/>
        <w:adjustRightInd w:val="0"/>
        <w:snapToGrid w:val="0"/>
        <w:spacing w:line="360" w:lineRule="auto"/>
        <w:jc w:val="center"/>
        <w:rPr>
          <w:rFonts w:ascii="黑体" w:eastAsia="黑体"/>
          <w:iCs/>
          <w:sz w:val="28"/>
          <w:szCs w:val="24"/>
        </w:rPr>
      </w:pPr>
      <w:r>
        <w:rPr>
          <w:rFonts w:ascii="黑体" w:eastAsia="黑体"/>
          <w:iCs/>
          <w:sz w:val="28"/>
          <w:szCs w:val="24"/>
        </w:rPr>
        <w:t>表</w:t>
      </w:r>
      <w:r>
        <w:rPr>
          <w:rFonts w:hint="eastAsia" w:ascii="黑体" w:eastAsia="黑体"/>
          <w:iCs/>
          <w:sz w:val="28"/>
          <w:szCs w:val="24"/>
        </w:rPr>
        <w:t>2</w:t>
      </w:r>
      <w:r>
        <w:rPr>
          <w:rFonts w:ascii="黑体" w:eastAsia="黑体"/>
          <w:iCs/>
          <w:sz w:val="28"/>
          <w:szCs w:val="24"/>
        </w:rPr>
        <w:t>：项目</w:t>
      </w:r>
      <w:r>
        <w:rPr>
          <w:rFonts w:hint="eastAsia" w:ascii="黑体" w:eastAsia="黑体"/>
          <w:iCs/>
          <w:sz w:val="28"/>
          <w:szCs w:val="24"/>
        </w:rPr>
        <w:t>绩效</w:t>
      </w:r>
      <w:r>
        <w:rPr>
          <w:rFonts w:ascii="黑体" w:eastAsia="黑体"/>
          <w:iCs/>
          <w:sz w:val="28"/>
          <w:szCs w:val="24"/>
        </w:rPr>
        <w:t>指标表</w:t>
      </w:r>
    </w:p>
    <w:tbl>
      <w:tblPr>
        <w:tblStyle w:val="31"/>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75"/>
        <w:gridCol w:w="1134"/>
        <w:gridCol w:w="4389"/>
        <w:gridCol w:w="23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4" w:hRule="atLeast"/>
          <w:tblHeader/>
          <w:jc w:val="center"/>
        </w:trPr>
        <w:tc>
          <w:tcPr>
            <w:tcW w:w="395" w:type="pct"/>
            <w:shd w:val="clear" w:color="auto" w:fill="auto"/>
            <w:vAlign w:val="center"/>
          </w:tcPr>
          <w:p>
            <w:pPr>
              <w:widowControl/>
              <w:wordWrap/>
              <w:adjustRightInd w:val="0"/>
              <w:snapToGrid w:val="0"/>
              <w:jc w:val="center"/>
              <w:rPr>
                <w:rFonts w:ascii="宋体" w:hAnsi="宋体" w:eastAsia="宋体" w:cs="Courier New"/>
                <w:b/>
                <w:kern w:val="0"/>
                <w:sz w:val="20"/>
                <w:szCs w:val="20"/>
              </w:rPr>
            </w:pPr>
            <w:bookmarkStart w:id="23" w:name="_Toc26968"/>
            <w:bookmarkStart w:id="24" w:name="_Toc18516"/>
            <w:r>
              <w:rPr>
                <w:rFonts w:ascii="宋体" w:hAnsi="宋体" w:eastAsia="宋体" w:cs="Courier New"/>
                <w:b/>
                <w:kern w:val="0"/>
                <w:sz w:val="20"/>
                <w:szCs w:val="20"/>
              </w:rPr>
              <w:t>一级指标</w:t>
            </w:r>
          </w:p>
        </w:tc>
        <w:tc>
          <w:tcPr>
            <w:tcW w:w="664" w:type="pct"/>
            <w:shd w:val="clear" w:color="auto" w:fill="auto"/>
            <w:vAlign w:val="center"/>
          </w:tcPr>
          <w:p>
            <w:pPr>
              <w:widowControl/>
              <w:wordWrap/>
              <w:adjustRightInd w:val="0"/>
              <w:snapToGrid w:val="0"/>
              <w:jc w:val="center"/>
              <w:rPr>
                <w:rFonts w:ascii="宋体" w:hAnsi="宋体" w:eastAsia="宋体" w:cs="Courier New"/>
                <w:b/>
                <w:kern w:val="0"/>
                <w:sz w:val="20"/>
                <w:szCs w:val="20"/>
              </w:rPr>
            </w:pPr>
            <w:r>
              <w:rPr>
                <w:rFonts w:ascii="宋体" w:hAnsi="宋体" w:eastAsia="宋体" w:cs="Courier New"/>
                <w:b/>
                <w:kern w:val="0"/>
                <w:sz w:val="20"/>
                <w:szCs w:val="20"/>
              </w:rPr>
              <w:t>二级指标</w:t>
            </w:r>
          </w:p>
        </w:tc>
        <w:tc>
          <w:tcPr>
            <w:tcW w:w="2573" w:type="pct"/>
            <w:shd w:val="clear" w:color="auto" w:fill="auto"/>
            <w:vAlign w:val="center"/>
          </w:tcPr>
          <w:p>
            <w:pPr>
              <w:widowControl/>
              <w:wordWrap/>
              <w:adjustRightInd w:val="0"/>
              <w:snapToGrid w:val="0"/>
              <w:jc w:val="center"/>
              <w:rPr>
                <w:rFonts w:ascii="宋体" w:hAnsi="宋体" w:eastAsia="宋体" w:cs="Courier New"/>
                <w:b/>
                <w:kern w:val="0"/>
                <w:sz w:val="20"/>
                <w:szCs w:val="20"/>
              </w:rPr>
            </w:pPr>
            <w:r>
              <w:rPr>
                <w:rFonts w:ascii="宋体" w:hAnsi="宋体" w:eastAsia="宋体" w:cs="Courier New"/>
                <w:b/>
                <w:kern w:val="0"/>
                <w:sz w:val="20"/>
                <w:szCs w:val="20"/>
              </w:rPr>
              <w:t>三级指标</w:t>
            </w:r>
          </w:p>
        </w:tc>
        <w:tc>
          <w:tcPr>
            <w:tcW w:w="1366" w:type="pct"/>
            <w:shd w:val="clear" w:color="auto" w:fill="auto"/>
            <w:vAlign w:val="center"/>
          </w:tcPr>
          <w:p>
            <w:pPr>
              <w:widowControl/>
              <w:wordWrap/>
              <w:adjustRightInd w:val="0"/>
              <w:snapToGrid w:val="0"/>
              <w:jc w:val="center"/>
              <w:rPr>
                <w:rFonts w:ascii="宋体" w:hAnsi="宋体" w:eastAsia="宋体" w:cs="宋体"/>
                <w:b/>
                <w:kern w:val="0"/>
                <w:sz w:val="20"/>
                <w:szCs w:val="20"/>
              </w:rPr>
            </w:pPr>
            <w:r>
              <w:rPr>
                <w:rFonts w:hint="eastAsia" w:ascii="宋体" w:hAnsi="宋体" w:eastAsia="宋体" w:cs="宋体"/>
                <w:b/>
                <w:kern w:val="0"/>
                <w:sz w:val="20"/>
                <w:szCs w:val="20"/>
              </w:rPr>
              <w:t>指标值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395" w:type="pct"/>
            <w:vMerge w:val="restart"/>
            <w:shd w:val="clear" w:color="auto" w:fill="auto"/>
            <w:vAlign w:val="center"/>
          </w:tcPr>
          <w:p>
            <w:pPr>
              <w:widowControl/>
              <w:wordWrap/>
              <w:adjustRightInd w:val="0"/>
              <w:snapToGrid w:val="0"/>
              <w:jc w:val="center"/>
              <w:rPr>
                <w:rFonts w:ascii="宋体" w:hAnsi="宋体" w:eastAsia="宋体" w:cs="Courier New"/>
                <w:kern w:val="0"/>
                <w:sz w:val="20"/>
                <w:szCs w:val="20"/>
              </w:rPr>
            </w:pPr>
            <w:r>
              <w:rPr>
                <w:rFonts w:hint="eastAsia" w:ascii="宋体" w:hAnsi="宋体" w:eastAsia="宋体" w:cs="Courier New"/>
                <w:kern w:val="0"/>
                <w:sz w:val="20"/>
                <w:szCs w:val="20"/>
              </w:rPr>
              <w:t>产出指标</w:t>
            </w:r>
          </w:p>
        </w:tc>
        <w:tc>
          <w:tcPr>
            <w:tcW w:w="664" w:type="pct"/>
            <w:shd w:val="clear" w:color="auto" w:fill="auto"/>
            <w:vAlign w:val="center"/>
          </w:tcPr>
          <w:p>
            <w:pPr>
              <w:widowControl/>
              <w:wordWrap/>
              <w:adjustRightInd w:val="0"/>
              <w:snapToGrid w:val="0"/>
              <w:jc w:val="center"/>
              <w:rPr>
                <w:rFonts w:ascii="宋体" w:hAnsi="宋体" w:eastAsia="宋体" w:cs="Courier New"/>
                <w:kern w:val="0"/>
                <w:sz w:val="20"/>
                <w:szCs w:val="20"/>
              </w:rPr>
            </w:pPr>
            <w:r>
              <w:rPr>
                <w:rFonts w:ascii="宋体" w:hAnsi="宋体" w:eastAsia="宋体" w:cs="Courier New"/>
                <w:kern w:val="0"/>
                <w:sz w:val="20"/>
                <w:szCs w:val="20"/>
              </w:rPr>
              <w:t>数量指标</w:t>
            </w:r>
          </w:p>
        </w:tc>
        <w:tc>
          <w:tcPr>
            <w:tcW w:w="4389" w:type="dxa"/>
            <w:shd w:val="clear" w:color="auto" w:fill="auto"/>
            <w:noWrap/>
            <w:vAlign w:val="center"/>
          </w:tcPr>
          <w:p>
            <w:pPr>
              <w:keepNext w:val="0"/>
              <w:keepLines w:val="0"/>
              <w:widowControl/>
              <w:suppressLineNumbers w:val="0"/>
              <w:jc w:val="center"/>
              <w:textAlignment w:val="center"/>
              <w:rPr>
                <w:rFonts w:ascii="宋体" w:hAnsi="宋体" w:eastAsia="宋体" w:cs="宋体"/>
                <w:kern w:val="0"/>
                <w:sz w:val="20"/>
                <w:szCs w:val="20"/>
              </w:rPr>
            </w:pPr>
            <w:r>
              <w:rPr>
                <w:rFonts w:hint="eastAsia" w:ascii="宋体" w:hAnsi="宋体" w:eastAsia="宋体" w:cs="宋体"/>
                <w:i w:val="0"/>
                <w:iCs w:val="0"/>
                <w:color w:val="000000"/>
                <w:kern w:val="0"/>
                <w:sz w:val="24"/>
                <w:szCs w:val="24"/>
                <w:u w:val="none"/>
                <w:lang w:val="en-US" w:eastAsia="zh-CN" w:bidi="ar"/>
              </w:rPr>
              <w:t>完成特种作业人员安全技术考试人数</w:t>
            </w:r>
          </w:p>
        </w:tc>
        <w:tc>
          <w:tcPr>
            <w:tcW w:w="2330" w:type="dxa"/>
            <w:shd w:val="clear" w:color="auto" w:fill="auto"/>
            <w:noWrap/>
            <w:vAlign w:val="center"/>
          </w:tcPr>
          <w:p>
            <w:pPr>
              <w:keepNext w:val="0"/>
              <w:keepLines w:val="0"/>
              <w:widowControl/>
              <w:suppressLineNumbers w:val="0"/>
              <w:jc w:val="center"/>
              <w:textAlignment w:val="center"/>
              <w:rPr>
                <w:rFonts w:ascii="宋体" w:hAnsi="宋体" w:eastAsia="宋体" w:cs="宋体"/>
                <w:kern w:val="0"/>
                <w:sz w:val="20"/>
                <w:szCs w:val="20"/>
              </w:rPr>
            </w:pPr>
            <w:r>
              <w:rPr>
                <w:rFonts w:hint="eastAsia" w:ascii="宋体" w:hAnsi="宋体" w:eastAsia="宋体" w:cs="宋体"/>
                <w:i w:val="0"/>
                <w:iCs w:val="0"/>
                <w:color w:val="000000"/>
                <w:kern w:val="0"/>
                <w:sz w:val="24"/>
                <w:szCs w:val="24"/>
                <w:u w:val="none"/>
                <w:lang w:val="en-US" w:eastAsia="zh-CN" w:bidi="ar"/>
              </w:rPr>
              <w:t>≥18万人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395" w:type="pct"/>
            <w:vMerge w:val="continue"/>
            <w:shd w:val="clear" w:color="auto" w:fill="auto"/>
            <w:vAlign w:val="center"/>
          </w:tcPr>
          <w:p>
            <w:pPr>
              <w:adjustRightInd w:val="0"/>
              <w:snapToGrid w:val="0"/>
              <w:jc w:val="center"/>
              <w:rPr>
                <w:rFonts w:ascii="宋体" w:hAnsi="宋体" w:eastAsia="宋体" w:cs="Courier New"/>
                <w:kern w:val="0"/>
                <w:sz w:val="20"/>
                <w:szCs w:val="20"/>
              </w:rPr>
            </w:pPr>
          </w:p>
        </w:tc>
        <w:tc>
          <w:tcPr>
            <w:tcW w:w="664" w:type="pct"/>
            <w:shd w:val="clear" w:color="auto" w:fill="auto"/>
            <w:vAlign w:val="center"/>
          </w:tcPr>
          <w:p>
            <w:pPr>
              <w:widowControl/>
              <w:wordWrap/>
              <w:adjustRightInd w:val="0"/>
              <w:snapToGrid w:val="0"/>
              <w:jc w:val="center"/>
              <w:rPr>
                <w:rFonts w:ascii="宋体" w:hAnsi="宋体" w:eastAsia="宋体" w:cs="Courier New"/>
                <w:kern w:val="0"/>
                <w:sz w:val="20"/>
                <w:szCs w:val="20"/>
              </w:rPr>
            </w:pPr>
            <w:r>
              <w:rPr>
                <w:rFonts w:ascii="宋体" w:hAnsi="宋体" w:eastAsia="宋体" w:cs="Courier New"/>
                <w:kern w:val="0"/>
                <w:sz w:val="20"/>
                <w:szCs w:val="20"/>
              </w:rPr>
              <w:t>质量指标</w:t>
            </w:r>
          </w:p>
        </w:tc>
        <w:tc>
          <w:tcPr>
            <w:tcW w:w="4389" w:type="dxa"/>
            <w:shd w:val="clear" w:color="auto" w:fill="auto"/>
            <w:noWrap/>
            <w:vAlign w:val="center"/>
          </w:tcPr>
          <w:p>
            <w:pPr>
              <w:keepNext w:val="0"/>
              <w:keepLines w:val="0"/>
              <w:widowControl/>
              <w:suppressLineNumbers w:val="0"/>
              <w:jc w:val="center"/>
              <w:textAlignment w:val="center"/>
              <w:rPr>
                <w:rFonts w:ascii="宋体" w:hAnsi="宋体" w:eastAsia="宋体" w:cs="宋体"/>
                <w:kern w:val="0"/>
                <w:sz w:val="20"/>
                <w:szCs w:val="20"/>
              </w:rPr>
            </w:pPr>
            <w:r>
              <w:rPr>
                <w:rFonts w:hint="eastAsia" w:ascii="宋体" w:hAnsi="宋体" w:eastAsia="宋体" w:cs="宋体"/>
                <w:i w:val="0"/>
                <w:iCs w:val="0"/>
                <w:color w:val="000000"/>
                <w:kern w:val="0"/>
                <w:sz w:val="24"/>
                <w:szCs w:val="24"/>
                <w:u w:val="none"/>
                <w:lang w:val="en-US" w:eastAsia="zh-CN" w:bidi="ar"/>
              </w:rPr>
              <w:t>考务费拨付</w:t>
            </w:r>
          </w:p>
        </w:tc>
        <w:tc>
          <w:tcPr>
            <w:tcW w:w="2330" w:type="dxa"/>
            <w:shd w:val="clear" w:color="auto" w:fill="auto"/>
            <w:noWrap/>
            <w:vAlign w:val="center"/>
          </w:tcPr>
          <w:p>
            <w:pPr>
              <w:keepNext w:val="0"/>
              <w:keepLines w:val="0"/>
              <w:widowControl/>
              <w:suppressLineNumbers w:val="0"/>
              <w:jc w:val="center"/>
              <w:textAlignment w:val="center"/>
              <w:rPr>
                <w:rFonts w:hint="default" w:ascii="宋体" w:hAnsi="宋体" w:eastAsia="宋体" w:cs="宋体"/>
                <w:kern w:val="0"/>
                <w:sz w:val="20"/>
                <w:szCs w:val="20"/>
                <w:lang w:val="en-US" w:eastAsia="zh-CN"/>
              </w:rPr>
            </w:pPr>
            <w:r>
              <w:rPr>
                <w:rFonts w:hint="eastAsia" w:ascii="宋体" w:hAnsi="宋体" w:eastAsia="宋体" w:cs="宋体"/>
                <w:i w:val="0"/>
                <w:iCs w:val="0"/>
                <w:color w:val="000000"/>
                <w:kern w:val="0"/>
                <w:sz w:val="24"/>
                <w:szCs w:val="24"/>
                <w:u w:val="none"/>
                <w:lang w:val="en-US" w:eastAsia="zh-CN" w:bidi="ar"/>
              </w:rPr>
              <w:t>定性 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395" w:type="pct"/>
            <w:vMerge w:val="continue"/>
            <w:shd w:val="clear" w:color="auto" w:fill="auto"/>
            <w:vAlign w:val="center"/>
          </w:tcPr>
          <w:p>
            <w:pPr>
              <w:widowControl/>
              <w:wordWrap/>
              <w:adjustRightInd w:val="0"/>
              <w:snapToGrid w:val="0"/>
              <w:jc w:val="center"/>
              <w:rPr>
                <w:rFonts w:ascii="宋体" w:hAnsi="宋体" w:eastAsia="宋体" w:cs="Courier New"/>
                <w:kern w:val="0"/>
                <w:sz w:val="20"/>
                <w:szCs w:val="20"/>
              </w:rPr>
            </w:pPr>
          </w:p>
        </w:tc>
        <w:tc>
          <w:tcPr>
            <w:tcW w:w="664" w:type="pct"/>
            <w:shd w:val="clear" w:color="auto" w:fill="auto"/>
            <w:vAlign w:val="center"/>
          </w:tcPr>
          <w:p>
            <w:pPr>
              <w:widowControl/>
              <w:wordWrap/>
              <w:adjustRightInd w:val="0"/>
              <w:snapToGrid w:val="0"/>
              <w:jc w:val="center"/>
              <w:rPr>
                <w:rFonts w:ascii="宋体" w:hAnsi="宋体" w:eastAsia="宋体" w:cs="Courier New"/>
                <w:kern w:val="0"/>
                <w:sz w:val="20"/>
                <w:szCs w:val="20"/>
              </w:rPr>
            </w:pPr>
            <w:r>
              <w:rPr>
                <w:rFonts w:hint="eastAsia" w:ascii="宋体" w:hAnsi="宋体" w:eastAsia="宋体" w:cs="Courier New"/>
                <w:kern w:val="0"/>
                <w:sz w:val="20"/>
                <w:szCs w:val="20"/>
              </w:rPr>
              <w:t>时效</w:t>
            </w:r>
            <w:r>
              <w:rPr>
                <w:rFonts w:ascii="宋体" w:hAnsi="宋体" w:eastAsia="宋体" w:cs="Courier New"/>
                <w:kern w:val="0"/>
                <w:sz w:val="20"/>
                <w:szCs w:val="20"/>
              </w:rPr>
              <w:t>指标</w:t>
            </w:r>
          </w:p>
        </w:tc>
        <w:tc>
          <w:tcPr>
            <w:tcW w:w="4389" w:type="dxa"/>
            <w:shd w:val="clear" w:color="auto" w:fill="auto"/>
            <w:noWrap/>
            <w:vAlign w:val="center"/>
          </w:tcPr>
          <w:p>
            <w:pPr>
              <w:keepNext w:val="0"/>
              <w:keepLines w:val="0"/>
              <w:widowControl/>
              <w:suppressLineNumbers w:val="0"/>
              <w:jc w:val="center"/>
              <w:textAlignment w:val="center"/>
              <w:rPr>
                <w:rFonts w:ascii="宋体" w:hAnsi="宋体" w:eastAsia="宋体" w:cs="宋体"/>
                <w:kern w:val="0"/>
                <w:sz w:val="20"/>
                <w:szCs w:val="20"/>
              </w:rPr>
            </w:pPr>
            <w:r>
              <w:rPr>
                <w:rFonts w:hint="eastAsia" w:ascii="宋体" w:hAnsi="宋体" w:eastAsia="宋体" w:cs="宋体"/>
                <w:i w:val="0"/>
                <w:iCs w:val="0"/>
                <w:color w:val="000000"/>
                <w:kern w:val="0"/>
                <w:sz w:val="24"/>
                <w:szCs w:val="24"/>
                <w:u w:val="none"/>
                <w:lang w:val="en-US" w:eastAsia="zh-CN" w:bidi="ar"/>
              </w:rPr>
              <w:t>按照各考试承担机构承担考试人员的实际数量测算后，进行支付。</w:t>
            </w:r>
          </w:p>
        </w:tc>
        <w:tc>
          <w:tcPr>
            <w:tcW w:w="2330" w:type="dxa"/>
            <w:shd w:val="clear" w:color="auto" w:fill="auto"/>
            <w:noWrap/>
            <w:vAlign w:val="center"/>
          </w:tcPr>
          <w:p>
            <w:pPr>
              <w:keepNext w:val="0"/>
              <w:keepLines w:val="0"/>
              <w:widowControl/>
              <w:suppressLineNumbers w:val="0"/>
              <w:jc w:val="center"/>
              <w:textAlignment w:val="center"/>
              <w:rPr>
                <w:rFonts w:ascii="宋体" w:hAnsi="宋体" w:eastAsia="宋体"/>
                <w:kern w:val="0"/>
                <w:sz w:val="20"/>
                <w:szCs w:val="20"/>
              </w:rPr>
            </w:pPr>
            <w:r>
              <w:rPr>
                <w:rFonts w:hint="eastAsia" w:ascii="宋体" w:hAnsi="宋体" w:eastAsia="宋体" w:cs="宋体"/>
                <w:i w:val="0"/>
                <w:iCs w:val="0"/>
                <w:color w:val="000000"/>
                <w:kern w:val="0"/>
                <w:sz w:val="24"/>
                <w:szCs w:val="24"/>
                <w:u w:val="none"/>
                <w:lang w:val="en-US" w:eastAsia="zh-CN" w:bidi="ar"/>
              </w:rPr>
              <w:t>≥2次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395" w:type="pct"/>
            <w:vMerge w:val="continue"/>
            <w:shd w:val="clear" w:color="auto" w:fill="auto"/>
            <w:vAlign w:val="center"/>
          </w:tcPr>
          <w:p>
            <w:pPr>
              <w:widowControl/>
              <w:wordWrap/>
              <w:adjustRightInd w:val="0"/>
              <w:snapToGrid w:val="0"/>
              <w:jc w:val="left"/>
              <w:rPr>
                <w:rFonts w:ascii="宋体" w:hAnsi="宋体" w:eastAsia="宋体" w:cs="Courier New"/>
                <w:kern w:val="0"/>
                <w:sz w:val="20"/>
                <w:szCs w:val="20"/>
              </w:rPr>
            </w:pPr>
          </w:p>
        </w:tc>
        <w:tc>
          <w:tcPr>
            <w:tcW w:w="664" w:type="pct"/>
            <w:shd w:val="clear" w:color="auto" w:fill="auto"/>
            <w:vAlign w:val="center"/>
          </w:tcPr>
          <w:p>
            <w:pPr>
              <w:widowControl/>
              <w:wordWrap/>
              <w:adjustRightInd w:val="0"/>
              <w:snapToGrid w:val="0"/>
              <w:jc w:val="center"/>
              <w:rPr>
                <w:rFonts w:ascii="宋体" w:hAnsi="宋体" w:eastAsia="宋体" w:cs="Courier New"/>
                <w:kern w:val="0"/>
                <w:sz w:val="20"/>
                <w:szCs w:val="20"/>
              </w:rPr>
            </w:pPr>
            <w:r>
              <w:rPr>
                <w:rFonts w:ascii="宋体" w:hAnsi="宋体" w:eastAsia="宋体" w:cs="Courier New"/>
                <w:kern w:val="0"/>
                <w:sz w:val="20"/>
                <w:szCs w:val="20"/>
              </w:rPr>
              <w:t>成本指标</w:t>
            </w:r>
          </w:p>
        </w:tc>
        <w:tc>
          <w:tcPr>
            <w:tcW w:w="4389" w:type="dxa"/>
            <w:shd w:val="clear" w:color="auto" w:fill="auto"/>
            <w:vAlign w:val="center"/>
          </w:tcPr>
          <w:p>
            <w:pPr>
              <w:keepNext w:val="0"/>
              <w:keepLines w:val="0"/>
              <w:widowControl/>
              <w:suppressLineNumbers w:val="0"/>
              <w:jc w:val="center"/>
              <w:textAlignment w:val="center"/>
              <w:rPr>
                <w:rFonts w:ascii="宋体" w:hAnsi="宋体" w:eastAsia="宋体" w:cs="宋体"/>
                <w:kern w:val="0"/>
                <w:sz w:val="20"/>
                <w:szCs w:val="20"/>
              </w:rPr>
            </w:pPr>
            <w:r>
              <w:rPr>
                <w:rFonts w:hint="eastAsia" w:ascii="宋体" w:hAnsi="宋体" w:eastAsia="宋体" w:cs="宋体"/>
                <w:i w:val="0"/>
                <w:iCs w:val="0"/>
                <w:color w:val="000000"/>
                <w:kern w:val="0"/>
                <w:sz w:val="24"/>
                <w:szCs w:val="24"/>
                <w:u w:val="none"/>
                <w:lang w:val="en-US" w:eastAsia="zh-CN" w:bidi="ar"/>
              </w:rPr>
              <w:t>实操考试费</w:t>
            </w:r>
          </w:p>
        </w:tc>
        <w:tc>
          <w:tcPr>
            <w:tcW w:w="2330" w:type="dxa"/>
            <w:shd w:val="clear" w:color="auto" w:fill="auto"/>
            <w:vAlign w:val="center"/>
          </w:tcPr>
          <w:p>
            <w:pPr>
              <w:keepNext w:val="0"/>
              <w:keepLines w:val="0"/>
              <w:widowControl/>
              <w:suppressLineNumbers w:val="0"/>
              <w:jc w:val="center"/>
              <w:textAlignment w:val="center"/>
              <w:rPr>
                <w:rFonts w:ascii="宋体" w:hAnsi="宋体" w:eastAsia="宋体" w:cs="宋体"/>
                <w:kern w:val="0"/>
                <w:sz w:val="20"/>
                <w:szCs w:val="20"/>
              </w:rPr>
            </w:pPr>
            <w:r>
              <w:rPr>
                <w:rFonts w:hint="eastAsia" w:ascii="宋体" w:hAnsi="宋体" w:eastAsia="宋体" w:cs="宋体"/>
                <w:i w:val="0"/>
                <w:iCs w:val="0"/>
                <w:color w:val="000000"/>
                <w:kern w:val="0"/>
                <w:sz w:val="24"/>
                <w:szCs w:val="24"/>
                <w:u w:val="none"/>
                <w:lang w:val="en-US" w:eastAsia="zh-CN" w:bidi="ar"/>
              </w:rPr>
              <w:t>=50元/人·次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395" w:type="pct"/>
            <w:vMerge w:val="continue"/>
            <w:shd w:val="clear" w:color="auto" w:fill="auto"/>
            <w:vAlign w:val="center"/>
          </w:tcPr>
          <w:p>
            <w:pPr>
              <w:widowControl/>
              <w:wordWrap/>
              <w:adjustRightInd w:val="0"/>
              <w:snapToGrid w:val="0"/>
              <w:jc w:val="left"/>
              <w:rPr>
                <w:rFonts w:ascii="宋体" w:hAnsi="宋体" w:eastAsia="宋体" w:cs="Courier New"/>
                <w:kern w:val="0"/>
                <w:sz w:val="20"/>
                <w:szCs w:val="20"/>
              </w:rPr>
            </w:pPr>
          </w:p>
        </w:tc>
        <w:tc>
          <w:tcPr>
            <w:tcW w:w="664" w:type="pct"/>
            <w:shd w:val="clear" w:color="auto" w:fill="auto"/>
            <w:vAlign w:val="center"/>
          </w:tcPr>
          <w:p>
            <w:pPr>
              <w:widowControl/>
              <w:wordWrap/>
              <w:adjustRightInd w:val="0"/>
              <w:snapToGrid w:val="0"/>
              <w:jc w:val="center"/>
              <w:rPr>
                <w:rFonts w:ascii="宋体" w:hAnsi="宋体" w:eastAsia="宋体" w:cs="Courier New"/>
                <w:kern w:val="0"/>
                <w:sz w:val="20"/>
                <w:szCs w:val="20"/>
              </w:rPr>
            </w:pPr>
            <w:r>
              <w:rPr>
                <w:rFonts w:ascii="宋体" w:hAnsi="宋体" w:eastAsia="宋体" w:cs="Courier New"/>
                <w:kern w:val="0"/>
                <w:sz w:val="20"/>
                <w:szCs w:val="20"/>
              </w:rPr>
              <w:t>成本指标</w:t>
            </w:r>
          </w:p>
        </w:tc>
        <w:tc>
          <w:tcPr>
            <w:tcW w:w="4389" w:type="dxa"/>
            <w:shd w:val="clear" w:color="auto" w:fill="auto"/>
            <w:vAlign w:val="center"/>
          </w:tcPr>
          <w:p>
            <w:pPr>
              <w:keepNext w:val="0"/>
              <w:keepLines w:val="0"/>
              <w:widowControl/>
              <w:suppressLineNumbers w:val="0"/>
              <w:jc w:val="center"/>
              <w:textAlignment w:val="center"/>
              <w:rPr>
                <w:rFonts w:ascii="宋体" w:hAnsi="宋体" w:eastAsia="宋体" w:cs="宋体"/>
                <w:kern w:val="0"/>
                <w:sz w:val="20"/>
                <w:szCs w:val="20"/>
              </w:rPr>
            </w:pPr>
            <w:r>
              <w:rPr>
                <w:rFonts w:hint="eastAsia" w:ascii="宋体" w:hAnsi="宋体" w:eastAsia="宋体" w:cs="宋体"/>
                <w:i w:val="0"/>
                <w:iCs w:val="0"/>
                <w:color w:val="000000"/>
                <w:kern w:val="0"/>
                <w:sz w:val="24"/>
                <w:szCs w:val="24"/>
                <w:u w:val="none"/>
                <w:lang w:val="en-US" w:eastAsia="zh-CN" w:bidi="ar"/>
              </w:rPr>
              <w:t>报名费</w:t>
            </w:r>
          </w:p>
        </w:tc>
        <w:tc>
          <w:tcPr>
            <w:tcW w:w="2330" w:type="dxa"/>
            <w:shd w:val="clear" w:color="auto" w:fill="auto"/>
            <w:vAlign w:val="center"/>
          </w:tcPr>
          <w:p>
            <w:pPr>
              <w:keepNext w:val="0"/>
              <w:keepLines w:val="0"/>
              <w:widowControl/>
              <w:suppressLineNumbers w:val="0"/>
              <w:jc w:val="center"/>
              <w:textAlignment w:val="center"/>
              <w:rPr>
                <w:rFonts w:hint="eastAsia" w:ascii="宋体" w:hAnsi="宋体" w:eastAsia="宋体" w:cs="宋体"/>
                <w:kern w:val="0"/>
                <w:sz w:val="20"/>
                <w:szCs w:val="20"/>
                <w:lang w:val="en-US" w:eastAsia="zh-CN"/>
              </w:rPr>
            </w:pPr>
            <w:r>
              <w:rPr>
                <w:rFonts w:hint="eastAsia" w:ascii="宋体" w:hAnsi="宋体" w:eastAsia="宋体" w:cs="宋体"/>
                <w:i w:val="0"/>
                <w:iCs w:val="0"/>
                <w:color w:val="000000"/>
                <w:kern w:val="0"/>
                <w:sz w:val="24"/>
                <w:szCs w:val="24"/>
                <w:u w:val="none"/>
                <w:lang w:val="en-US" w:eastAsia="zh-CN" w:bidi="ar"/>
              </w:rPr>
              <w:t>=2.5元/人·次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395" w:type="pct"/>
            <w:vMerge w:val="continue"/>
            <w:shd w:val="clear" w:color="auto" w:fill="auto"/>
            <w:vAlign w:val="center"/>
          </w:tcPr>
          <w:p>
            <w:pPr>
              <w:widowControl/>
              <w:wordWrap/>
              <w:adjustRightInd w:val="0"/>
              <w:snapToGrid w:val="0"/>
              <w:jc w:val="left"/>
              <w:rPr>
                <w:rFonts w:ascii="宋体" w:hAnsi="宋体" w:eastAsia="宋体" w:cs="Courier New"/>
                <w:kern w:val="0"/>
                <w:sz w:val="20"/>
                <w:szCs w:val="20"/>
              </w:rPr>
            </w:pPr>
          </w:p>
        </w:tc>
        <w:tc>
          <w:tcPr>
            <w:tcW w:w="664" w:type="pct"/>
            <w:shd w:val="clear" w:color="auto" w:fill="auto"/>
            <w:vAlign w:val="center"/>
          </w:tcPr>
          <w:p>
            <w:pPr>
              <w:widowControl/>
              <w:wordWrap/>
              <w:adjustRightInd w:val="0"/>
              <w:snapToGrid w:val="0"/>
              <w:jc w:val="center"/>
              <w:rPr>
                <w:rFonts w:ascii="宋体" w:hAnsi="宋体" w:eastAsia="宋体" w:cs="Courier New"/>
                <w:kern w:val="0"/>
                <w:sz w:val="20"/>
                <w:szCs w:val="20"/>
              </w:rPr>
            </w:pPr>
            <w:r>
              <w:rPr>
                <w:rFonts w:ascii="宋体" w:hAnsi="宋体" w:eastAsia="宋体" w:cs="Courier New"/>
                <w:kern w:val="0"/>
                <w:sz w:val="20"/>
                <w:szCs w:val="20"/>
              </w:rPr>
              <w:t>成本指标</w:t>
            </w:r>
          </w:p>
        </w:tc>
        <w:tc>
          <w:tcPr>
            <w:tcW w:w="4389" w:type="dxa"/>
            <w:shd w:val="clear" w:color="auto" w:fill="auto"/>
            <w:vAlign w:val="center"/>
          </w:tcPr>
          <w:p>
            <w:pPr>
              <w:keepNext w:val="0"/>
              <w:keepLines w:val="0"/>
              <w:widowControl/>
              <w:suppressLineNumbers w:val="0"/>
              <w:jc w:val="center"/>
              <w:textAlignment w:val="center"/>
              <w:rPr>
                <w:rFonts w:ascii="宋体" w:hAnsi="宋体" w:eastAsia="宋体" w:cs="宋体"/>
                <w:kern w:val="0"/>
                <w:sz w:val="20"/>
                <w:szCs w:val="20"/>
              </w:rPr>
            </w:pPr>
            <w:r>
              <w:rPr>
                <w:rFonts w:hint="eastAsia" w:ascii="宋体" w:hAnsi="宋体" w:eastAsia="宋体" w:cs="宋体"/>
                <w:i w:val="0"/>
                <w:iCs w:val="0"/>
                <w:color w:val="000000"/>
                <w:kern w:val="0"/>
                <w:sz w:val="24"/>
                <w:szCs w:val="24"/>
                <w:u w:val="none"/>
                <w:lang w:val="en-US" w:eastAsia="zh-CN" w:bidi="ar"/>
              </w:rPr>
              <w:t>理论考试费</w:t>
            </w:r>
          </w:p>
        </w:tc>
        <w:tc>
          <w:tcPr>
            <w:tcW w:w="2330" w:type="dxa"/>
            <w:shd w:val="clear" w:color="auto" w:fill="auto"/>
            <w:vAlign w:val="center"/>
          </w:tcPr>
          <w:p>
            <w:pPr>
              <w:keepNext w:val="0"/>
              <w:keepLines w:val="0"/>
              <w:widowControl/>
              <w:suppressLineNumbers w:val="0"/>
              <w:jc w:val="center"/>
              <w:textAlignment w:val="center"/>
              <w:rPr>
                <w:rFonts w:hint="eastAsia" w:ascii="宋体" w:hAnsi="宋体" w:eastAsia="宋体" w:cs="宋体"/>
                <w:kern w:val="0"/>
                <w:sz w:val="20"/>
                <w:szCs w:val="20"/>
                <w:lang w:val="en-US" w:eastAsia="zh-CN"/>
              </w:rPr>
            </w:pPr>
            <w:r>
              <w:rPr>
                <w:rFonts w:hint="eastAsia" w:ascii="宋体" w:hAnsi="宋体" w:eastAsia="宋体" w:cs="宋体"/>
                <w:i w:val="0"/>
                <w:iCs w:val="0"/>
                <w:color w:val="000000"/>
                <w:kern w:val="0"/>
                <w:sz w:val="24"/>
                <w:szCs w:val="24"/>
                <w:u w:val="none"/>
                <w:lang w:val="en-US" w:eastAsia="zh-CN" w:bidi="ar"/>
              </w:rPr>
              <w:t>=30元/人·次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395" w:type="pct"/>
            <w:shd w:val="clear" w:color="auto" w:fill="auto"/>
            <w:vAlign w:val="center"/>
          </w:tcPr>
          <w:p>
            <w:pPr>
              <w:widowControl/>
              <w:wordWrap/>
              <w:adjustRightInd w:val="0"/>
              <w:snapToGrid w:val="0"/>
              <w:jc w:val="left"/>
              <w:rPr>
                <w:rFonts w:ascii="宋体" w:hAnsi="宋体" w:eastAsia="宋体" w:cs="Courier New"/>
                <w:kern w:val="0"/>
                <w:sz w:val="20"/>
                <w:szCs w:val="20"/>
              </w:rPr>
            </w:pPr>
            <w:r>
              <w:rPr>
                <w:rFonts w:hint="eastAsia" w:ascii="宋体" w:hAnsi="宋体" w:eastAsia="宋体" w:cs="Courier New"/>
                <w:kern w:val="0"/>
                <w:sz w:val="20"/>
                <w:szCs w:val="20"/>
              </w:rPr>
              <w:t>效益指标</w:t>
            </w:r>
          </w:p>
        </w:tc>
        <w:tc>
          <w:tcPr>
            <w:tcW w:w="664" w:type="pct"/>
            <w:shd w:val="clear" w:color="auto" w:fill="auto"/>
            <w:vAlign w:val="center"/>
          </w:tcPr>
          <w:p>
            <w:pPr>
              <w:widowControl/>
              <w:wordWrap/>
              <w:adjustRightInd w:val="0"/>
              <w:snapToGrid w:val="0"/>
              <w:jc w:val="center"/>
              <w:rPr>
                <w:rFonts w:ascii="宋体" w:hAnsi="宋体" w:eastAsia="宋体" w:cs="宋体"/>
                <w:kern w:val="0"/>
                <w:sz w:val="20"/>
                <w:szCs w:val="20"/>
              </w:rPr>
            </w:pPr>
            <w:r>
              <w:rPr>
                <w:rFonts w:hint="eastAsia" w:ascii="宋体" w:hAnsi="宋体" w:eastAsia="宋体" w:cs="宋体"/>
                <w:kern w:val="0"/>
                <w:sz w:val="20"/>
                <w:szCs w:val="20"/>
                <w:lang w:val="en-US" w:eastAsia="zh-CN"/>
              </w:rPr>
              <w:t>社会</w:t>
            </w:r>
            <w:r>
              <w:rPr>
                <w:rFonts w:hint="eastAsia" w:ascii="宋体" w:hAnsi="宋体" w:eastAsia="宋体" w:cs="宋体"/>
                <w:kern w:val="0"/>
                <w:sz w:val="20"/>
                <w:szCs w:val="20"/>
              </w:rPr>
              <w:t>效益指标</w:t>
            </w:r>
          </w:p>
        </w:tc>
        <w:tc>
          <w:tcPr>
            <w:tcW w:w="4389" w:type="dxa"/>
            <w:shd w:val="clear" w:color="auto" w:fill="auto"/>
            <w:noWrap/>
            <w:vAlign w:val="center"/>
          </w:tcPr>
          <w:p>
            <w:pPr>
              <w:keepNext w:val="0"/>
              <w:keepLines w:val="0"/>
              <w:widowControl/>
              <w:suppressLineNumbers w:val="0"/>
              <w:jc w:val="center"/>
              <w:textAlignment w:val="center"/>
              <w:rPr>
                <w:rFonts w:ascii="宋体" w:hAnsi="宋体" w:eastAsia="宋体" w:cs="宋体"/>
                <w:kern w:val="0"/>
                <w:sz w:val="20"/>
                <w:szCs w:val="20"/>
              </w:rPr>
            </w:pPr>
            <w:r>
              <w:rPr>
                <w:rFonts w:hint="eastAsia" w:ascii="宋体" w:hAnsi="宋体" w:eastAsia="宋体" w:cs="宋体"/>
                <w:i w:val="0"/>
                <w:iCs w:val="0"/>
                <w:color w:val="000000"/>
                <w:kern w:val="0"/>
                <w:sz w:val="24"/>
                <w:szCs w:val="24"/>
                <w:u w:val="none"/>
                <w:lang w:val="en-US" w:eastAsia="zh-CN" w:bidi="ar"/>
              </w:rPr>
              <w:t>通过严格考务组织，严肃考试纪律，强化特种作业人员安全意识和安全技术，预防和减少生产安全事故。</w:t>
            </w:r>
          </w:p>
        </w:tc>
        <w:tc>
          <w:tcPr>
            <w:tcW w:w="2330" w:type="dxa"/>
            <w:shd w:val="clear" w:color="auto" w:fill="auto"/>
            <w:vAlign w:val="center"/>
          </w:tcPr>
          <w:p>
            <w:pPr>
              <w:keepNext w:val="0"/>
              <w:keepLines w:val="0"/>
              <w:widowControl/>
              <w:suppressLineNumbers w:val="0"/>
              <w:jc w:val="center"/>
              <w:textAlignment w:val="center"/>
              <w:rPr>
                <w:rFonts w:ascii="宋体" w:hAnsi="宋体" w:eastAsia="宋体" w:cs="宋体"/>
                <w:kern w:val="0"/>
                <w:sz w:val="20"/>
                <w:szCs w:val="20"/>
              </w:rPr>
            </w:pPr>
            <w:r>
              <w:rPr>
                <w:rFonts w:hint="eastAsia" w:ascii="宋体" w:hAnsi="宋体" w:eastAsia="宋体" w:cs="宋体"/>
                <w:i w:val="0"/>
                <w:iCs w:val="0"/>
                <w:color w:val="000000"/>
                <w:kern w:val="0"/>
                <w:sz w:val="24"/>
                <w:szCs w:val="24"/>
                <w:u w:val="none"/>
                <w:lang w:val="en-US" w:eastAsia="zh-CN" w:bidi="ar"/>
              </w:rPr>
              <w:t>定性 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8" w:hRule="atLeast"/>
          <w:jc w:val="center"/>
        </w:trPr>
        <w:tc>
          <w:tcPr>
            <w:tcW w:w="395" w:type="pct"/>
            <w:shd w:val="clear" w:color="auto" w:fill="auto"/>
            <w:vAlign w:val="center"/>
          </w:tcPr>
          <w:p>
            <w:pPr>
              <w:widowControl/>
              <w:wordWrap/>
              <w:adjustRightInd w:val="0"/>
              <w:snapToGrid w:val="0"/>
              <w:jc w:val="center"/>
              <w:rPr>
                <w:rFonts w:ascii="宋体" w:hAnsi="宋体" w:eastAsia="宋体" w:cs="Courier New"/>
                <w:kern w:val="0"/>
                <w:sz w:val="20"/>
                <w:szCs w:val="20"/>
              </w:rPr>
            </w:pPr>
            <w:r>
              <w:rPr>
                <w:rFonts w:hint="eastAsia" w:ascii="宋体" w:hAnsi="宋体" w:eastAsia="宋体" w:cs="Courier New"/>
                <w:kern w:val="0"/>
                <w:sz w:val="20"/>
                <w:szCs w:val="20"/>
              </w:rPr>
              <w:t>满意度指标</w:t>
            </w:r>
          </w:p>
        </w:tc>
        <w:tc>
          <w:tcPr>
            <w:tcW w:w="664" w:type="pct"/>
            <w:shd w:val="clear" w:color="auto" w:fill="auto"/>
            <w:vAlign w:val="center"/>
          </w:tcPr>
          <w:p>
            <w:pPr>
              <w:widowControl/>
              <w:wordWrap/>
              <w:adjustRightInd w:val="0"/>
              <w:snapToGrid w:val="0"/>
              <w:jc w:val="center"/>
              <w:rPr>
                <w:rFonts w:ascii="宋体" w:hAnsi="宋体" w:eastAsia="宋体" w:cs="Courier New"/>
                <w:kern w:val="0"/>
                <w:sz w:val="20"/>
                <w:szCs w:val="20"/>
              </w:rPr>
            </w:pPr>
            <w:r>
              <w:rPr>
                <w:rFonts w:ascii="宋体" w:hAnsi="宋体" w:eastAsia="宋体" w:cs="Courier New"/>
                <w:kern w:val="0"/>
                <w:sz w:val="20"/>
                <w:szCs w:val="20"/>
              </w:rPr>
              <w:t>服务对象满意度指标</w:t>
            </w:r>
          </w:p>
        </w:tc>
        <w:tc>
          <w:tcPr>
            <w:tcW w:w="4389" w:type="dxa"/>
            <w:shd w:val="clear" w:color="auto" w:fill="auto"/>
            <w:noWrap/>
            <w:vAlign w:val="center"/>
          </w:tcPr>
          <w:p>
            <w:pPr>
              <w:keepNext w:val="0"/>
              <w:keepLines w:val="0"/>
              <w:widowControl/>
              <w:suppressLineNumbers w:val="0"/>
              <w:jc w:val="center"/>
              <w:textAlignment w:val="center"/>
              <w:rPr>
                <w:rFonts w:hint="eastAsia" w:ascii="宋体" w:hAnsi="宋体" w:eastAsia="宋体" w:cs="宋体"/>
                <w:kern w:val="0"/>
                <w:sz w:val="20"/>
                <w:szCs w:val="20"/>
                <w:lang w:eastAsia="zh-CN"/>
              </w:rPr>
            </w:pPr>
            <w:r>
              <w:rPr>
                <w:rFonts w:hint="eastAsia" w:ascii="宋体" w:hAnsi="宋体" w:eastAsia="宋体" w:cs="宋体"/>
                <w:i w:val="0"/>
                <w:iCs w:val="0"/>
                <w:color w:val="000000"/>
                <w:kern w:val="0"/>
                <w:sz w:val="24"/>
                <w:szCs w:val="24"/>
                <w:u w:val="none"/>
                <w:lang w:val="en-US" w:eastAsia="zh-CN" w:bidi="ar"/>
              </w:rPr>
              <w:t>考务组织、考试服务满意度</w:t>
            </w:r>
          </w:p>
        </w:tc>
        <w:tc>
          <w:tcPr>
            <w:tcW w:w="2330" w:type="dxa"/>
            <w:shd w:val="clear" w:color="auto" w:fill="auto"/>
            <w:noWrap/>
            <w:vAlign w:val="center"/>
          </w:tcPr>
          <w:p>
            <w:pPr>
              <w:keepNext w:val="0"/>
              <w:keepLines w:val="0"/>
              <w:widowControl/>
              <w:suppressLineNumbers w:val="0"/>
              <w:jc w:val="center"/>
              <w:textAlignment w:val="center"/>
              <w:rPr>
                <w:rFonts w:hint="default" w:ascii="宋体" w:hAnsi="宋体" w:eastAsia="宋体" w:cs="宋体"/>
                <w:kern w:val="0"/>
                <w:sz w:val="20"/>
                <w:szCs w:val="20"/>
                <w:lang w:val="en-US" w:eastAsia="zh-CN"/>
              </w:rPr>
            </w:pPr>
            <w:r>
              <w:rPr>
                <w:rFonts w:hint="eastAsia" w:ascii="宋体" w:hAnsi="宋体" w:eastAsia="宋体" w:cs="宋体"/>
                <w:i w:val="0"/>
                <w:iCs w:val="0"/>
                <w:color w:val="000000"/>
                <w:kern w:val="0"/>
                <w:sz w:val="24"/>
                <w:szCs w:val="24"/>
                <w:u w:val="none"/>
                <w:lang w:val="en-US" w:eastAsia="zh-CN" w:bidi="ar"/>
              </w:rPr>
              <w:t>≥98%</w:t>
            </w:r>
          </w:p>
        </w:tc>
      </w:tr>
    </w:tbl>
    <w:p>
      <w:pPr>
        <w:wordWrap/>
        <w:adjustRightInd w:val="0"/>
        <w:snapToGrid w:val="0"/>
        <w:spacing w:line="360" w:lineRule="auto"/>
        <w:rPr>
          <w:rFonts w:ascii="Times New Roman" w:eastAsia="黑体"/>
          <w:sz w:val="32"/>
        </w:rPr>
      </w:pPr>
    </w:p>
    <w:p>
      <w:pPr>
        <w:wordWrap/>
        <w:adjustRightInd w:val="0"/>
        <w:snapToGrid w:val="0"/>
        <w:spacing w:line="360" w:lineRule="auto"/>
        <w:ind w:firstLine="640" w:firstLineChars="200"/>
        <w:outlineLvl w:val="0"/>
        <w:rPr>
          <w:rFonts w:ascii="Times New Roman" w:eastAsia="黑体"/>
          <w:sz w:val="32"/>
        </w:rPr>
      </w:pPr>
      <w:bookmarkStart w:id="25" w:name="_Toc3003"/>
      <w:bookmarkStart w:id="26" w:name="_Toc27721"/>
      <w:r>
        <w:rPr>
          <w:rFonts w:hint="eastAsia" w:ascii="Times New Roman" w:eastAsia="黑体"/>
          <w:sz w:val="32"/>
        </w:rPr>
        <w:t>二、绩效评价工作</w:t>
      </w:r>
      <w:bookmarkEnd w:id="21"/>
      <w:bookmarkEnd w:id="22"/>
      <w:bookmarkEnd w:id="23"/>
      <w:bookmarkEnd w:id="24"/>
      <w:r>
        <w:rPr>
          <w:rFonts w:hint="eastAsia" w:ascii="Times New Roman" w:eastAsia="黑体"/>
          <w:sz w:val="32"/>
        </w:rPr>
        <w:t>开展情况</w:t>
      </w:r>
      <w:bookmarkEnd w:id="25"/>
      <w:bookmarkEnd w:id="26"/>
    </w:p>
    <w:p>
      <w:pPr>
        <w:wordWrap/>
        <w:adjustRightInd w:val="0"/>
        <w:snapToGrid w:val="0"/>
        <w:spacing w:line="360" w:lineRule="auto"/>
        <w:ind w:firstLine="640" w:firstLineChars="200"/>
        <w:outlineLvl w:val="1"/>
        <w:rPr>
          <w:rFonts w:ascii="楷体_GB2312" w:eastAsia="楷体_GB2312"/>
          <w:sz w:val="32"/>
          <w:szCs w:val="32"/>
        </w:rPr>
      </w:pPr>
      <w:bookmarkStart w:id="27" w:name="_Toc313007027"/>
      <w:bookmarkStart w:id="28" w:name="_Toc16943"/>
      <w:bookmarkStart w:id="29" w:name="_Toc19142"/>
      <w:bookmarkStart w:id="30" w:name="_Toc35588773"/>
      <w:bookmarkStart w:id="31" w:name="_Toc35588402"/>
      <w:bookmarkStart w:id="32" w:name="_Toc4409"/>
      <w:bookmarkStart w:id="33" w:name="_Toc9542"/>
      <w:bookmarkStart w:id="34" w:name="_Toc336506894"/>
      <w:bookmarkStart w:id="35" w:name="_Toc336506959"/>
      <w:r>
        <w:rPr>
          <w:rFonts w:hint="eastAsia" w:ascii="楷体_GB2312" w:eastAsia="楷体_GB2312"/>
          <w:sz w:val="32"/>
          <w:szCs w:val="32"/>
        </w:rPr>
        <w:t>（一）</w:t>
      </w:r>
      <w:bookmarkEnd w:id="27"/>
      <w:r>
        <w:rPr>
          <w:rFonts w:hint="eastAsia" w:ascii="楷体_GB2312" w:eastAsia="楷体_GB2312"/>
          <w:sz w:val="32"/>
          <w:szCs w:val="32"/>
        </w:rPr>
        <w:t>绩效评价目的、对象及范围</w:t>
      </w:r>
      <w:bookmarkEnd w:id="28"/>
      <w:bookmarkEnd w:id="29"/>
      <w:bookmarkEnd w:id="30"/>
      <w:bookmarkEnd w:id="31"/>
    </w:p>
    <w:p>
      <w:pPr>
        <w:wordWrap/>
        <w:adjustRightInd w:val="0"/>
        <w:snapToGrid w:val="0"/>
        <w:spacing w:line="360" w:lineRule="auto"/>
        <w:ind w:firstLine="640" w:firstLineChars="200"/>
        <w:rPr>
          <w:rFonts w:hAnsi="仿宋"/>
          <w:sz w:val="32"/>
          <w:szCs w:val="32"/>
        </w:rPr>
      </w:pPr>
      <w:bookmarkStart w:id="36" w:name="_Toc313007028"/>
      <w:bookmarkStart w:id="37" w:name="_Toc35588403"/>
      <w:bookmarkStart w:id="38" w:name="_Toc35588774"/>
      <w:r>
        <w:rPr>
          <w:rFonts w:hAnsi="仿宋"/>
          <w:sz w:val="32"/>
          <w:szCs w:val="32"/>
        </w:rPr>
        <w:t>为深入贯彻落实</w:t>
      </w:r>
      <w:r>
        <w:rPr>
          <w:rFonts w:hint="eastAsia" w:hAnsi="仿宋"/>
          <w:sz w:val="32"/>
          <w:szCs w:val="32"/>
        </w:rPr>
        <w:t>北京市财政局《关于印发进一步深化项目支出绩效预算管理改革的意见的通知》</w:t>
      </w:r>
      <w:r>
        <w:rPr>
          <w:rFonts w:hint="eastAsia" w:hAnsi="宋体" w:cs="宋体"/>
          <w:kern w:val="0"/>
          <w:sz w:val="32"/>
          <w:szCs w:val="32"/>
        </w:rPr>
        <w:t>（京财预〔2017〕2944号）</w:t>
      </w:r>
      <w:r>
        <w:rPr>
          <w:rFonts w:hAnsi="仿宋"/>
          <w:sz w:val="32"/>
          <w:szCs w:val="32"/>
        </w:rPr>
        <w:t>等文件要求，根据</w:t>
      </w:r>
      <w:r>
        <w:rPr>
          <w:rFonts w:hint="eastAsia" w:hAnsi="仿宋"/>
          <w:sz w:val="32"/>
          <w:szCs w:val="32"/>
        </w:rPr>
        <w:t>《北京市项目支出绩效评价管理办法》（京财绩效〔2020〕2146号）（以下简称“京财绩效2146号文”）</w:t>
      </w:r>
      <w:r>
        <w:rPr>
          <w:rFonts w:hAnsi="仿宋"/>
          <w:sz w:val="32"/>
          <w:szCs w:val="32"/>
        </w:rPr>
        <w:t>文件精神，聚焦</w:t>
      </w:r>
      <w:r>
        <w:rPr>
          <w:rFonts w:hint="eastAsia" w:hAnsi="仿宋"/>
          <w:sz w:val="32"/>
          <w:szCs w:val="32"/>
        </w:rPr>
        <w:t>北京市应急管理局202</w:t>
      </w:r>
      <w:r>
        <w:rPr>
          <w:rFonts w:hint="eastAsia" w:hAnsi="仿宋"/>
          <w:sz w:val="32"/>
          <w:szCs w:val="32"/>
          <w:lang w:val="en-US" w:eastAsia="zh-CN"/>
        </w:rPr>
        <w:t>3</w:t>
      </w:r>
      <w:r>
        <w:rPr>
          <w:rFonts w:hint="eastAsia" w:hAnsi="仿宋"/>
          <w:sz w:val="32"/>
          <w:szCs w:val="32"/>
        </w:rPr>
        <w:t>年度</w:t>
      </w:r>
      <w:r>
        <w:rPr>
          <w:rFonts w:hint="eastAsia" w:hAnsi="仿宋"/>
          <w:sz w:val="32"/>
          <w:szCs w:val="32"/>
          <w:lang w:eastAsia="zh-CN"/>
        </w:rPr>
        <w:t>特种作业人员安全技术考试费项目</w:t>
      </w:r>
      <w:r>
        <w:rPr>
          <w:rFonts w:hAnsi="仿宋"/>
          <w:sz w:val="32"/>
          <w:szCs w:val="32"/>
        </w:rPr>
        <w:t>资金，围绕决策、过程、产出及效益情况开展评价</w:t>
      </w:r>
      <w:r>
        <w:rPr>
          <w:rFonts w:hint="eastAsia" w:hAnsi="仿宋"/>
          <w:sz w:val="32"/>
          <w:szCs w:val="32"/>
        </w:rPr>
        <w:t>。</w:t>
      </w:r>
    </w:p>
    <w:p>
      <w:pPr>
        <w:wordWrap/>
        <w:adjustRightInd w:val="0"/>
        <w:snapToGrid w:val="0"/>
        <w:spacing w:line="360" w:lineRule="auto"/>
        <w:ind w:firstLine="640" w:firstLineChars="200"/>
        <w:rPr>
          <w:rFonts w:hAnsi="宋体"/>
          <w:bCs/>
          <w:sz w:val="32"/>
          <w:szCs w:val="32"/>
        </w:rPr>
      </w:pPr>
      <w:r>
        <w:rPr>
          <w:rFonts w:hint="eastAsia" w:hAnsi="仿宋"/>
          <w:sz w:val="32"/>
          <w:szCs w:val="32"/>
        </w:rPr>
        <w:t>本次评价工作</w:t>
      </w:r>
      <w:r>
        <w:rPr>
          <w:rFonts w:hint="eastAsia" w:hAnsi="宋体"/>
          <w:bCs/>
          <w:sz w:val="32"/>
          <w:szCs w:val="32"/>
        </w:rPr>
        <w:t>按照市财政局“加强财政支出管理，强化支出责任，建立科学、合理的财政支出绩效评价管理体系，提高财政资金使用效益”的要求，通过绩效评价，</w:t>
      </w:r>
      <w:r>
        <w:rPr>
          <w:rFonts w:hint="eastAsia" w:hAnsi="Calibri" w:cs="仿宋_GB2312"/>
          <w:sz w:val="32"/>
          <w:szCs w:val="32"/>
        </w:rPr>
        <w:t>发现项目决策、管理和绩效中存在的问题，反映项目绩效实现情况，提出改进意见和建议，</w:t>
      </w:r>
      <w:r>
        <w:rPr>
          <w:rFonts w:hint="eastAsia" w:hAnsi="宋体"/>
          <w:bCs/>
          <w:sz w:val="32"/>
          <w:szCs w:val="32"/>
        </w:rPr>
        <w:t>促进项目单位总结经验、发现问题、改进工作，</w:t>
      </w:r>
      <w:r>
        <w:rPr>
          <w:rFonts w:hint="eastAsia" w:hAnsi="Calibri" w:cs="仿宋_GB2312"/>
          <w:sz w:val="32"/>
          <w:szCs w:val="32"/>
        </w:rPr>
        <w:t>促进项目资金使用的规范化、资源配置的合理化，从而有效提高财政资金的使用效益</w:t>
      </w:r>
      <w:r>
        <w:rPr>
          <w:rFonts w:hint="eastAsia" w:hAnsi="宋体"/>
          <w:bCs/>
          <w:sz w:val="32"/>
          <w:szCs w:val="32"/>
        </w:rPr>
        <w:t>。</w:t>
      </w:r>
    </w:p>
    <w:p>
      <w:pPr>
        <w:wordWrap/>
        <w:adjustRightInd w:val="0"/>
        <w:snapToGrid w:val="0"/>
        <w:spacing w:line="360" w:lineRule="auto"/>
        <w:ind w:firstLine="640" w:firstLineChars="200"/>
        <w:outlineLvl w:val="1"/>
        <w:rPr>
          <w:rFonts w:ascii="楷体_GB2312" w:eastAsia="楷体_GB2312"/>
          <w:sz w:val="32"/>
          <w:szCs w:val="32"/>
        </w:rPr>
      </w:pPr>
      <w:bookmarkStart w:id="39" w:name="_Toc22019"/>
      <w:bookmarkStart w:id="40" w:name="_Toc21622"/>
      <w:r>
        <w:rPr>
          <w:rFonts w:hint="eastAsia" w:ascii="楷体_GB2312" w:eastAsia="楷体_GB2312"/>
          <w:sz w:val="32"/>
          <w:szCs w:val="32"/>
        </w:rPr>
        <w:t>（二）绩效评价原则、</w:t>
      </w:r>
      <w:bookmarkEnd w:id="36"/>
      <w:r>
        <w:rPr>
          <w:rFonts w:hint="eastAsia" w:ascii="楷体_GB2312" w:eastAsia="楷体_GB2312"/>
          <w:sz w:val="32"/>
          <w:szCs w:val="32"/>
        </w:rPr>
        <w:t>方法及指标体系</w:t>
      </w:r>
      <w:bookmarkEnd w:id="37"/>
      <w:bookmarkEnd w:id="38"/>
      <w:bookmarkEnd w:id="39"/>
      <w:bookmarkEnd w:id="40"/>
    </w:p>
    <w:p>
      <w:pPr>
        <w:wordWrap/>
        <w:adjustRightInd w:val="0"/>
        <w:snapToGrid w:val="0"/>
        <w:spacing w:line="360" w:lineRule="auto"/>
        <w:ind w:firstLine="640" w:firstLineChars="200"/>
        <w:rPr>
          <w:rFonts w:hAnsi="宋体"/>
          <w:bCs/>
          <w:sz w:val="32"/>
          <w:szCs w:val="32"/>
        </w:rPr>
      </w:pPr>
      <w:bookmarkStart w:id="41" w:name="_Toc313007030"/>
      <w:r>
        <w:rPr>
          <w:rFonts w:hint="eastAsia" w:hAnsi="宋体"/>
          <w:bCs/>
          <w:sz w:val="32"/>
          <w:szCs w:val="32"/>
        </w:rPr>
        <w:t>1.评价原则和方法</w:t>
      </w:r>
    </w:p>
    <w:p>
      <w:pPr>
        <w:wordWrap/>
        <w:adjustRightInd w:val="0"/>
        <w:snapToGrid w:val="0"/>
        <w:spacing w:line="360" w:lineRule="auto"/>
        <w:ind w:firstLine="640" w:firstLineChars="200"/>
        <w:rPr>
          <w:sz w:val="32"/>
          <w:szCs w:val="32"/>
        </w:rPr>
      </w:pPr>
      <w:r>
        <w:rPr>
          <w:rFonts w:hint="eastAsia" w:hAnsi="宋体"/>
          <w:bCs/>
          <w:sz w:val="32"/>
          <w:szCs w:val="32"/>
        </w:rPr>
        <w:t>本次评价本着问题导向、系统评价、科学客观、讲求绩效</w:t>
      </w:r>
      <w:r>
        <w:rPr>
          <w:rFonts w:hint="eastAsia"/>
          <w:sz w:val="32"/>
          <w:szCs w:val="32"/>
        </w:rPr>
        <w:t>的</w:t>
      </w:r>
      <w:r>
        <w:rPr>
          <w:rFonts w:hint="eastAsia" w:hAnsi="宋体"/>
          <w:bCs/>
          <w:sz w:val="32"/>
          <w:szCs w:val="32"/>
        </w:rPr>
        <w:t>原则，</w:t>
      </w:r>
      <w:r>
        <w:rPr>
          <w:rFonts w:hint="eastAsia"/>
          <w:sz w:val="32"/>
          <w:szCs w:val="32"/>
        </w:rPr>
        <w:t>采用全面评价和重点评价相结合、现场评价和非现场评价相结合、定性分析与定量分析相结合的方式，运用案卷研究、比较分析、专家咨询等方法，对项目决策、过程、产出、效益四方面进行综合评价。</w:t>
      </w:r>
    </w:p>
    <w:p>
      <w:pPr>
        <w:wordWrap/>
        <w:adjustRightInd w:val="0"/>
        <w:snapToGrid w:val="0"/>
        <w:spacing w:line="360" w:lineRule="auto"/>
        <w:ind w:firstLine="640" w:firstLineChars="200"/>
        <w:rPr>
          <w:rFonts w:hAnsi="宋体"/>
          <w:bCs/>
          <w:sz w:val="32"/>
          <w:szCs w:val="32"/>
        </w:rPr>
      </w:pPr>
      <w:r>
        <w:rPr>
          <w:rFonts w:hint="eastAsia" w:hAnsi="宋体"/>
          <w:bCs/>
          <w:sz w:val="32"/>
          <w:szCs w:val="32"/>
        </w:rPr>
        <w:t>2.评价指标体系</w:t>
      </w:r>
      <w:bookmarkEnd w:id="41"/>
    </w:p>
    <w:p>
      <w:pPr>
        <w:wordWrap/>
        <w:adjustRightInd w:val="0"/>
        <w:snapToGrid w:val="0"/>
        <w:spacing w:line="360" w:lineRule="auto"/>
        <w:ind w:firstLine="640" w:firstLineChars="200"/>
        <w:rPr>
          <w:rFonts w:hAnsi="宋体"/>
          <w:bCs/>
          <w:sz w:val="32"/>
          <w:szCs w:val="32"/>
        </w:rPr>
      </w:pPr>
      <w:bookmarkStart w:id="42" w:name="_Toc35588775"/>
      <w:bookmarkStart w:id="43" w:name="_Toc313007032"/>
      <w:bookmarkStart w:id="44" w:name="_Toc35588404"/>
      <w:r>
        <w:rPr>
          <w:rFonts w:hint="eastAsia" w:hAnsi="宋体"/>
          <w:bCs/>
          <w:sz w:val="32"/>
          <w:szCs w:val="32"/>
        </w:rPr>
        <w:t>根据京财绩效2146号文相关精神，结合项目特点，在与专家组、项目单位充分协商的基础上，评价工作组细化了项目的绩效评价指标体系，详见附件1。</w:t>
      </w:r>
      <w:r>
        <w:rPr>
          <w:rFonts w:hint="eastAsia"/>
          <w:sz w:val="32"/>
          <w:szCs w:val="32"/>
        </w:rPr>
        <w:t>评价指标体系总分值为100分，其中项目决策</w:t>
      </w:r>
      <w:r>
        <w:rPr>
          <w:sz w:val="32"/>
          <w:szCs w:val="32"/>
        </w:rPr>
        <w:t>10</w:t>
      </w:r>
      <w:r>
        <w:rPr>
          <w:rFonts w:hint="eastAsia"/>
          <w:sz w:val="32"/>
          <w:szCs w:val="32"/>
        </w:rPr>
        <w:t>分，项目过程</w:t>
      </w:r>
      <w:r>
        <w:rPr>
          <w:sz w:val="32"/>
          <w:szCs w:val="32"/>
        </w:rPr>
        <w:t>20</w:t>
      </w:r>
      <w:r>
        <w:rPr>
          <w:rFonts w:hint="eastAsia"/>
          <w:sz w:val="32"/>
          <w:szCs w:val="32"/>
        </w:rPr>
        <w:t>分，项目产出</w:t>
      </w:r>
      <w:r>
        <w:rPr>
          <w:sz w:val="32"/>
          <w:szCs w:val="32"/>
        </w:rPr>
        <w:t>40</w:t>
      </w:r>
      <w:r>
        <w:rPr>
          <w:rFonts w:hint="eastAsia"/>
          <w:sz w:val="32"/>
          <w:szCs w:val="32"/>
        </w:rPr>
        <w:t>分，项目效益3</w:t>
      </w:r>
      <w:r>
        <w:rPr>
          <w:sz w:val="32"/>
          <w:szCs w:val="32"/>
        </w:rPr>
        <w:t>0</w:t>
      </w:r>
      <w:r>
        <w:rPr>
          <w:rFonts w:hint="eastAsia"/>
          <w:sz w:val="32"/>
          <w:szCs w:val="32"/>
        </w:rPr>
        <w:t>分。</w:t>
      </w:r>
      <w:r>
        <w:rPr>
          <w:rFonts w:hint="eastAsia" w:hAnsi="宋体"/>
          <w:bCs/>
          <w:sz w:val="32"/>
          <w:szCs w:val="32"/>
        </w:rPr>
        <w:t>绩效评价综合绩效级别分为4个等级：</w:t>
      </w:r>
    </w:p>
    <w:p>
      <w:pPr>
        <w:wordWrap/>
        <w:adjustRightInd w:val="0"/>
        <w:snapToGrid w:val="0"/>
        <w:spacing w:line="360" w:lineRule="auto"/>
        <w:ind w:firstLine="640" w:firstLineChars="200"/>
        <w:rPr>
          <w:rFonts w:hAnsi="仿宋_GB2312" w:cs="仿宋_GB2312"/>
          <w:sz w:val="32"/>
          <w:szCs w:val="32"/>
        </w:rPr>
      </w:pPr>
      <w:r>
        <w:rPr>
          <w:rFonts w:hint="eastAsia" w:hAnsi="宋体"/>
          <w:bCs/>
          <w:sz w:val="32"/>
          <w:szCs w:val="32"/>
        </w:rPr>
        <w:t>综合得分在90（含）-100分为优；</w:t>
      </w:r>
    </w:p>
    <w:p>
      <w:pPr>
        <w:wordWrap/>
        <w:adjustRightInd w:val="0"/>
        <w:snapToGrid w:val="0"/>
        <w:spacing w:line="360" w:lineRule="auto"/>
        <w:ind w:firstLine="640" w:firstLineChars="200"/>
        <w:rPr>
          <w:rFonts w:hAnsi="宋体"/>
          <w:bCs/>
          <w:sz w:val="32"/>
          <w:szCs w:val="32"/>
        </w:rPr>
      </w:pPr>
      <w:r>
        <w:rPr>
          <w:rFonts w:hint="eastAsia" w:hAnsi="宋体"/>
          <w:bCs/>
          <w:sz w:val="32"/>
          <w:szCs w:val="32"/>
        </w:rPr>
        <w:t>综合得分在</w:t>
      </w:r>
      <w:r>
        <w:rPr>
          <w:rFonts w:hAnsi="宋体"/>
          <w:bCs/>
          <w:sz w:val="32"/>
          <w:szCs w:val="32"/>
        </w:rPr>
        <w:t>80</w:t>
      </w:r>
      <w:r>
        <w:rPr>
          <w:rFonts w:hint="eastAsia" w:hAnsi="宋体"/>
          <w:bCs/>
          <w:sz w:val="32"/>
          <w:szCs w:val="32"/>
        </w:rPr>
        <w:t>（含）-90分为良；</w:t>
      </w:r>
    </w:p>
    <w:p>
      <w:pPr>
        <w:wordWrap/>
        <w:adjustRightInd w:val="0"/>
        <w:snapToGrid w:val="0"/>
        <w:spacing w:line="360" w:lineRule="auto"/>
        <w:ind w:firstLine="640" w:firstLineChars="200"/>
        <w:rPr>
          <w:rFonts w:hAnsi="宋体"/>
          <w:bCs/>
          <w:sz w:val="32"/>
          <w:szCs w:val="32"/>
        </w:rPr>
      </w:pPr>
      <w:r>
        <w:rPr>
          <w:rFonts w:hint="eastAsia" w:hAnsi="宋体"/>
          <w:bCs/>
          <w:sz w:val="32"/>
          <w:szCs w:val="32"/>
        </w:rPr>
        <w:t>综合得分在60（含）-</w:t>
      </w:r>
      <w:r>
        <w:rPr>
          <w:rFonts w:hAnsi="宋体"/>
          <w:bCs/>
          <w:sz w:val="32"/>
          <w:szCs w:val="32"/>
        </w:rPr>
        <w:t>80</w:t>
      </w:r>
      <w:r>
        <w:rPr>
          <w:rFonts w:hint="eastAsia" w:hAnsi="宋体"/>
          <w:bCs/>
          <w:sz w:val="32"/>
          <w:szCs w:val="32"/>
        </w:rPr>
        <w:t>分为中；</w:t>
      </w:r>
    </w:p>
    <w:p>
      <w:pPr>
        <w:wordWrap/>
        <w:adjustRightInd w:val="0"/>
        <w:snapToGrid w:val="0"/>
        <w:spacing w:line="360" w:lineRule="auto"/>
        <w:ind w:firstLine="640" w:firstLineChars="200"/>
        <w:rPr>
          <w:rFonts w:hAnsi="宋体"/>
          <w:bCs/>
          <w:sz w:val="32"/>
          <w:szCs w:val="32"/>
        </w:rPr>
      </w:pPr>
      <w:r>
        <w:rPr>
          <w:rFonts w:hint="eastAsia" w:hAnsi="宋体"/>
          <w:bCs/>
          <w:sz w:val="32"/>
          <w:szCs w:val="32"/>
        </w:rPr>
        <w:t>综合得分在60分以下为较差。</w:t>
      </w:r>
    </w:p>
    <w:p>
      <w:pPr>
        <w:wordWrap/>
        <w:adjustRightInd w:val="0"/>
        <w:snapToGrid w:val="0"/>
        <w:spacing w:line="360" w:lineRule="auto"/>
        <w:ind w:firstLine="640" w:firstLineChars="200"/>
        <w:outlineLvl w:val="1"/>
        <w:rPr>
          <w:rFonts w:ascii="楷体_GB2312" w:eastAsia="楷体_GB2312"/>
          <w:sz w:val="32"/>
          <w:szCs w:val="32"/>
        </w:rPr>
      </w:pPr>
      <w:bookmarkStart w:id="45" w:name="_Toc20892"/>
      <w:bookmarkStart w:id="46" w:name="_Toc13929"/>
      <w:r>
        <w:rPr>
          <w:rFonts w:hint="eastAsia" w:ascii="楷体_GB2312" w:eastAsia="楷体_GB2312"/>
          <w:sz w:val="32"/>
          <w:szCs w:val="32"/>
        </w:rPr>
        <w:t>（三）绩效评价工作过程</w:t>
      </w:r>
      <w:bookmarkEnd w:id="42"/>
      <w:bookmarkEnd w:id="43"/>
      <w:bookmarkEnd w:id="44"/>
      <w:bookmarkEnd w:id="45"/>
      <w:bookmarkEnd w:id="46"/>
    </w:p>
    <w:bookmarkEnd w:id="32"/>
    <w:bookmarkEnd w:id="33"/>
    <w:bookmarkEnd w:id="34"/>
    <w:bookmarkEnd w:id="35"/>
    <w:p>
      <w:pPr>
        <w:suppressAutoHyphens/>
        <w:wordWrap/>
        <w:adjustRightInd w:val="0"/>
        <w:snapToGrid w:val="0"/>
        <w:spacing w:line="360" w:lineRule="auto"/>
        <w:ind w:firstLine="640" w:firstLineChars="200"/>
        <w:outlineLvl w:val="2"/>
        <w:rPr>
          <w:sz w:val="32"/>
        </w:rPr>
      </w:pPr>
      <w:bookmarkStart w:id="47" w:name="_Toc336506960"/>
      <w:bookmarkStart w:id="48" w:name="_Toc336506895"/>
      <w:r>
        <w:rPr>
          <w:rFonts w:hint="eastAsia"/>
          <w:sz w:val="32"/>
        </w:rPr>
        <w:t>1.准备阶段</w:t>
      </w:r>
    </w:p>
    <w:p>
      <w:pPr>
        <w:suppressAutoHyphens/>
        <w:wordWrap/>
        <w:adjustRightInd w:val="0"/>
        <w:snapToGrid w:val="0"/>
        <w:spacing w:line="360" w:lineRule="auto"/>
        <w:ind w:firstLine="640" w:firstLineChars="200"/>
        <w:rPr>
          <w:rFonts w:hAnsi="宋体"/>
          <w:sz w:val="32"/>
          <w:szCs w:val="28"/>
        </w:rPr>
      </w:pPr>
      <w:r>
        <w:rPr>
          <w:rFonts w:hint="eastAsia" w:hAnsi="宋体"/>
          <w:sz w:val="32"/>
          <w:szCs w:val="28"/>
        </w:rPr>
        <w:t>202</w:t>
      </w:r>
      <w:r>
        <w:rPr>
          <w:rFonts w:hint="eastAsia" w:hAnsi="宋体"/>
          <w:sz w:val="32"/>
          <w:szCs w:val="28"/>
          <w:lang w:val="en-US" w:eastAsia="zh-CN"/>
        </w:rPr>
        <w:t>4</w:t>
      </w:r>
      <w:r>
        <w:rPr>
          <w:rFonts w:hint="eastAsia" w:hAnsi="宋体"/>
          <w:sz w:val="32"/>
          <w:szCs w:val="28"/>
        </w:rPr>
        <w:t>年5月，在明确委托方要求的前提下，评价机构组建了评价工作组，与项目单位充分沟通的基础上，进行项目资料收集、整理和分析等工作；完成专家遴选，组建绩效评价专家组，进行了专家培训等相关工作。</w:t>
      </w:r>
    </w:p>
    <w:p>
      <w:pPr>
        <w:suppressAutoHyphens/>
        <w:wordWrap/>
        <w:adjustRightInd w:val="0"/>
        <w:snapToGrid w:val="0"/>
        <w:spacing w:line="360" w:lineRule="auto"/>
        <w:ind w:firstLine="640" w:firstLineChars="200"/>
        <w:outlineLvl w:val="2"/>
        <w:rPr>
          <w:sz w:val="32"/>
        </w:rPr>
      </w:pPr>
      <w:r>
        <w:rPr>
          <w:rFonts w:hint="eastAsia"/>
          <w:sz w:val="32"/>
        </w:rPr>
        <w:t>2.实施阶段</w:t>
      </w:r>
    </w:p>
    <w:p>
      <w:pPr>
        <w:suppressAutoHyphens/>
        <w:wordWrap/>
        <w:adjustRightInd w:val="0"/>
        <w:snapToGrid w:val="0"/>
        <w:spacing w:line="360" w:lineRule="auto"/>
        <w:ind w:firstLine="640" w:firstLineChars="200"/>
        <w:rPr>
          <w:rFonts w:cs="仿宋_GB2312"/>
          <w:sz w:val="32"/>
          <w:szCs w:val="32"/>
        </w:rPr>
      </w:pPr>
      <w:r>
        <w:rPr>
          <w:rFonts w:hint="eastAsia" w:cs="仿宋_GB2312"/>
          <w:sz w:val="32"/>
          <w:szCs w:val="32"/>
        </w:rPr>
        <w:t>在资料收集和整理分析的基础上，评价工作组于</w:t>
      </w:r>
      <w:r>
        <w:rPr>
          <w:rFonts w:cs="仿宋_GB2312"/>
          <w:sz w:val="32"/>
          <w:szCs w:val="32"/>
        </w:rPr>
        <w:t>202</w:t>
      </w:r>
      <w:r>
        <w:rPr>
          <w:rFonts w:hint="eastAsia" w:cs="仿宋_GB2312"/>
          <w:sz w:val="32"/>
          <w:szCs w:val="32"/>
          <w:lang w:val="en-US" w:eastAsia="zh-CN"/>
        </w:rPr>
        <w:t>4</w:t>
      </w:r>
      <w:r>
        <w:rPr>
          <w:rFonts w:hint="eastAsia" w:cs="仿宋_GB2312"/>
          <w:sz w:val="32"/>
          <w:szCs w:val="32"/>
        </w:rPr>
        <w:t>年5月</w:t>
      </w:r>
      <w:r>
        <w:rPr>
          <w:rFonts w:hint="eastAsia" w:cs="仿宋_GB2312"/>
          <w:sz w:val="32"/>
          <w:szCs w:val="32"/>
          <w:lang w:val="en-US" w:eastAsia="zh-CN"/>
        </w:rPr>
        <w:t>17</w:t>
      </w:r>
      <w:r>
        <w:rPr>
          <w:rFonts w:hint="eastAsia" w:cs="仿宋_GB2312"/>
          <w:sz w:val="32"/>
          <w:szCs w:val="32"/>
        </w:rPr>
        <w:t>日组织召开了</w:t>
      </w:r>
      <w:r>
        <w:rPr>
          <w:rFonts w:hint="eastAsia" w:cs="仿宋_GB2312"/>
          <w:sz w:val="32"/>
          <w:szCs w:val="32"/>
          <w:lang w:val="en-US" w:eastAsia="zh-CN"/>
        </w:rPr>
        <w:t>线上</w:t>
      </w:r>
      <w:r>
        <w:rPr>
          <w:rFonts w:hint="eastAsia" w:cs="仿宋_GB2312"/>
          <w:sz w:val="32"/>
          <w:szCs w:val="32"/>
        </w:rPr>
        <w:t>专家评价会，评价专家组通过查阅资料、听取汇报、现场询问等方式，了解项目的执行情况，对项目决策、过程、产出、效益进行了综合评价。</w:t>
      </w:r>
    </w:p>
    <w:p>
      <w:pPr>
        <w:wordWrap/>
        <w:adjustRightInd w:val="0"/>
        <w:snapToGrid w:val="0"/>
        <w:spacing w:line="360" w:lineRule="auto"/>
        <w:jc w:val="center"/>
        <w:rPr>
          <w:rFonts w:ascii="黑体" w:eastAsia="黑体"/>
          <w:iCs/>
          <w:sz w:val="28"/>
          <w:szCs w:val="24"/>
        </w:rPr>
      </w:pPr>
      <w:r>
        <w:rPr>
          <w:rFonts w:hint="eastAsia" w:ascii="黑体" w:eastAsia="黑体"/>
          <w:iCs/>
          <w:sz w:val="28"/>
          <w:szCs w:val="24"/>
        </w:rPr>
        <w:t>表3：评价专家组名单</w:t>
      </w:r>
    </w:p>
    <w:tbl>
      <w:tblPr>
        <w:tblStyle w:val="31"/>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38"/>
        <w:gridCol w:w="3495"/>
        <w:gridCol w:w="1973"/>
        <w:gridCol w:w="16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80" w:hRule="atLeast"/>
          <w:tblHeader/>
          <w:jc w:val="center"/>
        </w:trPr>
        <w:tc>
          <w:tcPr>
            <w:tcW w:w="843" w:type="pct"/>
            <w:vAlign w:val="center"/>
          </w:tcPr>
          <w:p>
            <w:pPr>
              <w:widowControl/>
              <w:jc w:val="center"/>
              <w:rPr>
                <w:rFonts w:ascii="宋体" w:hAnsi="宋体" w:eastAsia="宋体" w:cs="宋体"/>
                <w:b/>
                <w:bCs/>
                <w:kern w:val="0"/>
                <w:sz w:val="20"/>
                <w:szCs w:val="20"/>
              </w:rPr>
            </w:pPr>
            <w:r>
              <w:rPr>
                <w:rFonts w:hint="eastAsia" w:ascii="宋体" w:hAnsi="宋体" w:eastAsia="宋体" w:cs="宋体"/>
                <w:b/>
                <w:bCs/>
                <w:kern w:val="0"/>
                <w:sz w:val="20"/>
                <w:szCs w:val="20"/>
              </w:rPr>
              <w:t>姓名</w:t>
            </w:r>
          </w:p>
        </w:tc>
        <w:tc>
          <w:tcPr>
            <w:tcW w:w="2049" w:type="pct"/>
            <w:noWrap/>
            <w:vAlign w:val="center"/>
          </w:tcPr>
          <w:p>
            <w:pPr>
              <w:widowControl/>
              <w:jc w:val="center"/>
              <w:rPr>
                <w:rFonts w:ascii="宋体" w:hAnsi="宋体" w:eastAsia="宋体" w:cs="宋体"/>
                <w:b/>
                <w:bCs/>
                <w:kern w:val="0"/>
                <w:sz w:val="20"/>
                <w:szCs w:val="20"/>
              </w:rPr>
            </w:pPr>
            <w:r>
              <w:rPr>
                <w:rFonts w:hint="eastAsia" w:ascii="宋体" w:hAnsi="宋体" w:eastAsia="宋体" w:cs="宋体"/>
                <w:b/>
                <w:bCs/>
                <w:kern w:val="0"/>
                <w:sz w:val="20"/>
                <w:szCs w:val="20"/>
              </w:rPr>
              <w:t>工作单位</w:t>
            </w:r>
          </w:p>
        </w:tc>
        <w:tc>
          <w:tcPr>
            <w:tcW w:w="1157" w:type="pct"/>
            <w:noWrap/>
            <w:vAlign w:val="center"/>
          </w:tcPr>
          <w:p>
            <w:pPr>
              <w:widowControl/>
              <w:jc w:val="center"/>
              <w:rPr>
                <w:rFonts w:ascii="宋体" w:hAnsi="宋体" w:eastAsia="宋体" w:cs="宋体"/>
                <w:b/>
                <w:bCs/>
                <w:kern w:val="0"/>
                <w:sz w:val="20"/>
                <w:szCs w:val="20"/>
              </w:rPr>
            </w:pPr>
            <w:r>
              <w:rPr>
                <w:rFonts w:hint="eastAsia" w:ascii="宋体" w:hAnsi="宋体" w:eastAsia="宋体" w:cs="宋体"/>
                <w:b/>
                <w:bCs/>
                <w:kern w:val="0"/>
                <w:sz w:val="20"/>
                <w:szCs w:val="20"/>
              </w:rPr>
              <w:t>职务/职称</w:t>
            </w:r>
          </w:p>
        </w:tc>
        <w:tc>
          <w:tcPr>
            <w:tcW w:w="951" w:type="pct"/>
            <w:noWrap/>
            <w:vAlign w:val="center"/>
          </w:tcPr>
          <w:p>
            <w:pPr>
              <w:widowControl/>
              <w:jc w:val="center"/>
              <w:rPr>
                <w:rFonts w:ascii="宋体" w:hAnsi="宋体" w:eastAsia="宋体" w:cs="宋体"/>
                <w:b/>
                <w:bCs/>
                <w:kern w:val="0"/>
                <w:sz w:val="20"/>
                <w:szCs w:val="20"/>
              </w:rPr>
            </w:pPr>
            <w:r>
              <w:rPr>
                <w:rFonts w:hint="eastAsia" w:ascii="宋体" w:hAnsi="宋体" w:eastAsia="宋体" w:cs="宋体"/>
                <w:b/>
                <w:bCs/>
                <w:kern w:val="0"/>
                <w:sz w:val="20"/>
                <w:szCs w:val="20"/>
              </w:rPr>
              <w:t>专业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438" w:type="dxa"/>
            <w:vAlign w:val="center"/>
          </w:tcPr>
          <w:p>
            <w:pPr>
              <w:jc w:val="center"/>
              <w:rPr>
                <w:rFonts w:asciiTheme="minorEastAsia" w:hAnsiTheme="minorEastAsia" w:eastAsiaTheme="minorEastAsia" w:cstheme="minorEastAsia"/>
                <w:kern w:val="0"/>
                <w:sz w:val="20"/>
                <w:szCs w:val="20"/>
                <w:highlight w:val="none"/>
              </w:rPr>
            </w:pPr>
            <w:r>
              <w:rPr>
                <w:rFonts w:hint="eastAsia" w:asciiTheme="minorEastAsia" w:hAnsiTheme="minorEastAsia" w:eastAsiaTheme="minorEastAsia" w:cstheme="minorEastAsia"/>
                <w:sz w:val="20"/>
                <w:szCs w:val="20"/>
                <w:highlight w:val="none"/>
              </w:rPr>
              <w:t xml:space="preserve">马  跃 </w:t>
            </w:r>
          </w:p>
        </w:tc>
        <w:tc>
          <w:tcPr>
            <w:tcW w:w="3495" w:type="dxa"/>
            <w:noWrap/>
            <w:vAlign w:val="center"/>
          </w:tcPr>
          <w:p>
            <w:pPr>
              <w:jc w:val="center"/>
              <w:rPr>
                <w:rFonts w:asciiTheme="minorEastAsia" w:hAnsiTheme="minorEastAsia" w:eastAsiaTheme="minorEastAsia" w:cstheme="minorEastAsia"/>
                <w:kern w:val="0"/>
                <w:sz w:val="20"/>
                <w:szCs w:val="20"/>
                <w:highlight w:val="none"/>
              </w:rPr>
            </w:pPr>
            <w:r>
              <w:rPr>
                <w:rFonts w:hint="eastAsia" w:asciiTheme="minorEastAsia" w:hAnsiTheme="minorEastAsia" w:eastAsiaTheme="minorEastAsia" w:cstheme="minorEastAsia"/>
                <w:sz w:val="20"/>
                <w:szCs w:val="20"/>
                <w:highlight w:val="none"/>
                <w:lang w:val="en-US" w:eastAsia="zh-CN"/>
              </w:rPr>
              <w:t>原</w:t>
            </w:r>
            <w:r>
              <w:rPr>
                <w:rFonts w:hint="eastAsia" w:asciiTheme="minorEastAsia" w:hAnsiTheme="minorEastAsia" w:eastAsiaTheme="minorEastAsia" w:cstheme="minorEastAsia"/>
                <w:sz w:val="20"/>
                <w:szCs w:val="20"/>
                <w:highlight w:val="none"/>
              </w:rPr>
              <w:t>市财政局财政监督处处长兼监督分局局长</w:t>
            </w:r>
          </w:p>
        </w:tc>
        <w:tc>
          <w:tcPr>
            <w:tcW w:w="1973" w:type="dxa"/>
            <w:noWrap/>
            <w:vAlign w:val="center"/>
          </w:tcPr>
          <w:p>
            <w:pPr>
              <w:widowControl/>
              <w:jc w:val="center"/>
              <w:rPr>
                <w:rFonts w:asciiTheme="minorEastAsia" w:hAnsiTheme="minorEastAsia" w:eastAsiaTheme="minorEastAsia" w:cstheme="minorEastAsia"/>
                <w:kern w:val="0"/>
                <w:sz w:val="20"/>
                <w:szCs w:val="20"/>
                <w:highlight w:val="none"/>
              </w:rPr>
            </w:pPr>
            <w:r>
              <w:rPr>
                <w:rFonts w:hint="default" w:asciiTheme="minorEastAsia" w:hAnsiTheme="minorEastAsia" w:eastAsiaTheme="minorEastAsia" w:cstheme="minorEastAsia"/>
                <w:sz w:val="20"/>
                <w:szCs w:val="20"/>
                <w:highlight w:val="none"/>
                <w:lang w:val="en-US" w:eastAsia="zh-CN"/>
              </w:rPr>
              <w:t>高级会计师</w:t>
            </w:r>
          </w:p>
        </w:tc>
        <w:tc>
          <w:tcPr>
            <w:tcW w:w="1622" w:type="dxa"/>
            <w:noWrap/>
            <w:vAlign w:val="center"/>
          </w:tcPr>
          <w:p>
            <w:pPr>
              <w:widowControl/>
              <w:jc w:val="center"/>
              <w:rPr>
                <w:rFonts w:asciiTheme="minorEastAsia" w:hAnsiTheme="minorEastAsia" w:eastAsiaTheme="minorEastAsia" w:cstheme="minorEastAsia"/>
                <w:kern w:val="0"/>
                <w:sz w:val="20"/>
                <w:szCs w:val="20"/>
                <w:highlight w:val="none"/>
              </w:rPr>
            </w:pPr>
            <w:r>
              <w:rPr>
                <w:rFonts w:hint="eastAsia" w:asciiTheme="minorEastAsia" w:hAnsiTheme="minorEastAsia" w:eastAsiaTheme="minorEastAsia" w:cstheme="minorEastAsia"/>
                <w:sz w:val="20"/>
                <w:szCs w:val="20"/>
                <w:highlight w:val="none"/>
              </w:rPr>
              <w:t>项目管理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438" w:type="dxa"/>
            <w:vAlign w:val="center"/>
          </w:tcPr>
          <w:p>
            <w:pPr>
              <w:jc w:val="center"/>
              <w:rPr>
                <w:rFonts w:asciiTheme="minorEastAsia" w:hAnsiTheme="minorEastAsia" w:eastAsiaTheme="minorEastAsia" w:cstheme="minorEastAsia"/>
                <w:kern w:val="0"/>
                <w:sz w:val="20"/>
                <w:szCs w:val="20"/>
                <w:highlight w:val="none"/>
              </w:rPr>
            </w:pPr>
            <w:r>
              <w:rPr>
                <w:rFonts w:hint="eastAsia" w:asciiTheme="minorEastAsia" w:hAnsiTheme="minorEastAsia" w:eastAsiaTheme="minorEastAsia" w:cstheme="minorEastAsia"/>
                <w:sz w:val="20"/>
                <w:szCs w:val="20"/>
                <w:highlight w:val="none"/>
              </w:rPr>
              <w:t>李云峰</w:t>
            </w:r>
          </w:p>
        </w:tc>
        <w:tc>
          <w:tcPr>
            <w:tcW w:w="3495" w:type="dxa"/>
            <w:vAlign w:val="center"/>
          </w:tcPr>
          <w:p>
            <w:pPr>
              <w:jc w:val="center"/>
              <w:rPr>
                <w:rFonts w:asciiTheme="minorEastAsia" w:hAnsiTheme="minorEastAsia" w:eastAsiaTheme="minorEastAsia" w:cstheme="minorEastAsia"/>
                <w:kern w:val="0"/>
                <w:sz w:val="20"/>
                <w:szCs w:val="20"/>
                <w:highlight w:val="none"/>
              </w:rPr>
            </w:pPr>
            <w:r>
              <w:rPr>
                <w:rFonts w:hint="eastAsia" w:asciiTheme="minorEastAsia" w:hAnsiTheme="minorEastAsia" w:eastAsiaTheme="minorEastAsia" w:cstheme="minorEastAsia"/>
                <w:sz w:val="20"/>
                <w:szCs w:val="20"/>
                <w:highlight w:val="none"/>
                <w:lang w:val="en-US" w:eastAsia="zh-CN"/>
              </w:rPr>
              <w:t>北京市农林科学院</w:t>
            </w:r>
          </w:p>
        </w:tc>
        <w:tc>
          <w:tcPr>
            <w:tcW w:w="1973" w:type="dxa"/>
            <w:vAlign w:val="center"/>
          </w:tcPr>
          <w:p>
            <w:pPr>
              <w:jc w:val="center"/>
              <w:rPr>
                <w:rFonts w:asciiTheme="minorEastAsia" w:hAnsiTheme="minorEastAsia" w:eastAsiaTheme="minorEastAsia" w:cstheme="minorEastAsia"/>
                <w:kern w:val="0"/>
                <w:sz w:val="20"/>
                <w:szCs w:val="20"/>
                <w:highlight w:val="none"/>
              </w:rPr>
            </w:pPr>
            <w:r>
              <w:rPr>
                <w:rFonts w:hint="eastAsia" w:asciiTheme="minorEastAsia" w:hAnsiTheme="minorEastAsia" w:eastAsiaTheme="minorEastAsia" w:cstheme="minorEastAsia"/>
                <w:sz w:val="20"/>
                <w:szCs w:val="20"/>
                <w:highlight w:val="none"/>
              </w:rPr>
              <w:t>教授</w:t>
            </w:r>
          </w:p>
        </w:tc>
        <w:tc>
          <w:tcPr>
            <w:tcW w:w="1622" w:type="dxa"/>
            <w:vAlign w:val="center"/>
          </w:tcPr>
          <w:p>
            <w:pPr>
              <w:jc w:val="center"/>
              <w:rPr>
                <w:rFonts w:asciiTheme="minorEastAsia" w:hAnsiTheme="minorEastAsia" w:eastAsiaTheme="minorEastAsia" w:cstheme="minorEastAsia"/>
                <w:kern w:val="0"/>
                <w:sz w:val="20"/>
                <w:szCs w:val="20"/>
                <w:highlight w:val="none"/>
              </w:rPr>
            </w:pPr>
            <w:r>
              <w:rPr>
                <w:rFonts w:hint="eastAsia" w:asciiTheme="minorEastAsia" w:hAnsiTheme="minorEastAsia" w:eastAsiaTheme="minorEastAsia" w:cstheme="minorEastAsia"/>
                <w:sz w:val="20"/>
                <w:szCs w:val="20"/>
                <w:highlight w:val="none"/>
              </w:rPr>
              <w:t>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438" w:type="dxa"/>
            <w:vAlign w:val="center"/>
          </w:tcPr>
          <w:p>
            <w:pPr>
              <w:jc w:val="center"/>
              <w:rPr>
                <w:rFonts w:asciiTheme="minorEastAsia" w:hAnsiTheme="minorEastAsia" w:eastAsiaTheme="minorEastAsia" w:cstheme="minorEastAsia"/>
                <w:kern w:val="0"/>
                <w:sz w:val="20"/>
                <w:szCs w:val="20"/>
                <w:highlight w:val="none"/>
              </w:rPr>
            </w:pPr>
            <w:r>
              <w:rPr>
                <w:rFonts w:hint="eastAsia" w:asciiTheme="minorEastAsia" w:hAnsiTheme="minorEastAsia" w:eastAsiaTheme="minorEastAsia" w:cstheme="minorEastAsia"/>
                <w:sz w:val="20"/>
                <w:szCs w:val="20"/>
                <w:highlight w:val="none"/>
              </w:rPr>
              <w:t>杨鹃</w:t>
            </w:r>
          </w:p>
        </w:tc>
        <w:tc>
          <w:tcPr>
            <w:tcW w:w="3495" w:type="dxa"/>
            <w:vAlign w:val="center"/>
          </w:tcPr>
          <w:p>
            <w:pPr>
              <w:jc w:val="center"/>
              <w:rPr>
                <w:rFonts w:asciiTheme="minorEastAsia" w:hAnsiTheme="minorEastAsia" w:eastAsiaTheme="minorEastAsia" w:cstheme="minorEastAsia"/>
                <w:kern w:val="0"/>
                <w:sz w:val="20"/>
                <w:szCs w:val="20"/>
                <w:highlight w:val="none"/>
              </w:rPr>
            </w:pPr>
            <w:r>
              <w:rPr>
                <w:rFonts w:hint="eastAsia" w:asciiTheme="minorEastAsia" w:hAnsiTheme="minorEastAsia" w:eastAsiaTheme="minorEastAsia" w:cstheme="minorEastAsia"/>
                <w:sz w:val="20"/>
                <w:szCs w:val="20"/>
                <w:highlight w:val="none"/>
              </w:rPr>
              <w:t>都经济贸易大学会计学院</w:t>
            </w:r>
          </w:p>
        </w:tc>
        <w:tc>
          <w:tcPr>
            <w:tcW w:w="1973" w:type="dxa"/>
            <w:vAlign w:val="center"/>
          </w:tcPr>
          <w:p>
            <w:pPr>
              <w:jc w:val="center"/>
              <w:rPr>
                <w:rFonts w:asciiTheme="minorEastAsia" w:hAnsiTheme="minorEastAsia" w:eastAsiaTheme="minorEastAsia" w:cstheme="minorEastAsia"/>
                <w:kern w:val="0"/>
                <w:sz w:val="20"/>
                <w:szCs w:val="20"/>
                <w:highlight w:val="none"/>
              </w:rPr>
            </w:pPr>
            <w:r>
              <w:rPr>
                <w:rFonts w:hint="eastAsia" w:asciiTheme="minorEastAsia" w:hAnsiTheme="minorEastAsia" w:eastAsiaTheme="minorEastAsia" w:cstheme="minorEastAsia"/>
                <w:sz w:val="20"/>
                <w:szCs w:val="20"/>
                <w:highlight w:val="none"/>
              </w:rPr>
              <w:t xml:space="preserve">教授 </w:t>
            </w:r>
          </w:p>
        </w:tc>
        <w:tc>
          <w:tcPr>
            <w:tcW w:w="1622" w:type="dxa"/>
            <w:vAlign w:val="center"/>
          </w:tcPr>
          <w:p>
            <w:pPr>
              <w:jc w:val="center"/>
              <w:rPr>
                <w:rFonts w:asciiTheme="minorEastAsia" w:hAnsiTheme="minorEastAsia" w:eastAsiaTheme="minorEastAsia" w:cstheme="minorEastAsia"/>
                <w:kern w:val="0"/>
                <w:sz w:val="20"/>
                <w:szCs w:val="20"/>
                <w:highlight w:val="none"/>
              </w:rPr>
            </w:pPr>
            <w:r>
              <w:rPr>
                <w:rFonts w:hint="eastAsia" w:asciiTheme="minorEastAsia" w:hAnsiTheme="minorEastAsia" w:eastAsiaTheme="minorEastAsia" w:cstheme="minorEastAsia"/>
                <w:sz w:val="20"/>
                <w:szCs w:val="20"/>
                <w:highlight w:val="none"/>
              </w:rPr>
              <w:t>财务管理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438" w:type="dxa"/>
            <w:vAlign w:val="center"/>
          </w:tcPr>
          <w:p>
            <w:pPr>
              <w:jc w:val="center"/>
              <w:rPr>
                <w:rFonts w:asciiTheme="minorEastAsia" w:hAnsiTheme="minorEastAsia" w:eastAsiaTheme="minorEastAsia" w:cstheme="minorEastAsia"/>
                <w:kern w:val="0"/>
                <w:sz w:val="20"/>
                <w:szCs w:val="20"/>
                <w:highlight w:val="none"/>
              </w:rPr>
            </w:pPr>
            <w:r>
              <w:rPr>
                <w:rFonts w:hint="eastAsia" w:asciiTheme="minorEastAsia" w:hAnsiTheme="minorEastAsia" w:eastAsiaTheme="minorEastAsia" w:cstheme="minorEastAsia"/>
                <w:sz w:val="20"/>
                <w:szCs w:val="20"/>
                <w:highlight w:val="none"/>
              </w:rPr>
              <w:t>王丽新</w:t>
            </w:r>
          </w:p>
        </w:tc>
        <w:tc>
          <w:tcPr>
            <w:tcW w:w="3495" w:type="dxa"/>
            <w:vAlign w:val="center"/>
          </w:tcPr>
          <w:p>
            <w:pPr>
              <w:jc w:val="center"/>
              <w:rPr>
                <w:rFonts w:asciiTheme="minorEastAsia" w:hAnsiTheme="minorEastAsia" w:eastAsiaTheme="minorEastAsia" w:cstheme="minorEastAsia"/>
                <w:kern w:val="0"/>
                <w:sz w:val="20"/>
                <w:szCs w:val="20"/>
                <w:highlight w:val="none"/>
              </w:rPr>
            </w:pPr>
            <w:r>
              <w:rPr>
                <w:rFonts w:hint="eastAsia" w:asciiTheme="minorEastAsia" w:hAnsiTheme="minorEastAsia" w:eastAsiaTheme="minorEastAsia" w:cstheme="minorEastAsia"/>
                <w:sz w:val="20"/>
                <w:szCs w:val="20"/>
                <w:highlight w:val="none"/>
              </w:rPr>
              <w:t>北方工业大学</w:t>
            </w:r>
          </w:p>
        </w:tc>
        <w:tc>
          <w:tcPr>
            <w:tcW w:w="1973" w:type="dxa"/>
            <w:vAlign w:val="center"/>
          </w:tcPr>
          <w:p>
            <w:pPr>
              <w:jc w:val="center"/>
              <w:rPr>
                <w:rFonts w:asciiTheme="minorEastAsia" w:hAnsiTheme="minorEastAsia" w:eastAsiaTheme="minorEastAsia" w:cstheme="minorEastAsia"/>
                <w:kern w:val="0"/>
                <w:sz w:val="20"/>
                <w:szCs w:val="20"/>
                <w:highlight w:val="none"/>
              </w:rPr>
            </w:pPr>
            <w:r>
              <w:rPr>
                <w:rFonts w:hint="eastAsia" w:asciiTheme="minorEastAsia" w:hAnsiTheme="minorEastAsia" w:eastAsiaTheme="minorEastAsia" w:cstheme="minorEastAsia"/>
                <w:sz w:val="20"/>
                <w:szCs w:val="20"/>
                <w:highlight w:val="none"/>
              </w:rPr>
              <w:t>教授</w:t>
            </w:r>
          </w:p>
        </w:tc>
        <w:tc>
          <w:tcPr>
            <w:tcW w:w="1622" w:type="dxa"/>
            <w:vAlign w:val="center"/>
          </w:tcPr>
          <w:p>
            <w:pPr>
              <w:jc w:val="center"/>
              <w:rPr>
                <w:rFonts w:hint="default" w:asciiTheme="minorEastAsia" w:hAnsiTheme="minorEastAsia" w:eastAsiaTheme="minorEastAsia" w:cstheme="minorEastAsia"/>
                <w:kern w:val="0"/>
                <w:sz w:val="20"/>
                <w:szCs w:val="20"/>
                <w:highlight w:val="none"/>
                <w:lang w:val="en-US" w:eastAsia="zh-CN"/>
              </w:rPr>
            </w:pPr>
            <w:r>
              <w:rPr>
                <w:rFonts w:hint="eastAsia" w:asciiTheme="minorEastAsia" w:hAnsiTheme="minorEastAsia" w:eastAsiaTheme="minorEastAsia" w:cstheme="minorEastAsia"/>
                <w:kern w:val="0"/>
                <w:sz w:val="20"/>
                <w:szCs w:val="20"/>
                <w:highlight w:val="none"/>
                <w:lang w:val="en-US" w:eastAsia="zh-CN"/>
              </w:rPr>
              <w:t>内控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438" w:type="dxa"/>
            <w:vAlign w:val="center"/>
          </w:tcPr>
          <w:p>
            <w:pPr>
              <w:jc w:val="center"/>
              <w:rPr>
                <w:rFonts w:hint="eastAsia" w:asciiTheme="minorEastAsia" w:hAnsiTheme="minorEastAsia" w:eastAsiaTheme="minorEastAsia" w:cstheme="minorEastAsia"/>
                <w:kern w:val="0"/>
                <w:sz w:val="20"/>
                <w:szCs w:val="20"/>
                <w:highlight w:val="none"/>
                <w:lang w:val="en-US" w:eastAsia="zh-CN"/>
              </w:rPr>
            </w:pPr>
            <w:r>
              <w:rPr>
                <w:rFonts w:hint="eastAsia" w:asciiTheme="minorEastAsia" w:hAnsiTheme="minorEastAsia" w:eastAsiaTheme="minorEastAsia" w:cstheme="minorEastAsia"/>
                <w:sz w:val="20"/>
                <w:szCs w:val="20"/>
                <w:highlight w:val="none"/>
              </w:rPr>
              <w:t>王</w:t>
            </w:r>
            <w:r>
              <w:rPr>
                <w:rFonts w:hint="eastAsia" w:asciiTheme="minorEastAsia" w:hAnsiTheme="minorEastAsia" w:eastAsiaTheme="minorEastAsia" w:cstheme="minorEastAsia"/>
                <w:sz w:val="20"/>
                <w:szCs w:val="20"/>
                <w:highlight w:val="none"/>
                <w:lang w:val="en-US" w:eastAsia="zh-CN"/>
              </w:rPr>
              <w:t>宏</w:t>
            </w:r>
          </w:p>
        </w:tc>
        <w:tc>
          <w:tcPr>
            <w:tcW w:w="3495" w:type="dxa"/>
            <w:vAlign w:val="center"/>
          </w:tcPr>
          <w:p>
            <w:pPr>
              <w:jc w:val="center"/>
              <w:rPr>
                <w:rFonts w:asciiTheme="minorEastAsia" w:hAnsiTheme="minorEastAsia" w:eastAsiaTheme="minorEastAsia" w:cstheme="minorEastAsia"/>
                <w:kern w:val="0"/>
                <w:sz w:val="20"/>
                <w:szCs w:val="20"/>
                <w:highlight w:val="none"/>
              </w:rPr>
            </w:pPr>
            <w:r>
              <w:rPr>
                <w:rFonts w:hint="eastAsia" w:asciiTheme="minorEastAsia" w:hAnsiTheme="minorEastAsia" w:eastAsiaTheme="minorEastAsia" w:cstheme="minorEastAsia"/>
                <w:sz w:val="20"/>
                <w:szCs w:val="20"/>
                <w:highlight w:val="none"/>
              </w:rPr>
              <w:t>北京石油化工学院教授</w:t>
            </w:r>
          </w:p>
        </w:tc>
        <w:tc>
          <w:tcPr>
            <w:tcW w:w="1973" w:type="dxa"/>
            <w:vAlign w:val="center"/>
          </w:tcPr>
          <w:p>
            <w:pPr>
              <w:jc w:val="center"/>
              <w:rPr>
                <w:rFonts w:asciiTheme="minorEastAsia" w:hAnsiTheme="minorEastAsia" w:eastAsiaTheme="minorEastAsia" w:cstheme="minorEastAsia"/>
                <w:kern w:val="0"/>
                <w:sz w:val="20"/>
                <w:szCs w:val="20"/>
                <w:highlight w:val="none"/>
              </w:rPr>
            </w:pPr>
            <w:r>
              <w:rPr>
                <w:rFonts w:hint="eastAsia" w:asciiTheme="minorEastAsia" w:hAnsiTheme="minorEastAsia" w:eastAsiaTheme="minorEastAsia" w:cstheme="minorEastAsia"/>
                <w:sz w:val="20"/>
                <w:szCs w:val="20"/>
                <w:highlight w:val="none"/>
              </w:rPr>
              <w:t>教授</w:t>
            </w:r>
          </w:p>
        </w:tc>
        <w:tc>
          <w:tcPr>
            <w:tcW w:w="1622" w:type="dxa"/>
            <w:vAlign w:val="center"/>
          </w:tcPr>
          <w:p>
            <w:pPr>
              <w:jc w:val="center"/>
              <w:rPr>
                <w:rFonts w:hint="default" w:asciiTheme="minorEastAsia" w:hAnsiTheme="minorEastAsia" w:eastAsiaTheme="minorEastAsia" w:cstheme="minorEastAsia"/>
                <w:kern w:val="0"/>
                <w:sz w:val="20"/>
                <w:szCs w:val="20"/>
                <w:highlight w:val="none"/>
                <w:lang w:val="en-US" w:eastAsia="zh-CN"/>
              </w:rPr>
            </w:pPr>
            <w:r>
              <w:rPr>
                <w:rFonts w:hint="eastAsia" w:asciiTheme="minorEastAsia" w:hAnsiTheme="minorEastAsia" w:eastAsiaTheme="minorEastAsia" w:cstheme="minorEastAsia"/>
                <w:sz w:val="20"/>
                <w:szCs w:val="20"/>
                <w:highlight w:val="none"/>
                <w:lang w:val="en-US" w:eastAsia="zh-CN"/>
              </w:rPr>
              <w:t>管理</w:t>
            </w:r>
          </w:p>
        </w:tc>
      </w:tr>
    </w:tbl>
    <w:p>
      <w:pPr>
        <w:suppressAutoHyphens/>
        <w:wordWrap/>
        <w:adjustRightInd w:val="0"/>
        <w:snapToGrid w:val="0"/>
        <w:spacing w:before="205" w:beforeLines="50" w:line="360" w:lineRule="auto"/>
        <w:ind w:firstLine="640" w:firstLineChars="200"/>
        <w:outlineLvl w:val="2"/>
        <w:rPr>
          <w:sz w:val="32"/>
        </w:rPr>
      </w:pPr>
      <w:r>
        <w:rPr>
          <w:rFonts w:hint="eastAsia"/>
          <w:sz w:val="32"/>
        </w:rPr>
        <w:t>3.评价分析阶段</w:t>
      </w:r>
    </w:p>
    <w:p>
      <w:pPr>
        <w:suppressAutoHyphens/>
        <w:wordWrap/>
        <w:adjustRightInd w:val="0"/>
        <w:snapToGrid w:val="0"/>
        <w:spacing w:line="360" w:lineRule="auto"/>
        <w:ind w:firstLine="640" w:firstLineChars="200"/>
        <w:rPr>
          <w:rFonts w:cs="仿宋_GB2312"/>
          <w:sz w:val="32"/>
          <w:szCs w:val="32"/>
        </w:rPr>
      </w:pPr>
      <w:r>
        <w:rPr>
          <w:rFonts w:hint="eastAsia" w:cs="仿宋_GB2312"/>
          <w:sz w:val="32"/>
          <w:szCs w:val="32"/>
        </w:rPr>
        <w:t>评价工作组根据收集到的项目相关资料以及评价专家组意见，对项目决策、管理、绩效情况进行综合分析，按照规定的文本格式和内容撰写绩效评价报告，提交单位征求意见。同时，根据反馈意见，在规定时间内修改形成绩效评价报告正式稿报送委托方。</w:t>
      </w:r>
      <w:bookmarkEnd w:id="47"/>
      <w:bookmarkEnd w:id="48"/>
      <w:bookmarkStart w:id="49" w:name="_Toc336506896"/>
      <w:bookmarkStart w:id="50" w:name="_Toc4489"/>
      <w:bookmarkStart w:id="51" w:name="_Toc28464"/>
      <w:bookmarkStart w:id="52" w:name="_Toc336506961"/>
    </w:p>
    <w:p>
      <w:pPr>
        <w:wordWrap/>
        <w:adjustRightInd w:val="0"/>
        <w:snapToGrid w:val="0"/>
        <w:spacing w:line="360" w:lineRule="auto"/>
        <w:ind w:firstLine="640" w:firstLineChars="200"/>
        <w:outlineLvl w:val="0"/>
        <w:rPr>
          <w:rFonts w:ascii="Times New Roman" w:eastAsia="黑体"/>
          <w:sz w:val="32"/>
        </w:rPr>
      </w:pPr>
      <w:bookmarkStart w:id="53" w:name="_Toc336506965"/>
      <w:bookmarkStart w:id="54" w:name="_Toc30230"/>
      <w:bookmarkStart w:id="55" w:name="_Toc31715"/>
      <w:bookmarkStart w:id="56" w:name="_Toc336506900"/>
      <w:bookmarkStart w:id="57" w:name="_Toc22826"/>
      <w:bookmarkStart w:id="58" w:name="_Toc4756"/>
      <w:r>
        <w:rPr>
          <w:rFonts w:hint="eastAsia" w:ascii="Times New Roman" w:eastAsia="黑体"/>
          <w:sz w:val="32"/>
        </w:rPr>
        <w:t>三、</w:t>
      </w:r>
      <w:bookmarkEnd w:id="53"/>
      <w:bookmarkEnd w:id="54"/>
      <w:bookmarkEnd w:id="55"/>
      <w:bookmarkEnd w:id="56"/>
      <w:r>
        <w:rPr>
          <w:rFonts w:hint="eastAsia" w:ascii="Times New Roman" w:eastAsia="黑体"/>
          <w:sz w:val="32"/>
        </w:rPr>
        <w:t>综合评价情况及评价结论</w:t>
      </w:r>
      <w:bookmarkEnd w:id="57"/>
      <w:bookmarkEnd w:id="58"/>
    </w:p>
    <w:p>
      <w:pPr>
        <w:adjustRightInd w:val="0"/>
        <w:snapToGrid w:val="0"/>
        <w:spacing w:line="360" w:lineRule="auto"/>
        <w:ind w:firstLine="561"/>
        <w:rPr>
          <w:rFonts w:cs="仿宋_GB2312"/>
          <w:sz w:val="32"/>
          <w:szCs w:val="32"/>
        </w:rPr>
      </w:pPr>
      <w:r>
        <w:rPr>
          <w:rFonts w:hint="eastAsia" w:cs="仿宋_GB2312"/>
          <w:sz w:val="32"/>
          <w:szCs w:val="32"/>
        </w:rPr>
        <w:t>项目采取</w:t>
      </w:r>
      <w:r>
        <w:rPr>
          <w:rFonts w:hint="eastAsia" w:cs="仿宋_GB2312"/>
          <w:sz w:val="32"/>
          <w:szCs w:val="32"/>
          <w:lang w:val="en-US" w:eastAsia="zh-CN"/>
        </w:rPr>
        <w:t>公开招标</w:t>
      </w:r>
      <w:r>
        <w:rPr>
          <w:rFonts w:hint="eastAsia" w:cs="仿宋_GB2312"/>
          <w:sz w:val="32"/>
          <w:szCs w:val="32"/>
        </w:rPr>
        <w:t>方式委托</w:t>
      </w:r>
      <w:r>
        <w:rPr>
          <w:rFonts w:hint="eastAsia" w:cs="仿宋_GB2312"/>
          <w:sz w:val="32"/>
          <w:szCs w:val="32"/>
          <w:lang w:val="en-US" w:eastAsia="zh-CN"/>
        </w:rPr>
        <w:t>服务商，组建专业服务团队，</w:t>
      </w:r>
      <w:r>
        <w:rPr>
          <w:rFonts w:hint="eastAsia" w:cs="仿宋_GB2312"/>
          <w:sz w:val="32"/>
          <w:szCs w:val="32"/>
        </w:rPr>
        <w:t>完成深化和拓展城市安全风险评估等工作，管控各类安全风险，深入落实安全风险分级管控制度，从源头防范化解重大安全风险，不断提升城市风险管理水平。</w:t>
      </w:r>
    </w:p>
    <w:p>
      <w:pPr>
        <w:pStyle w:val="27"/>
        <w:shd w:val="clear" w:color="auto" w:fill="FFFFFF"/>
        <w:adjustRightInd w:val="0"/>
        <w:snapToGrid w:val="0"/>
        <w:spacing w:before="0" w:beforeAutospacing="0" w:after="0" w:afterAutospacing="0" w:line="360" w:lineRule="auto"/>
        <w:ind w:firstLine="640" w:firstLineChars="200"/>
        <w:jc w:val="both"/>
        <w:rPr>
          <w:rFonts w:hAnsi="仿宋" w:cs="仿宋"/>
          <w:iCs/>
          <w:sz w:val="32"/>
          <w:szCs w:val="32"/>
        </w:rPr>
      </w:pPr>
      <w:r>
        <w:rPr>
          <w:rFonts w:cs="仿宋_GB2312"/>
          <w:sz w:val="32"/>
          <w:szCs w:val="32"/>
        </w:rPr>
        <w:t>但</w:t>
      </w:r>
      <w:r>
        <w:rPr>
          <w:rFonts w:hint="eastAsia" w:cs="仿宋_GB2312"/>
          <w:sz w:val="32"/>
          <w:szCs w:val="32"/>
        </w:rPr>
        <w:t>聚焦项目管理实施情况，本次评价也发现项目在前期需求论证、绩效目标及指标设置、过程管理、</w:t>
      </w:r>
      <w:r>
        <w:rPr>
          <w:rFonts w:hint="eastAsia" w:cs="仿宋_GB2312"/>
          <w:sz w:val="32"/>
          <w:szCs w:val="32"/>
          <w:lang w:val="en-US" w:eastAsia="zh-CN"/>
        </w:rPr>
        <w:t>项目实施</w:t>
      </w:r>
      <w:r>
        <w:rPr>
          <w:rFonts w:hint="eastAsia" w:cs="仿宋_GB2312"/>
          <w:sz w:val="32"/>
          <w:szCs w:val="32"/>
        </w:rPr>
        <w:t>效益、满意度调查等方面有进一步提升空间。通过评价，项目</w:t>
      </w:r>
      <w:r>
        <w:rPr>
          <w:rFonts w:hAnsi="仿宋" w:cs="仿宋"/>
          <w:iCs/>
          <w:sz w:val="32"/>
          <w:szCs w:val="32"/>
        </w:rPr>
        <w:t>综合评价得分</w:t>
      </w:r>
      <w:r>
        <w:rPr>
          <w:rFonts w:hint="eastAsia" w:hAnsi="仿宋" w:cs="仿宋"/>
          <w:iCs/>
          <w:sz w:val="32"/>
          <w:szCs w:val="32"/>
        </w:rPr>
        <w:t>9</w:t>
      </w:r>
      <w:r>
        <w:rPr>
          <w:rFonts w:hint="eastAsia" w:hAnsi="仿宋" w:cs="仿宋"/>
          <w:iCs/>
          <w:sz w:val="32"/>
          <w:szCs w:val="32"/>
          <w:lang w:val="en-US" w:eastAsia="zh-CN"/>
        </w:rPr>
        <w:t>1</w:t>
      </w:r>
      <w:r>
        <w:rPr>
          <w:rFonts w:hint="eastAsia" w:hAnsi="仿宋" w:cs="仿宋"/>
          <w:iCs/>
          <w:sz w:val="32"/>
          <w:szCs w:val="32"/>
        </w:rPr>
        <w:t>.</w:t>
      </w:r>
      <w:r>
        <w:rPr>
          <w:rFonts w:hint="eastAsia" w:hAnsi="仿宋" w:cs="仿宋"/>
          <w:iCs/>
          <w:sz w:val="32"/>
          <w:szCs w:val="32"/>
          <w:lang w:val="en-US" w:eastAsia="zh-CN"/>
        </w:rPr>
        <w:t>31</w:t>
      </w:r>
      <w:r>
        <w:rPr>
          <w:rFonts w:hAnsi="仿宋" w:cs="仿宋"/>
          <w:iCs/>
          <w:sz w:val="32"/>
          <w:szCs w:val="32"/>
        </w:rPr>
        <w:t>分，评价等级为“</w:t>
      </w:r>
      <w:r>
        <w:rPr>
          <w:rFonts w:hint="eastAsia" w:hAnsi="仿宋" w:cs="仿宋"/>
          <w:iCs/>
          <w:sz w:val="32"/>
          <w:szCs w:val="32"/>
        </w:rPr>
        <w:t>优</w:t>
      </w:r>
      <w:r>
        <w:rPr>
          <w:rFonts w:hAnsi="仿宋" w:cs="仿宋"/>
          <w:iCs/>
          <w:sz w:val="32"/>
          <w:szCs w:val="32"/>
        </w:rPr>
        <w:t>”，具体得分情况见表</w:t>
      </w:r>
      <w:r>
        <w:rPr>
          <w:rFonts w:hint="eastAsia" w:hAnsi="仿宋" w:cs="仿宋"/>
          <w:iCs/>
          <w:sz w:val="32"/>
          <w:szCs w:val="32"/>
        </w:rPr>
        <w:t>4</w:t>
      </w:r>
      <w:r>
        <w:rPr>
          <w:rFonts w:hAnsi="仿宋" w:cs="仿宋"/>
          <w:iCs/>
          <w:sz w:val="32"/>
          <w:szCs w:val="32"/>
        </w:rPr>
        <w:t>。</w:t>
      </w:r>
    </w:p>
    <w:p>
      <w:pPr>
        <w:snapToGrid w:val="0"/>
        <w:spacing w:line="360" w:lineRule="auto"/>
        <w:jc w:val="center"/>
        <w:rPr>
          <w:rFonts w:hint="eastAsia" w:ascii="黑体" w:hAnsi="黑体" w:eastAsia="黑体"/>
          <w:sz w:val="28"/>
          <w:szCs w:val="28"/>
        </w:rPr>
      </w:pPr>
    </w:p>
    <w:p>
      <w:pPr>
        <w:snapToGrid w:val="0"/>
        <w:spacing w:line="360" w:lineRule="auto"/>
        <w:jc w:val="center"/>
        <w:rPr>
          <w:rFonts w:hint="eastAsia" w:ascii="黑体" w:hAnsi="黑体" w:eastAsia="黑体"/>
          <w:sz w:val="28"/>
          <w:szCs w:val="28"/>
        </w:rPr>
      </w:pPr>
    </w:p>
    <w:p>
      <w:pPr>
        <w:snapToGrid w:val="0"/>
        <w:spacing w:line="360" w:lineRule="auto"/>
        <w:jc w:val="center"/>
        <w:rPr>
          <w:rFonts w:hint="eastAsia" w:ascii="黑体" w:hAnsi="黑体" w:eastAsia="黑体"/>
          <w:sz w:val="28"/>
          <w:szCs w:val="28"/>
        </w:rPr>
      </w:pPr>
    </w:p>
    <w:p>
      <w:pPr>
        <w:snapToGrid w:val="0"/>
        <w:spacing w:line="360" w:lineRule="auto"/>
        <w:jc w:val="center"/>
        <w:rPr>
          <w:rFonts w:hint="eastAsia" w:ascii="黑体" w:hAnsi="黑体" w:eastAsia="黑体"/>
          <w:sz w:val="28"/>
          <w:szCs w:val="28"/>
        </w:rPr>
      </w:pPr>
      <w:r>
        <w:rPr>
          <w:rFonts w:hint="eastAsia" w:ascii="黑体" w:hAnsi="黑体" w:eastAsia="黑体"/>
          <w:sz w:val="28"/>
          <w:szCs w:val="28"/>
        </w:rPr>
        <w:t>表4：综合评价得分情况表</w:t>
      </w:r>
    </w:p>
    <w:tbl>
      <w:tblPr>
        <w:tblStyle w:val="31"/>
        <w:tblW w:w="0" w:type="auto"/>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shd w:val="clear" w:color="auto" w:fill="C0C0C0"/>
        <w:tblLayout w:type="fixed"/>
        <w:tblCellMar>
          <w:top w:w="0" w:type="dxa"/>
          <w:left w:w="57" w:type="dxa"/>
          <w:bottom w:w="0" w:type="dxa"/>
          <w:right w:w="57" w:type="dxa"/>
        </w:tblCellMar>
      </w:tblPr>
      <w:tblGrid>
        <w:gridCol w:w="2250"/>
        <w:gridCol w:w="3240"/>
        <w:gridCol w:w="2995"/>
      </w:tblGrid>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shd w:val="clear" w:color="auto" w:fill="C0C0C0"/>
          <w:tblCellMar>
            <w:top w:w="0" w:type="dxa"/>
            <w:left w:w="57" w:type="dxa"/>
            <w:bottom w:w="0" w:type="dxa"/>
            <w:right w:w="57" w:type="dxa"/>
          </w:tblCellMar>
        </w:tblPrEx>
        <w:trPr>
          <w:cantSplit/>
          <w:trHeight w:val="620" w:hRule="atLeast"/>
          <w:jc w:val="center"/>
        </w:trPr>
        <w:tc>
          <w:tcPr>
            <w:tcW w:w="2250" w:type="dxa"/>
            <w:tcBorders>
              <w:top w:val="single" w:color="FFFFFF" w:sz="4" w:space="0"/>
              <w:left w:val="single" w:color="FFFFFF" w:sz="4" w:space="0"/>
              <w:bottom w:val="single" w:color="FFFFFF" w:sz="6" w:space="0"/>
              <w:right w:val="single" w:color="FFFFFF" w:sz="6" w:space="0"/>
            </w:tcBorders>
            <w:shd w:val="clear" w:color="auto" w:fill="C0C0C0"/>
            <w:noWrap w:val="0"/>
            <w:vAlign w:val="center"/>
          </w:tcPr>
          <w:p>
            <w:pPr>
              <w:adjustRightInd w:val="0"/>
              <w:snapToGrid w:val="0"/>
              <w:spacing w:before="120" w:after="60" w:line="300" w:lineRule="auto"/>
              <w:jc w:val="center"/>
              <w:rPr>
                <w:rFonts w:ascii="Times New Roman" w:hAnsi="Times New Roman" w:eastAsia="方正仿宋_GB2312" w:cs="Times New Roman"/>
                <w:b/>
                <w:sz w:val="28"/>
                <w:szCs w:val="28"/>
                <w:highlight w:val="none"/>
              </w:rPr>
            </w:pPr>
            <w:r>
              <w:rPr>
                <w:rFonts w:ascii="Times New Roman" w:hAnsi="Times New Roman" w:eastAsia="方正仿宋_GB2312" w:cs="Times New Roman"/>
                <w:b/>
                <w:sz w:val="28"/>
                <w:szCs w:val="28"/>
                <w:highlight w:val="none"/>
              </w:rPr>
              <w:t>评价内容</w:t>
            </w:r>
          </w:p>
        </w:tc>
        <w:tc>
          <w:tcPr>
            <w:tcW w:w="3240" w:type="dxa"/>
            <w:tcBorders>
              <w:top w:val="single" w:color="FFFFFF" w:sz="4" w:space="0"/>
              <w:left w:val="single" w:color="FFFFFF" w:sz="6" w:space="0"/>
              <w:bottom w:val="single" w:color="FFFFFF" w:sz="6" w:space="0"/>
              <w:right w:val="single" w:color="FFFFFF" w:sz="6" w:space="0"/>
            </w:tcBorders>
            <w:shd w:val="clear" w:color="auto" w:fill="C0C0C0"/>
            <w:noWrap w:val="0"/>
            <w:vAlign w:val="center"/>
          </w:tcPr>
          <w:p>
            <w:pPr>
              <w:adjustRightInd w:val="0"/>
              <w:snapToGrid w:val="0"/>
              <w:spacing w:before="120" w:after="60" w:line="300" w:lineRule="auto"/>
              <w:jc w:val="center"/>
              <w:rPr>
                <w:rFonts w:ascii="Times New Roman" w:hAnsi="Times New Roman" w:eastAsia="方正仿宋_GB2312" w:cs="Times New Roman"/>
                <w:b/>
                <w:sz w:val="28"/>
                <w:szCs w:val="28"/>
                <w:highlight w:val="none"/>
              </w:rPr>
            </w:pPr>
            <w:r>
              <w:rPr>
                <w:rFonts w:ascii="Times New Roman" w:hAnsi="Times New Roman" w:eastAsia="方正仿宋_GB2312" w:cs="Times New Roman"/>
                <w:b/>
                <w:sz w:val="28"/>
                <w:szCs w:val="28"/>
                <w:highlight w:val="none"/>
              </w:rPr>
              <w:t>分值</w:t>
            </w:r>
          </w:p>
        </w:tc>
        <w:tc>
          <w:tcPr>
            <w:tcW w:w="2995" w:type="dxa"/>
            <w:tcBorders>
              <w:top w:val="single" w:color="FFFFFF" w:sz="4" w:space="0"/>
              <w:left w:val="single" w:color="FFFFFF" w:sz="6" w:space="0"/>
              <w:bottom w:val="single" w:color="FFFFFF" w:sz="6" w:space="0"/>
              <w:right w:val="single" w:color="FFFFFF" w:sz="4" w:space="0"/>
            </w:tcBorders>
            <w:shd w:val="clear" w:color="auto" w:fill="C0C0C0"/>
            <w:noWrap w:val="0"/>
            <w:vAlign w:val="center"/>
          </w:tcPr>
          <w:p>
            <w:pPr>
              <w:adjustRightInd w:val="0"/>
              <w:snapToGrid w:val="0"/>
              <w:spacing w:before="120" w:after="60" w:line="300" w:lineRule="auto"/>
              <w:jc w:val="center"/>
              <w:rPr>
                <w:rFonts w:ascii="Times New Roman" w:hAnsi="Times New Roman" w:eastAsia="方正仿宋_GB2312" w:cs="Times New Roman"/>
                <w:b/>
                <w:sz w:val="28"/>
                <w:szCs w:val="28"/>
                <w:highlight w:val="none"/>
              </w:rPr>
            </w:pPr>
            <w:r>
              <w:rPr>
                <w:rFonts w:ascii="Times New Roman" w:hAnsi="Times New Roman" w:eastAsia="方正仿宋_GB2312" w:cs="Times New Roman"/>
                <w:b/>
                <w:sz w:val="28"/>
                <w:szCs w:val="28"/>
                <w:highlight w:val="none"/>
              </w:rPr>
              <w:t>评价得分</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shd w:val="clear" w:color="auto" w:fill="C0C0C0"/>
          <w:tblCellMar>
            <w:top w:w="0" w:type="dxa"/>
            <w:left w:w="57" w:type="dxa"/>
            <w:bottom w:w="0" w:type="dxa"/>
            <w:right w:w="57" w:type="dxa"/>
          </w:tblCellMar>
        </w:tblPrEx>
        <w:trPr>
          <w:cantSplit/>
          <w:trHeight w:val="532" w:hRule="atLeast"/>
          <w:jc w:val="center"/>
        </w:trPr>
        <w:tc>
          <w:tcPr>
            <w:tcW w:w="2250" w:type="dxa"/>
            <w:tcBorders>
              <w:top w:val="single" w:color="FFFFFF" w:sz="6" w:space="0"/>
              <w:left w:val="single" w:color="FFFFFF" w:sz="4" w:space="0"/>
              <w:bottom w:val="single" w:color="FFFFFF" w:sz="6" w:space="0"/>
              <w:right w:val="single" w:color="FFFFFF" w:sz="6" w:space="0"/>
            </w:tcBorders>
            <w:shd w:val="clear" w:color="auto" w:fill="C0C0C0"/>
            <w:noWrap w:val="0"/>
            <w:vAlign w:val="center"/>
          </w:tcPr>
          <w:p>
            <w:pPr>
              <w:pStyle w:val="5"/>
              <w:adjustRightInd w:val="0"/>
              <w:snapToGrid w:val="0"/>
              <w:spacing w:before="120" w:after="60" w:line="300" w:lineRule="auto"/>
              <w:ind w:firstLine="0"/>
              <w:jc w:val="center"/>
              <w:rPr>
                <w:rFonts w:eastAsia="方正仿宋_GB2312"/>
                <w:b/>
                <w:sz w:val="28"/>
                <w:szCs w:val="28"/>
                <w:highlight w:val="none"/>
              </w:rPr>
            </w:pPr>
            <w:r>
              <w:rPr>
                <w:rFonts w:eastAsia="方正仿宋_GB2312"/>
                <w:b/>
                <w:sz w:val="28"/>
                <w:szCs w:val="28"/>
                <w:highlight w:val="none"/>
              </w:rPr>
              <w:t>项目决策</w:t>
            </w:r>
          </w:p>
        </w:tc>
        <w:tc>
          <w:tcPr>
            <w:tcW w:w="3240" w:type="dxa"/>
            <w:tcBorders>
              <w:top w:val="single" w:color="FFFFFF" w:sz="6" w:space="0"/>
              <w:left w:val="single" w:color="FFFFFF" w:sz="6" w:space="0"/>
              <w:bottom w:val="single" w:color="FFFFFF" w:sz="6" w:space="0"/>
              <w:right w:val="single" w:color="FFFFFF" w:sz="6" w:space="0"/>
            </w:tcBorders>
            <w:shd w:val="clear" w:color="auto" w:fill="C0C0C0"/>
            <w:noWrap w:val="0"/>
            <w:vAlign w:val="center"/>
          </w:tcPr>
          <w:p>
            <w:pPr>
              <w:adjustRightInd w:val="0"/>
              <w:snapToGrid w:val="0"/>
              <w:jc w:val="center"/>
              <w:rPr>
                <w:rFonts w:hint="default" w:ascii="Times New Roman" w:hAnsi="Times New Roman" w:eastAsia="方正仿宋_GB2312" w:cs="Times New Roman"/>
                <w:b/>
                <w:sz w:val="28"/>
                <w:szCs w:val="28"/>
                <w:highlight w:val="none"/>
                <w:lang w:val="en-US" w:eastAsia="zh-CN"/>
              </w:rPr>
            </w:pPr>
            <w:r>
              <w:rPr>
                <w:rFonts w:hint="eastAsia" w:ascii="Times New Roman" w:hAnsi="Times New Roman" w:eastAsia="方正仿宋_GB2312" w:cs="Times New Roman"/>
                <w:b/>
                <w:sz w:val="28"/>
                <w:szCs w:val="28"/>
                <w:highlight w:val="none"/>
                <w:lang w:val="en-US" w:eastAsia="zh-CN"/>
              </w:rPr>
              <w:t>10.00</w:t>
            </w:r>
          </w:p>
        </w:tc>
        <w:tc>
          <w:tcPr>
            <w:tcW w:w="2995" w:type="dxa"/>
            <w:tcBorders>
              <w:top w:val="single" w:color="FFFFFF" w:sz="6" w:space="0"/>
              <w:left w:val="single" w:color="FFFFFF" w:sz="6" w:space="0"/>
              <w:bottom w:val="single" w:color="FFFFFF" w:sz="6" w:space="0"/>
              <w:right w:val="single" w:color="FFFFFF" w:sz="4" w:space="0"/>
            </w:tcBorders>
            <w:shd w:val="clear" w:color="auto" w:fill="C0C0C0"/>
            <w:noWrap w:val="0"/>
            <w:vAlign w:val="center"/>
          </w:tcPr>
          <w:p>
            <w:pPr>
              <w:adjustRightInd w:val="0"/>
              <w:snapToGrid w:val="0"/>
              <w:jc w:val="center"/>
              <w:rPr>
                <w:rFonts w:hint="default" w:ascii="Times New Roman" w:hAnsi="Times New Roman" w:eastAsia="方正仿宋_GB2312" w:cs="Times New Roman"/>
                <w:b/>
                <w:sz w:val="28"/>
                <w:szCs w:val="28"/>
                <w:highlight w:val="none"/>
                <w:lang w:val="en-US" w:eastAsia="zh-CN"/>
              </w:rPr>
            </w:pPr>
            <w:r>
              <w:rPr>
                <w:rFonts w:hint="eastAsia" w:ascii="Times New Roman" w:eastAsia="方正仿宋_GB2312" w:cs="Times New Roman"/>
                <w:b/>
                <w:sz w:val="28"/>
                <w:szCs w:val="28"/>
                <w:highlight w:val="none"/>
                <w:lang w:val="en-US" w:eastAsia="zh-CN"/>
              </w:rPr>
              <w:t>8</w:t>
            </w:r>
            <w:r>
              <w:rPr>
                <w:rFonts w:hint="eastAsia" w:ascii="Times New Roman" w:hAnsi="Times New Roman" w:eastAsia="方正仿宋_GB2312" w:cs="Times New Roman"/>
                <w:b/>
                <w:sz w:val="28"/>
                <w:szCs w:val="28"/>
                <w:highlight w:val="none"/>
                <w:lang w:val="en-US" w:eastAsia="zh-CN"/>
              </w:rPr>
              <w:t>.</w:t>
            </w:r>
            <w:r>
              <w:rPr>
                <w:rFonts w:hint="eastAsia" w:ascii="Times New Roman" w:eastAsia="方正仿宋_GB2312" w:cs="Times New Roman"/>
                <w:b/>
                <w:sz w:val="28"/>
                <w:szCs w:val="28"/>
                <w:highlight w:val="none"/>
                <w:lang w:val="en-US" w:eastAsia="zh-CN"/>
              </w:rPr>
              <w:t>95</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shd w:val="clear" w:color="auto" w:fill="C0C0C0"/>
          <w:tblCellMar>
            <w:top w:w="0" w:type="dxa"/>
            <w:left w:w="57" w:type="dxa"/>
            <w:bottom w:w="0" w:type="dxa"/>
            <w:right w:w="57" w:type="dxa"/>
          </w:tblCellMar>
        </w:tblPrEx>
        <w:trPr>
          <w:cantSplit/>
          <w:trHeight w:val="532" w:hRule="atLeast"/>
          <w:jc w:val="center"/>
        </w:trPr>
        <w:tc>
          <w:tcPr>
            <w:tcW w:w="2250" w:type="dxa"/>
            <w:tcBorders>
              <w:top w:val="single" w:color="FFFFFF" w:sz="6" w:space="0"/>
              <w:left w:val="single" w:color="FFFFFF" w:sz="4" w:space="0"/>
              <w:bottom w:val="single" w:color="FFFFFF" w:sz="6" w:space="0"/>
              <w:right w:val="single" w:color="FFFFFF" w:sz="6" w:space="0"/>
            </w:tcBorders>
            <w:shd w:val="clear" w:color="auto" w:fill="C0C0C0"/>
            <w:noWrap w:val="0"/>
            <w:vAlign w:val="center"/>
          </w:tcPr>
          <w:p>
            <w:pPr>
              <w:adjustRightInd w:val="0"/>
              <w:snapToGrid w:val="0"/>
              <w:spacing w:before="120" w:after="60" w:line="300" w:lineRule="auto"/>
              <w:jc w:val="center"/>
              <w:rPr>
                <w:rFonts w:hint="eastAsia" w:ascii="Times New Roman" w:hAnsi="Times New Roman" w:eastAsia="方正仿宋_GB2312" w:cs="Times New Roman"/>
                <w:b/>
                <w:sz w:val="28"/>
                <w:szCs w:val="28"/>
                <w:highlight w:val="none"/>
                <w:lang w:eastAsia="zh-CN"/>
              </w:rPr>
            </w:pPr>
            <w:r>
              <w:rPr>
                <w:rFonts w:ascii="Times New Roman" w:hAnsi="Times New Roman" w:eastAsia="方正仿宋_GB2312" w:cs="Times New Roman"/>
                <w:b/>
                <w:sz w:val="28"/>
                <w:szCs w:val="28"/>
                <w:highlight w:val="none"/>
              </w:rPr>
              <w:t>项目</w:t>
            </w:r>
            <w:r>
              <w:rPr>
                <w:rFonts w:hint="eastAsia" w:ascii="Times New Roman" w:hAnsi="Times New Roman" w:eastAsia="方正仿宋_GB2312" w:cs="Times New Roman"/>
                <w:b/>
                <w:sz w:val="28"/>
                <w:szCs w:val="28"/>
                <w:highlight w:val="none"/>
                <w:lang w:val="en-US" w:eastAsia="zh-CN"/>
              </w:rPr>
              <w:t>过程</w:t>
            </w:r>
          </w:p>
        </w:tc>
        <w:tc>
          <w:tcPr>
            <w:tcW w:w="3240" w:type="dxa"/>
            <w:tcBorders>
              <w:top w:val="single" w:color="FFFFFF" w:sz="6" w:space="0"/>
              <w:left w:val="single" w:color="FFFFFF" w:sz="6" w:space="0"/>
              <w:bottom w:val="single" w:color="FFFFFF" w:sz="6" w:space="0"/>
              <w:right w:val="single" w:color="FFFFFF" w:sz="6" w:space="0"/>
            </w:tcBorders>
            <w:shd w:val="clear" w:color="auto" w:fill="C0C0C0"/>
            <w:noWrap w:val="0"/>
            <w:vAlign w:val="center"/>
          </w:tcPr>
          <w:p>
            <w:pPr>
              <w:adjustRightInd w:val="0"/>
              <w:snapToGrid w:val="0"/>
              <w:jc w:val="center"/>
              <w:rPr>
                <w:rFonts w:hint="default" w:ascii="Times New Roman" w:hAnsi="Times New Roman" w:eastAsia="方正仿宋_GB2312" w:cs="Times New Roman"/>
                <w:b/>
                <w:sz w:val="28"/>
                <w:szCs w:val="28"/>
                <w:highlight w:val="none"/>
                <w:lang w:val="en-US" w:eastAsia="zh-CN"/>
              </w:rPr>
            </w:pPr>
            <w:r>
              <w:rPr>
                <w:rFonts w:hint="eastAsia" w:ascii="Times New Roman" w:hAnsi="Times New Roman" w:eastAsia="方正仿宋_GB2312" w:cs="Times New Roman"/>
                <w:b/>
                <w:sz w:val="28"/>
                <w:szCs w:val="28"/>
                <w:highlight w:val="none"/>
                <w:lang w:val="en-US" w:eastAsia="zh-CN"/>
              </w:rPr>
              <w:t>20.00</w:t>
            </w:r>
          </w:p>
        </w:tc>
        <w:tc>
          <w:tcPr>
            <w:tcW w:w="2995" w:type="dxa"/>
            <w:tcBorders>
              <w:top w:val="single" w:color="FFFFFF" w:sz="6" w:space="0"/>
              <w:left w:val="single" w:color="FFFFFF" w:sz="6" w:space="0"/>
              <w:bottom w:val="single" w:color="FFFFFF" w:sz="6" w:space="0"/>
              <w:right w:val="single" w:color="FFFFFF" w:sz="4" w:space="0"/>
            </w:tcBorders>
            <w:shd w:val="clear" w:color="auto" w:fill="C0C0C0"/>
            <w:noWrap w:val="0"/>
            <w:vAlign w:val="center"/>
          </w:tcPr>
          <w:p>
            <w:pPr>
              <w:adjustRightInd w:val="0"/>
              <w:snapToGrid w:val="0"/>
              <w:jc w:val="center"/>
              <w:rPr>
                <w:rFonts w:hint="default" w:ascii="Times New Roman" w:hAnsi="Times New Roman" w:eastAsia="方正仿宋_GB2312" w:cs="Times New Roman"/>
                <w:b/>
                <w:sz w:val="28"/>
                <w:szCs w:val="28"/>
                <w:highlight w:val="none"/>
                <w:lang w:val="en-US" w:eastAsia="zh-CN"/>
              </w:rPr>
            </w:pPr>
            <w:r>
              <w:rPr>
                <w:rFonts w:hint="eastAsia" w:ascii="Times New Roman" w:hAnsi="Times New Roman" w:eastAsia="方正仿宋_GB2312" w:cs="Times New Roman"/>
                <w:b/>
                <w:sz w:val="28"/>
                <w:szCs w:val="28"/>
                <w:highlight w:val="none"/>
                <w:lang w:val="en-US" w:eastAsia="zh-CN"/>
              </w:rPr>
              <w:t>1</w:t>
            </w:r>
            <w:r>
              <w:rPr>
                <w:rFonts w:hint="eastAsia" w:ascii="Times New Roman" w:eastAsia="方正仿宋_GB2312" w:cs="Times New Roman"/>
                <w:b/>
                <w:sz w:val="28"/>
                <w:szCs w:val="28"/>
                <w:highlight w:val="none"/>
                <w:lang w:val="en-US" w:eastAsia="zh-CN"/>
              </w:rPr>
              <w:t>8</w:t>
            </w:r>
            <w:r>
              <w:rPr>
                <w:rFonts w:hint="eastAsia" w:ascii="Times New Roman" w:hAnsi="Times New Roman" w:eastAsia="方正仿宋_GB2312" w:cs="Times New Roman"/>
                <w:b/>
                <w:sz w:val="28"/>
                <w:szCs w:val="28"/>
                <w:highlight w:val="none"/>
                <w:lang w:val="en-US" w:eastAsia="zh-CN"/>
              </w:rPr>
              <w:t>.</w:t>
            </w:r>
            <w:r>
              <w:rPr>
                <w:rFonts w:hint="eastAsia" w:ascii="Times New Roman" w:eastAsia="方正仿宋_GB2312" w:cs="Times New Roman"/>
                <w:b/>
                <w:sz w:val="28"/>
                <w:szCs w:val="28"/>
                <w:highlight w:val="none"/>
                <w:lang w:val="en-US" w:eastAsia="zh-CN"/>
              </w:rPr>
              <w:t>92</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shd w:val="clear" w:color="auto" w:fill="C0C0C0"/>
          <w:tblCellMar>
            <w:top w:w="0" w:type="dxa"/>
            <w:left w:w="57" w:type="dxa"/>
            <w:bottom w:w="0" w:type="dxa"/>
            <w:right w:w="57" w:type="dxa"/>
          </w:tblCellMar>
        </w:tblPrEx>
        <w:trPr>
          <w:cantSplit/>
          <w:trHeight w:val="532" w:hRule="atLeast"/>
          <w:jc w:val="center"/>
        </w:trPr>
        <w:tc>
          <w:tcPr>
            <w:tcW w:w="2250" w:type="dxa"/>
            <w:tcBorders>
              <w:top w:val="single" w:color="FFFFFF" w:sz="6" w:space="0"/>
              <w:left w:val="single" w:color="FFFFFF" w:sz="4" w:space="0"/>
              <w:bottom w:val="single" w:color="FFFFFF" w:sz="4" w:space="0"/>
              <w:right w:val="single" w:color="FFFFFF" w:sz="6" w:space="0"/>
            </w:tcBorders>
            <w:shd w:val="clear" w:color="auto" w:fill="C0C0C0"/>
            <w:noWrap w:val="0"/>
            <w:vAlign w:val="center"/>
          </w:tcPr>
          <w:p>
            <w:pPr>
              <w:adjustRightInd w:val="0"/>
              <w:snapToGrid w:val="0"/>
              <w:spacing w:before="120" w:after="60" w:line="300" w:lineRule="auto"/>
              <w:jc w:val="center"/>
              <w:rPr>
                <w:rFonts w:hint="eastAsia" w:ascii="Times New Roman" w:hAnsi="Times New Roman" w:eastAsia="方正仿宋_GB2312" w:cs="Times New Roman"/>
                <w:b/>
                <w:sz w:val="28"/>
                <w:szCs w:val="28"/>
                <w:highlight w:val="none"/>
                <w:lang w:eastAsia="zh-CN"/>
              </w:rPr>
            </w:pPr>
            <w:r>
              <w:rPr>
                <w:rFonts w:ascii="Times New Roman" w:hAnsi="Times New Roman" w:eastAsia="方正仿宋_GB2312" w:cs="Times New Roman"/>
                <w:b/>
                <w:sz w:val="28"/>
                <w:szCs w:val="28"/>
                <w:highlight w:val="none"/>
              </w:rPr>
              <w:t>项目</w:t>
            </w:r>
            <w:r>
              <w:rPr>
                <w:rFonts w:hint="eastAsia" w:ascii="Times New Roman" w:hAnsi="Times New Roman" w:eastAsia="方正仿宋_GB2312" w:cs="Times New Roman"/>
                <w:b/>
                <w:sz w:val="28"/>
                <w:szCs w:val="28"/>
                <w:highlight w:val="none"/>
                <w:lang w:val="en-US" w:eastAsia="zh-CN"/>
              </w:rPr>
              <w:t>产出</w:t>
            </w:r>
          </w:p>
        </w:tc>
        <w:tc>
          <w:tcPr>
            <w:tcW w:w="3240" w:type="dxa"/>
            <w:tcBorders>
              <w:top w:val="single" w:color="FFFFFF" w:sz="6" w:space="0"/>
              <w:left w:val="single" w:color="FFFFFF" w:sz="6" w:space="0"/>
              <w:bottom w:val="single" w:color="FFFFFF" w:sz="4" w:space="0"/>
              <w:right w:val="single" w:color="FFFFFF" w:sz="4" w:space="0"/>
            </w:tcBorders>
            <w:shd w:val="clear" w:color="auto" w:fill="C0C0C0"/>
            <w:noWrap w:val="0"/>
            <w:vAlign w:val="center"/>
          </w:tcPr>
          <w:p>
            <w:pPr>
              <w:adjustRightInd w:val="0"/>
              <w:snapToGrid w:val="0"/>
              <w:jc w:val="center"/>
              <w:rPr>
                <w:rFonts w:hint="default" w:ascii="Times New Roman" w:hAnsi="Times New Roman" w:eastAsia="方正仿宋_GB2312" w:cs="Times New Roman"/>
                <w:b/>
                <w:sz w:val="28"/>
                <w:szCs w:val="28"/>
                <w:highlight w:val="none"/>
                <w:lang w:val="en-US" w:eastAsia="zh-CN"/>
              </w:rPr>
            </w:pPr>
            <w:r>
              <w:rPr>
                <w:rFonts w:hint="eastAsia" w:ascii="Times New Roman" w:hAnsi="Times New Roman" w:eastAsia="方正仿宋_GB2312" w:cs="Times New Roman"/>
                <w:b/>
                <w:sz w:val="28"/>
                <w:szCs w:val="28"/>
                <w:highlight w:val="none"/>
                <w:lang w:val="en-US" w:eastAsia="zh-CN"/>
              </w:rPr>
              <w:t>40.00</w:t>
            </w:r>
          </w:p>
        </w:tc>
        <w:tc>
          <w:tcPr>
            <w:tcW w:w="2995" w:type="dxa"/>
            <w:tcBorders>
              <w:top w:val="single" w:color="FFFFFF" w:sz="6" w:space="0"/>
              <w:left w:val="single" w:color="FFFFFF" w:sz="4" w:space="0"/>
              <w:bottom w:val="single" w:color="FFFFFF" w:sz="4" w:space="0"/>
              <w:right w:val="single" w:color="FFFFFF" w:sz="4" w:space="0"/>
            </w:tcBorders>
            <w:shd w:val="clear" w:color="auto" w:fill="C0C0C0"/>
            <w:noWrap w:val="0"/>
            <w:vAlign w:val="center"/>
          </w:tcPr>
          <w:p>
            <w:pPr>
              <w:adjustRightInd w:val="0"/>
              <w:snapToGrid w:val="0"/>
              <w:jc w:val="center"/>
              <w:rPr>
                <w:rFonts w:hint="default" w:ascii="Times New Roman" w:hAnsi="Times New Roman" w:eastAsia="方正仿宋_GB2312" w:cs="Times New Roman"/>
                <w:b/>
                <w:sz w:val="28"/>
                <w:szCs w:val="28"/>
                <w:highlight w:val="none"/>
                <w:lang w:val="en-US" w:eastAsia="zh-CN"/>
              </w:rPr>
            </w:pPr>
            <w:r>
              <w:rPr>
                <w:rFonts w:hint="eastAsia" w:ascii="Times New Roman" w:hAnsi="Times New Roman" w:eastAsia="方正仿宋_GB2312" w:cs="Times New Roman"/>
                <w:b/>
                <w:sz w:val="28"/>
                <w:szCs w:val="28"/>
                <w:highlight w:val="none"/>
                <w:lang w:val="en-US" w:eastAsia="zh-CN"/>
              </w:rPr>
              <w:t>3</w:t>
            </w:r>
            <w:r>
              <w:rPr>
                <w:rFonts w:hint="eastAsia" w:ascii="Times New Roman" w:eastAsia="方正仿宋_GB2312" w:cs="Times New Roman"/>
                <w:b/>
                <w:sz w:val="28"/>
                <w:szCs w:val="28"/>
                <w:highlight w:val="none"/>
                <w:lang w:val="en-US" w:eastAsia="zh-CN"/>
              </w:rPr>
              <w:t>5</w:t>
            </w:r>
            <w:r>
              <w:rPr>
                <w:rFonts w:hint="eastAsia" w:ascii="Times New Roman" w:hAnsi="Times New Roman" w:eastAsia="方正仿宋_GB2312" w:cs="Times New Roman"/>
                <w:b/>
                <w:sz w:val="28"/>
                <w:szCs w:val="28"/>
                <w:highlight w:val="none"/>
                <w:lang w:val="en-US" w:eastAsia="zh-CN"/>
              </w:rPr>
              <w:t>.</w:t>
            </w:r>
            <w:r>
              <w:rPr>
                <w:rFonts w:hint="eastAsia" w:ascii="Times New Roman" w:eastAsia="方正仿宋_GB2312" w:cs="Times New Roman"/>
                <w:b/>
                <w:sz w:val="28"/>
                <w:szCs w:val="28"/>
                <w:highlight w:val="none"/>
                <w:lang w:val="en-US" w:eastAsia="zh-CN"/>
              </w:rPr>
              <w:t>8</w:t>
            </w:r>
            <w:r>
              <w:rPr>
                <w:rFonts w:hint="eastAsia" w:ascii="Times New Roman" w:hAnsi="Times New Roman" w:eastAsia="方正仿宋_GB2312" w:cs="Times New Roman"/>
                <w:b/>
                <w:sz w:val="28"/>
                <w:szCs w:val="28"/>
                <w:highlight w:val="none"/>
                <w:lang w:val="en-US" w:eastAsia="zh-CN"/>
              </w:rPr>
              <w:t>4</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shd w:val="clear" w:color="auto" w:fill="C0C0C0"/>
          <w:tblCellMar>
            <w:top w:w="0" w:type="dxa"/>
            <w:left w:w="57" w:type="dxa"/>
            <w:bottom w:w="0" w:type="dxa"/>
            <w:right w:w="57" w:type="dxa"/>
          </w:tblCellMar>
        </w:tblPrEx>
        <w:trPr>
          <w:cantSplit/>
          <w:trHeight w:val="532" w:hRule="atLeast"/>
          <w:jc w:val="center"/>
        </w:trPr>
        <w:tc>
          <w:tcPr>
            <w:tcW w:w="2250" w:type="dxa"/>
            <w:tcBorders>
              <w:top w:val="single" w:color="FFFFFF" w:sz="6" w:space="0"/>
              <w:left w:val="single" w:color="FFFFFF" w:sz="4" w:space="0"/>
              <w:bottom w:val="single" w:color="FFFFFF" w:sz="4" w:space="0"/>
              <w:right w:val="single" w:color="FFFFFF" w:sz="6" w:space="0"/>
            </w:tcBorders>
            <w:shd w:val="clear" w:color="auto" w:fill="C0C0C0"/>
            <w:noWrap w:val="0"/>
            <w:vAlign w:val="center"/>
          </w:tcPr>
          <w:p>
            <w:pPr>
              <w:adjustRightInd w:val="0"/>
              <w:snapToGrid w:val="0"/>
              <w:spacing w:before="120" w:after="60" w:line="300" w:lineRule="auto"/>
              <w:jc w:val="center"/>
              <w:rPr>
                <w:rFonts w:hint="default" w:ascii="Times New Roman" w:hAnsi="Times New Roman" w:eastAsia="方正仿宋_GB2312" w:cs="Times New Roman"/>
                <w:b/>
                <w:sz w:val="28"/>
                <w:szCs w:val="28"/>
                <w:highlight w:val="none"/>
                <w:lang w:val="en-US" w:eastAsia="zh-CN"/>
              </w:rPr>
            </w:pPr>
            <w:r>
              <w:rPr>
                <w:rFonts w:hint="eastAsia" w:ascii="Times New Roman" w:hAnsi="Times New Roman" w:eastAsia="方正仿宋_GB2312" w:cs="Times New Roman"/>
                <w:b/>
                <w:sz w:val="28"/>
                <w:szCs w:val="28"/>
                <w:highlight w:val="none"/>
                <w:lang w:val="en-US" w:eastAsia="zh-CN"/>
              </w:rPr>
              <w:t>项目效益</w:t>
            </w:r>
          </w:p>
        </w:tc>
        <w:tc>
          <w:tcPr>
            <w:tcW w:w="3240" w:type="dxa"/>
            <w:tcBorders>
              <w:top w:val="single" w:color="FFFFFF" w:sz="6" w:space="0"/>
              <w:left w:val="single" w:color="FFFFFF" w:sz="6" w:space="0"/>
              <w:bottom w:val="single" w:color="FFFFFF" w:sz="4" w:space="0"/>
              <w:right w:val="single" w:color="FFFFFF" w:sz="4" w:space="0"/>
            </w:tcBorders>
            <w:shd w:val="clear" w:color="auto" w:fill="C0C0C0"/>
            <w:noWrap w:val="0"/>
            <w:vAlign w:val="center"/>
          </w:tcPr>
          <w:p>
            <w:pPr>
              <w:adjustRightInd w:val="0"/>
              <w:snapToGrid w:val="0"/>
              <w:jc w:val="center"/>
              <w:rPr>
                <w:rFonts w:hint="default" w:ascii="Times New Roman" w:hAnsi="Times New Roman" w:eastAsia="方正仿宋_GB2312" w:cs="Times New Roman"/>
                <w:b/>
                <w:sz w:val="28"/>
                <w:szCs w:val="28"/>
                <w:highlight w:val="none"/>
                <w:lang w:val="en-US" w:eastAsia="zh-CN"/>
              </w:rPr>
            </w:pPr>
            <w:r>
              <w:rPr>
                <w:rFonts w:hint="eastAsia" w:ascii="Times New Roman" w:hAnsi="Times New Roman" w:eastAsia="方正仿宋_GB2312" w:cs="Times New Roman"/>
                <w:b/>
                <w:sz w:val="28"/>
                <w:szCs w:val="28"/>
                <w:highlight w:val="none"/>
                <w:lang w:val="en-US" w:eastAsia="zh-CN"/>
              </w:rPr>
              <w:t>30.00</w:t>
            </w:r>
          </w:p>
        </w:tc>
        <w:tc>
          <w:tcPr>
            <w:tcW w:w="2995" w:type="dxa"/>
            <w:tcBorders>
              <w:top w:val="single" w:color="FFFFFF" w:sz="6" w:space="0"/>
              <w:left w:val="single" w:color="FFFFFF" w:sz="4" w:space="0"/>
              <w:bottom w:val="single" w:color="FFFFFF" w:sz="4" w:space="0"/>
              <w:right w:val="single" w:color="FFFFFF" w:sz="4" w:space="0"/>
            </w:tcBorders>
            <w:shd w:val="clear" w:color="auto" w:fill="C0C0C0"/>
            <w:noWrap w:val="0"/>
            <w:vAlign w:val="center"/>
          </w:tcPr>
          <w:p>
            <w:pPr>
              <w:adjustRightInd w:val="0"/>
              <w:snapToGrid w:val="0"/>
              <w:jc w:val="center"/>
              <w:rPr>
                <w:rFonts w:hint="default" w:ascii="Times New Roman" w:hAnsi="Times New Roman" w:eastAsia="方正仿宋_GB2312" w:cs="Times New Roman"/>
                <w:b/>
                <w:sz w:val="28"/>
                <w:szCs w:val="28"/>
                <w:highlight w:val="none"/>
                <w:lang w:val="en-US" w:eastAsia="zh-CN"/>
              </w:rPr>
            </w:pPr>
            <w:r>
              <w:rPr>
                <w:rFonts w:hint="eastAsia" w:ascii="Times New Roman" w:hAnsi="Times New Roman" w:eastAsia="方正仿宋_GB2312" w:cs="Times New Roman"/>
                <w:b/>
                <w:sz w:val="28"/>
                <w:szCs w:val="28"/>
                <w:highlight w:val="none"/>
                <w:lang w:val="en-US" w:eastAsia="zh-CN"/>
              </w:rPr>
              <w:t>2</w:t>
            </w:r>
            <w:r>
              <w:rPr>
                <w:rFonts w:hint="eastAsia" w:ascii="Times New Roman" w:eastAsia="方正仿宋_GB2312" w:cs="Times New Roman"/>
                <w:b/>
                <w:sz w:val="28"/>
                <w:szCs w:val="28"/>
                <w:highlight w:val="none"/>
                <w:lang w:val="en-US" w:eastAsia="zh-CN"/>
              </w:rPr>
              <w:t>7</w:t>
            </w:r>
            <w:r>
              <w:rPr>
                <w:rFonts w:hint="eastAsia" w:ascii="Times New Roman" w:hAnsi="Times New Roman" w:eastAsia="方正仿宋_GB2312" w:cs="Times New Roman"/>
                <w:b/>
                <w:sz w:val="28"/>
                <w:szCs w:val="28"/>
                <w:highlight w:val="none"/>
                <w:lang w:val="en-US" w:eastAsia="zh-CN"/>
              </w:rPr>
              <w:t>.</w:t>
            </w:r>
            <w:r>
              <w:rPr>
                <w:rFonts w:hint="eastAsia" w:ascii="Times New Roman" w:eastAsia="方正仿宋_GB2312" w:cs="Times New Roman"/>
                <w:b/>
                <w:sz w:val="28"/>
                <w:szCs w:val="28"/>
                <w:highlight w:val="none"/>
                <w:lang w:val="en-US" w:eastAsia="zh-CN"/>
              </w:rPr>
              <w:t>6</w:t>
            </w:r>
            <w:r>
              <w:rPr>
                <w:rFonts w:hint="eastAsia" w:ascii="Times New Roman" w:hAnsi="Times New Roman" w:eastAsia="方正仿宋_GB2312" w:cs="Times New Roman"/>
                <w:b/>
                <w:sz w:val="28"/>
                <w:szCs w:val="28"/>
                <w:highlight w:val="none"/>
                <w:lang w:val="en-US" w:eastAsia="zh-CN"/>
              </w:rPr>
              <w:t>0</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shd w:val="clear" w:color="auto" w:fill="C0C0C0"/>
          <w:tblCellMar>
            <w:top w:w="0" w:type="dxa"/>
            <w:left w:w="57" w:type="dxa"/>
            <w:bottom w:w="0" w:type="dxa"/>
            <w:right w:w="57" w:type="dxa"/>
          </w:tblCellMar>
        </w:tblPrEx>
        <w:trPr>
          <w:cantSplit/>
          <w:trHeight w:val="765" w:hRule="atLeast"/>
          <w:jc w:val="center"/>
        </w:trPr>
        <w:tc>
          <w:tcPr>
            <w:tcW w:w="2250" w:type="dxa"/>
            <w:tcBorders>
              <w:top w:val="single" w:color="FFFFFF" w:sz="4" w:space="0"/>
              <w:left w:val="single" w:color="FFFFFF" w:sz="4" w:space="0"/>
              <w:bottom w:val="single" w:color="FFFFFF" w:sz="4" w:space="0"/>
              <w:right w:val="single" w:color="FFFFFF" w:sz="6" w:space="0"/>
            </w:tcBorders>
            <w:shd w:val="clear" w:color="auto" w:fill="C0C0C0"/>
            <w:noWrap w:val="0"/>
            <w:vAlign w:val="center"/>
          </w:tcPr>
          <w:p>
            <w:pPr>
              <w:adjustRightInd w:val="0"/>
              <w:snapToGrid w:val="0"/>
              <w:spacing w:before="120" w:after="60" w:line="300" w:lineRule="auto"/>
              <w:jc w:val="center"/>
              <w:rPr>
                <w:rFonts w:ascii="Times New Roman" w:hAnsi="Times New Roman" w:eastAsia="方正仿宋_GB2312" w:cs="Times New Roman"/>
                <w:b/>
                <w:sz w:val="28"/>
                <w:szCs w:val="28"/>
                <w:highlight w:val="none"/>
              </w:rPr>
            </w:pPr>
            <w:r>
              <w:rPr>
                <w:rFonts w:ascii="Times New Roman" w:hAnsi="Times New Roman" w:eastAsia="方正仿宋_GB2312" w:cs="Times New Roman"/>
                <w:b/>
                <w:sz w:val="28"/>
                <w:szCs w:val="28"/>
                <w:highlight w:val="none"/>
              </w:rPr>
              <w:t>综合得分</w:t>
            </w:r>
          </w:p>
        </w:tc>
        <w:tc>
          <w:tcPr>
            <w:tcW w:w="3240" w:type="dxa"/>
            <w:tcBorders>
              <w:top w:val="single" w:color="FFFFFF" w:sz="4" w:space="0"/>
              <w:left w:val="single" w:color="FFFFFF" w:sz="6" w:space="0"/>
              <w:bottom w:val="single" w:color="FFFFFF" w:sz="4" w:space="0"/>
              <w:right w:val="single" w:color="FFFFFF" w:sz="4" w:space="0"/>
            </w:tcBorders>
            <w:shd w:val="clear" w:color="auto" w:fill="C0C0C0"/>
            <w:noWrap w:val="0"/>
            <w:vAlign w:val="center"/>
          </w:tcPr>
          <w:p>
            <w:pPr>
              <w:adjustRightInd w:val="0"/>
              <w:snapToGrid w:val="0"/>
              <w:jc w:val="center"/>
              <w:rPr>
                <w:rFonts w:ascii="Times New Roman" w:hAnsi="Times New Roman" w:eastAsia="方正仿宋_GB2312" w:cs="Times New Roman"/>
                <w:b/>
                <w:sz w:val="28"/>
                <w:szCs w:val="28"/>
                <w:highlight w:val="none"/>
              </w:rPr>
            </w:pPr>
            <w:r>
              <w:rPr>
                <w:rFonts w:ascii="Times New Roman" w:hAnsi="Times New Roman" w:eastAsia="方正仿宋_GB2312" w:cs="Times New Roman"/>
                <w:b/>
                <w:sz w:val="28"/>
                <w:szCs w:val="28"/>
                <w:highlight w:val="none"/>
              </w:rPr>
              <w:t>100.00</w:t>
            </w:r>
          </w:p>
        </w:tc>
        <w:tc>
          <w:tcPr>
            <w:tcW w:w="2995" w:type="dxa"/>
            <w:tcBorders>
              <w:top w:val="single" w:color="FFFFFF" w:sz="4" w:space="0"/>
              <w:left w:val="single" w:color="FFFFFF" w:sz="4" w:space="0"/>
              <w:bottom w:val="single" w:color="FFFFFF" w:sz="4" w:space="0"/>
              <w:right w:val="single" w:color="FFFFFF" w:sz="4" w:space="0"/>
            </w:tcBorders>
            <w:shd w:val="clear" w:color="auto" w:fill="C0C0C0"/>
            <w:noWrap w:val="0"/>
            <w:vAlign w:val="center"/>
          </w:tcPr>
          <w:p>
            <w:pPr>
              <w:adjustRightInd w:val="0"/>
              <w:snapToGrid w:val="0"/>
              <w:jc w:val="center"/>
              <w:rPr>
                <w:rFonts w:hint="default" w:ascii="Times New Roman" w:hAnsi="Times New Roman" w:eastAsia="方正仿宋_GB2312" w:cs="Times New Roman"/>
                <w:b/>
                <w:sz w:val="28"/>
                <w:szCs w:val="28"/>
                <w:highlight w:val="none"/>
                <w:lang w:val="en-US" w:eastAsia="zh-CN"/>
              </w:rPr>
            </w:pPr>
            <w:r>
              <w:rPr>
                <w:rFonts w:hint="eastAsia" w:ascii="Times New Roman" w:hAnsi="Times New Roman" w:eastAsia="方正仿宋_GB2312" w:cs="Times New Roman"/>
                <w:b/>
                <w:sz w:val="28"/>
                <w:szCs w:val="28"/>
                <w:highlight w:val="none"/>
                <w:lang w:val="en-US" w:eastAsia="zh-CN"/>
              </w:rPr>
              <w:t>9</w:t>
            </w:r>
            <w:r>
              <w:rPr>
                <w:rFonts w:hint="eastAsia" w:ascii="Times New Roman" w:eastAsia="方正仿宋_GB2312" w:cs="Times New Roman"/>
                <w:b/>
                <w:sz w:val="28"/>
                <w:szCs w:val="28"/>
                <w:highlight w:val="none"/>
                <w:lang w:val="en-US" w:eastAsia="zh-CN"/>
              </w:rPr>
              <w:t>1</w:t>
            </w:r>
            <w:r>
              <w:rPr>
                <w:rFonts w:hint="eastAsia" w:ascii="Times New Roman" w:hAnsi="Times New Roman" w:eastAsia="方正仿宋_GB2312" w:cs="Times New Roman"/>
                <w:b/>
                <w:sz w:val="28"/>
                <w:szCs w:val="28"/>
                <w:highlight w:val="none"/>
                <w:lang w:val="en-US" w:eastAsia="zh-CN"/>
              </w:rPr>
              <w:t>.</w:t>
            </w:r>
            <w:r>
              <w:rPr>
                <w:rFonts w:hint="eastAsia" w:ascii="Times New Roman" w:eastAsia="方正仿宋_GB2312" w:cs="Times New Roman"/>
                <w:b/>
                <w:sz w:val="28"/>
                <w:szCs w:val="28"/>
                <w:highlight w:val="none"/>
                <w:lang w:val="en-US" w:eastAsia="zh-CN"/>
              </w:rPr>
              <w:t>31</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shd w:val="clear" w:color="auto" w:fill="C0C0C0"/>
          <w:tblCellMar>
            <w:top w:w="0" w:type="dxa"/>
            <w:left w:w="57" w:type="dxa"/>
            <w:bottom w:w="0" w:type="dxa"/>
            <w:right w:w="57" w:type="dxa"/>
          </w:tblCellMar>
        </w:tblPrEx>
        <w:trPr>
          <w:cantSplit/>
          <w:trHeight w:val="790" w:hRule="atLeast"/>
          <w:jc w:val="center"/>
        </w:trPr>
        <w:tc>
          <w:tcPr>
            <w:tcW w:w="2250" w:type="dxa"/>
            <w:tcBorders>
              <w:top w:val="single" w:color="FFFFFF" w:sz="4" w:space="0"/>
              <w:left w:val="single" w:color="FFFFFF" w:sz="4" w:space="0"/>
              <w:bottom w:val="single" w:color="FFFFFF" w:sz="4" w:space="0"/>
              <w:right w:val="single" w:color="FFFFFF" w:sz="6" w:space="0"/>
            </w:tcBorders>
            <w:shd w:val="clear" w:color="auto" w:fill="C0C0C0"/>
            <w:noWrap w:val="0"/>
            <w:vAlign w:val="center"/>
          </w:tcPr>
          <w:p>
            <w:pPr>
              <w:adjustRightInd w:val="0"/>
              <w:snapToGrid w:val="0"/>
              <w:spacing w:before="120" w:after="60" w:line="300" w:lineRule="auto"/>
              <w:jc w:val="center"/>
              <w:rPr>
                <w:rFonts w:ascii="Times New Roman" w:hAnsi="Times New Roman" w:eastAsia="方正仿宋_GB2312" w:cs="Times New Roman"/>
                <w:b/>
                <w:sz w:val="28"/>
                <w:szCs w:val="28"/>
              </w:rPr>
            </w:pPr>
            <w:r>
              <w:rPr>
                <w:rFonts w:ascii="Times New Roman" w:hAnsi="Times New Roman" w:eastAsia="方正仿宋_GB2312" w:cs="Times New Roman"/>
                <w:b/>
                <w:sz w:val="28"/>
                <w:szCs w:val="28"/>
              </w:rPr>
              <w:t>绩效评定级别</w:t>
            </w:r>
          </w:p>
        </w:tc>
        <w:tc>
          <w:tcPr>
            <w:tcW w:w="6235" w:type="dxa"/>
            <w:gridSpan w:val="2"/>
            <w:tcBorders>
              <w:top w:val="single" w:color="FFFFFF" w:sz="4" w:space="0"/>
              <w:left w:val="single" w:color="FFFFFF" w:sz="6" w:space="0"/>
              <w:bottom w:val="single" w:color="FFFFFF" w:sz="4" w:space="0"/>
              <w:right w:val="single" w:color="FFFFFF" w:sz="4" w:space="0"/>
            </w:tcBorders>
            <w:shd w:val="clear" w:color="auto" w:fill="C0C0C0"/>
            <w:noWrap w:val="0"/>
            <w:vAlign w:val="center"/>
          </w:tcPr>
          <w:p>
            <w:pPr>
              <w:adjustRightInd w:val="0"/>
              <w:snapToGrid w:val="0"/>
              <w:jc w:val="center"/>
              <w:rPr>
                <w:rFonts w:ascii="Times New Roman" w:hAnsi="Times New Roman" w:eastAsia="方正仿宋_GB2312" w:cs="Times New Roman"/>
                <w:b/>
                <w:sz w:val="28"/>
                <w:szCs w:val="28"/>
              </w:rPr>
            </w:pPr>
            <w:r>
              <w:rPr>
                <w:rFonts w:hint="eastAsia" w:ascii="Times New Roman" w:hAnsi="Times New Roman" w:eastAsia="方正仿宋_GB2312" w:cs="Times New Roman"/>
                <w:b/>
                <w:sz w:val="28"/>
                <w:szCs w:val="28"/>
              </w:rPr>
              <w:t>优</w:t>
            </w:r>
          </w:p>
        </w:tc>
      </w:tr>
    </w:tbl>
    <w:p>
      <w:pPr>
        <w:snapToGrid w:val="0"/>
        <w:spacing w:line="360" w:lineRule="auto"/>
        <w:jc w:val="center"/>
        <w:rPr>
          <w:rFonts w:hint="eastAsia" w:ascii="黑体" w:hAnsi="黑体" w:eastAsia="黑体"/>
          <w:sz w:val="28"/>
          <w:szCs w:val="28"/>
        </w:rPr>
      </w:pPr>
    </w:p>
    <w:p>
      <w:pPr>
        <w:wordWrap/>
        <w:adjustRightInd w:val="0"/>
        <w:snapToGrid w:val="0"/>
        <w:spacing w:line="360" w:lineRule="auto"/>
        <w:ind w:firstLine="640" w:firstLineChars="200"/>
        <w:outlineLvl w:val="0"/>
        <w:rPr>
          <w:rFonts w:ascii="Times New Roman" w:eastAsia="黑体"/>
          <w:sz w:val="32"/>
        </w:rPr>
      </w:pPr>
      <w:bookmarkStart w:id="59" w:name="_Toc7758"/>
      <w:bookmarkStart w:id="60" w:name="_Toc20820"/>
      <w:r>
        <w:rPr>
          <w:rFonts w:hint="eastAsia" w:ascii="Times New Roman" w:eastAsia="黑体"/>
          <w:sz w:val="32"/>
        </w:rPr>
        <w:t>四、绩效评价指标分析</w:t>
      </w:r>
      <w:bookmarkEnd w:id="49"/>
      <w:bookmarkEnd w:id="50"/>
      <w:bookmarkEnd w:id="51"/>
      <w:bookmarkEnd w:id="52"/>
      <w:bookmarkEnd w:id="59"/>
      <w:bookmarkEnd w:id="60"/>
    </w:p>
    <w:p>
      <w:pPr>
        <w:wordWrap/>
        <w:adjustRightInd w:val="0"/>
        <w:snapToGrid w:val="0"/>
        <w:spacing w:line="360" w:lineRule="auto"/>
        <w:ind w:firstLine="640" w:firstLineChars="200"/>
        <w:outlineLvl w:val="1"/>
        <w:rPr>
          <w:rFonts w:ascii="Times New Roman" w:eastAsia="楷体_GB2312"/>
          <w:sz w:val="32"/>
        </w:rPr>
      </w:pPr>
      <w:bookmarkStart w:id="61" w:name="_Toc336506897"/>
      <w:bookmarkStart w:id="62" w:name="_Toc336506962"/>
      <w:bookmarkStart w:id="63" w:name="_Toc4841"/>
      <w:bookmarkStart w:id="64" w:name="_Toc7675"/>
      <w:bookmarkStart w:id="65" w:name="_Toc28953"/>
      <w:bookmarkStart w:id="66" w:name="_Toc31052"/>
      <w:r>
        <w:rPr>
          <w:rFonts w:hint="eastAsia" w:ascii="Times New Roman" w:eastAsia="楷体_GB2312"/>
          <w:sz w:val="32"/>
        </w:rPr>
        <w:t>（一）项目</w:t>
      </w:r>
      <w:bookmarkEnd w:id="61"/>
      <w:bookmarkEnd w:id="62"/>
      <w:bookmarkEnd w:id="63"/>
      <w:bookmarkEnd w:id="64"/>
      <w:r>
        <w:rPr>
          <w:rFonts w:hint="eastAsia" w:ascii="Times New Roman" w:eastAsia="楷体_GB2312"/>
          <w:sz w:val="32"/>
        </w:rPr>
        <w:t>决策情况</w:t>
      </w:r>
      <w:bookmarkEnd w:id="65"/>
      <w:bookmarkEnd w:id="66"/>
    </w:p>
    <w:p>
      <w:pPr>
        <w:suppressAutoHyphens/>
        <w:wordWrap/>
        <w:adjustRightInd w:val="0"/>
        <w:snapToGrid w:val="0"/>
        <w:spacing w:line="360" w:lineRule="auto"/>
        <w:ind w:firstLine="640" w:firstLineChars="200"/>
        <w:outlineLvl w:val="2"/>
        <w:rPr>
          <w:sz w:val="32"/>
        </w:rPr>
      </w:pPr>
      <w:r>
        <w:rPr>
          <w:rFonts w:hint="eastAsia"/>
          <w:sz w:val="32"/>
        </w:rPr>
        <w:t>1.项目立项</w:t>
      </w:r>
    </w:p>
    <w:p>
      <w:pPr>
        <w:suppressAutoHyphens/>
        <w:wordWrap/>
        <w:adjustRightInd w:val="0"/>
        <w:snapToGrid w:val="0"/>
        <w:spacing w:line="360" w:lineRule="auto"/>
        <w:ind w:firstLine="640" w:firstLineChars="200"/>
        <w:rPr>
          <w:sz w:val="32"/>
        </w:rPr>
      </w:pPr>
      <w:r>
        <w:rPr>
          <w:rFonts w:hint="eastAsia"/>
          <w:sz w:val="32"/>
        </w:rPr>
        <w:t>（1）立项依据充分性</w:t>
      </w:r>
    </w:p>
    <w:p>
      <w:pPr>
        <w:tabs>
          <w:tab w:val="left" w:pos="7230"/>
        </w:tabs>
        <w:wordWrap/>
        <w:adjustRightInd w:val="0"/>
        <w:snapToGrid w:val="0"/>
        <w:spacing w:line="360" w:lineRule="auto"/>
        <w:ind w:firstLine="640" w:firstLineChars="200"/>
        <w:rPr>
          <w:rFonts w:hint="eastAsia"/>
          <w:sz w:val="32"/>
        </w:rPr>
      </w:pPr>
      <w:r>
        <w:rPr>
          <w:rFonts w:hint="eastAsia"/>
          <w:sz w:val="32"/>
        </w:rPr>
        <w:t>根据原国家安监总局令第30号《特种作业人员安全技术培训考核管理规定》要求，对从事特种作业及高危行业的从业人员，必须通过考试领取相关证件后方可持证上岗。通过特种作业人员考核工作可以起到提高特种作业从业人员技能水平，起到以考促培、以考促训的目的。2023年特种作业人员安全技术考核考务费主要拨付内容包括报名费、理论考试考务费和实操考试考务费，内容符合北京市安全生产考试现状，紧贴安全应急领域工作重点。结合各区实际考量和特种作业类别划分，目前全市共设置37个安全生产考试点。各考试点的认定需经过区应急局推荐，考试中心按照《北京市安全生产资格考试点建设标准》开展实地验收，验收通过后可承担具体考试工作。</w:t>
      </w:r>
    </w:p>
    <w:p>
      <w:pPr>
        <w:tabs>
          <w:tab w:val="left" w:pos="7230"/>
        </w:tabs>
        <w:wordWrap/>
        <w:adjustRightInd w:val="0"/>
        <w:snapToGrid w:val="0"/>
        <w:spacing w:line="360" w:lineRule="auto"/>
        <w:ind w:firstLine="640" w:firstLineChars="200"/>
        <w:rPr>
          <w:rFonts w:hint="default" w:eastAsia="仿宋_GB2312"/>
          <w:sz w:val="32"/>
          <w:highlight w:val="none"/>
          <w:lang w:val="en-US" w:eastAsia="zh-CN"/>
        </w:rPr>
      </w:pPr>
      <w:r>
        <w:rPr>
          <w:rFonts w:hint="eastAsia"/>
          <w:sz w:val="32"/>
          <w:highlight w:val="none"/>
          <w:lang w:val="en-US" w:eastAsia="zh-CN"/>
        </w:rPr>
        <w:t>评价认为项目缺少“顶层”设计，局本级本项目十四规划、2023年工作计划，项目与中长期规划、工作计划“粘性”不足。可研报告的完整性不足，包含要素不完整，如：该项目前期情况梳理，考试合格人数、岗位分布情况，行业人才短缺“缺口”等，对于已有情况以及考试实现目标阐述不足。</w:t>
      </w:r>
    </w:p>
    <w:p>
      <w:pPr>
        <w:suppressAutoHyphens/>
        <w:wordWrap/>
        <w:adjustRightInd w:val="0"/>
        <w:snapToGrid w:val="0"/>
        <w:spacing w:line="360" w:lineRule="auto"/>
        <w:ind w:firstLine="640" w:firstLineChars="200"/>
        <w:rPr>
          <w:sz w:val="32"/>
        </w:rPr>
      </w:pPr>
      <w:r>
        <w:rPr>
          <w:rFonts w:hint="eastAsia"/>
          <w:sz w:val="32"/>
        </w:rPr>
        <w:t>（2）立项程序规范性</w:t>
      </w:r>
    </w:p>
    <w:p>
      <w:pPr>
        <w:wordWrap/>
        <w:adjustRightInd w:val="0"/>
        <w:snapToGrid w:val="0"/>
        <w:spacing w:line="360" w:lineRule="auto"/>
        <w:ind w:firstLine="560"/>
        <w:rPr>
          <w:rFonts w:hint="eastAsia"/>
          <w:sz w:val="32"/>
          <w:highlight w:val="none"/>
        </w:rPr>
      </w:pPr>
      <w:r>
        <w:rPr>
          <w:rFonts w:hint="eastAsia"/>
          <w:sz w:val="32"/>
        </w:rPr>
        <w:t>项目根据北京市应急管理局内设机构及职能分工，具体工作由</w:t>
      </w:r>
      <w:r>
        <w:rPr>
          <w:rFonts w:hint="eastAsia"/>
          <w:sz w:val="32"/>
          <w:lang w:val="en-US" w:eastAsia="zh-CN"/>
        </w:rPr>
        <w:t>应急研究院</w:t>
      </w:r>
      <w:r>
        <w:rPr>
          <w:rFonts w:hint="eastAsia"/>
          <w:sz w:val="32"/>
        </w:rPr>
        <w:t>组织实施。项目立项阶段，</w:t>
      </w:r>
      <w:r>
        <w:rPr>
          <w:rFonts w:hint="eastAsia"/>
          <w:sz w:val="32"/>
          <w:lang w:val="en-US" w:eastAsia="zh-CN"/>
        </w:rPr>
        <w:t>应急研究院</w:t>
      </w:r>
      <w:r>
        <w:rPr>
          <w:rFonts w:hint="eastAsia"/>
          <w:sz w:val="32"/>
          <w:highlight w:val="none"/>
        </w:rPr>
        <w:t>在</w:t>
      </w:r>
      <w:r>
        <w:rPr>
          <w:rFonts w:hint="eastAsia"/>
          <w:sz w:val="32"/>
          <w:highlight w:val="none"/>
          <w:lang w:val="en-US" w:eastAsia="zh-CN"/>
        </w:rPr>
        <w:t>充分调研、科学测算的</w:t>
      </w:r>
      <w:r>
        <w:rPr>
          <w:rFonts w:hint="eastAsia"/>
          <w:sz w:val="32"/>
          <w:highlight w:val="none"/>
        </w:rPr>
        <w:t>工作基础上，研究、确定了项目初步内容和预算。</w:t>
      </w:r>
      <w:r>
        <w:rPr>
          <w:rFonts w:hint="eastAsia"/>
          <w:sz w:val="32"/>
          <w:szCs w:val="24"/>
          <w:highlight w:val="none"/>
        </w:rPr>
        <w:t>项目立项经过预算评审、专家可行性论证</w:t>
      </w:r>
      <w:r>
        <w:rPr>
          <w:rFonts w:hint="eastAsia"/>
          <w:sz w:val="32"/>
          <w:szCs w:val="24"/>
          <w:highlight w:val="none"/>
          <w:lang w:eastAsia="zh-CN"/>
        </w:rPr>
        <w:t>、</w:t>
      </w:r>
      <w:r>
        <w:rPr>
          <w:rFonts w:hint="eastAsia"/>
          <w:sz w:val="32"/>
          <w:szCs w:val="24"/>
          <w:highlight w:val="none"/>
          <w:lang w:val="en-US" w:eastAsia="zh-CN"/>
        </w:rPr>
        <w:t>事前绩效评估</w:t>
      </w:r>
      <w:r>
        <w:rPr>
          <w:rFonts w:hint="eastAsia"/>
          <w:sz w:val="32"/>
          <w:szCs w:val="24"/>
          <w:highlight w:val="none"/>
        </w:rPr>
        <w:t>后，形成项目申报书、绩效目标表、预算明细等预算申报材料，经财政“二上二下”申报、审核、批复程序后正式立项，</w:t>
      </w:r>
      <w:r>
        <w:rPr>
          <w:rFonts w:hint="eastAsia"/>
          <w:sz w:val="32"/>
          <w:highlight w:val="none"/>
        </w:rPr>
        <w:t>项目立项程序较规范。</w:t>
      </w:r>
    </w:p>
    <w:p>
      <w:pPr>
        <w:wordWrap/>
        <w:adjustRightInd w:val="0"/>
        <w:snapToGrid w:val="0"/>
        <w:spacing w:line="360" w:lineRule="auto"/>
        <w:ind w:firstLine="560"/>
        <w:rPr>
          <w:sz w:val="32"/>
        </w:rPr>
      </w:pPr>
      <w:r>
        <w:rPr>
          <w:rFonts w:hint="eastAsia"/>
          <w:sz w:val="32"/>
          <w:highlight w:val="none"/>
        </w:rPr>
        <w:t>评价发现，项目单位需求论证工作尚有</w:t>
      </w:r>
      <w:r>
        <w:rPr>
          <w:rFonts w:hint="eastAsia"/>
          <w:sz w:val="32"/>
        </w:rPr>
        <w:t>不足，项目申报书中需求调查与</w:t>
      </w:r>
      <w:r>
        <w:rPr>
          <w:rFonts w:hint="eastAsia"/>
          <w:sz w:val="32"/>
          <w:lang w:val="en-US" w:eastAsia="zh-CN"/>
        </w:rPr>
        <w:t>需求</w:t>
      </w:r>
      <w:r>
        <w:rPr>
          <w:rFonts w:hint="eastAsia"/>
          <w:sz w:val="32"/>
        </w:rPr>
        <w:t>分析</w:t>
      </w:r>
      <w:r>
        <w:rPr>
          <w:rFonts w:hint="eastAsia"/>
          <w:sz w:val="32"/>
          <w:lang w:val="en-US" w:eastAsia="zh-CN"/>
        </w:rPr>
        <w:t>阐述不够充分</w:t>
      </w:r>
      <w:r>
        <w:rPr>
          <w:rFonts w:hint="eastAsia"/>
          <w:sz w:val="32"/>
        </w:rPr>
        <w:t>。</w:t>
      </w:r>
    </w:p>
    <w:p>
      <w:pPr>
        <w:suppressAutoHyphens/>
        <w:wordWrap/>
        <w:adjustRightInd w:val="0"/>
        <w:snapToGrid w:val="0"/>
        <w:spacing w:line="360" w:lineRule="auto"/>
        <w:ind w:firstLine="640" w:firstLineChars="200"/>
        <w:outlineLvl w:val="2"/>
        <w:rPr>
          <w:sz w:val="32"/>
        </w:rPr>
      </w:pPr>
      <w:r>
        <w:rPr>
          <w:rFonts w:hint="eastAsia"/>
          <w:sz w:val="32"/>
        </w:rPr>
        <w:t>2.绩效目标</w:t>
      </w:r>
    </w:p>
    <w:p>
      <w:pPr>
        <w:suppressAutoHyphens/>
        <w:wordWrap/>
        <w:adjustRightInd w:val="0"/>
        <w:snapToGrid w:val="0"/>
        <w:spacing w:line="360" w:lineRule="auto"/>
        <w:ind w:firstLine="640" w:firstLineChars="200"/>
        <w:rPr>
          <w:rFonts w:cs="仿宋_GB2312"/>
          <w:sz w:val="32"/>
          <w:szCs w:val="32"/>
        </w:rPr>
      </w:pPr>
      <w:r>
        <w:rPr>
          <w:rFonts w:hint="eastAsia" w:cs="仿宋_GB2312"/>
          <w:sz w:val="32"/>
          <w:szCs w:val="32"/>
        </w:rPr>
        <w:t>（1）绩效目标合理性</w:t>
      </w:r>
    </w:p>
    <w:p>
      <w:pPr>
        <w:suppressAutoHyphens/>
        <w:wordWrap/>
        <w:adjustRightInd w:val="0"/>
        <w:snapToGrid w:val="0"/>
        <w:spacing w:line="360" w:lineRule="auto"/>
        <w:ind w:firstLine="640" w:firstLineChars="200"/>
        <w:rPr>
          <w:rFonts w:cs="仿宋_GB2312"/>
          <w:sz w:val="32"/>
          <w:szCs w:val="32"/>
        </w:rPr>
      </w:pPr>
      <w:r>
        <w:rPr>
          <w:rFonts w:hint="eastAsia" w:cs="仿宋_GB2312"/>
          <w:sz w:val="32"/>
          <w:szCs w:val="32"/>
        </w:rPr>
        <w:t>项目单位根据2</w:t>
      </w:r>
      <w:r>
        <w:rPr>
          <w:rFonts w:cs="仿宋_GB2312"/>
          <w:sz w:val="32"/>
          <w:szCs w:val="32"/>
        </w:rPr>
        <w:t>02</w:t>
      </w:r>
      <w:r>
        <w:rPr>
          <w:rFonts w:hint="eastAsia" w:cs="仿宋_GB2312"/>
          <w:sz w:val="32"/>
          <w:szCs w:val="32"/>
          <w:lang w:val="en-US" w:eastAsia="zh-CN"/>
        </w:rPr>
        <w:t>3</w:t>
      </w:r>
      <w:r>
        <w:rPr>
          <w:rFonts w:hint="eastAsia" w:cs="仿宋_GB2312"/>
          <w:sz w:val="32"/>
          <w:szCs w:val="32"/>
        </w:rPr>
        <w:t>年度工作任务、总体实施计划，设定了年度目标，绩效目标较为清晰、合理，与实际工作内容密切相关，但作为跨年项目，目标内容的年度边界不够清晰，预期产出效益和效果描述有待进一步完善。</w:t>
      </w:r>
    </w:p>
    <w:p>
      <w:pPr>
        <w:suppressAutoHyphens/>
        <w:wordWrap/>
        <w:adjustRightInd w:val="0"/>
        <w:snapToGrid w:val="0"/>
        <w:spacing w:line="360" w:lineRule="auto"/>
        <w:ind w:firstLine="640" w:firstLineChars="200"/>
        <w:rPr>
          <w:sz w:val="32"/>
        </w:rPr>
      </w:pPr>
      <w:r>
        <w:rPr>
          <w:rFonts w:hint="eastAsia"/>
          <w:sz w:val="32"/>
        </w:rPr>
        <w:t>（2）绩效指标明确性</w:t>
      </w:r>
    </w:p>
    <w:p>
      <w:pPr>
        <w:adjustRightInd w:val="0"/>
        <w:snapToGrid w:val="0"/>
        <w:spacing w:line="360" w:lineRule="auto"/>
        <w:ind w:firstLine="640" w:firstLineChars="200"/>
        <w:rPr>
          <w:rFonts w:hAnsi="Calibri"/>
          <w:sz w:val="32"/>
          <w:szCs w:val="32"/>
        </w:rPr>
      </w:pPr>
      <w:r>
        <w:rPr>
          <w:rFonts w:hint="eastAsia"/>
          <w:sz w:val="32"/>
        </w:rPr>
        <w:t>项目单位在年度绩效目标的基础上，从产出数量、质量、时效、成本、效益及服务对象满意度多个维度对绩效目标进行了分解。但指标设置的科学性仍需进一步提升：</w:t>
      </w:r>
      <w:r>
        <w:rPr>
          <w:rFonts w:hint="eastAsia"/>
          <w:b/>
          <w:sz w:val="32"/>
          <w:lang w:val="en-US" w:eastAsia="zh-CN"/>
        </w:rPr>
        <w:t>一</w:t>
      </w:r>
      <w:r>
        <w:rPr>
          <w:rFonts w:hint="eastAsia"/>
          <w:b/>
          <w:sz w:val="32"/>
        </w:rPr>
        <w:t>是</w:t>
      </w:r>
      <w:r>
        <w:rPr>
          <w:rFonts w:hint="eastAsia"/>
          <w:bCs/>
          <w:sz w:val="32"/>
        </w:rPr>
        <w:t>部分指标可考核性不强，</w:t>
      </w:r>
      <w:r>
        <w:rPr>
          <w:rFonts w:hint="eastAsia"/>
          <w:bCs/>
          <w:sz w:val="32"/>
          <w:lang w:val="en-US" w:eastAsia="zh-CN"/>
        </w:rPr>
        <w:t>例如：质量</w:t>
      </w:r>
      <w:r>
        <w:rPr>
          <w:rFonts w:hint="eastAsia"/>
          <w:bCs/>
          <w:sz w:val="32"/>
        </w:rPr>
        <w:t>指标“考务费拨付”</w:t>
      </w:r>
      <w:r>
        <w:rPr>
          <w:rFonts w:hint="eastAsia"/>
          <w:bCs/>
          <w:sz w:val="32"/>
          <w:lang w:eastAsia="zh-CN"/>
        </w:rPr>
        <w:t>、社会效益指标“通过严格考务组织，严肃考试纪律，强化特种作业人员安全意识和安全技术，预防和减少生产安全事故。”</w:t>
      </w:r>
      <w:r>
        <w:rPr>
          <w:rFonts w:hint="eastAsia"/>
          <w:bCs/>
          <w:sz w:val="32"/>
          <w:lang w:val="en-US" w:eastAsia="zh-CN"/>
        </w:rPr>
        <w:t>等，</w:t>
      </w:r>
      <w:r>
        <w:rPr>
          <w:rFonts w:hint="eastAsia"/>
          <w:bCs/>
          <w:sz w:val="32"/>
        </w:rPr>
        <w:t>较难量化，</w:t>
      </w:r>
      <w:r>
        <w:rPr>
          <w:rFonts w:hint="eastAsia" w:cs="仿宋_GB2312"/>
          <w:sz w:val="32"/>
          <w:szCs w:val="32"/>
        </w:rPr>
        <w:t>影响后期效益完成程序的评判。</w:t>
      </w:r>
    </w:p>
    <w:p>
      <w:pPr>
        <w:suppressAutoHyphens/>
        <w:wordWrap/>
        <w:adjustRightInd w:val="0"/>
        <w:snapToGrid w:val="0"/>
        <w:spacing w:line="360" w:lineRule="auto"/>
        <w:ind w:firstLine="640" w:firstLineChars="200"/>
        <w:outlineLvl w:val="2"/>
        <w:rPr>
          <w:sz w:val="32"/>
        </w:rPr>
      </w:pPr>
      <w:r>
        <w:rPr>
          <w:rFonts w:hint="eastAsia"/>
          <w:sz w:val="32"/>
        </w:rPr>
        <w:t>3.资金投入</w:t>
      </w:r>
    </w:p>
    <w:p>
      <w:pPr>
        <w:suppressAutoHyphens/>
        <w:wordWrap/>
        <w:adjustRightInd w:val="0"/>
        <w:snapToGrid w:val="0"/>
        <w:spacing w:line="360" w:lineRule="auto"/>
        <w:ind w:firstLine="640" w:firstLineChars="200"/>
        <w:rPr>
          <w:rFonts w:cs="仿宋_GB2312"/>
          <w:sz w:val="32"/>
          <w:szCs w:val="32"/>
        </w:rPr>
      </w:pPr>
      <w:r>
        <w:rPr>
          <w:rFonts w:hint="eastAsia" w:cs="仿宋_GB2312"/>
          <w:sz w:val="32"/>
          <w:szCs w:val="32"/>
        </w:rPr>
        <w:t>（1）预算编制科学性</w:t>
      </w:r>
    </w:p>
    <w:p>
      <w:pPr>
        <w:adjustRightInd w:val="0"/>
        <w:snapToGrid w:val="0"/>
        <w:spacing w:line="360" w:lineRule="auto"/>
        <w:ind w:firstLine="640" w:firstLineChars="200"/>
        <w:rPr>
          <w:rFonts w:hAnsi="宋体"/>
          <w:sz w:val="32"/>
          <w:szCs w:val="32"/>
        </w:rPr>
      </w:pPr>
      <w:r>
        <w:rPr>
          <w:rFonts w:hint="eastAsia"/>
          <w:sz w:val="32"/>
        </w:rPr>
        <w:t>项目预算经预算评审</w:t>
      </w:r>
      <w:r>
        <w:rPr>
          <w:rFonts w:hint="eastAsia"/>
          <w:sz w:val="32"/>
          <w:szCs w:val="32"/>
        </w:rPr>
        <w:t>，预算测算标准基本明确，资金额度与项目年度目标相适应。但评价发现，项目</w:t>
      </w:r>
      <w:r>
        <w:rPr>
          <w:rFonts w:hint="eastAsia"/>
          <w:sz w:val="32"/>
          <w:szCs w:val="32"/>
          <w:lang w:val="en-US" w:eastAsia="zh-CN"/>
        </w:rPr>
        <w:t>初始预算为1275万元，后调整预算，增加预算255万元</w:t>
      </w:r>
      <w:r>
        <w:rPr>
          <w:rFonts w:hint="eastAsia"/>
          <w:sz w:val="32"/>
          <w:szCs w:val="32"/>
        </w:rPr>
        <w:t>，</w:t>
      </w:r>
      <w:r>
        <w:rPr>
          <w:rFonts w:hint="eastAsia"/>
          <w:sz w:val="32"/>
          <w:szCs w:val="32"/>
          <w:lang w:val="en-US" w:eastAsia="zh-CN"/>
        </w:rPr>
        <w:t>最终确定项目总体预算金额1530万元，</w:t>
      </w:r>
      <w:r>
        <w:rPr>
          <w:rFonts w:hint="eastAsia" w:hAnsi="宋体"/>
          <w:sz w:val="32"/>
          <w:szCs w:val="32"/>
        </w:rPr>
        <w:t>预算编制</w:t>
      </w:r>
      <w:r>
        <w:rPr>
          <w:rFonts w:hint="eastAsia" w:hAnsi="宋体"/>
          <w:sz w:val="32"/>
          <w:szCs w:val="32"/>
          <w:lang w:val="en-US" w:eastAsia="zh-CN"/>
        </w:rPr>
        <w:t>完整性、</w:t>
      </w:r>
      <w:r>
        <w:rPr>
          <w:rFonts w:hint="eastAsia" w:hAnsi="宋体"/>
          <w:sz w:val="32"/>
          <w:szCs w:val="32"/>
        </w:rPr>
        <w:t>科学性需进一步加强。</w:t>
      </w:r>
    </w:p>
    <w:p>
      <w:pPr>
        <w:suppressAutoHyphens/>
        <w:wordWrap/>
        <w:adjustRightInd w:val="0"/>
        <w:snapToGrid w:val="0"/>
        <w:spacing w:line="360" w:lineRule="auto"/>
        <w:ind w:left="640"/>
        <w:rPr>
          <w:sz w:val="32"/>
        </w:rPr>
      </w:pPr>
      <w:r>
        <w:rPr>
          <w:rFonts w:hint="eastAsia"/>
          <w:sz w:val="32"/>
        </w:rPr>
        <w:t>（2）资金分配合理性</w:t>
      </w:r>
    </w:p>
    <w:p>
      <w:pPr>
        <w:suppressAutoHyphens/>
        <w:wordWrap/>
        <w:adjustRightInd w:val="0"/>
        <w:snapToGrid w:val="0"/>
        <w:spacing w:line="360" w:lineRule="auto"/>
        <w:ind w:firstLine="640" w:firstLineChars="200"/>
        <w:rPr>
          <w:sz w:val="32"/>
          <w:highlight w:val="none"/>
        </w:rPr>
      </w:pPr>
      <w:r>
        <w:rPr>
          <w:rFonts w:hint="eastAsia"/>
          <w:sz w:val="32"/>
          <w:highlight w:val="none"/>
        </w:rPr>
        <w:t>项目内容</w:t>
      </w:r>
      <w:r>
        <w:rPr>
          <w:rFonts w:hint="eastAsia"/>
          <w:sz w:val="32"/>
          <w:highlight w:val="none"/>
          <w:lang w:val="en-US" w:eastAsia="zh-CN"/>
        </w:rPr>
        <w:t>主要为各区各考点按实际报名人数拨付</w:t>
      </w:r>
      <w:r>
        <w:rPr>
          <w:rFonts w:hint="eastAsia" w:ascii="仿宋_GB2312" w:hAnsi="宋体" w:eastAsia="仿宋_GB2312"/>
          <w:sz w:val="32"/>
          <w:szCs w:val="32"/>
          <w:lang w:eastAsia="zh-CN"/>
        </w:rPr>
        <w:t>特种作业人员安全技术考试费</w:t>
      </w:r>
      <w:r>
        <w:rPr>
          <w:rFonts w:hint="eastAsia"/>
          <w:sz w:val="32"/>
          <w:szCs w:val="24"/>
          <w:highlight w:val="none"/>
          <w:lang w:eastAsia="zh-CN"/>
        </w:rPr>
        <w:t>。</w:t>
      </w:r>
      <w:r>
        <w:rPr>
          <w:rFonts w:hint="eastAsia"/>
          <w:sz w:val="32"/>
          <w:szCs w:val="24"/>
          <w:highlight w:val="none"/>
          <w:lang w:val="en-US" w:eastAsia="zh-CN"/>
        </w:rPr>
        <w:t>2023年</w:t>
      </w:r>
      <w:r>
        <w:rPr>
          <w:rFonts w:hint="eastAsia"/>
          <w:sz w:val="32"/>
          <w:szCs w:val="24"/>
          <w:highlight w:val="none"/>
          <w:lang w:eastAsia="zh-CN"/>
        </w:rPr>
        <w:t>全市共有33个考试承担机构组织实施了特种作业考试。共考核特种作业人员17.9万余人次，按照每人85元拨付标准，向考试承担机构拨付考试费共计1522.537万元。</w:t>
      </w:r>
      <w:r>
        <w:rPr>
          <w:rFonts w:hint="eastAsia"/>
          <w:sz w:val="32"/>
          <w:szCs w:val="24"/>
          <w:highlight w:val="none"/>
          <w:lang w:val="en-US" w:eastAsia="zh-CN"/>
        </w:rPr>
        <w:t>评价认为2023年项目</w:t>
      </w:r>
      <w:r>
        <w:rPr>
          <w:rFonts w:hint="eastAsia" w:hAnsi="仿宋_GB2312" w:cs="仿宋_GB2312"/>
          <w:bCs/>
          <w:sz w:val="32"/>
          <w:szCs w:val="32"/>
          <w:highlight w:val="none"/>
        </w:rPr>
        <w:t>资金能够按照</w:t>
      </w:r>
      <w:r>
        <w:rPr>
          <w:rFonts w:hint="eastAsia" w:hAnsi="仿宋_GB2312" w:cs="仿宋_GB2312"/>
          <w:bCs/>
          <w:sz w:val="32"/>
          <w:szCs w:val="32"/>
          <w:highlight w:val="none"/>
          <w:lang w:val="en-US" w:eastAsia="zh-CN"/>
        </w:rPr>
        <w:t>考试安排及时足额拨付给各考点</w:t>
      </w:r>
      <w:r>
        <w:rPr>
          <w:rFonts w:hint="eastAsia" w:hAnsi="仿宋_GB2312" w:cs="仿宋_GB2312"/>
          <w:bCs/>
          <w:sz w:val="32"/>
          <w:szCs w:val="32"/>
          <w:highlight w:val="none"/>
        </w:rPr>
        <w:t>，资金分配较合理。</w:t>
      </w:r>
    </w:p>
    <w:p>
      <w:pPr>
        <w:wordWrap/>
        <w:adjustRightInd w:val="0"/>
        <w:snapToGrid w:val="0"/>
        <w:spacing w:line="360" w:lineRule="auto"/>
        <w:ind w:firstLine="640" w:firstLineChars="200"/>
        <w:outlineLvl w:val="1"/>
        <w:rPr>
          <w:rFonts w:ascii="Times New Roman" w:eastAsia="楷体_GB2312"/>
          <w:sz w:val="32"/>
        </w:rPr>
      </w:pPr>
      <w:bookmarkStart w:id="67" w:name="_Toc336506898"/>
      <w:bookmarkStart w:id="68" w:name="_Toc336506963"/>
      <w:bookmarkStart w:id="69" w:name="_Toc10692"/>
      <w:bookmarkStart w:id="70" w:name="_Toc6787"/>
      <w:bookmarkStart w:id="71" w:name="_Toc21183"/>
      <w:bookmarkStart w:id="72" w:name="_Toc22833"/>
      <w:r>
        <w:rPr>
          <w:rFonts w:hint="eastAsia" w:ascii="Times New Roman" w:eastAsia="楷体_GB2312"/>
          <w:sz w:val="32"/>
        </w:rPr>
        <w:t>（二）项目</w:t>
      </w:r>
      <w:bookmarkEnd w:id="67"/>
      <w:bookmarkEnd w:id="68"/>
      <w:bookmarkEnd w:id="69"/>
      <w:bookmarkEnd w:id="70"/>
      <w:r>
        <w:rPr>
          <w:rFonts w:hint="eastAsia" w:ascii="Times New Roman" w:eastAsia="楷体_GB2312"/>
          <w:sz w:val="32"/>
        </w:rPr>
        <w:t>过程情况</w:t>
      </w:r>
      <w:bookmarkEnd w:id="71"/>
      <w:bookmarkEnd w:id="72"/>
    </w:p>
    <w:p>
      <w:pPr>
        <w:suppressAutoHyphens/>
        <w:wordWrap/>
        <w:adjustRightInd w:val="0"/>
        <w:snapToGrid w:val="0"/>
        <w:spacing w:line="360" w:lineRule="auto"/>
        <w:ind w:firstLine="640" w:firstLineChars="200"/>
        <w:outlineLvl w:val="2"/>
        <w:rPr>
          <w:sz w:val="32"/>
        </w:rPr>
      </w:pPr>
      <w:r>
        <w:rPr>
          <w:rFonts w:hint="eastAsia"/>
          <w:sz w:val="32"/>
        </w:rPr>
        <w:t>1.资金管理</w:t>
      </w:r>
    </w:p>
    <w:p>
      <w:pPr>
        <w:suppressAutoHyphens/>
        <w:wordWrap/>
        <w:adjustRightInd w:val="0"/>
        <w:snapToGrid w:val="0"/>
        <w:spacing w:line="360" w:lineRule="auto"/>
        <w:ind w:firstLine="640" w:firstLineChars="200"/>
        <w:rPr>
          <w:rFonts w:hAnsi="宋体"/>
          <w:bCs/>
          <w:sz w:val="32"/>
          <w:szCs w:val="32"/>
        </w:rPr>
      </w:pPr>
      <w:r>
        <w:rPr>
          <w:rFonts w:hint="eastAsia" w:hAnsi="宋体"/>
          <w:bCs/>
          <w:sz w:val="32"/>
          <w:szCs w:val="32"/>
        </w:rPr>
        <w:t>（1）资金到位率</w:t>
      </w:r>
    </w:p>
    <w:p>
      <w:pPr>
        <w:pStyle w:val="29"/>
        <w:suppressAutoHyphens/>
        <w:wordWrap/>
        <w:adjustRightInd w:val="0"/>
        <w:snapToGrid w:val="0"/>
        <w:spacing w:after="0" w:line="360" w:lineRule="auto"/>
        <w:ind w:firstLine="640" w:firstLineChars="200"/>
        <w:rPr>
          <w:rFonts w:ascii="仿宋_GB2312" w:eastAsia="仿宋_GB2312"/>
          <w:kern w:val="2"/>
          <w:sz w:val="32"/>
        </w:rPr>
      </w:pPr>
      <w:r>
        <w:rPr>
          <w:rFonts w:hint="eastAsia" w:ascii="仿宋_GB2312" w:eastAsia="仿宋_GB2312"/>
          <w:kern w:val="2"/>
          <w:sz w:val="32"/>
        </w:rPr>
        <w:t>项目</w:t>
      </w:r>
      <w:r>
        <w:rPr>
          <w:rFonts w:hint="eastAsia" w:ascii="仿宋_GB2312" w:eastAsia="仿宋_GB2312"/>
          <w:kern w:val="2"/>
          <w:sz w:val="32"/>
          <w:lang w:val="en-US" w:eastAsia="zh-CN"/>
        </w:rPr>
        <w:t>总</w:t>
      </w:r>
      <w:r>
        <w:rPr>
          <w:rFonts w:hint="eastAsia" w:ascii="仿宋_GB2312" w:eastAsia="仿宋_GB2312"/>
          <w:kern w:val="2"/>
          <w:sz w:val="32"/>
        </w:rPr>
        <w:t>预算金额</w:t>
      </w:r>
      <w:r>
        <w:rPr>
          <w:rFonts w:hint="eastAsia" w:ascii="仿宋_GB2312" w:eastAsia="仿宋_GB2312"/>
          <w:kern w:val="2"/>
          <w:sz w:val="32"/>
          <w:lang w:val="en-US" w:eastAsia="zh-CN"/>
        </w:rPr>
        <w:t>1530</w:t>
      </w:r>
      <w:r>
        <w:rPr>
          <w:rFonts w:hint="eastAsia" w:ascii="仿宋_GB2312" w:eastAsia="仿宋_GB2312"/>
          <w:kern w:val="2"/>
          <w:sz w:val="32"/>
        </w:rPr>
        <w:t>万元，</w:t>
      </w:r>
      <w:r>
        <w:rPr>
          <w:rFonts w:hint="eastAsia" w:ascii="仿宋_GB2312" w:eastAsia="仿宋_GB2312"/>
          <w:kern w:val="2"/>
          <w:sz w:val="32"/>
          <w:lang w:val="en-US" w:eastAsia="zh-CN"/>
        </w:rPr>
        <w:t>2023年实际收到项目预算资金1530万元，</w:t>
      </w:r>
      <w:r>
        <w:rPr>
          <w:rFonts w:hint="eastAsia" w:ascii="仿宋_GB2312" w:eastAsia="仿宋_GB2312"/>
          <w:kern w:val="2"/>
          <w:sz w:val="32"/>
        </w:rPr>
        <w:t>项目资金及时、足额到位。</w:t>
      </w:r>
    </w:p>
    <w:p>
      <w:pPr>
        <w:pStyle w:val="30"/>
        <w:wordWrap/>
        <w:snapToGrid w:val="0"/>
        <w:spacing w:after="0" w:line="360" w:lineRule="auto"/>
        <w:ind w:left="0" w:leftChars="0" w:firstLine="640"/>
        <w:rPr>
          <w:rFonts w:ascii="仿宋_GB2312"/>
          <w:sz w:val="32"/>
        </w:rPr>
      </w:pPr>
      <w:r>
        <w:rPr>
          <w:rFonts w:hint="eastAsia" w:ascii="仿宋_GB2312"/>
          <w:sz w:val="32"/>
        </w:rPr>
        <w:t>（2）预算执行率</w:t>
      </w:r>
    </w:p>
    <w:p>
      <w:pPr>
        <w:suppressAutoHyphens/>
        <w:wordWrap/>
        <w:adjustRightInd w:val="0"/>
        <w:snapToGrid w:val="0"/>
        <w:spacing w:line="360" w:lineRule="auto"/>
        <w:ind w:firstLine="640" w:firstLineChars="200"/>
        <w:rPr>
          <w:rFonts w:hAnsi="宋体"/>
          <w:bCs/>
          <w:sz w:val="32"/>
          <w:szCs w:val="32"/>
        </w:rPr>
      </w:pPr>
      <w:r>
        <w:rPr>
          <w:rFonts w:hint="eastAsia"/>
          <w:sz w:val="32"/>
        </w:rPr>
        <w:t>截至</w:t>
      </w:r>
      <w:r>
        <w:rPr>
          <w:rFonts w:hint="eastAsia"/>
          <w:sz w:val="32"/>
          <w:lang w:val="en-US" w:eastAsia="zh-CN"/>
        </w:rPr>
        <w:t>评价日</w:t>
      </w:r>
      <w:r>
        <w:rPr>
          <w:rFonts w:hint="eastAsia"/>
          <w:sz w:val="32"/>
        </w:rPr>
        <w:t>，支出委托业务费经费</w:t>
      </w:r>
      <w:r>
        <w:rPr>
          <w:rFonts w:hint="eastAsia"/>
          <w:sz w:val="32"/>
          <w:lang w:val="en-US" w:eastAsia="zh-CN"/>
        </w:rPr>
        <w:t>1275</w:t>
      </w:r>
      <w:r>
        <w:rPr>
          <w:rFonts w:hint="eastAsia"/>
          <w:sz w:val="32"/>
        </w:rPr>
        <w:t>万元，</w:t>
      </w:r>
      <w:r>
        <w:rPr>
          <w:rFonts w:hint="eastAsia"/>
          <w:sz w:val="32"/>
          <w:lang w:val="en-US" w:eastAsia="zh-CN"/>
        </w:rPr>
        <w:t>支出其他商品和服务支出247.537万元，</w:t>
      </w:r>
      <w:r>
        <w:rPr>
          <w:rFonts w:hint="eastAsia"/>
          <w:sz w:val="32"/>
        </w:rPr>
        <w:t>预算执行率</w:t>
      </w:r>
      <w:r>
        <w:rPr>
          <w:rFonts w:hint="eastAsia"/>
          <w:sz w:val="32"/>
          <w:lang w:val="en-US" w:eastAsia="zh-CN"/>
        </w:rPr>
        <w:t>99.51</w:t>
      </w:r>
      <w:r>
        <w:rPr>
          <w:rFonts w:hint="eastAsia"/>
          <w:sz w:val="32"/>
        </w:rPr>
        <w:t>%。</w:t>
      </w:r>
    </w:p>
    <w:p>
      <w:pPr>
        <w:suppressAutoHyphens/>
        <w:wordWrap/>
        <w:adjustRightInd w:val="0"/>
        <w:snapToGrid w:val="0"/>
        <w:spacing w:line="360" w:lineRule="auto"/>
        <w:ind w:firstLine="640" w:firstLineChars="200"/>
        <w:rPr>
          <w:rFonts w:hAnsi="宋体"/>
          <w:bCs/>
          <w:sz w:val="32"/>
          <w:szCs w:val="32"/>
        </w:rPr>
      </w:pPr>
      <w:r>
        <w:rPr>
          <w:rFonts w:hint="eastAsia" w:hAnsi="宋体"/>
          <w:bCs/>
          <w:sz w:val="32"/>
          <w:szCs w:val="32"/>
        </w:rPr>
        <w:t>（3）资金使用合规性</w:t>
      </w:r>
    </w:p>
    <w:p>
      <w:pPr>
        <w:suppressAutoHyphens/>
        <w:wordWrap/>
        <w:adjustRightInd w:val="0"/>
        <w:snapToGrid w:val="0"/>
        <w:spacing w:line="360" w:lineRule="auto"/>
        <w:ind w:firstLine="640" w:firstLineChars="200"/>
        <w:rPr>
          <w:sz w:val="32"/>
        </w:rPr>
      </w:pPr>
      <w:r>
        <w:rPr>
          <w:rFonts w:hint="eastAsia"/>
          <w:sz w:val="32"/>
          <w:szCs w:val="28"/>
        </w:rPr>
        <w:t>项目实施期间，</w:t>
      </w:r>
      <w:r>
        <w:rPr>
          <w:rFonts w:hint="eastAsia"/>
          <w:sz w:val="32"/>
          <w:szCs w:val="32"/>
          <w:lang w:val="en-US" w:eastAsia="zh-CN"/>
        </w:rPr>
        <w:t>应急研究院</w:t>
      </w:r>
      <w:r>
        <w:rPr>
          <w:rFonts w:hint="eastAsia"/>
          <w:sz w:val="32"/>
          <w:szCs w:val="28"/>
        </w:rPr>
        <w:t>遵循了</w:t>
      </w:r>
      <w:r>
        <w:rPr>
          <w:rFonts w:hint="eastAsia" w:ascii="仿宋" w:hAnsi="仿宋" w:eastAsia="仿宋" w:cs="仿宋"/>
          <w:sz w:val="32"/>
          <w:szCs w:val="32"/>
          <w:lang w:val="en-US" w:eastAsia="zh-CN"/>
        </w:rPr>
        <w:t>《北京市应急管理局采购工作管理办法（试行）》、《北京市应急管理局大额资金项目管理办法（试行）》、《北京市应急管理局项目验收管理办法（试行）》</w:t>
      </w:r>
      <w:r>
        <w:rPr>
          <w:rFonts w:hint="eastAsia"/>
          <w:sz w:val="32"/>
          <w:szCs w:val="32"/>
        </w:rPr>
        <w:t>等</w:t>
      </w:r>
      <w:r>
        <w:rPr>
          <w:rFonts w:hint="eastAsia"/>
          <w:sz w:val="32"/>
          <w:szCs w:val="28"/>
        </w:rPr>
        <w:t>财务管理制度相关规定，对项目进行了专款专用、独立核算。项目资金拨付具有较为完整的审批程序和手续，资金使用与合同规定用途相符，未发现虚列、超标准开支的情况。项目支出明细与合同支付条款、付款票据相符，资金使用合规。</w:t>
      </w:r>
    </w:p>
    <w:p>
      <w:pPr>
        <w:suppressAutoHyphens/>
        <w:wordWrap/>
        <w:adjustRightInd w:val="0"/>
        <w:snapToGrid w:val="0"/>
        <w:spacing w:line="360" w:lineRule="auto"/>
        <w:ind w:firstLine="640" w:firstLineChars="200"/>
        <w:outlineLvl w:val="2"/>
        <w:rPr>
          <w:sz w:val="32"/>
        </w:rPr>
      </w:pPr>
      <w:r>
        <w:rPr>
          <w:rFonts w:hint="eastAsia"/>
          <w:sz w:val="32"/>
        </w:rPr>
        <w:t>2.</w:t>
      </w:r>
      <w:bookmarkStart w:id="73" w:name="_Toc336506899"/>
      <w:bookmarkStart w:id="74" w:name="_Toc336506964"/>
      <w:r>
        <w:rPr>
          <w:rFonts w:hint="eastAsia"/>
          <w:sz w:val="32"/>
        </w:rPr>
        <w:t>组织实施</w:t>
      </w:r>
    </w:p>
    <w:p>
      <w:pPr>
        <w:adjustRightInd w:val="0"/>
        <w:snapToGrid w:val="0"/>
        <w:spacing w:line="360" w:lineRule="auto"/>
        <w:ind w:firstLine="640" w:firstLineChars="200"/>
        <w:rPr>
          <w:rFonts w:hAnsi="仿宋_GB2312" w:cs="仿宋_GB2312"/>
          <w:sz w:val="32"/>
          <w:szCs w:val="32"/>
        </w:rPr>
      </w:pPr>
      <w:r>
        <w:rPr>
          <w:rFonts w:hint="eastAsia" w:hAnsi="仿宋_GB2312" w:cs="仿宋_GB2312"/>
          <w:sz w:val="32"/>
          <w:szCs w:val="32"/>
        </w:rPr>
        <w:t>（1）管理制度健全性</w:t>
      </w:r>
    </w:p>
    <w:p>
      <w:pPr>
        <w:suppressAutoHyphens/>
        <w:wordWrap/>
        <w:adjustRightInd w:val="0"/>
        <w:snapToGrid w:val="0"/>
        <w:spacing w:line="360" w:lineRule="auto"/>
        <w:ind w:firstLine="643" w:firstLineChars="200"/>
        <w:rPr>
          <w:sz w:val="32"/>
          <w:szCs w:val="32"/>
        </w:rPr>
      </w:pPr>
      <w:r>
        <w:rPr>
          <w:rFonts w:hint="eastAsia"/>
          <w:b/>
          <w:bCs/>
          <w:sz w:val="32"/>
          <w:szCs w:val="32"/>
        </w:rPr>
        <w:t>财务管理制度方面。</w:t>
      </w:r>
      <w:r>
        <w:rPr>
          <w:sz w:val="32"/>
          <w:szCs w:val="32"/>
        </w:rPr>
        <w:t>为</w:t>
      </w:r>
      <w:r>
        <w:rPr>
          <w:rFonts w:hint="eastAsia"/>
          <w:sz w:val="32"/>
          <w:szCs w:val="32"/>
        </w:rPr>
        <w:t>规范财务管理活动，加强经费保障和财务管理，</w:t>
      </w:r>
      <w:r>
        <w:rPr>
          <w:rFonts w:hint="eastAsia"/>
          <w:sz w:val="32"/>
          <w:szCs w:val="32"/>
          <w:lang w:val="en-US" w:eastAsia="zh-CN"/>
        </w:rPr>
        <w:t>应急研究院遵循</w:t>
      </w:r>
      <w:r>
        <w:rPr>
          <w:rFonts w:hint="eastAsia" w:ascii="仿宋" w:hAnsi="仿宋" w:eastAsia="仿宋" w:cs="仿宋"/>
          <w:sz w:val="32"/>
          <w:szCs w:val="32"/>
          <w:lang w:val="en-US" w:eastAsia="zh-CN"/>
        </w:rPr>
        <w:t>北京市应急管理局大额资金项目管理办法（试行）》</w:t>
      </w:r>
      <w:r>
        <w:rPr>
          <w:rFonts w:hint="eastAsia"/>
          <w:sz w:val="32"/>
          <w:szCs w:val="32"/>
        </w:rPr>
        <w:t>等规范，对经费支出范围、支出标准和支出程序</w:t>
      </w:r>
      <w:r>
        <w:rPr>
          <w:sz w:val="32"/>
        </w:rPr>
        <w:t>做出</w:t>
      </w:r>
      <w:r>
        <w:rPr>
          <w:rFonts w:hint="eastAsia"/>
          <w:sz w:val="32"/>
        </w:rPr>
        <w:t>了</w:t>
      </w:r>
      <w:r>
        <w:rPr>
          <w:sz w:val="32"/>
        </w:rPr>
        <w:t>明确的规定</w:t>
      </w:r>
      <w:r>
        <w:rPr>
          <w:rFonts w:hint="eastAsia"/>
          <w:sz w:val="32"/>
        </w:rPr>
        <w:t>，且规范了采购管理工作和项目验收管理工作，</w:t>
      </w:r>
      <w:r>
        <w:rPr>
          <w:rFonts w:hint="eastAsia"/>
          <w:sz w:val="32"/>
          <w:szCs w:val="32"/>
        </w:rPr>
        <w:t>财务管理制度较为健全。</w:t>
      </w:r>
      <w:r>
        <w:rPr>
          <w:rFonts w:hint="eastAsia"/>
          <w:b/>
          <w:bCs/>
          <w:sz w:val="32"/>
          <w:szCs w:val="32"/>
        </w:rPr>
        <w:t>业务管理制度方面。</w:t>
      </w:r>
      <w:r>
        <w:rPr>
          <w:rFonts w:hint="eastAsia"/>
          <w:sz w:val="32"/>
          <w:szCs w:val="32"/>
          <w:lang w:val="en-US" w:eastAsia="zh-CN"/>
        </w:rPr>
        <w:t>应急研究院制定</w:t>
      </w:r>
      <w:r>
        <w:rPr>
          <w:rFonts w:hint="eastAsia"/>
          <w:sz w:val="32"/>
          <w:szCs w:val="32"/>
        </w:rPr>
        <w:t>了</w:t>
      </w:r>
      <w:r>
        <w:rPr>
          <w:rFonts w:hint="eastAsia" w:ascii="仿宋" w:hAnsi="仿宋" w:eastAsia="仿宋" w:cs="仿宋"/>
          <w:sz w:val="32"/>
          <w:szCs w:val="32"/>
          <w:lang w:val="en-US" w:eastAsia="zh-CN"/>
        </w:rPr>
        <w:t>《北京市特种作业人员安全技术考核管理办法（试行）》、《安全生产资格考试点管理办法（试行）》、《北京市安全生产资格考试考生违纪行为处理办法》、《北京市市安全生产资格考试体系建设工作实施方案》、《北京市安全生产监督管理局关于开展安全生产资格考试点认定工作的通知》等10余项管理制度</w:t>
      </w:r>
      <w:r>
        <w:rPr>
          <w:rFonts w:hint="eastAsia" w:hAnsi="仿宋"/>
          <w:sz w:val="32"/>
          <w:szCs w:val="32"/>
        </w:rPr>
        <w:t>等规章制度，保障项目</w:t>
      </w:r>
      <w:r>
        <w:rPr>
          <w:rFonts w:hint="eastAsia" w:hAnsi="仿宋"/>
          <w:sz w:val="32"/>
          <w:szCs w:val="32"/>
          <w:lang w:val="en-US" w:eastAsia="zh-CN"/>
        </w:rPr>
        <w:t>顺利实施</w:t>
      </w:r>
      <w:r>
        <w:rPr>
          <w:rFonts w:hint="eastAsia" w:hAnsi="仿宋"/>
          <w:sz w:val="32"/>
          <w:szCs w:val="32"/>
        </w:rPr>
        <w:t>。整体上，项目财务和业务管理制度较为健全。</w:t>
      </w:r>
    </w:p>
    <w:p>
      <w:pPr>
        <w:suppressAutoHyphens/>
        <w:wordWrap/>
        <w:adjustRightInd w:val="0"/>
        <w:snapToGrid w:val="0"/>
        <w:spacing w:line="360" w:lineRule="auto"/>
        <w:ind w:firstLine="640" w:firstLineChars="200"/>
        <w:rPr>
          <w:rFonts w:hAnsi="宋体"/>
          <w:sz w:val="32"/>
          <w:szCs w:val="28"/>
        </w:rPr>
      </w:pPr>
      <w:r>
        <w:rPr>
          <w:rFonts w:hint="eastAsia" w:hAnsi="宋体"/>
          <w:sz w:val="32"/>
          <w:szCs w:val="28"/>
        </w:rPr>
        <w:t>（2）制度执行有效性</w:t>
      </w:r>
    </w:p>
    <w:p>
      <w:pPr>
        <w:suppressAutoHyphens/>
        <w:wordWrap/>
        <w:adjustRightInd w:val="0"/>
        <w:snapToGrid w:val="0"/>
        <w:spacing w:line="360" w:lineRule="auto"/>
        <w:ind w:firstLine="640" w:firstLineChars="200"/>
        <w:rPr>
          <w:sz w:val="32"/>
          <w:szCs w:val="28"/>
          <w:highlight w:val="none"/>
        </w:rPr>
      </w:pPr>
      <w:r>
        <w:rPr>
          <w:rFonts w:hint="eastAsia" w:hAnsi="仿宋"/>
          <w:sz w:val="32"/>
          <w:szCs w:val="32"/>
        </w:rPr>
        <w:t>项目执行过程中，项目承办单位主要负责领导和统筹协调特种作业人员安全技术</w:t>
      </w:r>
      <w:r>
        <w:rPr>
          <w:rFonts w:hint="eastAsia" w:hAnsi="仿宋"/>
          <w:sz w:val="32"/>
          <w:szCs w:val="32"/>
          <w:lang w:eastAsia="zh-CN"/>
        </w:rPr>
        <w:t>考试</w:t>
      </w:r>
      <w:r>
        <w:rPr>
          <w:rFonts w:hint="eastAsia" w:hAnsi="仿宋"/>
          <w:sz w:val="32"/>
          <w:szCs w:val="32"/>
          <w:lang w:val="en-US" w:eastAsia="zh-CN"/>
        </w:rPr>
        <w:t>相关</w:t>
      </w:r>
      <w:r>
        <w:rPr>
          <w:rFonts w:hint="eastAsia" w:hAnsi="仿宋"/>
          <w:sz w:val="32"/>
          <w:szCs w:val="32"/>
          <w:highlight w:val="none"/>
        </w:rPr>
        <w:t>工作</w:t>
      </w:r>
      <w:r>
        <w:rPr>
          <w:rFonts w:hint="eastAsia" w:hAnsi="仿宋"/>
          <w:sz w:val="32"/>
          <w:szCs w:val="32"/>
          <w:highlight w:val="none"/>
          <w:lang w:eastAsia="zh-CN"/>
        </w:rPr>
        <w:t>。</w:t>
      </w:r>
      <w:r>
        <w:rPr>
          <w:rFonts w:hint="eastAsia" w:hAnsi="仿宋"/>
          <w:sz w:val="32"/>
          <w:szCs w:val="32"/>
          <w:highlight w:val="none"/>
        </w:rPr>
        <w:t>202</w:t>
      </w:r>
      <w:r>
        <w:rPr>
          <w:rFonts w:hint="eastAsia" w:hAnsi="仿宋"/>
          <w:sz w:val="32"/>
          <w:szCs w:val="32"/>
          <w:highlight w:val="none"/>
          <w:lang w:val="en-US" w:eastAsia="zh-CN"/>
        </w:rPr>
        <w:t>3</w:t>
      </w:r>
      <w:r>
        <w:rPr>
          <w:rFonts w:hint="eastAsia" w:hAnsi="仿宋"/>
          <w:sz w:val="32"/>
          <w:szCs w:val="32"/>
          <w:highlight w:val="none"/>
        </w:rPr>
        <w:t>年</w:t>
      </w:r>
      <w:r>
        <w:rPr>
          <w:rFonts w:hint="eastAsia" w:hAnsi="仿宋"/>
          <w:sz w:val="32"/>
          <w:szCs w:val="32"/>
          <w:highlight w:val="none"/>
          <w:lang w:val="en-US" w:eastAsia="zh-CN"/>
        </w:rPr>
        <w:t>1月发布“北京市应急管理局关于2023年特种作业人员安全技术考核安排的通知”</w:t>
      </w:r>
      <w:r>
        <w:rPr>
          <w:rFonts w:hint="eastAsia" w:hAnsi="仿宋"/>
          <w:sz w:val="32"/>
          <w:szCs w:val="32"/>
          <w:highlight w:val="none"/>
        </w:rPr>
        <w:t>。</w:t>
      </w:r>
      <w:r>
        <w:rPr>
          <w:rFonts w:hint="eastAsia" w:hAnsi="仿宋"/>
          <w:sz w:val="32"/>
          <w:szCs w:val="32"/>
          <w:highlight w:val="none"/>
          <w:lang w:val="en-US" w:eastAsia="zh-CN"/>
        </w:rPr>
        <w:t>各区各考点依据通知安排组织参考人员进行考试。</w:t>
      </w:r>
      <w:r>
        <w:rPr>
          <w:rFonts w:hint="eastAsia"/>
          <w:sz w:val="32"/>
          <w:szCs w:val="28"/>
          <w:highlight w:val="none"/>
        </w:rPr>
        <w:t>但评价发现，项目执行过程存在一定不足，</w:t>
      </w:r>
      <w:r>
        <w:rPr>
          <w:rFonts w:hint="eastAsia"/>
          <w:b/>
          <w:bCs/>
          <w:sz w:val="32"/>
          <w:szCs w:val="28"/>
          <w:highlight w:val="none"/>
        </w:rPr>
        <w:t>一是</w:t>
      </w:r>
      <w:r>
        <w:rPr>
          <w:rFonts w:hint="eastAsia"/>
          <w:sz w:val="32"/>
          <w:szCs w:val="28"/>
          <w:highlight w:val="none"/>
        </w:rPr>
        <w:t>项目</w:t>
      </w:r>
      <w:r>
        <w:rPr>
          <w:rFonts w:hint="eastAsia" w:hAnsi="仿宋"/>
          <w:sz w:val="32"/>
          <w:szCs w:val="32"/>
          <w:highlight w:val="none"/>
        </w:rPr>
        <w:t>实施方案较简单，项目风险分析及控制措施、验收等工作环节的具体安排没有充分体现；</w:t>
      </w:r>
      <w:r>
        <w:rPr>
          <w:rFonts w:hint="eastAsia" w:hAnsi="仿宋"/>
          <w:b/>
          <w:bCs/>
          <w:sz w:val="32"/>
          <w:szCs w:val="32"/>
          <w:highlight w:val="none"/>
        </w:rPr>
        <w:t>二是</w:t>
      </w:r>
      <w:r>
        <w:rPr>
          <w:rFonts w:hint="eastAsia" w:hAnsi="仿宋"/>
          <w:b/>
          <w:bCs/>
          <w:sz w:val="32"/>
          <w:szCs w:val="32"/>
          <w:highlight w:val="none"/>
          <w:lang w:val="en-US" w:eastAsia="zh-CN"/>
        </w:rPr>
        <w:t>缺少</w:t>
      </w:r>
      <w:r>
        <w:rPr>
          <w:rFonts w:hint="eastAsia"/>
          <w:bCs/>
          <w:sz w:val="32"/>
          <w:szCs w:val="28"/>
          <w:highlight w:val="none"/>
        </w:rPr>
        <w:t>考试组织实施过程</w:t>
      </w:r>
      <w:r>
        <w:rPr>
          <w:rFonts w:hint="eastAsia"/>
          <w:bCs/>
          <w:sz w:val="32"/>
          <w:szCs w:val="28"/>
          <w:highlight w:val="none"/>
          <w:lang w:val="en-US" w:eastAsia="zh-CN"/>
        </w:rPr>
        <w:t>中</w:t>
      </w:r>
      <w:r>
        <w:rPr>
          <w:rFonts w:hint="eastAsia"/>
          <w:bCs/>
          <w:sz w:val="32"/>
          <w:szCs w:val="28"/>
          <w:highlight w:val="none"/>
        </w:rPr>
        <w:t>对考试及考点考场的管理监督情况</w:t>
      </w:r>
      <w:r>
        <w:rPr>
          <w:rFonts w:hint="eastAsia"/>
          <w:sz w:val="32"/>
          <w:szCs w:val="28"/>
          <w:highlight w:val="none"/>
        </w:rPr>
        <w:t>。</w:t>
      </w:r>
    </w:p>
    <w:p>
      <w:pPr>
        <w:suppressAutoHyphens/>
        <w:wordWrap/>
        <w:adjustRightInd w:val="0"/>
        <w:snapToGrid w:val="0"/>
        <w:spacing w:line="360" w:lineRule="auto"/>
        <w:ind w:firstLine="640" w:firstLineChars="200"/>
        <w:outlineLvl w:val="1"/>
        <w:rPr>
          <w:rFonts w:ascii="Times New Roman" w:eastAsia="楷体_GB2312"/>
          <w:sz w:val="32"/>
        </w:rPr>
      </w:pPr>
      <w:bookmarkStart w:id="75" w:name="_Toc21535"/>
      <w:bookmarkStart w:id="76" w:name="_Toc5747"/>
      <w:bookmarkStart w:id="77" w:name="_Toc7593"/>
      <w:bookmarkStart w:id="78" w:name="_Toc25802"/>
      <w:r>
        <w:rPr>
          <w:rFonts w:hint="eastAsia" w:ascii="Times New Roman" w:eastAsia="楷体_GB2312"/>
          <w:sz w:val="32"/>
        </w:rPr>
        <w:t>（三）项目产出</w:t>
      </w:r>
      <w:bookmarkEnd w:id="73"/>
      <w:bookmarkEnd w:id="74"/>
      <w:bookmarkEnd w:id="75"/>
      <w:bookmarkEnd w:id="76"/>
      <w:r>
        <w:rPr>
          <w:rFonts w:hint="eastAsia" w:ascii="Times New Roman" w:eastAsia="楷体_GB2312"/>
          <w:sz w:val="32"/>
        </w:rPr>
        <w:t>情况</w:t>
      </w:r>
      <w:bookmarkEnd w:id="77"/>
      <w:bookmarkEnd w:id="78"/>
    </w:p>
    <w:p>
      <w:pPr>
        <w:suppressAutoHyphens/>
        <w:wordWrap/>
        <w:adjustRightInd w:val="0"/>
        <w:snapToGrid w:val="0"/>
        <w:spacing w:line="360" w:lineRule="auto"/>
        <w:ind w:firstLine="640" w:firstLineChars="200"/>
        <w:outlineLvl w:val="2"/>
        <w:rPr>
          <w:sz w:val="32"/>
        </w:rPr>
      </w:pPr>
      <w:r>
        <w:rPr>
          <w:rFonts w:hint="eastAsia"/>
          <w:sz w:val="32"/>
        </w:rPr>
        <w:t>1.产出数量</w:t>
      </w:r>
    </w:p>
    <w:p>
      <w:pPr>
        <w:suppressAutoHyphens/>
        <w:wordWrap/>
        <w:adjustRightInd w:val="0"/>
        <w:snapToGrid w:val="0"/>
        <w:spacing w:before="205" w:beforeLines="50" w:line="360" w:lineRule="auto"/>
        <w:ind w:firstLine="640" w:firstLineChars="200"/>
        <w:outlineLvl w:val="2"/>
        <w:rPr>
          <w:rFonts w:hint="eastAsia" w:cs="仿宋_GB2312"/>
          <w:sz w:val="32"/>
          <w:szCs w:val="28"/>
        </w:rPr>
      </w:pPr>
      <w:r>
        <w:rPr>
          <w:rFonts w:hint="eastAsia" w:ascii="仿宋_GB2312" w:eastAsia="仿宋_GB2312"/>
          <w:sz w:val="32"/>
          <w:szCs w:val="32"/>
        </w:rPr>
        <w:t>202</w:t>
      </w:r>
      <w:r>
        <w:rPr>
          <w:rFonts w:hint="eastAsia"/>
          <w:sz w:val="32"/>
          <w:szCs w:val="32"/>
          <w:lang w:val="en-US" w:eastAsia="zh-CN"/>
        </w:rPr>
        <w:t>3</w:t>
      </w:r>
      <w:r>
        <w:rPr>
          <w:rFonts w:hint="eastAsia" w:ascii="仿宋_GB2312" w:eastAsia="仿宋_GB2312"/>
          <w:sz w:val="32"/>
          <w:szCs w:val="32"/>
        </w:rPr>
        <w:t>年</w:t>
      </w:r>
      <w:r>
        <w:rPr>
          <w:rFonts w:hint="eastAsia"/>
          <w:sz w:val="32"/>
          <w:szCs w:val="32"/>
          <w:lang w:val="en-US" w:eastAsia="zh-CN"/>
        </w:rPr>
        <w:t>2</w:t>
      </w:r>
      <w:r>
        <w:rPr>
          <w:rFonts w:hint="eastAsia" w:ascii="仿宋_GB2312" w:eastAsia="仿宋_GB2312"/>
          <w:sz w:val="32"/>
          <w:szCs w:val="32"/>
          <w:lang w:val="en-US" w:eastAsia="zh-CN"/>
        </w:rPr>
        <w:t>月至</w:t>
      </w:r>
      <w:r>
        <w:rPr>
          <w:rFonts w:hint="eastAsia" w:ascii="仿宋_GB2312" w:eastAsia="仿宋_GB2312"/>
          <w:sz w:val="32"/>
          <w:szCs w:val="32"/>
        </w:rPr>
        <w:t>202</w:t>
      </w:r>
      <w:r>
        <w:rPr>
          <w:rFonts w:hint="eastAsia"/>
          <w:sz w:val="32"/>
          <w:szCs w:val="32"/>
          <w:lang w:val="en-US" w:eastAsia="zh-CN"/>
        </w:rPr>
        <w:t>3</w:t>
      </w:r>
      <w:r>
        <w:rPr>
          <w:rFonts w:hint="eastAsia" w:ascii="仿宋_GB2312" w:eastAsia="仿宋_GB2312"/>
          <w:sz w:val="32"/>
          <w:szCs w:val="32"/>
          <w:lang w:val="en-US" w:eastAsia="zh-CN"/>
        </w:rPr>
        <w:t>年9月</w:t>
      </w:r>
      <w:r>
        <w:rPr>
          <w:rFonts w:hint="eastAsia" w:ascii="仿宋_GB2312" w:eastAsia="仿宋_GB2312"/>
          <w:sz w:val="32"/>
          <w:szCs w:val="32"/>
        </w:rPr>
        <w:t>，全市</w:t>
      </w:r>
      <w:r>
        <w:rPr>
          <w:rFonts w:hint="eastAsia" w:ascii="仿宋_GB2312" w:eastAsia="仿宋_GB2312"/>
          <w:sz w:val="32"/>
          <w:szCs w:val="32"/>
          <w:lang w:eastAsia="zh-CN"/>
        </w:rPr>
        <w:t>共</w:t>
      </w:r>
      <w:r>
        <w:rPr>
          <w:rFonts w:hint="eastAsia" w:ascii="仿宋_GB2312" w:eastAsia="仿宋_GB2312"/>
          <w:sz w:val="32"/>
          <w:szCs w:val="32"/>
        </w:rPr>
        <w:t>有</w:t>
      </w:r>
      <w:r>
        <w:rPr>
          <w:rFonts w:hint="eastAsia" w:ascii="仿宋_GB2312" w:eastAsia="仿宋_GB2312"/>
          <w:sz w:val="32"/>
          <w:szCs w:val="32"/>
          <w:highlight w:val="none"/>
          <w:lang w:val="en-US" w:eastAsia="zh-CN"/>
        </w:rPr>
        <w:t>33</w:t>
      </w:r>
      <w:r>
        <w:rPr>
          <w:rFonts w:hint="eastAsia" w:ascii="仿宋_GB2312" w:eastAsia="仿宋_GB2312"/>
          <w:sz w:val="32"/>
          <w:szCs w:val="32"/>
        </w:rPr>
        <w:t>个考试承担机构</w:t>
      </w:r>
      <w:r>
        <w:rPr>
          <w:rFonts w:hint="eastAsia" w:ascii="仿宋_GB2312" w:eastAsia="仿宋_GB2312"/>
          <w:sz w:val="32"/>
          <w:szCs w:val="32"/>
          <w:highlight w:val="none"/>
        </w:rPr>
        <w:t>组织实施了特种作业考试</w:t>
      </w:r>
      <w:r>
        <w:rPr>
          <w:rFonts w:hint="eastAsia"/>
          <w:sz w:val="32"/>
          <w:szCs w:val="32"/>
          <w:highlight w:val="none"/>
          <w:lang w:eastAsia="zh-CN"/>
        </w:rPr>
        <w:t>，</w:t>
      </w:r>
      <w:r>
        <w:rPr>
          <w:rFonts w:hint="eastAsia" w:ascii="仿宋_GB2312" w:eastAsia="仿宋_GB2312"/>
          <w:sz w:val="32"/>
          <w:szCs w:val="32"/>
          <w:highlight w:val="none"/>
          <w:lang w:eastAsia="zh-CN"/>
        </w:rPr>
        <w:t>共考核</w:t>
      </w:r>
      <w:r>
        <w:rPr>
          <w:rFonts w:hint="eastAsia" w:ascii="仿宋_GB2312" w:eastAsia="仿宋_GB2312"/>
          <w:bCs/>
          <w:iCs/>
          <w:color w:val="000000"/>
          <w:sz w:val="32"/>
          <w:szCs w:val="32"/>
          <w:lang w:val="en-US" w:eastAsia="zh-CN"/>
        </w:rPr>
        <w:t>特种作业人员17.9万余人次</w:t>
      </w:r>
      <w:r>
        <w:rPr>
          <w:rFonts w:hint="eastAsia"/>
          <w:bCs/>
          <w:iCs/>
          <w:color w:val="000000"/>
          <w:sz w:val="32"/>
          <w:szCs w:val="32"/>
          <w:lang w:val="en-US" w:eastAsia="zh-CN"/>
        </w:rPr>
        <w:t>，</w:t>
      </w:r>
      <w:r>
        <w:rPr>
          <w:rFonts w:hint="eastAsia" w:cs="仿宋_GB2312"/>
          <w:sz w:val="32"/>
          <w:szCs w:val="28"/>
          <w:lang w:val="en-US" w:eastAsia="zh-CN"/>
        </w:rPr>
        <w:t>参加</w:t>
      </w:r>
      <w:r>
        <w:rPr>
          <w:rFonts w:hint="eastAsia" w:cs="仿宋_GB2312"/>
          <w:sz w:val="32"/>
          <w:szCs w:val="28"/>
        </w:rPr>
        <w:t>产出数量完成情况总体较好，</w:t>
      </w:r>
      <w:r>
        <w:rPr>
          <w:rFonts w:hint="eastAsia" w:cs="仿宋_GB2312"/>
          <w:sz w:val="32"/>
          <w:szCs w:val="28"/>
          <w:lang w:val="en-US" w:eastAsia="zh-CN"/>
        </w:rPr>
        <w:t>按照圆满完成了预期工作内容</w:t>
      </w:r>
      <w:r>
        <w:rPr>
          <w:rFonts w:hint="eastAsia" w:cs="仿宋_GB2312"/>
          <w:sz w:val="32"/>
          <w:szCs w:val="28"/>
        </w:rPr>
        <w:t>。</w:t>
      </w:r>
    </w:p>
    <w:p>
      <w:pPr>
        <w:suppressAutoHyphens/>
        <w:wordWrap/>
        <w:adjustRightInd w:val="0"/>
        <w:snapToGrid w:val="0"/>
        <w:spacing w:before="205" w:beforeLines="50" w:line="360" w:lineRule="auto"/>
        <w:ind w:firstLine="640" w:firstLineChars="200"/>
        <w:outlineLvl w:val="2"/>
        <w:rPr>
          <w:sz w:val="32"/>
        </w:rPr>
      </w:pPr>
      <w:r>
        <w:rPr>
          <w:rFonts w:hint="eastAsia"/>
          <w:sz w:val="32"/>
        </w:rPr>
        <w:t>2.产出质量</w:t>
      </w:r>
    </w:p>
    <w:p>
      <w:pPr>
        <w:suppressAutoHyphens/>
        <w:wordWrap/>
        <w:adjustRightInd w:val="0"/>
        <w:snapToGrid w:val="0"/>
        <w:spacing w:line="360" w:lineRule="auto"/>
        <w:ind w:firstLine="640" w:firstLineChars="200"/>
        <w:rPr>
          <w:rFonts w:hint="eastAsia"/>
          <w:bCs/>
          <w:sz w:val="32"/>
          <w:szCs w:val="28"/>
          <w:lang w:eastAsia="zh-CN"/>
        </w:rPr>
      </w:pPr>
      <w:r>
        <w:rPr>
          <w:rFonts w:hint="eastAsia"/>
          <w:bCs/>
          <w:sz w:val="32"/>
          <w:szCs w:val="28"/>
          <w:lang w:eastAsia="zh-CN"/>
        </w:rPr>
        <w:t>通过特种作业人员安全技术考试，提高本市特种作业从业人员的技术素质和工作能力，为</w:t>
      </w:r>
      <w:r>
        <w:rPr>
          <w:rFonts w:hint="eastAsia"/>
          <w:bCs/>
          <w:sz w:val="32"/>
          <w:szCs w:val="28"/>
          <w:lang w:val="en-US" w:eastAsia="zh-CN"/>
        </w:rPr>
        <w:t>全</w:t>
      </w:r>
      <w:r>
        <w:rPr>
          <w:rFonts w:hint="eastAsia"/>
          <w:bCs/>
          <w:sz w:val="32"/>
          <w:szCs w:val="28"/>
          <w:lang w:eastAsia="zh-CN"/>
        </w:rPr>
        <w:t>市安全生产工作筑牢基础。</w:t>
      </w:r>
    </w:p>
    <w:p>
      <w:pPr>
        <w:suppressAutoHyphens/>
        <w:wordWrap/>
        <w:adjustRightInd w:val="0"/>
        <w:snapToGrid w:val="0"/>
        <w:spacing w:line="360" w:lineRule="auto"/>
        <w:ind w:firstLine="640" w:firstLineChars="200"/>
        <w:outlineLvl w:val="2"/>
        <w:rPr>
          <w:sz w:val="32"/>
        </w:rPr>
      </w:pPr>
      <w:r>
        <w:rPr>
          <w:rFonts w:hint="eastAsia"/>
          <w:sz w:val="32"/>
        </w:rPr>
        <w:t>3.产出时效</w:t>
      </w:r>
    </w:p>
    <w:p>
      <w:pPr>
        <w:suppressAutoHyphens/>
        <w:wordWrap/>
        <w:adjustRightInd w:val="0"/>
        <w:snapToGrid w:val="0"/>
        <w:spacing w:line="360" w:lineRule="auto"/>
        <w:ind w:firstLine="640" w:firstLineChars="200"/>
        <w:rPr>
          <w:bCs/>
          <w:sz w:val="32"/>
          <w:szCs w:val="28"/>
        </w:rPr>
      </w:pPr>
      <w:r>
        <w:rPr>
          <w:rFonts w:hint="eastAsia"/>
          <w:bCs/>
          <w:sz w:val="32"/>
          <w:szCs w:val="28"/>
        </w:rPr>
        <w:t>项目在2</w:t>
      </w:r>
      <w:r>
        <w:rPr>
          <w:bCs/>
          <w:sz w:val="32"/>
          <w:szCs w:val="28"/>
        </w:rPr>
        <w:t>02</w:t>
      </w:r>
      <w:r>
        <w:rPr>
          <w:rFonts w:hint="eastAsia"/>
          <w:bCs/>
          <w:sz w:val="32"/>
          <w:szCs w:val="28"/>
          <w:lang w:val="en-US" w:eastAsia="zh-CN"/>
        </w:rPr>
        <w:t>3</w:t>
      </w:r>
      <w:r>
        <w:rPr>
          <w:rFonts w:hint="eastAsia"/>
          <w:bCs/>
          <w:sz w:val="32"/>
          <w:szCs w:val="28"/>
        </w:rPr>
        <w:t>年</w:t>
      </w:r>
      <w:r>
        <w:rPr>
          <w:rFonts w:hint="eastAsia"/>
          <w:bCs/>
          <w:sz w:val="32"/>
          <w:szCs w:val="28"/>
          <w:lang w:val="en-US" w:eastAsia="zh-CN"/>
        </w:rPr>
        <w:t>2</w:t>
      </w:r>
      <w:r>
        <w:rPr>
          <w:rFonts w:hint="eastAsia"/>
          <w:bCs/>
          <w:sz w:val="32"/>
          <w:szCs w:val="28"/>
        </w:rPr>
        <w:t>月</w:t>
      </w:r>
      <w:r>
        <w:rPr>
          <w:rFonts w:hint="eastAsia"/>
          <w:bCs/>
          <w:sz w:val="32"/>
          <w:szCs w:val="28"/>
          <w:lang w:val="en-US" w:eastAsia="zh-CN"/>
        </w:rPr>
        <w:t>-9月，依据各区各考点统计的报考人事及时为各区各考点拨付考试费用，保障考试顺利开展</w:t>
      </w:r>
      <w:r>
        <w:rPr>
          <w:rFonts w:hint="eastAsia"/>
          <w:bCs/>
          <w:sz w:val="32"/>
          <w:szCs w:val="28"/>
        </w:rPr>
        <w:t>。</w:t>
      </w:r>
    </w:p>
    <w:p>
      <w:pPr>
        <w:suppressAutoHyphens/>
        <w:wordWrap/>
        <w:adjustRightInd w:val="0"/>
        <w:snapToGrid w:val="0"/>
        <w:spacing w:line="360" w:lineRule="auto"/>
        <w:ind w:firstLine="640" w:firstLineChars="200"/>
        <w:outlineLvl w:val="2"/>
        <w:rPr>
          <w:rFonts w:hAnsi="仿宋"/>
          <w:sz w:val="32"/>
          <w:szCs w:val="32"/>
        </w:rPr>
      </w:pPr>
      <w:r>
        <w:rPr>
          <w:rFonts w:hint="eastAsia" w:hAnsi="仿宋"/>
          <w:sz w:val="32"/>
          <w:szCs w:val="32"/>
        </w:rPr>
        <w:t>4.产出成本</w:t>
      </w:r>
    </w:p>
    <w:p>
      <w:pPr>
        <w:suppressAutoHyphens/>
        <w:wordWrap/>
        <w:adjustRightInd w:val="0"/>
        <w:snapToGrid w:val="0"/>
        <w:spacing w:line="360" w:lineRule="auto"/>
        <w:ind w:firstLine="640" w:firstLineChars="200"/>
        <w:rPr>
          <w:rFonts w:hint="eastAsia"/>
          <w:sz w:val="32"/>
        </w:rPr>
      </w:pPr>
      <w:r>
        <w:rPr>
          <w:rFonts w:hint="eastAsia" w:hAnsi="宋体" w:cs="宋体"/>
          <w:color w:val="000000"/>
          <w:kern w:val="0"/>
          <w:sz w:val="32"/>
          <w:szCs w:val="32"/>
        </w:rPr>
        <w:t>项目实施过程中，项目单位严格按照相关财务管理制度，确保各项支出严格按照预算执行，</w:t>
      </w:r>
      <w:r>
        <w:rPr>
          <w:rFonts w:hint="eastAsia" w:hAnsi="宋体" w:cs="宋体"/>
          <w:color w:val="000000"/>
          <w:kern w:val="0"/>
          <w:sz w:val="32"/>
          <w:szCs w:val="32"/>
          <w:lang w:val="en-US" w:eastAsia="zh-CN"/>
        </w:rPr>
        <w:t>项目总体支出1522.537万元</w:t>
      </w:r>
      <w:r>
        <w:rPr>
          <w:rFonts w:hint="eastAsia"/>
          <w:sz w:val="32"/>
        </w:rPr>
        <w:t>控制在预算范围内。</w:t>
      </w:r>
    </w:p>
    <w:p>
      <w:pPr>
        <w:suppressAutoHyphens/>
        <w:wordWrap/>
        <w:adjustRightInd w:val="0"/>
        <w:snapToGrid w:val="0"/>
        <w:spacing w:line="360" w:lineRule="auto"/>
        <w:ind w:firstLine="640" w:firstLineChars="200"/>
        <w:rPr>
          <w:rFonts w:hint="default" w:eastAsia="仿宋_GB2312"/>
          <w:sz w:val="32"/>
          <w:lang w:val="en-US" w:eastAsia="zh-CN"/>
        </w:rPr>
      </w:pPr>
      <w:r>
        <w:rPr>
          <w:rFonts w:hint="eastAsia"/>
          <w:sz w:val="32"/>
          <w:lang w:val="en-US" w:eastAsia="zh-CN"/>
        </w:rPr>
        <w:t>评价认为，项目产出内容明确，</w:t>
      </w:r>
      <w:r>
        <w:rPr>
          <w:rFonts w:hint="eastAsia" w:ascii="Times New Roman" w:hAnsi="Times New Roman" w:eastAsia="方正仿宋_GB2312" w:cs="方正仿宋_GB2312"/>
          <w:kern w:val="44"/>
          <w:sz w:val="32"/>
          <w:szCs w:val="32"/>
          <w:lang w:eastAsia="zh-CN"/>
        </w:rPr>
        <w:t>产出完成情况均符合预期</w:t>
      </w:r>
      <w:r>
        <w:rPr>
          <w:rFonts w:hint="eastAsia" w:ascii="Times New Roman" w:hAnsi="Times New Roman" w:eastAsia="方正仿宋_GB2312" w:cs="方正仿宋_GB2312"/>
          <w:kern w:val="44"/>
          <w:sz w:val="32"/>
          <w:szCs w:val="32"/>
          <w:lang w:val="en-US" w:eastAsia="zh-CN"/>
        </w:rPr>
        <w:t>目标</w:t>
      </w:r>
      <w:r>
        <w:rPr>
          <w:rFonts w:hint="eastAsia" w:ascii="Times New Roman" w:hAnsi="Times New Roman" w:eastAsia="方正仿宋_GB2312" w:cs="方正仿宋_GB2312"/>
          <w:kern w:val="44"/>
          <w:sz w:val="32"/>
          <w:szCs w:val="32"/>
          <w:lang w:eastAsia="zh-CN"/>
        </w:rPr>
        <w:t>，</w:t>
      </w:r>
      <w:r>
        <w:rPr>
          <w:rFonts w:hint="eastAsia" w:ascii="Times New Roman" w:hAnsi="Times New Roman" w:eastAsia="方正仿宋_GB2312" w:cs="方正仿宋_GB2312"/>
          <w:kern w:val="44"/>
          <w:sz w:val="32"/>
          <w:szCs w:val="32"/>
          <w:lang w:val="en-US" w:eastAsia="zh-CN"/>
        </w:rPr>
        <w:t>完成情况较为理想</w:t>
      </w:r>
      <w:r>
        <w:rPr>
          <w:rFonts w:hint="eastAsia"/>
          <w:sz w:val="32"/>
          <w:lang w:val="en-US" w:eastAsia="zh-CN"/>
        </w:rPr>
        <w:t>，但质量指标产出内容量化性不足。</w:t>
      </w:r>
    </w:p>
    <w:p>
      <w:pPr>
        <w:wordWrap/>
        <w:adjustRightInd w:val="0"/>
        <w:snapToGrid w:val="0"/>
        <w:spacing w:line="360" w:lineRule="auto"/>
        <w:ind w:firstLine="640" w:firstLineChars="200"/>
        <w:outlineLvl w:val="1"/>
        <w:rPr>
          <w:rFonts w:ascii="Times New Roman" w:eastAsia="楷体_GB2312"/>
          <w:sz w:val="32"/>
        </w:rPr>
      </w:pPr>
      <w:bookmarkStart w:id="79" w:name="_Toc26643"/>
      <w:bookmarkStart w:id="80" w:name="_Toc13191"/>
      <w:r>
        <w:rPr>
          <w:rFonts w:hint="eastAsia" w:ascii="Times New Roman" w:eastAsia="楷体_GB2312"/>
          <w:sz w:val="32"/>
        </w:rPr>
        <w:t>（四）项目效益情况</w:t>
      </w:r>
      <w:bookmarkEnd w:id="79"/>
      <w:bookmarkEnd w:id="80"/>
    </w:p>
    <w:p>
      <w:pPr>
        <w:suppressAutoHyphens/>
        <w:wordWrap/>
        <w:adjustRightInd w:val="0"/>
        <w:snapToGrid w:val="0"/>
        <w:spacing w:line="360" w:lineRule="auto"/>
        <w:ind w:firstLine="640" w:firstLineChars="200"/>
        <w:outlineLvl w:val="2"/>
        <w:rPr>
          <w:sz w:val="32"/>
        </w:rPr>
      </w:pPr>
      <w:r>
        <w:rPr>
          <w:rFonts w:hint="eastAsia"/>
          <w:sz w:val="32"/>
        </w:rPr>
        <w:t>1.实施效益</w:t>
      </w:r>
    </w:p>
    <w:p>
      <w:pPr>
        <w:suppressAutoHyphens/>
        <w:wordWrap/>
        <w:adjustRightInd w:val="0"/>
        <w:snapToGrid w:val="0"/>
        <w:spacing w:line="360" w:lineRule="auto"/>
        <w:ind w:firstLine="640" w:firstLineChars="200"/>
        <w:rPr>
          <w:rFonts w:hint="eastAsia"/>
          <w:sz w:val="32"/>
          <w:szCs w:val="20"/>
        </w:rPr>
      </w:pPr>
      <w:r>
        <w:rPr>
          <w:rFonts w:hint="eastAsia"/>
          <w:sz w:val="32"/>
          <w:szCs w:val="20"/>
        </w:rPr>
        <w:t>该项目社会效益</w:t>
      </w:r>
      <w:r>
        <w:rPr>
          <w:rFonts w:hint="eastAsia"/>
          <w:sz w:val="32"/>
          <w:szCs w:val="20"/>
          <w:lang w:val="en-US" w:eastAsia="zh-CN"/>
        </w:rPr>
        <w:t>主要体现为</w:t>
      </w:r>
      <w:r>
        <w:rPr>
          <w:rFonts w:hint="eastAsia"/>
          <w:sz w:val="32"/>
          <w:szCs w:val="20"/>
        </w:rPr>
        <w:t>为通过严格考务组织，严肃考试纪律，强化特种作业人员安全意识和安全技术，预防和减少生产安全事故。</w:t>
      </w:r>
    </w:p>
    <w:p>
      <w:pPr>
        <w:suppressAutoHyphens/>
        <w:wordWrap/>
        <w:adjustRightInd w:val="0"/>
        <w:snapToGrid w:val="0"/>
        <w:spacing w:line="360" w:lineRule="auto"/>
        <w:ind w:firstLine="640" w:firstLineChars="200"/>
        <w:rPr>
          <w:rFonts w:hint="eastAsia"/>
          <w:sz w:val="32"/>
          <w:szCs w:val="20"/>
        </w:rPr>
      </w:pPr>
      <w:r>
        <w:rPr>
          <w:rFonts w:hint="eastAsia"/>
          <w:bCs/>
          <w:sz w:val="32"/>
          <w:szCs w:val="28"/>
          <w:lang w:val="en-US" w:eastAsia="zh-CN"/>
        </w:rPr>
        <w:t>评价认为，</w:t>
      </w:r>
      <w:r>
        <w:rPr>
          <w:rFonts w:hint="eastAsia"/>
          <w:bCs/>
          <w:sz w:val="32"/>
          <w:szCs w:val="28"/>
        </w:rPr>
        <w:t>项目实施产生了较显著的社会效益，全市特种作业人员安全意识和安全技术管理意识、理念、能力、水平得到大幅提升。同时</w:t>
      </w:r>
      <w:r>
        <w:rPr>
          <w:rFonts w:hint="eastAsia"/>
          <w:bCs/>
          <w:sz w:val="32"/>
          <w:szCs w:val="28"/>
          <w:lang w:val="en-US" w:eastAsia="zh-CN"/>
        </w:rPr>
        <w:t>应注重</w:t>
      </w:r>
      <w:r>
        <w:rPr>
          <w:rFonts w:hint="eastAsia"/>
          <w:bCs/>
          <w:sz w:val="32"/>
          <w:szCs w:val="28"/>
        </w:rPr>
        <w:t>进一步收集、完善项目</w:t>
      </w:r>
      <w:r>
        <w:rPr>
          <w:rFonts w:hint="eastAsia"/>
          <w:bCs/>
          <w:sz w:val="32"/>
          <w:szCs w:val="28"/>
          <w:lang w:val="en-US" w:eastAsia="zh-CN"/>
        </w:rPr>
        <w:t>效益</w:t>
      </w:r>
      <w:r>
        <w:rPr>
          <w:rFonts w:hint="eastAsia"/>
          <w:bCs/>
          <w:sz w:val="32"/>
          <w:szCs w:val="28"/>
        </w:rPr>
        <w:t>支撑材料。</w:t>
      </w:r>
    </w:p>
    <w:p>
      <w:pPr>
        <w:suppressAutoHyphens/>
        <w:wordWrap/>
        <w:adjustRightInd w:val="0"/>
        <w:snapToGrid w:val="0"/>
        <w:spacing w:line="360" w:lineRule="auto"/>
        <w:ind w:firstLine="640" w:firstLineChars="200"/>
        <w:outlineLvl w:val="2"/>
        <w:rPr>
          <w:sz w:val="32"/>
        </w:rPr>
      </w:pPr>
      <w:r>
        <w:rPr>
          <w:rFonts w:hint="eastAsia"/>
          <w:sz w:val="32"/>
        </w:rPr>
        <w:t>2.满意度</w:t>
      </w:r>
    </w:p>
    <w:p>
      <w:pPr>
        <w:suppressAutoHyphens/>
        <w:wordWrap/>
        <w:adjustRightInd w:val="0"/>
        <w:snapToGrid w:val="0"/>
        <w:spacing w:line="360" w:lineRule="auto"/>
        <w:ind w:firstLine="640" w:firstLineChars="200"/>
        <w:rPr>
          <w:rFonts w:hint="eastAsia"/>
          <w:sz w:val="32"/>
          <w:szCs w:val="20"/>
        </w:rPr>
      </w:pPr>
      <w:r>
        <w:rPr>
          <w:rFonts w:hint="eastAsia"/>
          <w:sz w:val="32"/>
          <w:szCs w:val="20"/>
        </w:rPr>
        <w:t>考务组织、考试服务满意度</w:t>
      </w:r>
      <w:r>
        <w:rPr>
          <w:rFonts w:hint="eastAsia"/>
          <w:sz w:val="32"/>
          <w:szCs w:val="20"/>
          <w:lang w:eastAsia="zh-CN"/>
        </w:rPr>
        <w:t>，</w:t>
      </w:r>
      <w:r>
        <w:rPr>
          <w:rFonts w:hint="eastAsia"/>
          <w:sz w:val="32"/>
          <w:szCs w:val="20"/>
        </w:rPr>
        <w:t>工作组织管理等指标的满意度均在90%以上。</w:t>
      </w:r>
    </w:p>
    <w:p>
      <w:pPr>
        <w:suppressAutoHyphens/>
        <w:wordWrap/>
        <w:adjustRightInd w:val="0"/>
        <w:snapToGrid w:val="0"/>
        <w:spacing w:line="360" w:lineRule="auto"/>
        <w:ind w:firstLine="640" w:firstLineChars="200"/>
        <w:rPr>
          <w:rFonts w:hint="default" w:eastAsia="仿宋_GB2312"/>
          <w:sz w:val="32"/>
          <w:szCs w:val="20"/>
          <w:lang w:val="en-US" w:eastAsia="zh-CN"/>
        </w:rPr>
      </w:pPr>
      <w:r>
        <w:rPr>
          <w:rFonts w:hint="eastAsia"/>
          <w:sz w:val="32"/>
          <w:szCs w:val="20"/>
          <w:lang w:val="en-US" w:eastAsia="zh-CN"/>
        </w:rPr>
        <w:t>评价认为，项目满意度指标设置内容较为合理，但满意度指标实现程度支撑依据不足，应扩大满意度调研范围，支撑满意度实现情况。</w:t>
      </w:r>
    </w:p>
    <w:p>
      <w:pPr>
        <w:wordWrap/>
        <w:adjustRightInd w:val="0"/>
        <w:snapToGrid w:val="0"/>
        <w:spacing w:line="360" w:lineRule="auto"/>
        <w:ind w:firstLine="640" w:firstLineChars="200"/>
        <w:outlineLvl w:val="0"/>
        <w:rPr>
          <w:rFonts w:ascii="Times New Roman" w:eastAsia="黑体"/>
          <w:sz w:val="32"/>
        </w:rPr>
      </w:pPr>
      <w:bookmarkStart w:id="81" w:name="_Toc336506901"/>
      <w:bookmarkStart w:id="82" w:name="_Toc8255"/>
      <w:bookmarkStart w:id="83" w:name="_Toc31178"/>
      <w:bookmarkStart w:id="84" w:name="_Toc336506966"/>
      <w:bookmarkStart w:id="85" w:name="_Toc31625"/>
      <w:bookmarkStart w:id="86" w:name="_Toc13354"/>
      <w:r>
        <w:rPr>
          <w:rFonts w:hint="eastAsia" w:ascii="Times New Roman" w:eastAsia="黑体"/>
          <w:sz w:val="32"/>
        </w:rPr>
        <w:t>五、</w:t>
      </w:r>
      <w:bookmarkEnd w:id="81"/>
      <w:bookmarkEnd w:id="82"/>
      <w:bookmarkEnd w:id="83"/>
      <w:bookmarkEnd w:id="84"/>
      <w:r>
        <w:rPr>
          <w:rFonts w:hint="eastAsia" w:ascii="Times New Roman" w:eastAsia="黑体"/>
          <w:sz w:val="32"/>
        </w:rPr>
        <w:t>主要的经验及做法、存在的问题及原因分析</w:t>
      </w:r>
      <w:bookmarkEnd w:id="85"/>
      <w:bookmarkEnd w:id="86"/>
    </w:p>
    <w:p>
      <w:pPr>
        <w:wordWrap/>
        <w:adjustRightInd w:val="0"/>
        <w:snapToGrid w:val="0"/>
        <w:spacing w:line="360" w:lineRule="auto"/>
        <w:ind w:firstLine="640" w:firstLineChars="200"/>
        <w:outlineLvl w:val="1"/>
        <w:rPr>
          <w:rFonts w:ascii="Times New Roman" w:eastAsia="楷体_GB2312" w:cs="仿宋_GB2312"/>
          <w:sz w:val="32"/>
          <w:szCs w:val="28"/>
        </w:rPr>
      </w:pPr>
      <w:bookmarkStart w:id="87" w:name="_Toc13691"/>
      <w:bookmarkStart w:id="88" w:name="_Toc32356"/>
      <w:bookmarkStart w:id="89" w:name="_Toc15308"/>
      <w:bookmarkStart w:id="90" w:name="_Toc12209"/>
      <w:bookmarkStart w:id="91" w:name="_Toc336506904"/>
      <w:bookmarkStart w:id="92" w:name="_Toc336506969"/>
      <w:r>
        <w:rPr>
          <w:rFonts w:hint="eastAsia" w:ascii="Times New Roman" w:eastAsia="楷体_GB2312" w:cs="仿宋_GB2312"/>
          <w:sz w:val="32"/>
          <w:szCs w:val="28"/>
        </w:rPr>
        <w:t>（一）主要经验及做法</w:t>
      </w:r>
      <w:bookmarkEnd w:id="87"/>
      <w:bookmarkEnd w:id="88"/>
    </w:p>
    <w:p>
      <w:pPr>
        <w:wordWrap/>
        <w:adjustRightInd w:val="0"/>
        <w:snapToGrid w:val="0"/>
        <w:spacing w:line="360" w:lineRule="auto"/>
        <w:ind w:firstLine="640" w:firstLineChars="200"/>
        <w:rPr>
          <w:rFonts w:hint="eastAsia" w:hAnsi="Calibri"/>
          <w:bCs/>
          <w:sz w:val="32"/>
          <w:szCs w:val="32"/>
        </w:rPr>
      </w:pPr>
      <w:r>
        <w:rPr>
          <w:rFonts w:hint="eastAsia" w:hAnsi="Calibri"/>
          <w:bCs/>
          <w:sz w:val="32"/>
          <w:szCs w:val="32"/>
        </w:rPr>
        <w:t>一是思想重视。充分认识项目管理对于实现项目目标的重要意义。项目管理工作贯穿项目实施始终，与项目实施同谋划、同部署、同落实，并在项目组织实施过程中与申报的绩效目标经常对标对表，确保项目完成之时绩效目标同步实现。</w:t>
      </w:r>
    </w:p>
    <w:p>
      <w:pPr>
        <w:wordWrap/>
        <w:adjustRightInd w:val="0"/>
        <w:snapToGrid w:val="0"/>
        <w:spacing w:line="360" w:lineRule="auto"/>
        <w:ind w:firstLine="640" w:firstLineChars="200"/>
        <w:rPr>
          <w:rFonts w:hint="eastAsia" w:hAnsi="Calibri"/>
          <w:bCs/>
          <w:sz w:val="32"/>
          <w:szCs w:val="32"/>
        </w:rPr>
      </w:pPr>
      <w:r>
        <w:rPr>
          <w:rFonts w:hint="eastAsia" w:hAnsi="Calibri"/>
          <w:bCs/>
          <w:sz w:val="32"/>
          <w:szCs w:val="32"/>
        </w:rPr>
        <w:t>二是按章办事。严格履行内控流程。与财务保持经常性沟通，遇有相关规定不清楚、不了解的，随时咨询财务部门的专业意见，一切按财务规定组织实施。</w:t>
      </w:r>
    </w:p>
    <w:p>
      <w:pPr>
        <w:wordWrap/>
        <w:adjustRightInd w:val="0"/>
        <w:snapToGrid w:val="0"/>
        <w:spacing w:line="360" w:lineRule="auto"/>
        <w:ind w:firstLine="640" w:firstLineChars="200"/>
        <w:rPr>
          <w:rFonts w:hAnsi="Calibri"/>
          <w:bCs/>
          <w:sz w:val="32"/>
          <w:szCs w:val="32"/>
        </w:rPr>
      </w:pPr>
      <w:r>
        <w:rPr>
          <w:rFonts w:hint="eastAsia" w:hAnsi="Calibri"/>
          <w:bCs/>
          <w:sz w:val="32"/>
          <w:szCs w:val="32"/>
        </w:rPr>
        <w:t>三是压实责任。每项</w:t>
      </w:r>
      <w:r>
        <w:rPr>
          <w:rFonts w:hint="eastAsia" w:hAnsi="Calibri"/>
          <w:bCs/>
          <w:sz w:val="32"/>
          <w:szCs w:val="32"/>
          <w:lang w:val="en-US" w:eastAsia="zh-CN"/>
        </w:rPr>
        <w:t>工作</w:t>
      </w:r>
      <w:r>
        <w:rPr>
          <w:rFonts w:hint="eastAsia" w:hAnsi="Calibri"/>
          <w:bCs/>
          <w:sz w:val="32"/>
          <w:szCs w:val="32"/>
        </w:rPr>
        <w:t>都具体到人，要求人人都要当好施工队长和项目经理，都要对自己的</w:t>
      </w:r>
      <w:r>
        <w:rPr>
          <w:rFonts w:hint="eastAsia" w:hAnsi="Calibri"/>
          <w:bCs/>
          <w:sz w:val="32"/>
          <w:szCs w:val="32"/>
          <w:lang w:val="en-US" w:eastAsia="zh-CN"/>
        </w:rPr>
        <w:t>工作</w:t>
      </w:r>
      <w:r>
        <w:rPr>
          <w:rFonts w:hint="eastAsia" w:hAnsi="Calibri"/>
          <w:bCs/>
          <w:sz w:val="32"/>
          <w:szCs w:val="32"/>
        </w:rPr>
        <w:t>负责，以优良的项目管理确保项目成效，提高财政资金使用效益。。</w:t>
      </w:r>
    </w:p>
    <w:p>
      <w:pPr>
        <w:wordWrap/>
        <w:adjustRightInd w:val="0"/>
        <w:snapToGrid w:val="0"/>
        <w:spacing w:line="360" w:lineRule="auto"/>
        <w:ind w:firstLine="640" w:firstLineChars="200"/>
        <w:outlineLvl w:val="1"/>
        <w:rPr>
          <w:rFonts w:ascii="Times New Roman" w:eastAsia="楷体_GB2312" w:cs="仿宋_GB2312"/>
          <w:sz w:val="32"/>
          <w:szCs w:val="28"/>
        </w:rPr>
      </w:pPr>
      <w:bookmarkStart w:id="93" w:name="_Toc15901"/>
      <w:bookmarkStart w:id="94" w:name="_Toc2677"/>
      <w:r>
        <w:rPr>
          <w:rFonts w:hint="eastAsia" w:ascii="Times New Roman" w:eastAsia="楷体_GB2312" w:cs="仿宋_GB2312"/>
          <w:sz w:val="32"/>
          <w:szCs w:val="28"/>
        </w:rPr>
        <w:t>（二）存在的主要问题及原因分析</w:t>
      </w:r>
      <w:bookmarkEnd w:id="93"/>
      <w:bookmarkEnd w:id="94"/>
    </w:p>
    <w:p>
      <w:pPr>
        <w:adjustRightInd w:val="0"/>
        <w:snapToGrid w:val="0"/>
        <w:spacing w:line="360" w:lineRule="auto"/>
        <w:ind w:firstLine="643" w:firstLineChars="200"/>
        <w:rPr>
          <w:b/>
          <w:bCs/>
          <w:sz w:val="32"/>
          <w:szCs w:val="32"/>
        </w:rPr>
      </w:pPr>
      <w:r>
        <w:rPr>
          <w:rFonts w:hint="eastAsia"/>
          <w:b/>
          <w:bCs/>
          <w:sz w:val="32"/>
          <w:szCs w:val="32"/>
        </w:rPr>
        <w:t>1.项目绩效目标管理有待加强</w:t>
      </w:r>
    </w:p>
    <w:p>
      <w:pPr>
        <w:adjustRightInd w:val="0"/>
        <w:snapToGrid w:val="0"/>
        <w:spacing w:line="360" w:lineRule="auto"/>
        <w:ind w:firstLine="640" w:firstLineChars="200"/>
        <w:rPr>
          <w:rFonts w:hAnsi="宋体"/>
          <w:sz w:val="32"/>
          <w:szCs w:val="32"/>
        </w:rPr>
      </w:pPr>
      <w:r>
        <w:rPr>
          <w:rFonts w:hint="eastAsia" w:cs="仿宋_GB2312"/>
          <w:sz w:val="32"/>
          <w:szCs w:val="32"/>
        </w:rPr>
        <w:t>绩效目标设置尚有不足</w:t>
      </w:r>
      <w:r>
        <w:rPr>
          <w:rFonts w:hint="eastAsia" w:hAnsi="宋体" w:cs="仿宋_GB2312"/>
          <w:sz w:val="32"/>
          <w:szCs w:val="28"/>
        </w:rPr>
        <w:t>，预期产出效益和效果描述有待进一步完善。</w:t>
      </w:r>
      <w:r>
        <w:rPr>
          <w:rFonts w:hint="eastAsia" w:cs="仿宋_GB2312"/>
          <w:sz w:val="32"/>
          <w:szCs w:val="32"/>
        </w:rPr>
        <w:t>绩效指标设置不够细化、量化，如，</w:t>
      </w:r>
      <w:r>
        <w:rPr>
          <w:rFonts w:hint="eastAsia"/>
          <w:sz w:val="32"/>
        </w:rPr>
        <w:t>产出</w:t>
      </w:r>
      <w:r>
        <w:rPr>
          <w:rFonts w:hint="eastAsia"/>
          <w:sz w:val="32"/>
          <w:lang w:val="en-US" w:eastAsia="zh-CN"/>
        </w:rPr>
        <w:t>质</w:t>
      </w:r>
      <w:r>
        <w:rPr>
          <w:rFonts w:hint="eastAsia"/>
          <w:sz w:val="32"/>
        </w:rPr>
        <w:t>量指标</w:t>
      </w:r>
      <w:r>
        <w:rPr>
          <w:rFonts w:hint="eastAsia"/>
          <w:sz w:val="32"/>
          <w:lang w:eastAsia="zh-CN"/>
        </w:rPr>
        <w:t>“考务费拨付”、</w:t>
      </w:r>
      <w:r>
        <w:rPr>
          <w:rFonts w:hint="eastAsia"/>
          <w:sz w:val="32"/>
          <w:lang w:val="en-US" w:eastAsia="zh-CN"/>
        </w:rPr>
        <w:t>效益指标“通过严格考务组织，严肃考试纪律，强化特种作业人员安全意识和安全技术，预防和减少生产安全事故。”为定性描述，可考量性不足</w:t>
      </w:r>
      <w:r>
        <w:rPr>
          <w:rFonts w:hint="eastAsia"/>
          <w:sz w:val="32"/>
          <w:szCs w:val="32"/>
        </w:rPr>
        <w:t>。</w:t>
      </w:r>
    </w:p>
    <w:p>
      <w:pPr>
        <w:adjustRightInd w:val="0"/>
        <w:snapToGrid w:val="0"/>
        <w:spacing w:line="360" w:lineRule="auto"/>
        <w:ind w:firstLine="643" w:firstLineChars="200"/>
        <w:rPr>
          <w:rFonts w:ascii="Times New Roman" w:eastAsia="楷体_GB2312"/>
          <w:sz w:val="32"/>
        </w:rPr>
      </w:pPr>
      <w:r>
        <w:rPr>
          <w:rFonts w:hint="eastAsia"/>
          <w:b/>
          <w:bCs/>
          <w:sz w:val="32"/>
          <w:szCs w:val="32"/>
        </w:rPr>
        <w:t>2.项目</w:t>
      </w:r>
      <w:r>
        <w:rPr>
          <w:rFonts w:hint="eastAsia"/>
          <w:b/>
          <w:bCs/>
          <w:sz w:val="32"/>
          <w:szCs w:val="32"/>
          <w:lang w:val="en-US" w:eastAsia="zh-CN"/>
        </w:rPr>
        <w:t>决策</w:t>
      </w:r>
      <w:r>
        <w:rPr>
          <w:rFonts w:hint="eastAsia"/>
          <w:b/>
          <w:bCs/>
          <w:sz w:val="32"/>
          <w:szCs w:val="32"/>
        </w:rPr>
        <w:t>逻辑性有待提升</w:t>
      </w:r>
    </w:p>
    <w:p>
      <w:pPr>
        <w:adjustRightInd w:val="0"/>
        <w:snapToGrid w:val="0"/>
        <w:spacing w:line="360" w:lineRule="auto"/>
        <w:ind w:firstLine="640" w:firstLineChars="200"/>
        <w:rPr>
          <w:rFonts w:hint="eastAsia" w:cs="仿宋_GB2312"/>
          <w:sz w:val="32"/>
          <w:szCs w:val="32"/>
        </w:rPr>
      </w:pPr>
      <w:r>
        <w:rPr>
          <w:rFonts w:hint="eastAsia" w:cs="仿宋_GB2312"/>
          <w:sz w:val="32"/>
          <w:szCs w:val="32"/>
        </w:rPr>
        <w:t>项目与中长期规划、工作计划“粘性”不足</w:t>
      </w:r>
      <w:r>
        <w:rPr>
          <w:rFonts w:hint="eastAsia" w:cs="仿宋_GB2312"/>
          <w:sz w:val="32"/>
          <w:szCs w:val="32"/>
          <w:lang w:eastAsia="zh-CN"/>
        </w:rPr>
        <w:t>，</w:t>
      </w:r>
      <w:r>
        <w:rPr>
          <w:rFonts w:hint="eastAsia" w:cs="仿宋_GB2312"/>
          <w:sz w:val="32"/>
          <w:szCs w:val="32"/>
        </w:rPr>
        <w:t>从项目整体立意角度的联系不够紧密，凝练度不高，总体目标中</w:t>
      </w:r>
      <w:r>
        <w:rPr>
          <w:rFonts w:hint="eastAsia" w:cs="仿宋_GB2312"/>
          <w:sz w:val="32"/>
          <w:szCs w:val="32"/>
          <w:lang w:val="en-US" w:eastAsia="zh-CN"/>
        </w:rPr>
        <w:t>预期产出内容不够明确</w:t>
      </w:r>
      <w:r>
        <w:rPr>
          <w:rFonts w:hint="eastAsia" w:cs="仿宋_GB2312"/>
          <w:sz w:val="32"/>
          <w:szCs w:val="32"/>
        </w:rPr>
        <w:t>。</w:t>
      </w:r>
    </w:p>
    <w:p>
      <w:pPr>
        <w:suppressAutoHyphens/>
        <w:wordWrap/>
        <w:adjustRightInd w:val="0"/>
        <w:snapToGrid w:val="0"/>
        <w:spacing w:line="360" w:lineRule="auto"/>
        <w:ind w:firstLine="643" w:firstLineChars="200"/>
        <w:rPr>
          <w:rFonts w:ascii="Times New Roman" w:eastAsia="楷体_GB2312"/>
          <w:sz w:val="32"/>
        </w:rPr>
      </w:pPr>
      <w:r>
        <w:rPr>
          <w:rFonts w:hint="eastAsia"/>
          <w:b/>
          <w:bCs/>
          <w:sz w:val="32"/>
          <w:szCs w:val="32"/>
        </w:rPr>
        <w:t>3.项目管理机制有待提升。</w:t>
      </w:r>
    </w:p>
    <w:p>
      <w:pPr>
        <w:adjustRightInd w:val="0"/>
        <w:snapToGrid w:val="0"/>
        <w:spacing w:line="360" w:lineRule="auto"/>
        <w:ind w:firstLine="640" w:firstLineChars="200"/>
        <w:rPr>
          <w:rFonts w:hint="eastAsia" w:cs="仿宋_GB2312"/>
          <w:sz w:val="32"/>
          <w:szCs w:val="32"/>
          <w:lang w:val="en-US" w:eastAsia="zh-CN"/>
        </w:rPr>
      </w:pPr>
      <w:r>
        <w:rPr>
          <w:rFonts w:hint="eastAsia" w:cs="仿宋_GB2312"/>
          <w:sz w:val="32"/>
          <w:szCs w:val="32"/>
          <w:lang w:val="en-US" w:eastAsia="zh-CN"/>
        </w:rPr>
        <w:t>项目实施方案较简单，项目风险分析及控制措施、验收等工作环节的具体安排没有充分体现；二是没有明确项目的组织实施方式，项目的具体责任人岗位责任制。</w:t>
      </w:r>
    </w:p>
    <w:p>
      <w:pPr>
        <w:wordWrap/>
        <w:adjustRightInd w:val="0"/>
        <w:snapToGrid w:val="0"/>
        <w:spacing w:line="360" w:lineRule="auto"/>
        <w:ind w:firstLine="640" w:firstLineChars="200"/>
        <w:outlineLvl w:val="0"/>
        <w:rPr>
          <w:rFonts w:ascii="Times New Roman" w:eastAsia="黑体"/>
          <w:sz w:val="32"/>
        </w:rPr>
      </w:pPr>
      <w:bookmarkStart w:id="95" w:name="_Toc9141"/>
      <w:bookmarkStart w:id="96" w:name="_Toc23361"/>
      <w:r>
        <w:rPr>
          <w:rFonts w:hint="eastAsia" w:ascii="Times New Roman" w:eastAsia="黑体"/>
          <w:sz w:val="32"/>
        </w:rPr>
        <w:t>六、有关建议</w:t>
      </w:r>
      <w:bookmarkEnd w:id="95"/>
      <w:bookmarkEnd w:id="96"/>
    </w:p>
    <w:p>
      <w:pPr>
        <w:wordWrap/>
        <w:adjustRightInd w:val="0"/>
        <w:snapToGrid w:val="0"/>
        <w:spacing w:line="360" w:lineRule="auto"/>
        <w:ind w:firstLine="640" w:firstLineChars="200"/>
        <w:outlineLvl w:val="1"/>
        <w:rPr>
          <w:rFonts w:ascii="Times New Roman" w:eastAsia="楷体_GB2312"/>
          <w:sz w:val="32"/>
        </w:rPr>
      </w:pPr>
      <w:bookmarkStart w:id="97" w:name="_Toc26271"/>
      <w:bookmarkStart w:id="98" w:name="_Toc3934"/>
      <w:r>
        <w:rPr>
          <w:rFonts w:ascii="Times New Roman" w:eastAsia="楷体_GB2312"/>
          <w:sz w:val="32"/>
        </w:rPr>
        <w:t>（</w:t>
      </w:r>
      <w:r>
        <w:rPr>
          <w:rFonts w:hint="eastAsia" w:ascii="Times New Roman" w:eastAsia="楷体_GB2312"/>
          <w:sz w:val="32"/>
        </w:rPr>
        <w:t>一</w:t>
      </w:r>
      <w:r>
        <w:rPr>
          <w:rFonts w:ascii="Times New Roman" w:eastAsia="楷体_GB2312"/>
          <w:sz w:val="32"/>
        </w:rPr>
        <w:t>）</w:t>
      </w:r>
      <w:r>
        <w:rPr>
          <w:rFonts w:hint="eastAsia" w:ascii="Times New Roman" w:eastAsia="楷体_GB2312"/>
          <w:sz w:val="32"/>
        </w:rPr>
        <w:t>完善绩效目标及指标设置</w:t>
      </w:r>
      <w:bookmarkEnd w:id="97"/>
      <w:bookmarkEnd w:id="98"/>
    </w:p>
    <w:p>
      <w:pPr>
        <w:suppressAutoHyphens/>
        <w:wordWrap/>
        <w:adjustRightInd w:val="0"/>
        <w:snapToGrid w:val="0"/>
        <w:spacing w:line="360" w:lineRule="auto"/>
        <w:ind w:firstLine="640" w:firstLineChars="200"/>
        <w:rPr>
          <w:rFonts w:cs="仿宋_GB2312"/>
          <w:bCs/>
          <w:sz w:val="32"/>
          <w:szCs w:val="28"/>
        </w:rPr>
      </w:pPr>
      <w:r>
        <w:rPr>
          <w:rFonts w:hint="eastAsia" w:cs="仿宋_GB2312"/>
          <w:bCs/>
          <w:sz w:val="32"/>
          <w:szCs w:val="28"/>
        </w:rPr>
        <w:t>建议项目单位</w:t>
      </w:r>
      <w:r>
        <w:rPr>
          <w:rFonts w:hint="eastAsia" w:cs="仿宋_GB2312"/>
          <w:sz w:val="32"/>
          <w:szCs w:val="28"/>
        </w:rPr>
        <w:t>优化绩效目标及指标设置，明确项目年度边界，完善项目产出效益和效果描述。绩效指标进一步细化、量化，确保产出</w:t>
      </w:r>
      <w:r>
        <w:rPr>
          <w:rFonts w:hint="eastAsia" w:cs="仿宋_GB2312"/>
          <w:sz w:val="32"/>
          <w:szCs w:val="28"/>
          <w:lang w:val="en-US" w:eastAsia="zh-CN"/>
        </w:rPr>
        <w:t>质量</w:t>
      </w:r>
      <w:r>
        <w:rPr>
          <w:rFonts w:hint="eastAsia" w:cs="仿宋_GB2312"/>
          <w:sz w:val="32"/>
          <w:szCs w:val="28"/>
        </w:rPr>
        <w:t>指标</w:t>
      </w:r>
      <w:r>
        <w:rPr>
          <w:rFonts w:hint="eastAsia" w:cs="仿宋_GB2312"/>
          <w:sz w:val="32"/>
          <w:szCs w:val="28"/>
          <w:lang w:val="en-US" w:eastAsia="zh-CN"/>
        </w:rPr>
        <w:t>具备可考量性</w:t>
      </w:r>
      <w:r>
        <w:rPr>
          <w:rFonts w:hint="eastAsia" w:cs="仿宋_GB2312"/>
          <w:sz w:val="32"/>
          <w:szCs w:val="28"/>
        </w:rPr>
        <w:t>，</w:t>
      </w:r>
      <w:r>
        <w:rPr>
          <w:rFonts w:hint="eastAsia" w:cs="仿宋_GB2312"/>
          <w:sz w:val="32"/>
          <w:szCs w:val="28"/>
          <w:lang w:val="en-US" w:eastAsia="zh-CN"/>
        </w:rPr>
        <w:t>与总体目标呼应</w:t>
      </w:r>
      <w:r>
        <w:rPr>
          <w:rFonts w:hint="eastAsia" w:cs="仿宋_GB2312"/>
          <w:sz w:val="32"/>
          <w:szCs w:val="28"/>
        </w:rPr>
        <w:t>；充分</w:t>
      </w:r>
      <w:r>
        <w:rPr>
          <w:rFonts w:hint="eastAsia" w:cs="仿宋_GB2312"/>
          <w:bCs/>
          <w:sz w:val="32"/>
          <w:szCs w:val="28"/>
        </w:rPr>
        <w:t>体现</w:t>
      </w:r>
      <w:r>
        <w:rPr>
          <w:rFonts w:hint="eastAsia" w:cs="仿宋_GB2312"/>
          <w:bCs/>
          <w:sz w:val="32"/>
          <w:szCs w:val="28"/>
          <w:lang w:val="en-US" w:eastAsia="zh-CN"/>
        </w:rPr>
        <w:t>项目</w:t>
      </w:r>
      <w:r>
        <w:rPr>
          <w:rFonts w:hint="eastAsia" w:cs="仿宋_GB2312"/>
          <w:bCs/>
          <w:sz w:val="32"/>
          <w:szCs w:val="28"/>
        </w:rPr>
        <w:t>必要性和合理性</w:t>
      </w:r>
      <w:r>
        <w:rPr>
          <w:rFonts w:hint="eastAsia" w:hAnsi="宋体" w:cs="仿宋_GB2312"/>
          <w:sz w:val="32"/>
          <w:szCs w:val="28"/>
        </w:rPr>
        <w:t>。</w:t>
      </w:r>
    </w:p>
    <w:p>
      <w:pPr>
        <w:wordWrap/>
        <w:adjustRightInd w:val="0"/>
        <w:snapToGrid w:val="0"/>
        <w:spacing w:line="360" w:lineRule="auto"/>
        <w:ind w:firstLine="640" w:firstLineChars="200"/>
        <w:outlineLvl w:val="1"/>
        <w:rPr>
          <w:rFonts w:ascii="Times New Roman" w:eastAsia="楷体_GB2312"/>
          <w:sz w:val="32"/>
        </w:rPr>
      </w:pPr>
      <w:bookmarkStart w:id="99" w:name="_Toc12062"/>
      <w:bookmarkStart w:id="100" w:name="_Toc11342"/>
      <w:r>
        <w:rPr>
          <w:rFonts w:ascii="Times New Roman" w:eastAsia="楷体_GB2312"/>
          <w:sz w:val="32"/>
        </w:rPr>
        <w:t>（</w:t>
      </w:r>
      <w:r>
        <w:rPr>
          <w:rFonts w:hint="eastAsia" w:ascii="Times New Roman" w:eastAsia="楷体_GB2312"/>
          <w:sz w:val="32"/>
        </w:rPr>
        <w:t>二</w:t>
      </w:r>
      <w:r>
        <w:rPr>
          <w:rFonts w:ascii="Times New Roman" w:eastAsia="楷体_GB2312"/>
          <w:sz w:val="32"/>
        </w:rPr>
        <w:t>）</w:t>
      </w:r>
      <w:r>
        <w:rPr>
          <w:rFonts w:hint="eastAsia" w:ascii="Times New Roman" w:eastAsia="楷体_GB2312"/>
          <w:sz w:val="32"/>
        </w:rPr>
        <w:t>提升项目整体申报逻辑</w:t>
      </w:r>
      <w:bookmarkEnd w:id="99"/>
      <w:bookmarkEnd w:id="100"/>
    </w:p>
    <w:p>
      <w:pPr>
        <w:adjustRightInd w:val="0"/>
        <w:snapToGrid w:val="0"/>
        <w:spacing w:line="360" w:lineRule="auto"/>
        <w:ind w:firstLine="640" w:firstLineChars="200"/>
        <w:rPr>
          <w:rFonts w:hAnsi="仿宋"/>
          <w:sz w:val="32"/>
          <w:szCs w:val="32"/>
          <w:highlight w:val="none"/>
        </w:rPr>
      </w:pPr>
      <w:r>
        <w:rPr>
          <w:rFonts w:hint="eastAsia" w:hAnsi="仿宋_GB2312" w:cs="仿宋_GB2312"/>
          <w:sz w:val="32"/>
          <w:szCs w:val="32"/>
          <w:highlight w:val="none"/>
        </w:rPr>
        <w:t>建议项目单位</w:t>
      </w:r>
      <w:r>
        <w:rPr>
          <w:rFonts w:hint="eastAsia" w:hAnsi="仿宋_GB2312" w:cs="仿宋_GB2312"/>
          <w:sz w:val="32"/>
          <w:szCs w:val="32"/>
          <w:highlight w:val="none"/>
          <w:lang w:val="en-US" w:eastAsia="zh-CN"/>
        </w:rPr>
        <w:t>完善项目顶层设计，在项目总体目标中明确每年考试工作的重点。在项目整体设计环节充分考虑项目内容和单位中长期规划的联系</w:t>
      </w:r>
      <w:r>
        <w:rPr>
          <w:rFonts w:hint="eastAsia" w:hAnsi="仿宋"/>
          <w:sz w:val="32"/>
          <w:szCs w:val="32"/>
          <w:highlight w:val="none"/>
        </w:rPr>
        <w:t>，</w:t>
      </w:r>
      <w:r>
        <w:rPr>
          <w:rFonts w:hint="eastAsia"/>
          <w:sz w:val="32"/>
          <w:szCs w:val="28"/>
          <w:highlight w:val="none"/>
        </w:rPr>
        <w:t>确保财政资金使用</w:t>
      </w:r>
      <w:r>
        <w:rPr>
          <w:rFonts w:hint="eastAsia"/>
          <w:sz w:val="32"/>
          <w:szCs w:val="28"/>
          <w:highlight w:val="none"/>
          <w:lang w:val="en-US" w:eastAsia="zh-CN"/>
        </w:rPr>
        <w:t>方向明确，使用效益充分</w:t>
      </w:r>
      <w:r>
        <w:rPr>
          <w:rFonts w:hint="eastAsia" w:hAnsi="仿宋"/>
          <w:sz w:val="32"/>
          <w:szCs w:val="32"/>
          <w:highlight w:val="none"/>
        </w:rPr>
        <w:t>。</w:t>
      </w:r>
    </w:p>
    <w:p>
      <w:pPr>
        <w:wordWrap/>
        <w:adjustRightInd w:val="0"/>
        <w:snapToGrid w:val="0"/>
        <w:spacing w:line="360" w:lineRule="auto"/>
        <w:ind w:firstLine="640" w:firstLineChars="200"/>
        <w:outlineLvl w:val="1"/>
        <w:rPr>
          <w:rFonts w:hint="default" w:ascii="Times New Roman" w:eastAsia="楷体_GB2312"/>
          <w:sz w:val="32"/>
          <w:lang w:val="en-US" w:eastAsia="zh-CN"/>
        </w:rPr>
      </w:pPr>
      <w:bookmarkStart w:id="101" w:name="_Toc16557"/>
      <w:bookmarkStart w:id="102" w:name="_Toc16261"/>
      <w:r>
        <w:rPr>
          <w:rFonts w:ascii="Times New Roman" w:eastAsia="楷体_GB2312"/>
          <w:sz w:val="32"/>
        </w:rPr>
        <w:t>（</w:t>
      </w:r>
      <w:r>
        <w:rPr>
          <w:rFonts w:hint="eastAsia" w:ascii="Times New Roman" w:eastAsia="楷体_GB2312"/>
          <w:sz w:val="32"/>
        </w:rPr>
        <w:t>三</w:t>
      </w:r>
      <w:r>
        <w:rPr>
          <w:rFonts w:ascii="Times New Roman" w:eastAsia="楷体_GB2312"/>
          <w:sz w:val="32"/>
        </w:rPr>
        <w:t>）</w:t>
      </w:r>
      <w:r>
        <w:rPr>
          <w:rFonts w:hint="eastAsia" w:ascii="Times New Roman" w:eastAsia="楷体_GB2312"/>
          <w:sz w:val="32"/>
        </w:rPr>
        <w:t>提升项目</w:t>
      </w:r>
      <w:r>
        <w:rPr>
          <w:rFonts w:hint="eastAsia" w:ascii="Times New Roman" w:eastAsia="楷体_GB2312"/>
          <w:sz w:val="32"/>
          <w:lang w:val="en-US" w:eastAsia="zh-CN"/>
        </w:rPr>
        <w:t>管理机制</w:t>
      </w:r>
      <w:bookmarkEnd w:id="101"/>
      <w:bookmarkEnd w:id="102"/>
    </w:p>
    <w:p>
      <w:pPr>
        <w:adjustRightInd w:val="0"/>
        <w:snapToGrid w:val="0"/>
        <w:spacing w:line="360" w:lineRule="auto"/>
        <w:ind w:firstLine="640" w:firstLineChars="200"/>
        <w:rPr>
          <w:rFonts w:hAnsi="仿宋"/>
          <w:sz w:val="32"/>
          <w:szCs w:val="32"/>
        </w:rPr>
      </w:pPr>
      <w:r>
        <w:rPr>
          <w:rFonts w:hint="eastAsia" w:hAnsi="仿宋"/>
          <w:sz w:val="32"/>
          <w:szCs w:val="32"/>
        </w:rPr>
        <w:t>建议提高项目过程管理的精细化水平，完善项目管理办法，强化项目管理制度执行的落实。进一步完善项目实施方案，明确项目风险分析及控制措施、</w:t>
      </w:r>
      <w:r>
        <w:rPr>
          <w:rFonts w:hint="eastAsia" w:hAnsi="仿宋"/>
          <w:sz w:val="32"/>
          <w:szCs w:val="32"/>
          <w:lang w:val="en-US" w:eastAsia="zh-CN"/>
        </w:rPr>
        <w:t>考点的遴选机制和选择标准</w:t>
      </w:r>
      <w:r>
        <w:rPr>
          <w:rFonts w:hint="eastAsia" w:hAnsi="仿宋"/>
          <w:sz w:val="32"/>
          <w:szCs w:val="32"/>
        </w:rPr>
        <w:t>，加强对项目过程的监督控制，提升项目管理效果</w:t>
      </w:r>
      <w:r>
        <w:rPr>
          <w:sz w:val="32"/>
          <w:szCs w:val="20"/>
        </w:rPr>
        <w:t>，</w:t>
      </w:r>
      <w:r>
        <w:rPr>
          <w:rFonts w:hint="eastAsia"/>
          <w:sz w:val="32"/>
          <w:szCs w:val="20"/>
        </w:rPr>
        <w:t>为项目后续管理和实施提供参考依据</w:t>
      </w:r>
      <w:r>
        <w:rPr>
          <w:rFonts w:hint="eastAsia" w:hAnsi="仿宋_GB2312" w:cs="仿宋_GB2312"/>
          <w:sz w:val="32"/>
          <w:szCs w:val="32"/>
        </w:rPr>
        <w:t>，增强项目实施的可持续性。</w:t>
      </w:r>
    </w:p>
    <w:bookmarkEnd w:id="89"/>
    <w:bookmarkEnd w:id="90"/>
    <w:bookmarkEnd w:id="91"/>
    <w:bookmarkEnd w:id="92"/>
    <w:p>
      <w:pPr>
        <w:wordWrap/>
        <w:adjustRightInd w:val="0"/>
        <w:snapToGrid w:val="0"/>
        <w:spacing w:line="360" w:lineRule="auto"/>
        <w:ind w:firstLine="640" w:firstLineChars="200"/>
        <w:outlineLvl w:val="0"/>
        <w:rPr>
          <w:rFonts w:ascii="Times New Roman" w:eastAsia="黑体"/>
          <w:sz w:val="32"/>
        </w:rPr>
      </w:pPr>
      <w:bookmarkStart w:id="103" w:name="_Toc24895"/>
      <w:bookmarkStart w:id="104" w:name="_Toc5003"/>
      <w:bookmarkStart w:id="105" w:name="_Toc336506978"/>
      <w:bookmarkStart w:id="106" w:name="_Toc336506912"/>
      <w:bookmarkStart w:id="107" w:name="_Toc8005"/>
      <w:bookmarkStart w:id="108" w:name="_Toc23835"/>
      <w:r>
        <w:rPr>
          <w:rFonts w:hint="eastAsia" w:ascii="Times New Roman" w:eastAsia="黑体"/>
          <w:sz w:val="32"/>
        </w:rPr>
        <w:t>七、其他需要说明的问题</w:t>
      </w:r>
      <w:bookmarkEnd w:id="103"/>
      <w:bookmarkEnd w:id="104"/>
    </w:p>
    <w:p>
      <w:pPr>
        <w:wordWrap/>
        <w:adjustRightInd w:val="0"/>
        <w:snapToGrid w:val="0"/>
        <w:spacing w:line="360" w:lineRule="auto"/>
        <w:ind w:firstLine="640" w:firstLineChars="200"/>
        <w:rPr>
          <w:rFonts w:hAnsi="仿宋_GB2312" w:cs="仿宋_GB2312"/>
          <w:sz w:val="32"/>
          <w:szCs w:val="32"/>
        </w:rPr>
      </w:pPr>
      <w:bookmarkStart w:id="109" w:name="_Toc68983528"/>
      <w:bookmarkStart w:id="110" w:name="_Toc68983614"/>
      <w:r>
        <w:rPr>
          <w:rFonts w:hint="eastAsia" w:hAnsi="仿宋_GB2312" w:cs="仿宋_GB2312"/>
          <w:sz w:val="32"/>
          <w:szCs w:val="32"/>
        </w:rPr>
        <w:t>无。</w:t>
      </w:r>
      <w:bookmarkEnd w:id="109"/>
      <w:bookmarkEnd w:id="110"/>
    </w:p>
    <w:p>
      <w:pPr>
        <w:wordWrap/>
        <w:adjustRightInd w:val="0"/>
        <w:snapToGrid w:val="0"/>
        <w:spacing w:line="360" w:lineRule="auto"/>
        <w:ind w:firstLine="640" w:firstLineChars="200"/>
        <w:outlineLvl w:val="0"/>
        <w:rPr>
          <w:rFonts w:ascii="Times New Roman" w:eastAsia="黑体"/>
          <w:sz w:val="32"/>
        </w:rPr>
      </w:pPr>
      <w:bookmarkStart w:id="111" w:name="_Toc19257"/>
      <w:bookmarkStart w:id="112" w:name="_Toc31913"/>
      <w:r>
        <w:rPr>
          <w:rFonts w:hint="eastAsia" w:ascii="Times New Roman" w:eastAsia="黑体"/>
          <w:sz w:val="32"/>
        </w:rPr>
        <w:t>八、附件</w:t>
      </w:r>
      <w:bookmarkEnd w:id="105"/>
      <w:bookmarkEnd w:id="106"/>
      <w:bookmarkEnd w:id="107"/>
      <w:bookmarkEnd w:id="108"/>
      <w:bookmarkEnd w:id="111"/>
      <w:bookmarkEnd w:id="112"/>
    </w:p>
    <w:p>
      <w:pPr>
        <w:suppressAutoHyphens/>
        <w:wordWrap/>
        <w:adjustRightInd w:val="0"/>
        <w:snapToGrid w:val="0"/>
        <w:spacing w:line="360" w:lineRule="auto"/>
        <w:ind w:firstLine="640" w:firstLineChars="200"/>
        <w:outlineLvl w:val="0"/>
        <w:rPr>
          <w:rFonts w:cs="仿宋_GB2312"/>
          <w:sz w:val="32"/>
          <w:szCs w:val="32"/>
        </w:rPr>
      </w:pPr>
      <w:bookmarkStart w:id="113" w:name="_Toc12409"/>
      <w:r>
        <w:rPr>
          <w:rFonts w:hint="eastAsia" w:cs="仿宋_GB2312"/>
          <w:sz w:val="32"/>
          <w:szCs w:val="32"/>
        </w:rPr>
        <w:t>附件1：项目绩效评价指标体系及打分情况表</w:t>
      </w:r>
      <w:bookmarkEnd w:id="113"/>
    </w:p>
    <w:p>
      <w:pPr>
        <w:suppressAutoHyphens/>
        <w:wordWrap/>
        <w:adjustRightInd w:val="0"/>
        <w:snapToGrid w:val="0"/>
        <w:spacing w:line="360" w:lineRule="auto"/>
        <w:ind w:firstLine="640" w:firstLineChars="200"/>
        <w:outlineLvl w:val="0"/>
        <w:rPr>
          <w:rFonts w:cs="仿宋_GB2312"/>
          <w:sz w:val="32"/>
          <w:szCs w:val="32"/>
        </w:rPr>
      </w:pPr>
      <w:bookmarkStart w:id="114" w:name="_Toc19086"/>
      <w:r>
        <w:rPr>
          <w:rFonts w:hint="eastAsia" w:cs="仿宋_GB2312"/>
          <w:sz w:val="32"/>
          <w:szCs w:val="32"/>
        </w:rPr>
        <w:t>附件2：专家及评价工作组情况表</w:t>
      </w:r>
      <w:bookmarkEnd w:id="114"/>
    </w:p>
    <w:p>
      <w:pPr>
        <w:suppressAutoHyphens/>
        <w:wordWrap/>
        <w:adjustRightInd w:val="0"/>
        <w:snapToGrid w:val="0"/>
        <w:spacing w:line="360" w:lineRule="auto"/>
        <w:ind w:firstLine="640" w:firstLineChars="200"/>
        <w:outlineLvl w:val="0"/>
        <w:rPr>
          <w:rFonts w:cs="仿宋_GB2312"/>
          <w:sz w:val="32"/>
          <w:szCs w:val="32"/>
        </w:rPr>
      </w:pPr>
      <w:bookmarkStart w:id="115" w:name="_Toc17584"/>
      <w:r>
        <w:rPr>
          <w:rFonts w:hint="eastAsia" w:cs="仿宋_GB2312"/>
          <w:sz w:val="32"/>
          <w:szCs w:val="32"/>
        </w:rPr>
        <w:t>附件</w:t>
      </w:r>
      <w:r>
        <w:rPr>
          <w:rFonts w:cs="仿宋_GB2312"/>
          <w:sz w:val="32"/>
          <w:szCs w:val="32"/>
        </w:rPr>
        <w:t>3</w:t>
      </w:r>
      <w:r>
        <w:rPr>
          <w:rFonts w:hint="eastAsia" w:cs="仿宋_GB2312"/>
          <w:sz w:val="32"/>
          <w:szCs w:val="32"/>
        </w:rPr>
        <w:t>：评价专家意见汇总书</w:t>
      </w:r>
      <w:bookmarkEnd w:id="115"/>
    </w:p>
    <w:p>
      <w:pPr>
        <w:suppressAutoHyphens/>
        <w:wordWrap/>
        <w:adjustRightInd w:val="0"/>
        <w:snapToGrid w:val="0"/>
        <w:spacing w:line="360" w:lineRule="auto"/>
        <w:jc w:val="right"/>
        <w:rPr>
          <w:rFonts w:hint="eastAsia" w:cs="仿宋_GB2312"/>
          <w:sz w:val="32"/>
          <w:szCs w:val="32"/>
          <w:lang w:val="en-US" w:eastAsia="zh-CN"/>
        </w:rPr>
      </w:pPr>
    </w:p>
    <w:p>
      <w:pPr>
        <w:suppressAutoHyphens/>
        <w:wordWrap/>
        <w:adjustRightInd w:val="0"/>
        <w:snapToGrid w:val="0"/>
        <w:spacing w:line="360" w:lineRule="auto"/>
        <w:jc w:val="right"/>
        <w:rPr>
          <w:rFonts w:hint="eastAsia" w:cs="仿宋_GB2312"/>
          <w:sz w:val="32"/>
          <w:szCs w:val="32"/>
          <w:lang w:val="en-US" w:eastAsia="zh-CN"/>
        </w:rPr>
      </w:pPr>
    </w:p>
    <w:p>
      <w:pPr>
        <w:suppressAutoHyphens/>
        <w:wordWrap/>
        <w:adjustRightInd w:val="0"/>
        <w:snapToGrid w:val="0"/>
        <w:spacing w:line="360" w:lineRule="auto"/>
        <w:jc w:val="right"/>
        <w:rPr>
          <w:rFonts w:hint="eastAsia" w:cs="仿宋_GB2312"/>
          <w:sz w:val="32"/>
          <w:szCs w:val="32"/>
          <w:lang w:val="en-US" w:eastAsia="zh-CN"/>
        </w:rPr>
      </w:pPr>
      <w:r>
        <w:rPr>
          <w:rFonts w:hint="eastAsia" w:cs="仿宋_GB2312"/>
          <w:sz w:val="32"/>
          <w:szCs w:val="32"/>
          <w:lang w:val="en-US" w:eastAsia="zh-CN"/>
        </w:rPr>
        <w:t>北京恒诚永信会计师事务所（普通合伙）</w:t>
      </w:r>
    </w:p>
    <w:p>
      <w:pPr>
        <w:suppressAutoHyphens/>
        <w:wordWrap/>
        <w:adjustRightInd w:val="0"/>
        <w:snapToGrid w:val="0"/>
        <w:spacing w:line="360" w:lineRule="auto"/>
        <w:jc w:val="right"/>
        <w:rPr>
          <w:rFonts w:hint="eastAsia"/>
          <w:iCs/>
          <w:sz w:val="32"/>
          <w:szCs w:val="32"/>
        </w:rPr>
      </w:pPr>
      <w:r>
        <w:rPr>
          <w:iCs/>
          <w:sz w:val="32"/>
          <w:szCs w:val="32"/>
        </w:rPr>
        <w:t>202</w:t>
      </w:r>
      <w:r>
        <w:rPr>
          <w:rFonts w:hint="eastAsia"/>
          <w:iCs/>
          <w:sz w:val="32"/>
          <w:szCs w:val="32"/>
          <w:lang w:val="en-US" w:eastAsia="zh-CN"/>
        </w:rPr>
        <w:t>4</w:t>
      </w:r>
      <w:r>
        <w:rPr>
          <w:rFonts w:hint="eastAsia"/>
          <w:iCs/>
          <w:sz w:val="32"/>
          <w:szCs w:val="32"/>
        </w:rPr>
        <w:t>年</w:t>
      </w:r>
      <w:r>
        <w:rPr>
          <w:iCs/>
          <w:sz w:val="32"/>
          <w:szCs w:val="32"/>
        </w:rPr>
        <w:t>5</w:t>
      </w:r>
      <w:r>
        <w:rPr>
          <w:rFonts w:hint="eastAsia"/>
          <w:iCs/>
          <w:sz w:val="32"/>
          <w:szCs w:val="32"/>
        </w:rPr>
        <w:t>月</w:t>
      </w:r>
      <w:r>
        <w:rPr>
          <w:rFonts w:hint="eastAsia"/>
          <w:iCs/>
          <w:sz w:val="32"/>
          <w:szCs w:val="32"/>
          <w:lang w:val="en-US" w:eastAsia="zh-CN"/>
        </w:rPr>
        <w:t>17</w:t>
      </w:r>
      <w:r>
        <w:rPr>
          <w:rFonts w:hint="eastAsia"/>
          <w:iCs/>
          <w:sz w:val="32"/>
          <w:szCs w:val="32"/>
        </w:rPr>
        <w:t>日</w:t>
      </w:r>
    </w:p>
    <w:p>
      <w:pPr>
        <w:suppressAutoHyphens/>
        <w:wordWrap/>
        <w:adjustRightInd w:val="0"/>
        <w:snapToGrid w:val="0"/>
        <w:spacing w:line="360" w:lineRule="auto"/>
        <w:jc w:val="right"/>
        <w:rPr>
          <w:rFonts w:hint="eastAsia"/>
          <w:iCs/>
          <w:sz w:val="32"/>
          <w:szCs w:val="32"/>
        </w:rPr>
      </w:pPr>
    </w:p>
    <w:p>
      <w:pPr>
        <w:suppressAutoHyphens/>
        <w:wordWrap/>
        <w:adjustRightInd w:val="0"/>
        <w:snapToGrid w:val="0"/>
        <w:spacing w:line="360" w:lineRule="auto"/>
        <w:jc w:val="right"/>
        <w:rPr>
          <w:rFonts w:hint="eastAsia"/>
          <w:iCs/>
          <w:sz w:val="32"/>
          <w:szCs w:val="32"/>
        </w:rPr>
      </w:pPr>
    </w:p>
    <w:p>
      <w:pPr>
        <w:suppressAutoHyphens/>
        <w:wordWrap/>
        <w:adjustRightInd w:val="0"/>
        <w:snapToGrid w:val="0"/>
        <w:spacing w:line="360" w:lineRule="auto"/>
        <w:jc w:val="right"/>
        <w:rPr>
          <w:rFonts w:hint="eastAsia"/>
          <w:iCs/>
          <w:sz w:val="32"/>
          <w:szCs w:val="32"/>
        </w:rPr>
      </w:pPr>
    </w:p>
    <w:p>
      <w:pPr>
        <w:suppressAutoHyphens/>
        <w:wordWrap/>
        <w:adjustRightInd w:val="0"/>
        <w:snapToGrid w:val="0"/>
        <w:spacing w:line="360" w:lineRule="auto"/>
        <w:jc w:val="right"/>
        <w:rPr>
          <w:rFonts w:hint="eastAsia"/>
          <w:iCs/>
          <w:sz w:val="32"/>
          <w:szCs w:val="32"/>
        </w:rPr>
      </w:pPr>
    </w:p>
    <w:p>
      <w:pPr>
        <w:suppressAutoHyphens/>
        <w:wordWrap/>
        <w:adjustRightInd w:val="0"/>
        <w:snapToGrid w:val="0"/>
        <w:spacing w:line="360" w:lineRule="auto"/>
        <w:jc w:val="right"/>
        <w:rPr>
          <w:rFonts w:hint="eastAsia"/>
          <w:iCs/>
          <w:sz w:val="32"/>
          <w:szCs w:val="32"/>
        </w:rPr>
      </w:pPr>
    </w:p>
    <w:p>
      <w:pPr>
        <w:suppressAutoHyphens/>
        <w:wordWrap/>
        <w:adjustRightInd w:val="0"/>
        <w:snapToGrid w:val="0"/>
        <w:spacing w:line="360" w:lineRule="auto"/>
        <w:jc w:val="right"/>
        <w:rPr>
          <w:rFonts w:hint="eastAsia"/>
          <w:iCs/>
          <w:sz w:val="32"/>
          <w:szCs w:val="32"/>
        </w:rPr>
      </w:pPr>
    </w:p>
    <w:p>
      <w:pPr>
        <w:suppressAutoHyphens/>
        <w:wordWrap/>
        <w:adjustRightInd w:val="0"/>
        <w:snapToGrid w:val="0"/>
        <w:spacing w:line="360" w:lineRule="auto"/>
        <w:jc w:val="right"/>
        <w:rPr>
          <w:rFonts w:hint="eastAsia"/>
          <w:iCs/>
          <w:sz w:val="32"/>
          <w:szCs w:val="32"/>
        </w:rPr>
      </w:pPr>
    </w:p>
    <w:p>
      <w:pPr>
        <w:suppressAutoHyphens/>
        <w:wordWrap/>
        <w:adjustRightInd w:val="0"/>
        <w:snapToGrid w:val="0"/>
        <w:spacing w:line="360" w:lineRule="auto"/>
        <w:jc w:val="right"/>
        <w:rPr>
          <w:rFonts w:hint="eastAsia"/>
          <w:iCs/>
          <w:sz w:val="32"/>
          <w:szCs w:val="32"/>
        </w:rPr>
      </w:pPr>
    </w:p>
    <w:p>
      <w:pPr>
        <w:suppressAutoHyphens/>
        <w:wordWrap/>
        <w:adjustRightInd w:val="0"/>
        <w:snapToGrid w:val="0"/>
        <w:spacing w:line="360" w:lineRule="auto"/>
        <w:jc w:val="right"/>
        <w:rPr>
          <w:rFonts w:hint="eastAsia"/>
          <w:iCs/>
          <w:sz w:val="32"/>
          <w:szCs w:val="32"/>
        </w:rPr>
      </w:pPr>
    </w:p>
    <w:p>
      <w:pPr>
        <w:suppressAutoHyphens/>
        <w:wordWrap/>
        <w:adjustRightInd w:val="0"/>
        <w:snapToGrid w:val="0"/>
        <w:spacing w:line="360" w:lineRule="auto"/>
        <w:jc w:val="right"/>
        <w:rPr>
          <w:rFonts w:hint="eastAsia"/>
          <w:iCs/>
          <w:sz w:val="32"/>
          <w:szCs w:val="32"/>
        </w:rPr>
      </w:pPr>
    </w:p>
    <w:p>
      <w:pPr>
        <w:suppressAutoHyphens/>
        <w:wordWrap/>
        <w:adjustRightInd w:val="0"/>
        <w:snapToGrid w:val="0"/>
        <w:spacing w:line="360" w:lineRule="auto"/>
        <w:jc w:val="right"/>
        <w:rPr>
          <w:rFonts w:hint="eastAsia"/>
          <w:iCs/>
          <w:sz w:val="32"/>
          <w:szCs w:val="32"/>
        </w:rPr>
      </w:pPr>
    </w:p>
    <w:p>
      <w:pPr>
        <w:suppressAutoHyphens/>
        <w:wordWrap/>
        <w:adjustRightInd w:val="0"/>
        <w:snapToGrid w:val="0"/>
        <w:spacing w:line="360" w:lineRule="auto"/>
        <w:jc w:val="right"/>
        <w:rPr>
          <w:rFonts w:hint="eastAsia"/>
          <w:iCs/>
          <w:sz w:val="32"/>
          <w:szCs w:val="32"/>
        </w:rPr>
      </w:pPr>
    </w:p>
    <w:p>
      <w:pPr>
        <w:suppressAutoHyphens/>
        <w:wordWrap/>
        <w:adjustRightInd w:val="0"/>
        <w:snapToGrid w:val="0"/>
        <w:spacing w:line="360" w:lineRule="auto"/>
        <w:jc w:val="right"/>
        <w:rPr>
          <w:rFonts w:hint="eastAsia"/>
          <w:iCs/>
          <w:sz w:val="32"/>
          <w:szCs w:val="32"/>
        </w:rPr>
      </w:pPr>
    </w:p>
    <w:p>
      <w:pPr>
        <w:suppressAutoHyphens/>
        <w:wordWrap/>
        <w:adjustRightInd w:val="0"/>
        <w:snapToGrid w:val="0"/>
        <w:spacing w:line="360" w:lineRule="auto"/>
        <w:jc w:val="right"/>
        <w:rPr>
          <w:rFonts w:hint="eastAsia"/>
          <w:iCs/>
          <w:sz w:val="32"/>
          <w:szCs w:val="32"/>
        </w:rPr>
      </w:pPr>
    </w:p>
    <w:p>
      <w:pPr>
        <w:suppressAutoHyphens/>
        <w:wordWrap/>
        <w:adjustRightInd w:val="0"/>
        <w:snapToGrid w:val="0"/>
        <w:spacing w:line="360" w:lineRule="auto"/>
        <w:jc w:val="right"/>
        <w:rPr>
          <w:rFonts w:hint="eastAsia"/>
          <w:iCs/>
          <w:sz w:val="32"/>
          <w:szCs w:val="32"/>
        </w:rPr>
      </w:pPr>
    </w:p>
    <w:p>
      <w:pPr>
        <w:suppressAutoHyphens/>
        <w:wordWrap/>
        <w:adjustRightInd w:val="0"/>
        <w:snapToGrid w:val="0"/>
        <w:spacing w:line="360" w:lineRule="auto"/>
        <w:jc w:val="right"/>
        <w:rPr>
          <w:rFonts w:hint="eastAsia"/>
          <w:iCs/>
          <w:sz w:val="32"/>
          <w:szCs w:val="32"/>
        </w:rPr>
      </w:pPr>
    </w:p>
    <w:p>
      <w:pPr>
        <w:suppressAutoHyphens/>
        <w:wordWrap/>
        <w:adjustRightInd w:val="0"/>
        <w:snapToGrid w:val="0"/>
        <w:spacing w:line="360" w:lineRule="auto"/>
        <w:jc w:val="right"/>
        <w:rPr>
          <w:rFonts w:hint="eastAsia"/>
          <w:iCs/>
          <w:sz w:val="32"/>
          <w:szCs w:val="32"/>
        </w:rPr>
      </w:pPr>
    </w:p>
    <w:p>
      <w:pPr>
        <w:suppressAutoHyphens/>
        <w:wordWrap/>
        <w:adjustRightInd w:val="0"/>
        <w:snapToGrid w:val="0"/>
        <w:spacing w:line="360" w:lineRule="auto"/>
        <w:jc w:val="right"/>
        <w:rPr>
          <w:rFonts w:hint="eastAsia"/>
          <w:iCs/>
          <w:sz w:val="32"/>
          <w:szCs w:val="32"/>
        </w:rPr>
      </w:pPr>
    </w:p>
    <w:p>
      <w:pPr>
        <w:suppressAutoHyphens/>
        <w:wordWrap/>
        <w:adjustRightInd w:val="0"/>
        <w:snapToGrid w:val="0"/>
        <w:spacing w:line="360" w:lineRule="auto"/>
        <w:outlineLvl w:val="0"/>
        <w:rPr>
          <w:rFonts w:hint="eastAsia" w:cs="仿宋_GB2312"/>
          <w:sz w:val="32"/>
          <w:szCs w:val="32"/>
        </w:rPr>
      </w:pPr>
      <w:r>
        <w:rPr>
          <w:rFonts w:hint="eastAsia" w:cs="仿宋_GB2312"/>
          <w:sz w:val="32"/>
          <w:szCs w:val="32"/>
        </w:rPr>
        <w:t>附件1：项目绩效评价指标体系及打分情况表</w:t>
      </w:r>
    </w:p>
    <w:p>
      <w:pPr>
        <w:suppressAutoHyphens/>
        <w:wordWrap/>
        <w:adjustRightInd w:val="0"/>
        <w:snapToGrid w:val="0"/>
        <w:spacing w:line="360" w:lineRule="auto"/>
        <w:ind w:firstLine="640" w:firstLineChars="200"/>
        <w:outlineLvl w:val="0"/>
        <w:rPr>
          <w:rFonts w:hint="eastAsia" w:eastAsia="仿宋_GB2312" w:cs="仿宋_GB2312"/>
          <w:sz w:val="32"/>
          <w:szCs w:val="32"/>
          <w:lang w:eastAsia="zh-CN"/>
        </w:rPr>
      </w:pPr>
      <w:r>
        <w:rPr>
          <w:rFonts w:hint="eastAsia" w:eastAsia="仿宋_GB2312" w:cs="仿宋_GB2312"/>
          <w:sz w:val="32"/>
          <w:szCs w:val="32"/>
          <w:lang w:eastAsia="zh-CN"/>
        </w:rPr>
        <w:drawing>
          <wp:inline distT="0" distB="0" distL="114300" distR="114300">
            <wp:extent cx="5273040" cy="7904480"/>
            <wp:effectExtent l="0" t="0" r="10160" b="7620"/>
            <wp:docPr id="5" name="图片 5" descr="附件1：-绩效评价专家评分表和意见书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附件1：-绩效评价专家评分表和意见书_00"/>
                    <pic:cNvPicPr>
                      <a:picLocks noChangeAspect="1"/>
                    </pic:cNvPicPr>
                  </pic:nvPicPr>
                  <pic:blipFill>
                    <a:blip r:embed="rId9"/>
                    <a:stretch>
                      <a:fillRect/>
                    </a:stretch>
                  </pic:blipFill>
                  <pic:spPr>
                    <a:xfrm>
                      <a:off x="0" y="0"/>
                      <a:ext cx="5273040" cy="7904480"/>
                    </a:xfrm>
                    <a:prstGeom prst="rect">
                      <a:avLst/>
                    </a:prstGeom>
                  </pic:spPr>
                </pic:pic>
              </a:graphicData>
            </a:graphic>
          </wp:inline>
        </w:drawing>
      </w:r>
      <w:r>
        <w:rPr>
          <w:rFonts w:hint="eastAsia" w:eastAsia="仿宋_GB2312" w:cs="仿宋_GB2312"/>
          <w:sz w:val="32"/>
          <w:szCs w:val="32"/>
          <w:lang w:eastAsia="zh-CN"/>
        </w:rPr>
        <w:drawing>
          <wp:inline distT="0" distB="0" distL="114300" distR="114300">
            <wp:extent cx="5273040" cy="8426450"/>
            <wp:effectExtent l="0" t="0" r="10160" b="6350"/>
            <wp:docPr id="4" name="图片 4" descr="附件1：-绩效评价专家评分表和意见书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附件1：-绩效评价专家评分表和意见书_01"/>
                    <pic:cNvPicPr>
                      <a:picLocks noChangeAspect="1"/>
                    </pic:cNvPicPr>
                  </pic:nvPicPr>
                  <pic:blipFill>
                    <a:blip r:embed="rId10"/>
                    <a:stretch>
                      <a:fillRect/>
                    </a:stretch>
                  </pic:blipFill>
                  <pic:spPr>
                    <a:xfrm>
                      <a:off x="0" y="0"/>
                      <a:ext cx="5273040" cy="8426450"/>
                    </a:xfrm>
                    <a:prstGeom prst="rect">
                      <a:avLst/>
                    </a:prstGeom>
                  </pic:spPr>
                </pic:pic>
              </a:graphicData>
            </a:graphic>
          </wp:inline>
        </w:drawing>
      </w:r>
      <w:r>
        <w:rPr>
          <w:rFonts w:hint="eastAsia" w:eastAsia="仿宋_GB2312" w:cs="仿宋_GB2312"/>
          <w:sz w:val="32"/>
          <w:szCs w:val="32"/>
          <w:lang w:eastAsia="zh-CN"/>
        </w:rPr>
        <w:drawing>
          <wp:inline distT="0" distB="0" distL="114300" distR="114300">
            <wp:extent cx="5273040" cy="8558530"/>
            <wp:effectExtent l="0" t="0" r="10160" b="1270"/>
            <wp:docPr id="3" name="图片 3" descr="附件1：-绩效评价专家评分表和意见书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附件1：-绩效评价专家评分表和意见书_02"/>
                    <pic:cNvPicPr>
                      <a:picLocks noChangeAspect="1"/>
                    </pic:cNvPicPr>
                  </pic:nvPicPr>
                  <pic:blipFill>
                    <a:blip r:embed="rId11"/>
                    <a:stretch>
                      <a:fillRect/>
                    </a:stretch>
                  </pic:blipFill>
                  <pic:spPr>
                    <a:xfrm>
                      <a:off x="0" y="0"/>
                      <a:ext cx="5273040" cy="8558530"/>
                    </a:xfrm>
                    <a:prstGeom prst="rect">
                      <a:avLst/>
                    </a:prstGeom>
                  </pic:spPr>
                </pic:pic>
              </a:graphicData>
            </a:graphic>
          </wp:inline>
        </w:drawing>
      </w:r>
      <w:r>
        <w:rPr>
          <w:rFonts w:hint="eastAsia" w:eastAsia="仿宋_GB2312" w:cs="仿宋_GB2312"/>
          <w:sz w:val="32"/>
          <w:szCs w:val="32"/>
          <w:lang w:eastAsia="zh-CN"/>
        </w:rPr>
        <w:drawing>
          <wp:inline distT="0" distB="0" distL="114300" distR="114300">
            <wp:extent cx="5273040" cy="8648065"/>
            <wp:effectExtent l="0" t="0" r="10160" b="635"/>
            <wp:docPr id="2" name="图片 2" descr="附件1：-绩效评价专家评分表和意见书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附件1：-绩效评价专家评分表和意见书_03"/>
                    <pic:cNvPicPr>
                      <a:picLocks noChangeAspect="1"/>
                    </pic:cNvPicPr>
                  </pic:nvPicPr>
                  <pic:blipFill>
                    <a:blip r:embed="rId12"/>
                    <a:stretch>
                      <a:fillRect/>
                    </a:stretch>
                  </pic:blipFill>
                  <pic:spPr>
                    <a:xfrm>
                      <a:off x="0" y="0"/>
                      <a:ext cx="5273040" cy="8648065"/>
                    </a:xfrm>
                    <a:prstGeom prst="rect">
                      <a:avLst/>
                    </a:prstGeom>
                  </pic:spPr>
                </pic:pic>
              </a:graphicData>
            </a:graphic>
          </wp:inline>
        </w:drawing>
      </w:r>
      <w:r>
        <w:rPr>
          <w:rFonts w:hint="eastAsia" w:eastAsia="仿宋_GB2312" w:cs="仿宋_GB2312"/>
          <w:sz w:val="32"/>
          <w:szCs w:val="32"/>
          <w:lang w:eastAsia="zh-CN"/>
        </w:rPr>
        <w:drawing>
          <wp:inline distT="0" distB="0" distL="114300" distR="114300">
            <wp:extent cx="5273040" cy="8646795"/>
            <wp:effectExtent l="0" t="0" r="10160" b="1905"/>
            <wp:docPr id="1" name="图片 1" descr="附件1：-绩效评价专家评分表和意见书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附件1：-绩效评价专家评分表和意见书_04"/>
                    <pic:cNvPicPr>
                      <a:picLocks noChangeAspect="1"/>
                    </pic:cNvPicPr>
                  </pic:nvPicPr>
                  <pic:blipFill>
                    <a:blip r:embed="rId13"/>
                    <a:stretch>
                      <a:fillRect/>
                    </a:stretch>
                  </pic:blipFill>
                  <pic:spPr>
                    <a:xfrm>
                      <a:off x="0" y="0"/>
                      <a:ext cx="5273040" cy="8646795"/>
                    </a:xfrm>
                    <a:prstGeom prst="rect">
                      <a:avLst/>
                    </a:prstGeom>
                  </pic:spPr>
                </pic:pic>
              </a:graphicData>
            </a:graphic>
          </wp:inline>
        </w:drawing>
      </w:r>
    </w:p>
    <w:p>
      <w:pPr>
        <w:suppressAutoHyphens/>
        <w:wordWrap/>
        <w:adjustRightInd w:val="0"/>
        <w:snapToGrid w:val="0"/>
        <w:spacing w:line="360" w:lineRule="auto"/>
        <w:outlineLvl w:val="0"/>
        <w:rPr>
          <w:rFonts w:hint="eastAsia" w:cs="仿宋_GB2312"/>
          <w:sz w:val="32"/>
          <w:szCs w:val="32"/>
        </w:rPr>
      </w:pPr>
      <w:r>
        <w:rPr>
          <w:rFonts w:hint="eastAsia" w:cs="仿宋_GB2312"/>
          <w:sz w:val="32"/>
          <w:szCs w:val="32"/>
        </w:rPr>
        <w:t>附件2：专家及评价工作组情况表</w:t>
      </w:r>
    </w:p>
    <w:p>
      <w:pPr>
        <w:suppressAutoHyphens/>
        <w:wordWrap/>
        <w:adjustRightInd w:val="0"/>
        <w:snapToGrid w:val="0"/>
        <w:spacing w:line="360" w:lineRule="auto"/>
        <w:ind w:firstLine="640" w:firstLineChars="200"/>
        <w:outlineLvl w:val="0"/>
        <w:rPr>
          <w:rFonts w:hint="eastAsia" w:eastAsia="仿宋_GB2312" w:cs="仿宋_GB2312"/>
          <w:sz w:val="32"/>
          <w:szCs w:val="32"/>
          <w:lang w:eastAsia="zh-CN"/>
        </w:rPr>
      </w:pPr>
      <w:r>
        <w:rPr>
          <w:rFonts w:hint="eastAsia" w:eastAsia="仿宋_GB2312" w:cs="仿宋_GB2312"/>
          <w:sz w:val="32"/>
          <w:szCs w:val="32"/>
          <w:lang w:eastAsia="zh-CN"/>
        </w:rPr>
        <w:drawing>
          <wp:inline distT="0" distB="0" distL="114300" distR="114300">
            <wp:extent cx="5273040" cy="7459980"/>
            <wp:effectExtent l="0" t="0" r="10160" b="7620"/>
            <wp:docPr id="6" name="图片 6" descr="附件2：北京市项目支出绩效评价专家组及工作组情况表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附件2：北京市项目支出绩效评价专家组及工作组情况表_00"/>
                    <pic:cNvPicPr>
                      <a:picLocks noChangeAspect="1"/>
                    </pic:cNvPicPr>
                  </pic:nvPicPr>
                  <pic:blipFill>
                    <a:blip r:embed="rId14"/>
                    <a:stretch>
                      <a:fillRect/>
                    </a:stretch>
                  </pic:blipFill>
                  <pic:spPr>
                    <a:xfrm>
                      <a:off x="0" y="0"/>
                      <a:ext cx="5273040" cy="7459980"/>
                    </a:xfrm>
                    <a:prstGeom prst="rect">
                      <a:avLst/>
                    </a:prstGeom>
                  </pic:spPr>
                </pic:pic>
              </a:graphicData>
            </a:graphic>
          </wp:inline>
        </w:drawing>
      </w:r>
    </w:p>
    <w:p>
      <w:pPr>
        <w:suppressAutoHyphens/>
        <w:wordWrap/>
        <w:adjustRightInd w:val="0"/>
        <w:snapToGrid w:val="0"/>
        <w:spacing w:line="360" w:lineRule="auto"/>
        <w:ind w:firstLine="640" w:firstLineChars="200"/>
        <w:outlineLvl w:val="0"/>
        <w:rPr>
          <w:rFonts w:hint="eastAsia" w:cs="仿宋_GB2312"/>
          <w:sz w:val="32"/>
          <w:szCs w:val="32"/>
        </w:rPr>
      </w:pPr>
    </w:p>
    <w:p>
      <w:pPr>
        <w:suppressAutoHyphens/>
        <w:wordWrap/>
        <w:adjustRightInd w:val="0"/>
        <w:snapToGrid w:val="0"/>
        <w:spacing w:line="360" w:lineRule="auto"/>
        <w:outlineLvl w:val="0"/>
        <w:rPr>
          <w:rFonts w:cs="仿宋_GB2312"/>
          <w:sz w:val="32"/>
          <w:szCs w:val="32"/>
        </w:rPr>
      </w:pPr>
      <w:r>
        <w:rPr>
          <w:rFonts w:hint="eastAsia" w:cs="仿宋_GB2312"/>
          <w:sz w:val="32"/>
          <w:szCs w:val="32"/>
        </w:rPr>
        <w:t>附件</w:t>
      </w:r>
      <w:r>
        <w:rPr>
          <w:rFonts w:cs="仿宋_GB2312"/>
          <w:sz w:val="32"/>
          <w:szCs w:val="32"/>
        </w:rPr>
        <w:t>3</w:t>
      </w:r>
      <w:r>
        <w:rPr>
          <w:rFonts w:hint="eastAsia" w:cs="仿宋_GB2312"/>
          <w:sz w:val="32"/>
          <w:szCs w:val="32"/>
        </w:rPr>
        <w:t>：评价专家意见汇总书</w:t>
      </w:r>
    </w:p>
    <w:p>
      <w:pPr>
        <w:suppressAutoHyphens/>
        <w:wordWrap/>
        <w:adjustRightInd w:val="0"/>
        <w:snapToGrid w:val="0"/>
        <w:spacing w:line="360" w:lineRule="auto"/>
        <w:jc w:val="right"/>
        <w:rPr>
          <w:rFonts w:hint="default"/>
          <w:iCs/>
          <w:sz w:val="32"/>
          <w:szCs w:val="32"/>
          <w:lang w:val="en-US" w:eastAsia="zh-CN"/>
        </w:rPr>
      </w:pPr>
      <w:r>
        <w:rPr>
          <w:rFonts w:hint="default"/>
          <w:iCs/>
          <w:sz w:val="32"/>
          <w:szCs w:val="32"/>
          <w:lang w:val="en-US" w:eastAsia="zh-CN"/>
        </w:rPr>
        <w:drawing>
          <wp:inline distT="0" distB="0" distL="114300" distR="114300">
            <wp:extent cx="5273040" cy="6501765"/>
            <wp:effectExtent l="0" t="0" r="10160" b="635"/>
            <wp:docPr id="11" name="图片 11" descr="附件3：专家意见汇总书-均分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附件3：专家意见汇总书-均分_00"/>
                    <pic:cNvPicPr>
                      <a:picLocks noChangeAspect="1"/>
                    </pic:cNvPicPr>
                  </pic:nvPicPr>
                  <pic:blipFill>
                    <a:blip r:embed="rId15"/>
                    <a:stretch>
                      <a:fillRect/>
                    </a:stretch>
                  </pic:blipFill>
                  <pic:spPr>
                    <a:xfrm>
                      <a:off x="0" y="0"/>
                      <a:ext cx="5273040" cy="6501765"/>
                    </a:xfrm>
                    <a:prstGeom prst="rect">
                      <a:avLst/>
                    </a:prstGeom>
                  </pic:spPr>
                </pic:pic>
              </a:graphicData>
            </a:graphic>
          </wp:inline>
        </w:drawing>
      </w:r>
      <w:r>
        <w:rPr>
          <w:rFonts w:hint="default"/>
          <w:iCs/>
          <w:sz w:val="32"/>
          <w:szCs w:val="32"/>
          <w:lang w:val="en-US" w:eastAsia="zh-CN"/>
        </w:rPr>
        <w:drawing>
          <wp:inline distT="0" distB="0" distL="114300" distR="114300">
            <wp:extent cx="5273040" cy="7459980"/>
            <wp:effectExtent l="0" t="0" r="10160" b="7620"/>
            <wp:docPr id="10" name="图片 10" descr="附件3：专家意见汇总书-均分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附件3：专家意见汇总书-均分_01"/>
                    <pic:cNvPicPr>
                      <a:picLocks noChangeAspect="1"/>
                    </pic:cNvPicPr>
                  </pic:nvPicPr>
                  <pic:blipFill>
                    <a:blip r:embed="rId16"/>
                    <a:stretch>
                      <a:fillRect/>
                    </a:stretch>
                  </pic:blipFill>
                  <pic:spPr>
                    <a:xfrm>
                      <a:off x="0" y="0"/>
                      <a:ext cx="5273040" cy="7459980"/>
                    </a:xfrm>
                    <a:prstGeom prst="rect">
                      <a:avLst/>
                    </a:prstGeom>
                  </pic:spPr>
                </pic:pic>
              </a:graphicData>
            </a:graphic>
          </wp:inline>
        </w:drawing>
      </w:r>
      <w:r>
        <w:rPr>
          <w:rFonts w:hint="default"/>
          <w:iCs/>
          <w:sz w:val="32"/>
          <w:szCs w:val="32"/>
          <w:lang w:val="en-US" w:eastAsia="zh-CN"/>
        </w:rPr>
        <w:drawing>
          <wp:inline distT="0" distB="0" distL="114300" distR="114300">
            <wp:extent cx="5273040" cy="7459980"/>
            <wp:effectExtent l="0" t="0" r="10160" b="7620"/>
            <wp:docPr id="9" name="图片 9" descr="附件3：专家意见汇总书-均分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附件3：专家意见汇总书-均分_02"/>
                    <pic:cNvPicPr>
                      <a:picLocks noChangeAspect="1"/>
                    </pic:cNvPicPr>
                  </pic:nvPicPr>
                  <pic:blipFill>
                    <a:blip r:embed="rId17"/>
                    <a:stretch>
                      <a:fillRect/>
                    </a:stretch>
                  </pic:blipFill>
                  <pic:spPr>
                    <a:xfrm>
                      <a:off x="0" y="0"/>
                      <a:ext cx="5273040" cy="7459980"/>
                    </a:xfrm>
                    <a:prstGeom prst="rect">
                      <a:avLst/>
                    </a:prstGeom>
                  </pic:spPr>
                </pic:pic>
              </a:graphicData>
            </a:graphic>
          </wp:inline>
        </w:drawing>
      </w:r>
      <w:r>
        <w:rPr>
          <w:rFonts w:hint="default"/>
          <w:iCs/>
          <w:sz w:val="32"/>
          <w:szCs w:val="32"/>
          <w:lang w:val="en-US" w:eastAsia="zh-CN"/>
        </w:rPr>
        <w:drawing>
          <wp:inline distT="0" distB="0" distL="114300" distR="114300">
            <wp:extent cx="5273040" cy="7459980"/>
            <wp:effectExtent l="0" t="0" r="10160" b="7620"/>
            <wp:docPr id="8" name="图片 8" descr="附件3：专家意见汇总书-均分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附件3：专家意见汇总书-均分_03"/>
                    <pic:cNvPicPr>
                      <a:picLocks noChangeAspect="1"/>
                    </pic:cNvPicPr>
                  </pic:nvPicPr>
                  <pic:blipFill>
                    <a:blip r:embed="rId18"/>
                    <a:stretch>
                      <a:fillRect/>
                    </a:stretch>
                  </pic:blipFill>
                  <pic:spPr>
                    <a:xfrm>
                      <a:off x="0" y="0"/>
                      <a:ext cx="5273040" cy="7459980"/>
                    </a:xfrm>
                    <a:prstGeom prst="rect">
                      <a:avLst/>
                    </a:prstGeom>
                  </pic:spPr>
                </pic:pic>
              </a:graphicData>
            </a:graphic>
          </wp:inline>
        </w:drawing>
      </w:r>
    </w:p>
    <w:p>
      <w:pPr>
        <w:wordWrap/>
        <w:adjustRightInd w:val="0"/>
        <w:snapToGrid w:val="0"/>
        <w:spacing w:line="360" w:lineRule="auto"/>
        <w:rPr>
          <w:rFonts w:hint="eastAsia" w:cs="仿宋_GB2312"/>
          <w:sz w:val="32"/>
          <w:szCs w:val="32"/>
        </w:rPr>
      </w:pPr>
    </w:p>
    <w:sectPr>
      <w:footerReference r:id="rId7" w:type="default"/>
      <w:pgSz w:w="11906" w:h="16838"/>
      <w:pgMar w:top="1440" w:right="1797" w:bottom="1440" w:left="1797" w:header="851" w:footer="1418" w:gutter="0"/>
      <w:pgNumType w:start="1"/>
      <w:cols w:space="720" w:num="1"/>
      <w:docGrid w:type="lines" w:linePitch="411"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7A124BCF-48A7-4EE0-B4FA-95E1E24DBCBF}"/>
  </w:font>
  <w:font w:name="Courier New">
    <w:panose1 w:val="02070309020205020404"/>
    <w:charset w:val="01"/>
    <w:family w:val="modern"/>
    <w:pitch w:val="default"/>
    <w:sig w:usb0="E0002EFF" w:usb1="C0007843" w:usb2="00000009" w:usb3="00000000" w:csb0="400001FF" w:csb1="FFFF0000"/>
    <w:embedRegular r:id="rId2" w:fontKey="{32A62C3F-347B-48A7-9125-879D9005037C}"/>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3" w:fontKey="{451156BF-09DA-4E58-882F-4139EEB105EA}"/>
  </w:font>
  <w:font w:name="仿宋_GB2312">
    <w:panose1 w:val="02010609030101010101"/>
    <w:charset w:val="86"/>
    <w:family w:val="modern"/>
    <w:pitch w:val="default"/>
    <w:sig w:usb0="00000001" w:usb1="080E0000" w:usb2="00000000" w:usb3="00000000" w:csb0="00040000" w:csb1="00000000"/>
    <w:embedRegular r:id="rId4" w:fontKey="{144EACE6-784B-4F35-B59E-1683279598E5}"/>
  </w:font>
  <w:font w:name="等线">
    <w:panose1 w:val="02010600030101010101"/>
    <w:charset w:val="86"/>
    <w:family w:val="auto"/>
    <w:pitch w:val="default"/>
    <w:sig w:usb0="A00002BF" w:usb1="38CF7CFA" w:usb2="00000016" w:usb3="00000000" w:csb0="0004000F" w:csb1="00000000"/>
  </w:font>
  <w:font w:name="Cambria">
    <w:panose1 w:val="02040503050406030204"/>
    <w:charset w:val="00"/>
    <w:family w:val="roman"/>
    <w:pitch w:val="default"/>
    <w:sig w:usb0="E00006FF" w:usb1="420024FF" w:usb2="02000000" w:usb3="00000000" w:csb0="2000019F" w:csb1="00000000"/>
  </w:font>
  <w:font w:name="楷体_GB2312">
    <w:altName w:val="楷体"/>
    <w:panose1 w:val="02010609030101010101"/>
    <w:charset w:val="86"/>
    <w:family w:val="modern"/>
    <w:pitch w:val="default"/>
    <w:sig w:usb0="00000000" w:usb1="00000000" w:usb2="00000010" w:usb3="00000000" w:csb0="00040000" w:csb1="00000000"/>
    <w:embedRegular r:id="rId5" w:fontKey="{32B7422F-538A-4281-879F-1D5200CD0E93}"/>
  </w:font>
  <w:font w:name="楷体">
    <w:panose1 w:val="02010609060101010101"/>
    <w:charset w:val="86"/>
    <w:family w:val="modern"/>
    <w:pitch w:val="default"/>
    <w:sig w:usb0="800002BF" w:usb1="38CF7CFA" w:usb2="00000016" w:usb3="00000000" w:csb0="00040001" w:csb1="00000000"/>
    <w:embedRegular r:id="rId6" w:fontKey="{567330EB-65FB-4F1D-BD9D-3256142F93F6}"/>
  </w:font>
  <w:font w:name="华文中宋">
    <w:panose1 w:val="02010600040101010101"/>
    <w:charset w:val="86"/>
    <w:family w:val="auto"/>
    <w:pitch w:val="default"/>
    <w:sig w:usb0="00000287" w:usb1="080F0000" w:usb2="00000000" w:usb3="00000000" w:csb0="0004009F" w:csb1="DFD70000"/>
    <w:embedRegular r:id="rId7" w:fontKey="{E44A08D9-49E2-4739-A14A-F9FB5ECDDD70}"/>
  </w:font>
  <w:font w:name="Malgun Gothic">
    <w:panose1 w:val="020B0503020000020004"/>
    <w:charset w:val="81"/>
    <w:family w:val="swiss"/>
    <w:pitch w:val="default"/>
    <w:sig w:usb0="9000002F" w:usb1="29D77CFB" w:usb2="00000012" w:usb3="00000000" w:csb0="00080001" w:csb1="00000000"/>
    <w:embedRegular r:id="rId8" w:fontKey="{BA081589-9B01-4087-8AF4-D0CBB105F1C6}"/>
  </w:font>
  <w:font w:name="仿宋">
    <w:panose1 w:val="02010609060101010101"/>
    <w:charset w:val="86"/>
    <w:family w:val="modern"/>
    <w:pitch w:val="default"/>
    <w:sig w:usb0="800002BF" w:usb1="38CF7CFA" w:usb2="00000016" w:usb3="00000000" w:csb0="00040001" w:csb1="00000000"/>
    <w:embedRegular r:id="rId9" w:fontKey="{2C507325-7ED1-40E9-AE28-5B0B3BC011B9}"/>
  </w:font>
  <w:font w:name="方正仿宋_GB2312">
    <w:panose1 w:val="02000000000000000000"/>
    <w:charset w:val="86"/>
    <w:family w:val="auto"/>
    <w:pitch w:val="default"/>
    <w:sig w:usb0="A00002BF" w:usb1="184F6CFA" w:usb2="00000012" w:usb3="00000000" w:csb0="00040001" w:csb1="00000000"/>
    <w:embedRegular r:id="rId10" w:fontKey="{D1C3A320-36C3-4178-B3DA-E6F8685F9DA1}"/>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tabs>
        <w:tab w:val="clear" w:pos="4153"/>
        <w:tab w:val="clear" w:pos="8306"/>
      </w:tabs>
      <w:suppressAutoHyphens/>
      <w:wordWrap/>
      <w:adjustRightInd w:val="0"/>
      <w:jc w:val="both"/>
      <w:rPr>
        <w:rFonts w:ascii="Times New Roman" w:hAnsi="Times New Roman"/>
        <w:color w:val="000000"/>
        <w:kern w:val="2"/>
        <w:sz w:val="28"/>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framePr w:wrap="around" w:vAnchor="text" w:hAnchor="margin" w:xAlign="center" w:y="1"/>
      <w:rPr>
        <w:rStyle w:val="34"/>
      </w:rPr>
    </w:pPr>
    <w:r>
      <w:fldChar w:fldCharType="begin"/>
    </w:r>
    <w:r>
      <w:rPr>
        <w:rStyle w:val="34"/>
      </w:rPr>
      <w:instrText xml:space="preserve"> PAGE </w:instrText>
    </w:r>
    <w:r>
      <w:fldChar w:fldCharType="end"/>
    </w:r>
  </w:p>
  <w:p>
    <w:pPr>
      <w:pStyle w:val="17"/>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framePr w:wrap="around" w:vAnchor="text" w:hAnchor="margin" w:xAlign="center" w:y="1"/>
      <w:jc w:val="center"/>
      <w:rPr>
        <w:rStyle w:val="34"/>
        <w:rFonts w:ascii="宋体" w:hAnsi="宋体"/>
        <w:color w:val="000000"/>
        <w:kern w:val="2"/>
        <w:sz w:val="28"/>
      </w:rPr>
    </w:pPr>
    <w:r>
      <w:rPr>
        <w:rFonts w:ascii="宋体" w:hAnsi="宋体"/>
        <w:color w:val="000000"/>
        <w:kern w:val="2"/>
        <w:sz w:val="28"/>
      </w:rPr>
      <w:fldChar w:fldCharType="begin"/>
    </w:r>
    <w:r>
      <w:rPr>
        <w:rStyle w:val="34"/>
        <w:rFonts w:ascii="宋体" w:hAnsi="宋体"/>
        <w:color w:val="000000"/>
        <w:kern w:val="2"/>
        <w:sz w:val="28"/>
      </w:rPr>
      <w:instrText xml:space="preserve"> PAGE </w:instrText>
    </w:r>
    <w:r>
      <w:rPr>
        <w:rFonts w:ascii="宋体" w:hAnsi="宋体"/>
        <w:color w:val="000000"/>
        <w:kern w:val="2"/>
        <w:sz w:val="28"/>
      </w:rPr>
      <w:fldChar w:fldCharType="separate"/>
    </w:r>
    <w:r>
      <w:rPr>
        <w:rStyle w:val="34"/>
        <w:rFonts w:ascii="Times New Roman" w:hAnsi="宋体"/>
        <w:color w:val="000000"/>
        <w:kern w:val="2"/>
        <w:sz w:val="28"/>
      </w:rPr>
      <w:t>2</w:t>
    </w:r>
    <w:r>
      <w:rPr>
        <w:rFonts w:ascii="宋体" w:hAnsi="宋体"/>
        <w:color w:val="000000"/>
        <w:kern w:val="2"/>
        <w:sz w:val="28"/>
      </w:rPr>
      <w:fldChar w:fldCharType="end"/>
    </w:r>
  </w:p>
  <w:p>
    <w:pPr>
      <w:pStyle w:val="17"/>
      <w:tabs>
        <w:tab w:val="clear" w:pos="4153"/>
        <w:tab w:val="clear" w:pos="8306"/>
      </w:tabs>
      <w:suppressAutoHyphens/>
      <w:wordWrap/>
      <w:adjustRightInd w:val="0"/>
      <w:jc w:val="center"/>
      <w:rPr>
        <w:rFonts w:ascii="宋体" w:hAnsi="宋体"/>
        <w:color w:val="000000"/>
        <w:kern w:val="2"/>
        <w:sz w:val="28"/>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framePr w:wrap="around" w:vAnchor="text" w:hAnchor="margin" w:xAlign="center" w:y="1"/>
      <w:jc w:val="center"/>
      <w:rPr>
        <w:rStyle w:val="34"/>
        <w:rFonts w:ascii="宋体" w:hAnsi="宋体"/>
        <w:color w:val="000000"/>
        <w:kern w:val="2"/>
        <w:sz w:val="28"/>
      </w:rPr>
    </w:pPr>
    <w:r>
      <w:rPr>
        <w:rFonts w:ascii="宋体" w:hAnsi="宋体"/>
        <w:color w:val="000000"/>
        <w:kern w:val="2"/>
        <w:sz w:val="28"/>
      </w:rPr>
      <w:fldChar w:fldCharType="begin"/>
    </w:r>
    <w:r>
      <w:rPr>
        <w:rStyle w:val="34"/>
        <w:rFonts w:ascii="宋体" w:hAnsi="宋体"/>
        <w:color w:val="000000"/>
        <w:kern w:val="2"/>
        <w:sz w:val="28"/>
      </w:rPr>
      <w:instrText xml:space="preserve"> PAGE </w:instrText>
    </w:r>
    <w:r>
      <w:rPr>
        <w:rFonts w:ascii="宋体" w:hAnsi="宋体"/>
        <w:color w:val="000000"/>
        <w:kern w:val="2"/>
        <w:sz w:val="28"/>
      </w:rPr>
      <w:fldChar w:fldCharType="separate"/>
    </w:r>
    <w:r>
      <w:rPr>
        <w:rStyle w:val="34"/>
        <w:rFonts w:ascii="宋体" w:hAnsi="宋体"/>
        <w:color w:val="000000"/>
        <w:kern w:val="2"/>
        <w:sz w:val="28"/>
      </w:rPr>
      <w:t>22</w:t>
    </w:r>
    <w:r>
      <w:rPr>
        <w:rFonts w:ascii="宋体" w:hAnsi="宋体"/>
        <w:color w:val="000000"/>
        <w:kern w:val="2"/>
        <w:sz w:val="28"/>
      </w:rPr>
      <w:fldChar w:fldCharType="end"/>
    </w:r>
  </w:p>
  <w:p>
    <w:pPr>
      <w:pStyle w:val="17"/>
      <w:tabs>
        <w:tab w:val="clear" w:pos="4153"/>
        <w:tab w:val="clear" w:pos="8306"/>
      </w:tabs>
      <w:suppressAutoHyphens/>
      <w:wordWrap/>
      <w:adjustRightInd w:val="0"/>
      <w:jc w:val="center"/>
      <w:rPr>
        <w:rFonts w:ascii="宋体" w:hAnsi="宋体"/>
        <w:color w:val="000000"/>
        <w:kern w:val="2"/>
        <w:sz w:val="28"/>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pBdr>
        <w:bottom w:val="none" w:color="auto" w:sz="0" w:space="0"/>
      </w:pBdr>
      <w:ind w:firstLine="360"/>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cumentProtection w:enforcement="0"/>
  <w:defaultTabStop w:val="420"/>
  <w:drawingGridHorizontalSpacing w:val="150"/>
  <w:drawingGridVerticalSpacing w:val="411"/>
  <w:displayHorizontalDrawingGridEvery w:val="1"/>
  <w:displayVerticalDrawingGridEvery w:val="1"/>
  <w:noPunctuationKerning w:val="1"/>
  <w:characterSpacingControl w:val="compressPunctuation"/>
  <w:doNotValidateAgainstSchema/>
  <w:doNotDemarcateInvalidXml/>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DljYzUzMWQ4OWI0YzBkYjYzMDRhZTY5ZjZkYmFmYTgifQ=="/>
  </w:docVars>
  <w:rsids>
    <w:rsidRoot w:val="00172A27"/>
    <w:rsid w:val="00000822"/>
    <w:rsid w:val="000012AD"/>
    <w:rsid w:val="000024E5"/>
    <w:rsid w:val="000031B1"/>
    <w:rsid w:val="000035E2"/>
    <w:rsid w:val="00005BB5"/>
    <w:rsid w:val="00006672"/>
    <w:rsid w:val="00006920"/>
    <w:rsid w:val="00006CC3"/>
    <w:rsid w:val="00011380"/>
    <w:rsid w:val="00012F42"/>
    <w:rsid w:val="000133E6"/>
    <w:rsid w:val="00015194"/>
    <w:rsid w:val="00016AB1"/>
    <w:rsid w:val="00017DA4"/>
    <w:rsid w:val="00020509"/>
    <w:rsid w:val="0002112D"/>
    <w:rsid w:val="00021A91"/>
    <w:rsid w:val="00022B19"/>
    <w:rsid w:val="00023526"/>
    <w:rsid w:val="000241A0"/>
    <w:rsid w:val="0002578D"/>
    <w:rsid w:val="000322E9"/>
    <w:rsid w:val="000334B3"/>
    <w:rsid w:val="0003470B"/>
    <w:rsid w:val="000350F0"/>
    <w:rsid w:val="000371DE"/>
    <w:rsid w:val="00037A29"/>
    <w:rsid w:val="00040426"/>
    <w:rsid w:val="00040612"/>
    <w:rsid w:val="00042405"/>
    <w:rsid w:val="000428E5"/>
    <w:rsid w:val="00043329"/>
    <w:rsid w:val="000433EE"/>
    <w:rsid w:val="000479F6"/>
    <w:rsid w:val="0005025D"/>
    <w:rsid w:val="00051B9D"/>
    <w:rsid w:val="00053840"/>
    <w:rsid w:val="000549D7"/>
    <w:rsid w:val="000576AC"/>
    <w:rsid w:val="00062244"/>
    <w:rsid w:val="00062603"/>
    <w:rsid w:val="00063130"/>
    <w:rsid w:val="0006443E"/>
    <w:rsid w:val="00065E41"/>
    <w:rsid w:val="00066DF0"/>
    <w:rsid w:val="0006707C"/>
    <w:rsid w:val="000675FF"/>
    <w:rsid w:val="00071AEE"/>
    <w:rsid w:val="0007249B"/>
    <w:rsid w:val="00075090"/>
    <w:rsid w:val="000753A9"/>
    <w:rsid w:val="000755AF"/>
    <w:rsid w:val="00075650"/>
    <w:rsid w:val="00075F33"/>
    <w:rsid w:val="00081530"/>
    <w:rsid w:val="00082324"/>
    <w:rsid w:val="00084C55"/>
    <w:rsid w:val="00084F42"/>
    <w:rsid w:val="00085EF5"/>
    <w:rsid w:val="00086403"/>
    <w:rsid w:val="000923AD"/>
    <w:rsid w:val="00092B35"/>
    <w:rsid w:val="00094B57"/>
    <w:rsid w:val="00095C71"/>
    <w:rsid w:val="000A08D8"/>
    <w:rsid w:val="000A0C4A"/>
    <w:rsid w:val="000A234C"/>
    <w:rsid w:val="000A4215"/>
    <w:rsid w:val="000A758C"/>
    <w:rsid w:val="000B026E"/>
    <w:rsid w:val="000B1298"/>
    <w:rsid w:val="000B1D1F"/>
    <w:rsid w:val="000B3375"/>
    <w:rsid w:val="000B36E6"/>
    <w:rsid w:val="000B38B9"/>
    <w:rsid w:val="000B64B8"/>
    <w:rsid w:val="000B6845"/>
    <w:rsid w:val="000B68BA"/>
    <w:rsid w:val="000B6F6C"/>
    <w:rsid w:val="000B7266"/>
    <w:rsid w:val="000C0A17"/>
    <w:rsid w:val="000C0B15"/>
    <w:rsid w:val="000C0C5A"/>
    <w:rsid w:val="000C27AC"/>
    <w:rsid w:val="000C2865"/>
    <w:rsid w:val="000C2C30"/>
    <w:rsid w:val="000C3497"/>
    <w:rsid w:val="000C5372"/>
    <w:rsid w:val="000C6EDA"/>
    <w:rsid w:val="000C7A16"/>
    <w:rsid w:val="000C7A9A"/>
    <w:rsid w:val="000D14E0"/>
    <w:rsid w:val="000D2AFD"/>
    <w:rsid w:val="000D38EC"/>
    <w:rsid w:val="000D3CCC"/>
    <w:rsid w:val="000D416E"/>
    <w:rsid w:val="000D6C98"/>
    <w:rsid w:val="000E0244"/>
    <w:rsid w:val="000E2543"/>
    <w:rsid w:val="000E3F31"/>
    <w:rsid w:val="000E5FA7"/>
    <w:rsid w:val="000E66DA"/>
    <w:rsid w:val="000F0DD5"/>
    <w:rsid w:val="000F1CCC"/>
    <w:rsid w:val="000F321B"/>
    <w:rsid w:val="000F37A5"/>
    <w:rsid w:val="000F4C30"/>
    <w:rsid w:val="000F6815"/>
    <w:rsid w:val="00100D35"/>
    <w:rsid w:val="0010295C"/>
    <w:rsid w:val="00102B3F"/>
    <w:rsid w:val="00107CEC"/>
    <w:rsid w:val="0011371F"/>
    <w:rsid w:val="00117437"/>
    <w:rsid w:val="00121E46"/>
    <w:rsid w:val="00122A2B"/>
    <w:rsid w:val="00122DC8"/>
    <w:rsid w:val="00123339"/>
    <w:rsid w:val="001255BE"/>
    <w:rsid w:val="0012760B"/>
    <w:rsid w:val="00130DA6"/>
    <w:rsid w:val="001323EC"/>
    <w:rsid w:val="00132849"/>
    <w:rsid w:val="0013513C"/>
    <w:rsid w:val="001357A4"/>
    <w:rsid w:val="00136479"/>
    <w:rsid w:val="00137338"/>
    <w:rsid w:val="0013742C"/>
    <w:rsid w:val="001409EC"/>
    <w:rsid w:val="00140D52"/>
    <w:rsid w:val="0014220B"/>
    <w:rsid w:val="001422A9"/>
    <w:rsid w:val="001422C6"/>
    <w:rsid w:val="001425D0"/>
    <w:rsid w:val="001477AF"/>
    <w:rsid w:val="001530F4"/>
    <w:rsid w:val="00155273"/>
    <w:rsid w:val="001568DA"/>
    <w:rsid w:val="00160E01"/>
    <w:rsid w:val="0016202E"/>
    <w:rsid w:val="00162E10"/>
    <w:rsid w:val="00163B53"/>
    <w:rsid w:val="00163C1A"/>
    <w:rsid w:val="0016450F"/>
    <w:rsid w:val="00165196"/>
    <w:rsid w:val="001661A6"/>
    <w:rsid w:val="001664F7"/>
    <w:rsid w:val="00172A27"/>
    <w:rsid w:val="00172B16"/>
    <w:rsid w:val="001735A6"/>
    <w:rsid w:val="0017667E"/>
    <w:rsid w:val="00177004"/>
    <w:rsid w:val="00177978"/>
    <w:rsid w:val="00180812"/>
    <w:rsid w:val="00180A2A"/>
    <w:rsid w:val="001812EC"/>
    <w:rsid w:val="0018165D"/>
    <w:rsid w:val="00182C7B"/>
    <w:rsid w:val="00184C24"/>
    <w:rsid w:val="00185564"/>
    <w:rsid w:val="00185C39"/>
    <w:rsid w:val="00185D4B"/>
    <w:rsid w:val="001870F2"/>
    <w:rsid w:val="00191474"/>
    <w:rsid w:val="00195161"/>
    <w:rsid w:val="00195817"/>
    <w:rsid w:val="00197E38"/>
    <w:rsid w:val="001A004E"/>
    <w:rsid w:val="001A1532"/>
    <w:rsid w:val="001A1718"/>
    <w:rsid w:val="001A21F8"/>
    <w:rsid w:val="001A37BC"/>
    <w:rsid w:val="001A4110"/>
    <w:rsid w:val="001A4E8D"/>
    <w:rsid w:val="001A53FC"/>
    <w:rsid w:val="001A593B"/>
    <w:rsid w:val="001A63D1"/>
    <w:rsid w:val="001B08C7"/>
    <w:rsid w:val="001B0A5C"/>
    <w:rsid w:val="001B14F6"/>
    <w:rsid w:val="001B1512"/>
    <w:rsid w:val="001B177E"/>
    <w:rsid w:val="001B28E2"/>
    <w:rsid w:val="001B2D50"/>
    <w:rsid w:val="001B7DE1"/>
    <w:rsid w:val="001C07A9"/>
    <w:rsid w:val="001C1DE2"/>
    <w:rsid w:val="001C2CFE"/>
    <w:rsid w:val="001C319B"/>
    <w:rsid w:val="001C5F2B"/>
    <w:rsid w:val="001C6710"/>
    <w:rsid w:val="001C6FB9"/>
    <w:rsid w:val="001C7B0A"/>
    <w:rsid w:val="001D1275"/>
    <w:rsid w:val="001D2624"/>
    <w:rsid w:val="001D2DE6"/>
    <w:rsid w:val="001D364C"/>
    <w:rsid w:val="001D3CD8"/>
    <w:rsid w:val="001D3CEB"/>
    <w:rsid w:val="001D44E3"/>
    <w:rsid w:val="001D4C97"/>
    <w:rsid w:val="001D5BA3"/>
    <w:rsid w:val="001D5DA1"/>
    <w:rsid w:val="001D64C3"/>
    <w:rsid w:val="001D6C7F"/>
    <w:rsid w:val="001E139B"/>
    <w:rsid w:val="001E1701"/>
    <w:rsid w:val="001E2AB1"/>
    <w:rsid w:val="001E3025"/>
    <w:rsid w:val="001E45D0"/>
    <w:rsid w:val="001E693B"/>
    <w:rsid w:val="001E7575"/>
    <w:rsid w:val="001F0465"/>
    <w:rsid w:val="001F17AA"/>
    <w:rsid w:val="001F270F"/>
    <w:rsid w:val="001F2D03"/>
    <w:rsid w:val="001F2F49"/>
    <w:rsid w:val="001F33EB"/>
    <w:rsid w:val="001F3606"/>
    <w:rsid w:val="001F41D7"/>
    <w:rsid w:val="001F432D"/>
    <w:rsid w:val="001F52A8"/>
    <w:rsid w:val="001F58BE"/>
    <w:rsid w:val="001F5932"/>
    <w:rsid w:val="001F5B54"/>
    <w:rsid w:val="001F670C"/>
    <w:rsid w:val="001F7A86"/>
    <w:rsid w:val="002002BA"/>
    <w:rsid w:val="00200A3A"/>
    <w:rsid w:val="002019C3"/>
    <w:rsid w:val="00201C48"/>
    <w:rsid w:val="00201CE6"/>
    <w:rsid w:val="0020394E"/>
    <w:rsid w:val="00204682"/>
    <w:rsid w:val="002057DF"/>
    <w:rsid w:val="00206188"/>
    <w:rsid w:val="00207420"/>
    <w:rsid w:val="00207DBB"/>
    <w:rsid w:val="00211515"/>
    <w:rsid w:val="002115B3"/>
    <w:rsid w:val="0021370F"/>
    <w:rsid w:val="00215011"/>
    <w:rsid w:val="00215C11"/>
    <w:rsid w:val="00215D33"/>
    <w:rsid w:val="00215FDB"/>
    <w:rsid w:val="002177AC"/>
    <w:rsid w:val="00217810"/>
    <w:rsid w:val="00217EF5"/>
    <w:rsid w:val="002211E8"/>
    <w:rsid w:val="00221A2B"/>
    <w:rsid w:val="00221BAA"/>
    <w:rsid w:val="002224B4"/>
    <w:rsid w:val="00223503"/>
    <w:rsid w:val="002236E7"/>
    <w:rsid w:val="00223A67"/>
    <w:rsid w:val="002241DD"/>
    <w:rsid w:val="00225118"/>
    <w:rsid w:val="00227272"/>
    <w:rsid w:val="00230CE7"/>
    <w:rsid w:val="002314DA"/>
    <w:rsid w:val="00231BB0"/>
    <w:rsid w:val="00234E7B"/>
    <w:rsid w:val="00235891"/>
    <w:rsid w:val="002377E4"/>
    <w:rsid w:val="002426A6"/>
    <w:rsid w:val="00242A88"/>
    <w:rsid w:val="00244AFD"/>
    <w:rsid w:val="00244CB0"/>
    <w:rsid w:val="00247B23"/>
    <w:rsid w:val="00247BAE"/>
    <w:rsid w:val="002503AD"/>
    <w:rsid w:val="00253700"/>
    <w:rsid w:val="00254027"/>
    <w:rsid w:val="00254FDC"/>
    <w:rsid w:val="00256DE2"/>
    <w:rsid w:val="00256E3B"/>
    <w:rsid w:val="0025726C"/>
    <w:rsid w:val="00260FA6"/>
    <w:rsid w:val="0026196B"/>
    <w:rsid w:val="00262A8E"/>
    <w:rsid w:val="00263E80"/>
    <w:rsid w:val="002658A5"/>
    <w:rsid w:val="00267085"/>
    <w:rsid w:val="0026746E"/>
    <w:rsid w:val="00267E5E"/>
    <w:rsid w:val="00270252"/>
    <w:rsid w:val="00271F74"/>
    <w:rsid w:val="002722F5"/>
    <w:rsid w:val="002727C8"/>
    <w:rsid w:val="002727FA"/>
    <w:rsid w:val="0027468A"/>
    <w:rsid w:val="00274778"/>
    <w:rsid w:val="00274A26"/>
    <w:rsid w:val="00275454"/>
    <w:rsid w:val="002772FA"/>
    <w:rsid w:val="00277A4E"/>
    <w:rsid w:val="0028124C"/>
    <w:rsid w:val="00282591"/>
    <w:rsid w:val="00283262"/>
    <w:rsid w:val="0028368A"/>
    <w:rsid w:val="0028373F"/>
    <w:rsid w:val="002938BC"/>
    <w:rsid w:val="0029401F"/>
    <w:rsid w:val="002A0A26"/>
    <w:rsid w:val="002A234B"/>
    <w:rsid w:val="002A45DB"/>
    <w:rsid w:val="002A4919"/>
    <w:rsid w:val="002A4B91"/>
    <w:rsid w:val="002A601D"/>
    <w:rsid w:val="002A6065"/>
    <w:rsid w:val="002A629F"/>
    <w:rsid w:val="002A7982"/>
    <w:rsid w:val="002A7A07"/>
    <w:rsid w:val="002B192B"/>
    <w:rsid w:val="002B2C9A"/>
    <w:rsid w:val="002B41AF"/>
    <w:rsid w:val="002B4A60"/>
    <w:rsid w:val="002B4B67"/>
    <w:rsid w:val="002B5205"/>
    <w:rsid w:val="002B597E"/>
    <w:rsid w:val="002C1080"/>
    <w:rsid w:val="002C3FB7"/>
    <w:rsid w:val="002C7502"/>
    <w:rsid w:val="002D0DC1"/>
    <w:rsid w:val="002D22F6"/>
    <w:rsid w:val="002D3C84"/>
    <w:rsid w:val="002D4A01"/>
    <w:rsid w:val="002D4B84"/>
    <w:rsid w:val="002D7EB6"/>
    <w:rsid w:val="002D7EB9"/>
    <w:rsid w:val="002E0B13"/>
    <w:rsid w:val="002E1D17"/>
    <w:rsid w:val="002E389A"/>
    <w:rsid w:val="002E5022"/>
    <w:rsid w:val="002E65E9"/>
    <w:rsid w:val="002E66CD"/>
    <w:rsid w:val="002E690A"/>
    <w:rsid w:val="002E698C"/>
    <w:rsid w:val="002E6E70"/>
    <w:rsid w:val="002E7653"/>
    <w:rsid w:val="002E7E55"/>
    <w:rsid w:val="002F1E60"/>
    <w:rsid w:val="002F2F96"/>
    <w:rsid w:val="002F3B8B"/>
    <w:rsid w:val="002F4861"/>
    <w:rsid w:val="002F49ED"/>
    <w:rsid w:val="002F6CEC"/>
    <w:rsid w:val="00300899"/>
    <w:rsid w:val="00302507"/>
    <w:rsid w:val="0030301B"/>
    <w:rsid w:val="00303B5B"/>
    <w:rsid w:val="003041AD"/>
    <w:rsid w:val="0030560F"/>
    <w:rsid w:val="003121AA"/>
    <w:rsid w:val="003133AD"/>
    <w:rsid w:val="003136B6"/>
    <w:rsid w:val="00313827"/>
    <w:rsid w:val="00314E6F"/>
    <w:rsid w:val="003161EE"/>
    <w:rsid w:val="003178DB"/>
    <w:rsid w:val="0032089A"/>
    <w:rsid w:val="003220CE"/>
    <w:rsid w:val="00324F76"/>
    <w:rsid w:val="003252A0"/>
    <w:rsid w:val="00326836"/>
    <w:rsid w:val="003300AE"/>
    <w:rsid w:val="003342A6"/>
    <w:rsid w:val="003364FC"/>
    <w:rsid w:val="003377CE"/>
    <w:rsid w:val="00340D5E"/>
    <w:rsid w:val="00341CD0"/>
    <w:rsid w:val="003422EA"/>
    <w:rsid w:val="00342431"/>
    <w:rsid w:val="00351355"/>
    <w:rsid w:val="00354740"/>
    <w:rsid w:val="00354B24"/>
    <w:rsid w:val="00355795"/>
    <w:rsid w:val="00357DF5"/>
    <w:rsid w:val="0036103F"/>
    <w:rsid w:val="00365D7B"/>
    <w:rsid w:val="003670C2"/>
    <w:rsid w:val="00367231"/>
    <w:rsid w:val="003709B8"/>
    <w:rsid w:val="003723DA"/>
    <w:rsid w:val="00375AC2"/>
    <w:rsid w:val="00376154"/>
    <w:rsid w:val="00377524"/>
    <w:rsid w:val="003775A8"/>
    <w:rsid w:val="003809C9"/>
    <w:rsid w:val="00380D24"/>
    <w:rsid w:val="00381052"/>
    <w:rsid w:val="00383628"/>
    <w:rsid w:val="003836C4"/>
    <w:rsid w:val="0038598B"/>
    <w:rsid w:val="0038610A"/>
    <w:rsid w:val="00387371"/>
    <w:rsid w:val="00390B02"/>
    <w:rsid w:val="00391446"/>
    <w:rsid w:val="0039252E"/>
    <w:rsid w:val="00392E32"/>
    <w:rsid w:val="003937A0"/>
    <w:rsid w:val="003947B3"/>
    <w:rsid w:val="00395F71"/>
    <w:rsid w:val="003971C9"/>
    <w:rsid w:val="003A064D"/>
    <w:rsid w:val="003A2AC6"/>
    <w:rsid w:val="003A3732"/>
    <w:rsid w:val="003A4ACD"/>
    <w:rsid w:val="003A50A3"/>
    <w:rsid w:val="003A56D4"/>
    <w:rsid w:val="003A66AF"/>
    <w:rsid w:val="003A7269"/>
    <w:rsid w:val="003A72E6"/>
    <w:rsid w:val="003A7DAF"/>
    <w:rsid w:val="003A7EEA"/>
    <w:rsid w:val="003B03DB"/>
    <w:rsid w:val="003B15F5"/>
    <w:rsid w:val="003B215E"/>
    <w:rsid w:val="003B4590"/>
    <w:rsid w:val="003B5618"/>
    <w:rsid w:val="003B57AE"/>
    <w:rsid w:val="003B57F1"/>
    <w:rsid w:val="003C330E"/>
    <w:rsid w:val="003C717D"/>
    <w:rsid w:val="003D05F6"/>
    <w:rsid w:val="003D1214"/>
    <w:rsid w:val="003D21D3"/>
    <w:rsid w:val="003D2EFE"/>
    <w:rsid w:val="003D46E8"/>
    <w:rsid w:val="003E2D85"/>
    <w:rsid w:val="003E666A"/>
    <w:rsid w:val="003F09CD"/>
    <w:rsid w:val="003F10A0"/>
    <w:rsid w:val="003F4452"/>
    <w:rsid w:val="003F5DE3"/>
    <w:rsid w:val="003F76BB"/>
    <w:rsid w:val="003F7E06"/>
    <w:rsid w:val="0040027F"/>
    <w:rsid w:val="004004F8"/>
    <w:rsid w:val="00400938"/>
    <w:rsid w:val="00401279"/>
    <w:rsid w:val="004014DA"/>
    <w:rsid w:val="00401A4C"/>
    <w:rsid w:val="0040252F"/>
    <w:rsid w:val="00402C1B"/>
    <w:rsid w:val="00407482"/>
    <w:rsid w:val="00407C35"/>
    <w:rsid w:val="004100D0"/>
    <w:rsid w:val="00410146"/>
    <w:rsid w:val="00410A73"/>
    <w:rsid w:val="004125A0"/>
    <w:rsid w:val="00414E65"/>
    <w:rsid w:val="004158E1"/>
    <w:rsid w:val="00420ACD"/>
    <w:rsid w:val="00423E1B"/>
    <w:rsid w:val="00424E54"/>
    <w:rsid w:val="0042501F"/>
    <w:rsid w:val="00427F8C"/>
    <w:rsid w:val="00430991"/>
    <w:rsid w:val="00431EA0"/>
    <w:rsid w:val="0043212A"/>
    <w:rsid w:val="00433F2D"/>
    <w:rsid w:val="0043499B"/>
    <w:rsid w:val="00434C23"/>
    <w:rsid w:val="00436A91"/>
    <w:rsid w:val="00441C41"/>
    <w:rsid w:val="0044203B"/>
    <w:rsid w:val="00445C5A"/>
    <w:rsid w:val="004479DD"/>
    <w:rsid w:val="0045100A"/>
    <w:rsid w:val="00454A50"/>
    <w:rsid w:val="00455964"/>
    <w:rsid w:val="00455B4B"/>
    <w:rsid w:val="00460212"/>
    <w:rsid w:val="004603A3"/>
    <w:rsid w:val="00460739"/>
    <w:rsid w:val="00462A0B"/>
    <w:rsid w:val="00463160"/>
    <w:rsid w:val="004638C8"/>
    <w:rsid w:val="00463B44"/>
    <w:rsid w:val="0046412F"/>
    <w:rsid w:val="00464EC2"/>
    <w:rsid w:val="00464F1E"/>
    <w:rsid w:val="00465710"/>
    <w:rsid w:val="004670EA"/>
    <w:rsid w:val="00471C03"/>
    <w:rsid w:val="0047650D"/>
    <w:rsid w:val="00477CA3"/>
    <w:rsid w:val="00477DB0"/>
    <w:rsid w:val="00480F1F"/>
    <w:rsid w:val="00481181"/>
    <w:rsid w:val="00482D40"/>
    <w:rsid w:val="00482D6F"/>
    <w:rsid w:val="00483A3E"/>
    <w:rsid w:val="00485DCF"/>
    <w:rsid w:val="0048766E"/>
    <w:rsid w:val="00487C57"/>
    <w:rsid w:val="00487DED"/>
    <w:rsid w:val="0049045A"/>
    <w:rsid w:val="00490CE4"/>
    <w:rsid w:val="0049781B"/>
    <w:rsid w:val="00497BC5"/>
    <w:rsid w:val="00497C09"/>
    <w:rsid w:val="004A0421"/>
    <w:rsid w:val="004A0DA9"/>
    <w:rsid w:val="004A271F"/>
    <w:rsid w:val="004A38CB"/>
    <w:rsid w:val="004A64F5"/>
    <w:rsid w:val="004A798B"/>
    <w:rsid w:val="004B063D"/>
    <w:rsid w:val="004B1C37"/>
    <w:rsid w:val="004B2154"/>
    <w:rsid w:val="004B2979"/>
    <w:rsid w:val="004B6354"/>
    <w:rsid w:val="004B7848"/>
    <w:rsid w:val="004C091B"/>
    <w:rsid w:val="004C56AF"/>
    <w:rsid w:val="004C6202"/>
    <w:rsid w:val="004C65A1"/>
    <w:rsid w:val="004C65AB"/>
    <w:rsid w:val="004D1545"/>
    <w:rsid w:val="004D238D"/>
    <w:rsid w:val="004D4D3B"/>
    <w:rsid w:val="004D5E06"/>
    <w:rsid w:val="004E1569"/>
    <w:rsid w:val="004E1F7B"/>
    <w:rsid w:val="004E2B9D"/>
    <w:rsid w:val="004E40CE"/>
    <w:rsid w:val="004E6228"/>
    <w:rsid w:val="004E68FB"/>
    <w:rsid w:val="004E79E1"/>
    <w:rsid w:val="004E7A5F"/>
    <w:rsid w:val="004F107F"/>
    <w:rsid w:val="004F6671"/>
    <w:rsid w:val="0050026B"/>
    <w:rsid w:val="00501329"/>
    <w:rsid w:val="005022A1"/>
    <w:rsid w:val="005023AE"/>
    <w:rsid w:val="00502566"/>
    <w:rsid w:val="00503CF8"/>
    <w:rsid w:val="00507604"/>
    <w:rsid w:val="00507D21"/>
    <w:rsid w:val="00507D69"/>
    <w:rsid w:val="00513C23"/>
    <w:rsid w:val="00515F4E"/>
    <w:rsid w:val="005175A8"/>
    <w:rsid w:val="00517C23"/>
    <w:rsid w:val="00520A64"/>
    <w:rsid w:val="00520E16"/>
    <w:rsid w:val="005234FF"/>
    <w:rsid w:val="00523F15"/>
    <w:rsid w:val="00524343"/>
    <w:rsid w:val="00526952"/>
    <w:rsid w:val="00532641"/>
    <w:rsid w:val="00533A82"/>
    <w:rsid w:val="005375B9"/>
    <w:rsid w:val="00537C33"/>
    <w:rsid w:val="00542C96"/>
    <w:rsid w:val="0054631C"/>
    <w:rsid w:val="005467C3"/>
    <w:rsid w:val="00550E6F"/>
    <w:rsid w:val="0055538A"/>
    <w:rsid w:val="005553D7"/>
    <w:rsid w:val="00555BCD"/>
    <w:rsid w:val="00555E44"/>
    <w:rsid w:val="00556CB1"/>
    <w:rsid w:val="00560A1C"/>
    <w:rsid w:val="005616FD"/>
    <w:rsid w:val="00563218"/>
    <w:rsid w:val="00563B4E"/>
    <w:rsid w:val="00564ECB"/>
    <w:rsid w:val="00572A9B"/>
    <w:rsid w:val="00572D29"/>
    <w:rsid w:val="00576987"/>
    <w:rsid w:val="00576AA5"/>
    <w:rsid w:val="00576D5B"/>
    <w:rsid w:val="00577122"/>
    <w:rsid w:val="005802E4"/>
    <w:rsid w:val="00580BE9"/>
    <w:rsid w:val="00581AB8"/>
    <w:rsid w:val="00583A61"/>
    <w:rsid w:val="00585A7D"/>
    <w:rsid w:val="005870D5"/>
    <w:rsid w:val="00590386"/>
    <w:rsid w:val="005913AE"/>
    <w:rsid w:val="00591555"/>
    <w:rsid w:val="0059324B"/>
    <w:rsid w:val="0059378E"/>
    <w:rsid w:val="005943FE"/>
    <w:rsid w:val="0059533C"/>
    <w:rsid w:val="00595BCF"/>
    <w:rsid w:val="00597E8A"/>
    <w:rsid w:val="005A1748"/>
    <w:rsid w:val="005A27E8"/>
    <w:rsid w:val="005A2C6B"/>
    <w:rsid w:val="005A3783"/>
    <w:rsid w:val="005A380C"/>
    <w:rsid w:val="005A566D"/>
    <w:rsid w:val="005A6CED"/>
    <w:rsid w:val="005A79C3"/>
    <w:rsid w:val="005A7B12"/>
    <w:rsid w:val="005B1EFD"/>
    <w:rsid w:val="005B521A"/>
    <w:rsid w:val="005B662C"/>
    <w:rsid w:val="005B6FD8"/>
    <w:rsid w:val="005C022F"/>
    <w:rsid w:val="005C0864"/>
    <w:rsid w:val="005C12C3"/>
    <w:rsid w:val="005C316C"/>
    <w:rsid w:val="005C43EA"/>
    <w:rsid w:val="005C4739"/>
    <w:rsid w:val="005C4F7A"/>
    <w:rsid w:val="005C63F3"/>
    <w:rsid w:val="005C6CD5"/>
    <w:rsid w:val="005D02D3"/>
    <w:rsid w:val="005D0C9B"/>
    <w:rsid w:val="005D3DA8"/>
    <w:rsid w:val="005D7436"/>
    <w:rsid w:val="005D7D1E"/>
    <w:rsid w:val="005E004F"/>
    <w:rsid w:val="005E0CF2"/>
    <w:rsid w:val="005E237E"/>
    <w:rsid w:val="005E4055"/>
    <w:rsid w:val="005E57B3"/>
    <w:rsid w:val="005E5847"/>
    <w:rsid w:val="005E63F8"/>
    <w:rsid w:val="005E7555"/>
    <w:rsid w:val="005E7E7C"/>
    <w:rsid w:val="005F0394"/>
    <w:rsid w:val="005F08D8"/>
    <w:rsid w:val="005F1A93"/>
    <w:rsid w:val="005F1B0F"/>
    <w:rsid w:val="005F3009"/>
    <w:rsid w:val="005F389D"/>
    <w:rsid w:val="005F3F40"/>
    <w:rsid w:val="005F4ED0"/>
    <w:rsid w:val="005F502C"/>
    <w:rsid w:val="005F657C"/>
    <w:rsid w:val="006052CB"/>
    <w:rsid w:val="006064C6"/>
    <w:rsid w:val="006074F7"/>
    <w:rsid w:val="006104CA"/>
    <w:rsid w:val="00610C4F"/>
    <w:rsid w:val="00611B49"/>
    <w:rsid w:val="00611C5D"/>
    <w:rsid w:val="00613892"/>
    <w:rsid w:val="00614AF3"/>
    <w:rsid w:val="00614B2B"/>
    <w:rsid w:val="00615D11"/>
    <w:rsid w:val="0061685D"/>
    <w:rsid w:val="00620803"/>
    <w:rsid w:val="00630342"/>
    <w:rsid w:val="00632188"/>
    <w:rsid w:val="00633B66"/>
    <w:rsid w:val="00633F47"/>
    <w:rsid w:val="006346CB"/>
    <w:rsid w:val="006362D7"/>
    <w:rsid w:val="00636454"/>
    <w:rsid w:val="00637B41"/>
    <w:rsid w:val="006401AD"/>
    <w:rsid w:val="006436CD"/>
    <w:rsid w:val="00643C9C"/>
    <w:rsid w:val="0064471E"/>
    <w:rsid w:val="00645F4B"/>
    <w:rsid w:val="00646D5E"/>
    <w:rsid w:val="00647C0F"/>
    <w:rsid w:val="00651140"/>
    <w:rsid w:val="0065449A"/>
    <w:rsid w:val="00654CE0"/>
    <w:rsid w:val="00657D98"/>
    <w:rsid w:val="006602D1"/>
    <w:rsid w:val="006615A2"/>
    <w:rsid w:val="006645E1"/>
    <w:rsid w:val="0066574E"/>
    <w:rsid w:val="00667564"/>
    <w:rsid w:val="00667E23"/>
    <w:rsid w:val="00670897"/>
    <w:rsid w:val="00671006"/>
    <w:rsid w:val="00672051"/>
    <w:rsid w:val="00672CBD"/>
    <w:rsid w:val="006770E7"/>
    <w:rsid w:val="00680057"/>
    <w:rsid w:val="00680FEF"/>
    <w:rsid w:val="0068215A"/>
    <w:rsid w:val="00683603"/>
    <w:rsid w:val="006844A1"/>
    <w:rsid w:val="006848B8"/>
    <w:rsid w:val="006850B0"/>
    <w:rsid w:val="00686373"/>
    <w:rsid w:val="0068700D"/>
    <w:rsid w:val="006919B3"/>
    <w:rsid w:val="00695C6B"/>
    <w:rsid w:val="0069624D"/>
    <w:rsid w:val="006977A6"/>
    <w:rsid w:val="00697A94"/>
    <w:rsid w:val="006A0D4E"/>
    <w:rsid w:val="006A107A"/>
    <w:rsid w:val="006A2E24"/>
    <w:rsid w:val="006A3154"/>
    <w:rsid w:val="006A4D8B"/>
    <w:rsid w:val="006A5023"/>
    <w:rsid w:val="006A6EC3"/>
    <w:rsid w:val="006B0608"/>
    <w:rsid w:val="006B0AB2"/>
    <w:rsid w:val="006B29D9"/>
    <w:rsid w:val="006B3DFC"/>
    <w:rsid w:val="006B4295"/>
    <w:rsid w:val="006B4B3D"/>
    <w:rsid w:val="006B5599"/>
    <w:rsid w:val="006B5DDF"/>
    <w:rsid w:val="006B64FB"/>
    <w:rsid w:val="006C1FEF"/>
    <w:rsid w:val="006C3A08"/>
    <w:rsid w:val="006C5568"/>
    <w:rsid w:val="006C6D30"/>
    <w:rsid w:val="006C7306"/>
    <w:rsid w:val="006D05AE"/>
    <w:rsid w:val="006D220E"/>
    <w:rsid w:val="006D3BB3"/>
    <w:rsid w:val="006D49AC"/>
    <w:rsid w:val="006D53DC"/>
    <w:rsid w:val="006E0739"/>
    <w:rsid w:val="006E1216"/>
    <w:rsid w:val="006E324F"/>
    <w:rsid w:val="006E389A"/>
    <w:rsid w:val="006E4A51"/>
    <w:rsid w:val="006F0A0B"/>
    <w:rsid w:val="006F0DF1"/>
    <w:rsid w:val="006F1740"/>
    <w:rsid w:val="006F1E07"/>
    <w:rsid w:val="006F26B9"/>
    <w:rsid w:val="006F718F"/>
    <w:rsid w:val="006F71D9"/>
    <w:rsid w:val="006F75C8"/>
    <w:rsid w:val="006F78CD"/>
    <w:rsid w:val="00701635"/>
    <w:rsid w:val="00701FC1"/>
    <w:rsid w:val="00702F2D"/>
    <w:rsid w:val="00703ED4"/>
    <w:rsid w:val="00704674"/>
    <w:rsid w:val="00705266"/>
    <w:rsid w:val="00706C13"/>
    <w:rsid w:val="007139F8"/>
    <w:rsid w:val="007145E8"/>
    <w:rsid w:val="007151DA"/>
    <w:rsid w:val="00717A6B"/>
    <w:rsid w:val="00721601"/>
    <w:rsid w:val="00722DD6"/>
    <w:rsid w:val="00723840"/>
    <w:rsid w:val="00723DD8"/>
    <w:rsid w:val="007251A5"/>
    <w:rsid w:val="007308B1"/>
    <w:rsid w:val="007311D6"/>
    <w:rsid w:val="00731E03"/>
    <w:rsid w:val="00731F51"/>
    <w:rsid w:val="00732502"/>
    <w:rsid w:val="007330FE"/>
    <w:rsid w:val="0073584C"/>
    <w:rsid w:val="00736355"/>
    <w:rsid w:val="00736AF5"/>
    <w:rsid w:val="00740495"/>
    <w:rsid w:val="007434E1"/>
    <w:rsid w:val="00743860"/>
    <w:rsid w:val="00750032"/>
    <w:rsid w:val="0075015A"/>
    <w:rsid w:val="00750B72"/>
    <w:rsid w:val="007512EA"/>
    <w:rsid w:val="00756A81"/>
    <w:rsid w:val="00760438"/>
    <w:rsid w:val="00760B8F"/>
    <w:rsid w:val="00762092"/>
    <w:rsid w:val="00762122"/>
    <w:rsid w:val="00762D4E"/>
    <w:rsid w:val="007633CE"/>
    <w:rsid w:val="00763F66"/>
    <w:rsid w:val="007640A2"/>
    <w:rsid w:val="007641C8"/>
    <w:rsid w:val="00764E36"/>
    <w:rsid w:val="00765A2F"/>
    <w:rsid w:val="00765B42"/>
    <w:rsid w:val="00766DA7"/>
    <w:rsid w:val="007677AF"/>
    <w:rsid w:val="00767B32"/>
    <w:rsid w:val="00770F6C"/>
    <w:rsid w:val="00771C9A"/>
    <w:rsid w:val="00773547"/>
    <w:rsid w:val="00775784"/>
    <w:rsid w:val="007768BB"/>
    <w:rsid w:val="007775D2"/>
    <w:rsid w:val="007817F3"/>
    <w:rsid w:val="00781AB4"/>
    <w:rsid w:val="00782330"/>
    <w:rsid w:val="00782C32"/>
    <w:rsid w:val="0078334F"/>
    <w:rsid w:val="007838BE"/>
    <w:rsid w:val="007844B1"/>
    <w:rsid w:val="007845E1"/>
    <w:rsid w:val="007863BF"/>
    <w:rsid w:val="007863C1"/>
    <w:rsid w:val="00793975"/>
    <w:rsid w:val="007939D2"/>
    <w:rsid w:val="00793CA4"/>
    <w:rsid w:val="007943AC"/>
    <w:rsid w:val="007948BB"/>
    <w:rsid w:val="007950CE"/>
    <w:rsid w:val="007953FD"/>
    <w:rsid w:val="0079547E"/>
    <w:rsid w:val="007A0159"/>
    <w:rsid w:val="007A2143"/>
    <w:rsid w:val="007A21BD"/>
    <w:rsid w:val="007A2A2D"/>
    <w:rsid w:val="007A3B4E"/>
    <w:rsid w:val="007A3B75"/>
    <w:rsid w:val="007A4137"/>
    <w:rsid w:val="007A5A52"/>
    <w:rsid w:val="007A611A"/>
    <w:rsid w:val="007A7185"/>
    <w:rsid w:val="007A757D"/>
    <w:rsid w:val="007A7D68"/>
    <w:rsid w:val="007B040F"/>
    <w:rsid w:val="007B0914"/>
    <w:rsid w:val="007B0CC3"/>
    <w:rsid w:val="007B0E4A"/>
    <w:rsid w:val="007B1D63"/>
    <w:rsid w:val="007B2264"/>
    <w:rsid w:val="007B6FE3"/>
    <w:rsid w:val="007B7370"/>
    <w:rsid w:val="007C06E9"/>
    <w:rsid w:val="007C0ADF"/>
    <w:rsid w:val="007C0B76"/>
    <w:rsid w:val="007C0C72"/>
    <w:rsid w:val="007C1F1E"/>
    <w:rsid w:val="007C23F5"/>
    <w:rsid w:val="007C618E"/>
    <w:rsid w:val="007C7058"/>
    <w:rsid w:val="007D02FE"/>
    <w:rsid w:val="007D177B"/>
    <w:rsid w:val="007D6518"/>
    <w:rsid w:val="007D70C3"/>
    <w:rsid w:val="007D70F5"/>
    <w:rsid w:val="007D720C"/>
    <w:rsid w:val="007E1A0C"/>
    <w:rsid w:val="007E29EB"/>
    <w:rsid w:val="007E3AE9"/>
    <w:rsid w:val="007E3BDA"/>
    <w:rsid w:val="007E5185"/>
    <w:rsid w:val="007E55F0"/>
    <w:rsid w:val="007E6431"/>
    <w:rsid w:val="007F0109"/>
    <w:rsid w:val="007F22B6"/>
    <w:rsid w:val="007F24E2"/>
    <w:rsid w:val="007F6865"/>
    <w:rsid w:val="007F7EA5"/>
    <w:rsid w:val="0080073B"/>
    <w:rsid w:val="00800DCE"/>
    <w:rsid w:val="00801407"/>
    <w:rsid w:val="00801DC0"/>
    <w:rsid w:val="008020F7"/>
    <w:rsid w:val="008029B5"/>
    <w:rsid w:val="00802C18"/>
    <w:rsid w:val="0080485D"/>
    <w:rsid w:val="008050CF"/>
    <w:rsid w:val="0081403C"/>
    <w:rsid w:val="00814712"/>
    <w:rsid w:val="00816AC4"/>
    <w:rsid w:val="00820065"/>
    <w:rsid w:val="008200BC"/>
    <w:rsid w:val="00822257"/>
    <w:rsid w:val="00822442"/>
    <w:rsid w:val="008226CA"/>
    <w:rsid w:val="00826D65"/>
    <w:rsid w:val="00830C02"/>
    <w:rsid w:val="008317BA"/>
    <w:rsid w:val="0083225D"/>
    <w:rsid w:val="00832CCE"/>
    <w:rsid w:val="00834D11"/>
    <w:rsid w:val="00837AF4"/>
    <w:rsid w:val="008422CB"/>
    <w:rsid w:val="008447CF"/>
    <w:rsid w:val="00845010"/>
    <w:rsid w:val="00850E67"/>
    <w:rsid w:val="008518C2"/>
    <w:rsid w:val="008543B3"/>
    <w:rsid w:val="00854AF5"/>
    <w:rsid w:val="00854EC7"/>
    <w:rsid w:val="00855D3A"/>
    <w:rsid w:val="008565C5"/>
    <w:rsid w:val="008568EF"/>
    <w:rsid w:val="0086060B"/>
    <w:rsid w:val="00860877"/>
    <w:rsid w:val="008621BB"/>
    <w:rsid w:val="00863284"/>
    <w:rsid w:val="00867E0B"/>
    <w:rsid w:val="008718F2"/>
    <w:rsid w:val="008745A9"/>
    <w:rsid w:val="00875CDE"/>
    <w:rsid w:val="008760F7"/>
    <w:rsid w:val="00876582"/>
    <w:rsid w:val="0087745A"/>
    <w:rsid w:val="00880472"/>
    <w:rsid w:val="008805E1"/>
    <w:rsid w:val="00880A77"/>
    <w:rsid w:val="00880ADA"/>
    <w:rsid w:val="0088119D"/>
    <w:rsid w:val="00882EA3"/>
    <w:rsid w:val="00883292"/>
    <w:rsid w:val="008836A7"/>
    <w:rsid w:val="008860BB"/>
    <w:rsid w:val="00890D1C"/>
    <w:rsid w:val="008923A5"/>
    <w:rsid w:val="00892CEE"/>
    <w:rsid w:val="00895276"/>
    <w:rsid w:val="00897DAE"/>
    <w:rsid w:val="008A05B2"/>
    <w:rsid w:val="008A1E46"/>
    <w:rsid w:val="008A360A"/>
    <w:rsid w:val="008A36A1"/>
    <w:rsid w:val="008A484A"/>
    <w:rsid w:val="008A4919"/>
    <w:rsid w:val="008A546D"/>
    <w:rsid w:val="008A7011"/>
    <w:rsid w:val="008A796A"/>
    <w:rsid w:val="008A7D44"/>
    <w:rsid w:val="008B26FB"/>
    <w:rsid w:val="008B40FE"/>
    <w:rsid w:val="008B4995"/>
    <w:rsid w:val="008C0467"/>
    <w:rsid w:val="008C0B22"/>
    <w:rsid w:val="008C1DD0"/>
    <w:rsid w:val="008C1EA8"/>
    <w:rsid w:val="008C2B3F"/>
    <w:rsid w:val="008C589E"/>
    <w:rsid w:val="008C73AA"/>
    <w:rsid w:val="008D0BCD"/>
    <w:rsid w:val="008D247C"/>
    <w:rsid w:val="008D3417"/>
    <w:rsid w:val="008D4212"/>
    <w:rsid w:val="008D6056"/>
    <w:rsid w:val="008D6B61"/>
    <w:rsid w:val="008D6E01"/>
    <w:rsid w:val="008E05F1"/>
    <w:rsid w:val="008E30D3"/>
    <w:rsid w:val="008E30E2"/>
    <w:rsid w:val="008E523A"/>
    <w:rsid w:val="008E684D"/>
    <w:rsid w:val="008E7C60"/>
    <w:rsid w:val="008F1062"/>
    <w:rsid w:val="008F2270"/>
    <w:rsid w:val="008F2ADE"/>
    <w:rsid w:val="008F2FE5"/>
    <w:rsid w:val="008F35B0"/>
    <w:rsid w:val="008F5705"/>
    <w:rsid w:val="008F5E31"/>
    <w:rsid w:val="008F7BD7"/>
    <w:rsid w:val="009007A3"/>
    <w:rsid w:val="0090118E"/>
    <w:rsid w:val="0090124B"/>
    <w:rsid w:val="0090777E"/>
    <w:rsid w:val="00910D14"/>
    <w:rsid w:val="00913DB0"/>
    <w:rsid w:val="00914AFF"/>
    <w:rsid w:val="00917571"/>
    <w:rsid w:val="00924D4D"/>
    <w:rsid w:val="00926129"/>
    <w:rsid w:val="00926225"/>
    <w:rsid w:val="0092646D"/>
    <w:rsid w:val="00926C17"/>
    <w:rsid w:val="00930951"/>
    <w:rsid w:val="00930BB1"/>
    <w:rsid w:val="00933980"/>
    <w:rsid w:val="00933FCB"/>
    <w:rsid w:val="009354CB"/>
    <w:rsid w:val="009362CD"/>
    <w:rsid w:val="00940EFB"/>
    <w:rsid w:val="00941904"/>
    <w:rsid w:val="00941AA1"/>
    <w:rsid w:val="009423B2"/>
    <w:rsid w:val="009429B9"/>
    <w:rsid w:val="0094309A"/>
    <w:rsid w:val="009453D5"/>
    <w:rsid w:val="0094552A"/>
    <w:rsid w:val="00945931"/>
    <w:rsid w:val="0094649C"/>
    <w:rsid w:val="00947F5F"/>
    <w:rsid w:val="00950DEC"/>
    <w:rsid w:val="009533F7"/>
    <w:rsid w:val="00953A3B"/>
    <w:rsid w:val="00953EAD"/>
    <w:rsid w:val="009540C9"/>
    <w:rsid w:val="00954BA1"/>
    <w:rsid w:val="00955611"/>
    <w:rsid w:val="00956001"/>
    <w:rsid w:val="009570F6"/>
    <w:rsid w:val="009618D7"/>
    <w:rsid w:val="00962047"/>
    <w:rsid w:val="00963118"/>
    <w:rsid w:val="00963FFA"/>
    <w:rsid w:val="00964633"/>
    <w:rsid w:val="00965523"/>
    <w:rsid w:val="00965BDC"/>
    <w:rsid w:val="00965DFD"/>
    <w:rsid w:val="00966866"/>
    <w:rsid w:val="00970797"/>
    <w:rsid w:val="0097093B"/>
    <w:rsid w:val="00970AFD"/>
    <w:rsid w:val="0097150D"/>
    <w:rsid w:val="00971597"/>
    <w:rsid w:val="00971B1C"/>
    <w:rsid w:val="009775C1"/>
    <w:rsid w:val="00977985"/>
    <w:rsid w:val="009809CD"/>
    <w:rsid w:val="009814B5"/>
    <w:rsid w:val="00983E47"/>
    <w:rsid w:val="00983F30"/>
    <w:rsid w:val="0098545E"/>
    <w:rsid w:val="00986D13"/>
    <w:rsid w:val="009871D4"/>
    <w:rsid w:val="00987B86"/>
    <w:rsid w:val="00990008"/>
    <w:rsid w:val="00990012"/>
    <w:rsid w:val="009913C3"/>
    <w:rsid w:val="00991718"/>
    <w:rsid w:val="00991721"/>
    <w:rsid w:val="00991A74"/>
    <w:rsid w:val="00991C4A"/>
    <w:rsid w:val="00994983"/>
    <w:rsid w:val="009953A4"/>
    <w:rsid w:val="0099629B"/>
    <w:rsid w:val="009969EB"/>
    <w:rsid w:val="00997175"/>
    <w:rsid w:val="009A0A99"/>
    <w:rsid w:val="009A1956"/>
    <w:rsid w:val="009A7B30"/>
    <w:rsid w:val="009B04FA"/>
    <w:rsid w:val="009B0E6E"/>
    <w:rsid w:val="009B117A"/>
    <w:rsid w:val="009B171A"/>
    <w:rsid w:val="009B64B3"/>
    <w:rsid w:val="009B7A4C"/>
    <w:rsid w:val="009C135F"/>
    <w:rsid w:val="009C13FE"/>
    <w:rsid w:val="009C1420"/>
    <w:rsid w:val="009C1537"/>
    <w:rsid w:val="009C2216"/>
    <w:rsid w:val="009C2466"/>
    <w:rsid w:val="009C2467"/>
    <w:rsid w:val="009C3693"/>
    <w:rsid w:val="009C398A"/>
    <w:rsid w:val="009C3C21"/>
    <w:rsid w:val="009C76EE"/>
    <w:rsid w:val="009C7F94"/>
    <w:rsid w:val="009D1C18"/>
    <w:rsid w:val="009D282E"/>
    <w:rsid w:val="009D2E6A"/>
    <w:rsid w:val="009D383B"/>
    <w:rsid w:val="009D40DC"/>
    <w:rsid w:val="009D513C"/>
    <w:rsid w:val="009D74E9"/>
    <w:rsid w:val="009E0A20"/>
    <w:rsid w:val="009E379D"/>
    <w:rsid w:val="009E4A87"/>
    <w:rsid w:val="009E566C"/>
    <w:rsid w:val="009E59AE"/>
    <w:rsid w:val="009E5DA1"/>
    <w:rsid w:val="009F1197"/>
    <w:rsid w:val="009F1E82"/>
    <w:rsid w:val="009F385B"/>
    <w:rsid w:val="009F4E0F"/>
    <w:rsid w:val="009F6836"/>
    <w:rsid w:val="009F6DA2"/>
    <w:rsid w:val="00A00221"/>
    <w:rsid w:val="00A00848"/>
    <w:rsid w:val="00A0153D"/>
    <w:rsid w:val="00A02D2D"/>
    <w:rsid w:val="00A02F72"/>
    <w:rsid w:val="00A0351A"/>
    <w:rsid w:val="00A03DB4"/>
    <w:rsid w:val="00A04520"/>
    <w:rsid w:val="00A04FB0"/>
    <w:rsid w:val="00A05958"/>
    <w:rsid w:val="00A079D8"/>
    <w:rsid w:val="00A122EF"/>
    <w:rsid w:val="00A1285C"/>
    <w:rsid w:val="00A12E17"/>
    <w:rsid w:val="00A13BB3"/>
    <w:rsid w:val="00A13D79"/>
    <w:rsid w:val="00A16FD0"/>
    <w:rsid w:val="00A20835"/>
    <w:rsid w:val="00A2180C"/>
    <w:rsid w:val="00A24380"/>
    <w:rsid w:val="00A24E77"/>
    <w:rsid w:val="00A31D85"/>
    <w:rsid w:val="00A32719"/>
    <w:rsid w:val="00A33910"/>
    <w:rsid w:val="00A34743"/>
    <w:rsid w:val="00A34891"/>
    <w:rsid w:val="00A351DD"/>
    <w:rsid w:val="00A353F5"/>
    <w:rsid w:val="00A400EC"/>
    <w:rsid w:val="00A408B5"/>
    <w:rsid w:val="00A459EC"/>
    <w:rsid w:val="00A45C39"/>
    <w:rsid w:val="00A47D45"/>
    <w:rsid w:val="00A50F46"/>
    <w:rsid w:val="00A532E6"/>
    <w:rsid w:val="00A56CDF"/>
    <w:rsid w:val="00A640BD"/>
    <w:rsid w:val="00A64629"/>
    <w:rsid w:val="00A72AAF"/>
    <w:rsid w:val="00A7644D"/>
    <w:rsid w:val="00A81617"/>
    <w:rsid w:val="00A81C48"/>
    <w:rsid w:val="00A81F3B"/>
    <w:rsid w:val="00A82D7F"/>
    <w:rsid w:val="00A8300A"/>
    <w:rsid w:val="00A84A28"/>
    <w:rsid w:val="00A85D1B"/>
    <w:rsid w:val="00A87611"/>
    <w:rsid w:val="00A91895"/>
    <w:rsid w:val="00A92AC7"/>
    <w:rsid w:val="00A92EF7"/>
    <w:rsid w:val="00A93A89"/>
    <w:rsid w:val="00A970F4"/>
    <w:rsid w:val="00A973EF"/>
    <w:rsid w:val="00AA14D8"/>
    <w:rsid w:val="00AA3744"/>
    <w:rsid w:val="00AA3796"/>
    <w:rsid w:val="00AA3FEF"/>
    <w:rsid w:val="00AA4CF5"/>
    <w:rsid w:val="00AB1A9A"/>
    <w:rsid w:val="00AB1FE4"/>
    <w:rsid w:val="00AB370C"/>
    <w:rsid w:val="00AB7561"/>
    <w:rsid w:val="00AC4E87"/>
    <w:rsid w:val="00AC53F3"/>
    <w:rsid w:val="00AC60DD"/>
    <w:rsid w:val="00AC6256"/>
    <w:rsid w:val="00AC70DB"/>
    <w:rsid w:val="00AC7652"/>
    <w:rsid w:val="00AC7D4C"/>
    <w:rsid w:val="00AC7EB3"/>
    <w:rsid w:val="00AD01A2"/>
    <w:rsid w:val="00AD0EF8"/>
    <w:rsid w:val="00AD468D"/>
    <w:rsid w:val="00AD4FAB"/>
    <w:rsid w:val="00AD65D9"/>
    <w:rsid w:val="00AD6DCF"/>
    <w:rsid w:val="00AD7AF8"/>
    <w:rsid w:val="00AE033B"/>
    <w:rsid w:val="00AE1A8D"/>
    <w:rsid w:val="00AE2A97"/>
    <w:rsid w:val="00AE3E76"/>
    <w:rsid w:val="00AE5409"/>
    <w:rsid w:val="00AE5952"/>
    <w:rsid w:val="00AE63C4"/>
    <w:rsid w:val="00AE7B80"/>
    <w:rsid w:val="00AE7F61"/>
    <w:rsid w:val="00AF0915"/>
    <w:rsid w:val="00AF0C28"/>
    <w:rsid w:val="00AF21EC"/>
    <w:rsid w:val="00AF4363"/>
    <w:rsid w:val="00AF51E6"/>
    <w:rsid w:val="00AF5953"/>
    <w:rsid w:val="00AF628C"/>
    <w:rsid w:val="00AF6FFA"/>
    <w:rsid w:val="00AF7FC6"/>
    <w:rsid w:val="00B00CE2"/>
    <w:rsid w:val="00B02183"/>
    <w:rsid w:val="00B02209"/>
    <w:rsid w:val="00B0496C"/>
    <w:rsid w:val="00B05CF2"/>
    <w:rsid w:val="00B11D0E"/>
    <w:rsid w:val="00B1502C"/>
    <w:rsid w:val="00B1634E"/>
    <w:rsid w:val="00B163E9"/>
    <w:rsid w:val="00B16DB1"/>
    <w:rsid w:val="00B16F19"/>
    <w:rsid w:val="00B1700F"/>
    <w:rsid w:val="00B17E35"/>
    <w:rsid w:val="00B2267D"/>
    <w:rsid w:val="00B23201"/>
    <w:rsid w:val="00B25BB2"/>
    <w:rsid w:val="00B267D7"/>
    <w:rsid w:val="00B26FFA"/>
    <w:rsid w:val="00B2743E"/>
    <w:rsid w:val="00B276EC"/>
    <w:rsid w:val="00B36496"/>
    <w:rsid w:val="00B37BE3"/>
    <w:rsid w:val="00B44C94"/>
    <w:rsid w:val="00B4599C"/>
    <w:rsid w:val="00B46E6A"/>
    <w:rsid w:val="00B50656"/>
    <w:rsid w:val="00B52EB9"/>
    <w:rsid w:val="00B53DA0"/>
    <w:rsid w:val="00B53F2A"/>
    <w:rsid w:val="00B53F3E"/>
    <w:rsid w:val="00B550F9"/>
    <w:rsid w:val="00B557A4"/>
    <w:rsid w:val="00B55B47"/>
    <w:rsid w:val="00B56929"/>
    <w:rsid w:val="00B616E3"/>
    <w:rsid w:val="00B618AD"/>
    <w:rsid w:val="00B6281D"/>
    <w:rsid w:val="00B62AF0"/>
    <w:rsid w:val="00B63232"/>
    <w:rsid w:val="00B65F76"/>
    <w:rsid w:val="00B6665B"/>
    <w:rsid w:val="00B67D06"/>
    <w:rsid w:val="00B70B3F"/>
    <w:rsid w:val="00B72314"/>
    <w:rsid w:val="00B730C5"/>
    <w:rsid w:val="00B73DB1"/>
    <w:rsid w:val="00B74032"/>
    <w:rsid w:val="00B752BD"/>
    <w:rsid w:val="00B75E35"/>
    <w:rsid w:val="00B77888"/>
    <w:rsid w:val="00B805B9"/>
    <w:rsid w:val="00B82E03"/>
    <w:rsid w:val="00B83AC3"/>
    <w:rsid w:val="00B83C8E"/>
    <w:rsid w:val="00B8779C"/>
    <w:rsid w:val="00B878AE"/>
    <w:rsid w:val="00B9021F"/>
    <w:rsid w:val="00B908E2"/>
    <w:rsid w:val="00B91EB5"/>
    <w:rsid w:val="00B926FB"/>
    <w:rsid w:val="00B96763"/>
    <w:rsid w:val="00B967EA"/>
    <w:rsid w:val="00B96A0B"/>
    <w:rsid w:val="00B97836"/>
    <w:rsid w:val="00B97C24"/>
    <w:rsid w:val="00BA029A"/>
    <w:rsid w:val="00BA083B"/>
    <w:rsid w:val="00BA1D80"/>
    <w:rsid w:val="00BA26C8"/>
    <w:rsid w:val="00BA79FE"/>
    <w:rsid w:val="00BB2F07"/>
    <w:rsid w:val="00BB3A98"/>
    <w:rsid w:val="00BB47B4"/>
    <w:rsid w:val="00BB6198"/>
    <w:rsid w:val="00BB6B6A"/>
    <w:rsid w:val="00BB6CEB"/>
    <w:rsid w:val="00BB743B"/>
    <w:rsid w:val="00BC38BC"/>
    <w:rsid w:val="00BC5232"/>
    <w:rsid w:val="00BC592A"/>
    <w:rsid w:val="00BC5FE7"/>
    <w:rsid w:val="00BC79F5"/>
    <w:rsid w:val="00BD2385"/>
    <w:rsid w:val="00BD4CA8"/>
    <w:rsid w:val="00BD5E9B"/>
    <w:rsid w:val="00BD5F29"/>
    <w:rsid w:val="00BD60BE"/>
    <w:rsid w:val="00BD6EAD"/>
    <w:rsid w:val="00BD75F9"/>
    <w:rsid w:val="00BE04AD"/>
    <w:rsid w:val="00BE48F7"/>
    <w:rsid w:val="00BE53AE"/>
    <w:rsid w:val="00BE541B"/>
    <w:rsid w:val="00BE678F"/>
    <w:rsid w:val="00BF1D02"/>
    <w:rsid w:val="00BF2DCE"/>
    <w:rsid w:val="00BF415B"/>
    <w:rsid w:val="00BF64F6"/>
    <w:rsid w:val="00BF741A"/>
    <w:rsid w:val="00BF7E9E"/>
    <w:rsid w:val="00C006ED"/>
    <w:rsid w:val="00C014FF"/>
    <w:rsid w:val="00C01892"/>
    <w:rsid w:val="00C018A2"/>
    <w:rsid w:val="00C039FE"/>
    <w:rsid w:val="00C03F70"/>
    <w:rsid w:val="00C042AF"/>
    <w:rsid w:val="00C048E7"/>
    <w:rsid w:val="00C07256"/>
    <w:rsid w:val="00C07D1E"/>
    <w:rsid w:val="00C1100C"/>
    <w:rsid w:val="00C12E45"/>
    <w:rsid w:val="00C16F4E"/>
    <w:rsid w:val="00C1727D"/>
    <w:rsid w:val="00C20525"/>
    <w:rsid w:val="00C21AC2"/>
    <w:rsid w:val="00C21BB6"/>
    <w:rsid w:val="00C22033"/>
    <w:rsid w:val="00C2238F"/>
    <w:rsid w:val="00C228B4"/>
    <w:rsid w:val="00C22D1D"/>
    <w:rsid w:val="00C23830"/>
    <w:rsid w:val="00C23B43"/>
    <w:rsid w:val="00C23BA8"/>
    <w:rsid w:val="00C27926"/>
    <w:rsid w:val="00C3093B"/>
    <w:rsid w:val="00C32821"/>
    <w:rsid w:val="00C4051B"/>
    <w:rsid w:val="00C43B12"/>
    <w:rsid w:val="00C45648"/>
    <w:rsid w:val="00C508D9"/>
    <w:rsid w:val="00C52907"/>
    <w:rsid w:val="00C52FD8"/>
    <w:rsid w:val="00C53B96"/>
    <w:rsid w:val="00C54294"/>
    <w:rsid w:val="00C55100"/>
    <w:rsid w:val="00C56293"/>
    <w:rsid w:val="00C56AAC"/>
    <w:rsid w:val="00C57F1E"/>
    <w:rsid w:val="00C60C7C"/>
    <w:rsid w:val="00C6265A"/>
    <w:rsid w:val="00C62F6F"/>
    <w:rsid w:val="00C7066E"/>
    <w:rsid w:val="00C71CEF"/>
    <w:rsid w:val="00C74735"/>
    <w:rsid w:val="00C758CF"/>
    <w:rsid w:val="00C809D2"/>
    <w:rsid w:val="00C80B69"/>
    <w:rsid w:val="00C82A35"/>
    <w:rsid w:val="00C8317C"/>
    <w:rsid w:val="00C846D7"/>
    <w:rsid w:val="00C848FA"/>
    <w:rsid w:val="00C85046"/>
    <w:rsid w:val="00C85AF2"/>
    <w:rsid w:val="00C86F6D"/>
    <w:rsid w:val="00C90204"/>
    <w:rsid w:val="00C90D87"/>
    <w:rsid w:val="00C913E6"/>
    <w:rsid w:val="00C93151"/>
    <w:rsid w:val="00C95919"/>
    <w:rsid w:val="00C96C27"/>
    <w:rsid w:val="00C97376"/>
    <w:rsid w:val="00CA01AA"/>
    <w:rsid w:val="00CA01C3"/>
    <w:rsid w:val="00CA5073"/>
    <w:rsid w:val="00CA542A"/>
    <w:rsid w:val="00CA74D8"/>
    <w:rsid w:val="00CB0E00"/>
    <w:rsid w:val="00CB132D"/>
    <w:rsid w:val="00CB159D"/>
    <w:rsid w:val="00CB3BB5"/>
    <w:rsid w:val="00CB5B9F"/>
    <w:rsid w:val="00CB5EFE"/>
    <w:rsid w:val="00CC018B"/>
    <w:rsid w:val="00CC09C3"/>
    <w:rsid w:val="00CC0B2E"/>
    <w:rsid w:val="00CC0F4B"/>
    <w:rsid w:val="00CC148E"/>
    <w:rsid w:val="00CC1981"/>
    <w:rsid w:val="00CC25EA"/>
    <w:rsid w:val="00CC673D"/>
    <w:rsid w:val="00CC6943"/>
    <w:rsid w:val="00CC7563"/>
    <w:rsid w:val="00CD18C8"/>
    <w:rsid w:val="00CD57B5"/>
    <w:rsid w:val="00CD592C"/>
    <w:rsid w:val="00CD7036"/>
    <w:rsid w:val="00CD704E"/>
    <w:rsid w:val="00CE23D3"/>
    <w:rsid w:val="00CE2DC0"/>
    <w:rsid w:val="00CE3071"/>
    <w:rsid w:val="00CE3171"/>
    <w:rsid w:val="00CE49EC"/>
    <w:rsid w:val="00CE5463"/>
    <w:rsid w:val="00CF0819"/>
    <w:rsid w:val="00CF38B7"/>
    <w:rsid w:val="00CF4770"/>
    <w:rsid w:val="00CF647A"/>
    <w:rsid w:val="00CF6EB6"/>
    <w:rsid w:val="00CF71E3"/>
    <w:rsid w:val="00CF74A6"/>
    <w:rsid w:val="00CF7A51"/>
    <w:rsid w:val="00CF7C73"/>
    <w:rsid w:val="00CF7E21"/>
    <w:rsid w:val="00D0112C"/>
    <w:rsid w:val="00D0191A"/>
    <w:rsid w:val="00D01E8E"/>
    <w:rsid w:val="00D0372E"/>
    <w:rsid w:val="00D05AA9"/>
    <w:rsid w:val="00D061BB"/>
    <w:rsid w:val="00D10970"/>
    <w:rsid w:val="00D1187A"/>
    <w:rsid w:val="00D1323D"/>
    <w:rsid w:val="00D135F8"/>
    <w:rsid w:val="00D139FA"/>
    <w:rsid w:val="00D13A48"/>
    <w:rsid w:val="00D13F78"/>
    <w:rsid w:val="00D1425B"/>
    <w:rsid w:val="00D153EE"/>
    <w:rsid w:val="00D16755"/>
    <w:rsid w:val="00D2104C"/>
    <w:rsid w:val="00D22F09"/>
    <w:rsid w:val="00D2407B"/>
    <w:rsid w:val="00D249ED"/>
    <w:rsid w:val="00D26E52"/>
    <w:rsid w:val="00D276CC"/>
    <w:rsid w:val="00D27703"/>
    <w:rsid w:val="00D304C5"/>
    <w:rsid w:val="00D30DE0"/>
    <w:rsid w:val="00D33984"/>
    <w:rsid w:val="00D340D4"/>
    <w:rsid w:val="00D41CE9"/>
    <w:rsid w:val="00D45065"/>
    <w:rsid w:val="00D46D97"/>
    <w:rsid w:val="00D4744A"/>
    <w:rsid w:val="00D474C8"/>
    <w:rsid w:val="00D5006A"/>
    <w:rsid w:val="00D50577"/>
    <w:rsid w:val="00D5112F"/>
    <w:rsid w:val="00D52F5F"/>
    <w:rsid w:val="00D53E65"/>
    <w:rsid w:val="00D5498F"/>
    <w:rsid w:val="00D54DBF"/>
    <w:rsid w:val="00D5518A"/>
    <w:rsid w:val="00D55841"/>
    <w:rsid w:val="00D55D61"/>
    <w:rsid w:val="00D56138"/>
    <w:rsid w:val="00D60772"/>
    <w:rsid w:val="00D60AFA"/>
    <w:rsid w:val="00D621FF"/>
    <w:rsid w:val="00D62F57"/>
    <w:rsid w:val="00D62F78"/>
    <w:rsid w:val="00D647E4"/>
    <w:rsid w:val="00D659DE"/>
    <w:rsid w:val="00D66AC5"/>
    <w:rsid w:val="00D707C9"/>
    <w:rsid w:val="00D708A5"/>
    <w:rsid w:val="00D741F5"/>
    <w:rsid w:val="00D74F98"/>
    <w:rsid w:val="00D774B5"/>
    <w:rsid w:val="00D82E33"/>
    <w:rsid w:val="00D82F5C"/>
    <w:rsid w:val="00D8319B"/>
    <w:rsid w:val="00D83E3D"/>
    <w:rsid w:val="00D84502"/>
    <w:rsid w:val="00D8463F"/>
    <w:rsid w:val="00D84DCC"/>
    <w:rsid w:val="00D85C75"/>
    <w:rsid w:val="00D87AC2"/>
    <w:rsid w:val="00D9190B"/>
    <w:rsid w:val="00D946A1"/>
    <w:rsid w:val="00D947C7"/>
    <w:rsid w:val="00D948A8"/>
    <w:rsid w:val="00D966D6"/>
    <w:rsid w:val="00D971D9"/>
    <w:rsid w:val="00D97DE2"/>
    <w:rsid w:val="00DA05A2"/>
    <w:rsid w:val="00DA1E01"/>
    <w:rsid w:val="00DA2545"/>
    <w:rsid w:val="00DA37A7"/>
    <w:rsid w:val="00DA3A52"/>
    <w:rsid w:val="00DA48E3"/>
    <w:rsid w:val="00DA4F40"/>
    <w:rsid w:val="00DA6FF7"/>
    <w:rsid w:val="00DB0945"/>
    <w:rsid w:val="00DB20BB"/>
    <w:rsid w:val="00DB350E"/>
    <w:rsid w:val="00DB3D18"/>
    <w:rsid w:val="00DB48DF"/>
    <w:rsid w:val="00DB5EE1"/>
    <w:rsid w:val="00DC0864"/>
    <w:rsid w:val="00DC1157"/>
    <w:rsid w:val="00DC40C7"/>
    <w:rsid w:val="00DC43A8"/>
    <w:rsid w:val="00DC49BA"/>
    <w:rsid w:val="00DC4CEF"/>
    <w:rsid w:val="00DC4F99"/>
    <w:rsid w:val="00DC5BDD"/>
    <w:rsid w:val="00DC654D"/>
    <w:rsid w:val="00DC6D42"/>
    <w:rsid w:val="00DD0B08"/>
    <w:rsid w:val="00DD0C5A"/>
    <w:rsid w:val="00DD1BF9"/>
    <w:rsid w:val="00DD23CA"/>
    <w:rsid w:val="00DD2536"/>
    <w:rsid w:val="00DD31D6"/>
    <w:rsid w:val="00DD3898"/>
    <w:rsid w:val="00DD3D7E"/>
    <w:rsid w:val="00DD68EC"/>
    <w:rsid w:val="00DD75B9"/>
    <w:rsid w:val="00DE24E3"/>
    <w:rsid w:val="00DE4939"/>
    <w:rsid w:val="00DE50D6"/>
    <w:rsid w:val="00DE68EA"/>
    <w:rsid w:val="00DE690E"/>
    <w:rsid w:val="00DE712B"/>
    <w:rsid w:val="00DF3CC3"/>
    <w:rsid w:val="00DF414D"/>
    <w:rsid w:val="00DF719D"/>
    <w:rsid w:val="00DF7878"/>
    <w:rsid w:val="00E0162B"/>
    <w:rsid w:val="00E02E4A"/>
    <w:rsid w:val="00E03E10"/>
    <w:rsid w:val="00E06CC4"/>
    <w:rsid w:val="00E07D11"/>
    <w:rsid w:val="00E10410"/>
    <w:rsid w:val="00E13503"/>
    <w:rsid w:val="00E14379"/>
    <w:rsid w:val="00E14594"/>
    <w:rsid w:val="00E14E90"/>
    <w:rsid w:val="00E14F89"/>
    <w:rsid w:val="00E15235"/>
    <w:rsid w:val="00E161B8"/>
    <w:rsid w:val="00E16621"/>
    <w:rsid w:val="00E1750F"/>
    <w:rsid w:val="00E20D71"/>
    <w:rsid w:val="00E22FFE"/>
    <w:rsid w:val="00E23E67"/>
    <w:rsid w:val="00E261A9"/>
    <w:rsid w:val="00E2645F"/>
    <w:rsid w:val="00E27040"/>
    <w:rsid w:val="00E2727D"/>
    <w:rsid w:val="00E27467"/>
    <w:rsid w:val="00E32625"/>
    <w:rsid w:val="00E339E1"/>
    <w:rsid w:val="00E3499B"/>
    <w:rsid w:val="00E35F53"/>
    <w:rsid w:val="00E36ED3"/>
    <w:rsid w:val="00E4003B"/>
    <w:rsid w:val="00E43032"/>
    <w:rsid w:val="00E451C8"/>
    <w:rsid w:val="00E4565E"/>
    <w:rsid w:val="00E457F4"/>
    <w:rsid w:val="00E46EED"/>
    <w:rsid w:val="00E4778F"/>
    <w:rsid w:val="00E50BF0"/>
    <w:rsid w:val="00E51406"/>
    <w:rsid w:val="00E57FC5"/>
    <w:rsid w:val="00E60640"/>
    <w:rsid w:val="00E64579"/>
    <w:rsid w:val="00E64C27"/>
    <w:rsid w:val="00E64C8B"/>
    <w:rsid w:val="00E64D63"/>
    <w:rsid w:val="00E64F09"/>
    <w:rsid w:val="00E664EE"/>
    <w:rsid w:val="00E70DF4"/>
    <w:rsid w:val="00E71CE7"/>
    <w:rsid w:val="00E71FBB"/>
    <w:rsid w:val="00E73CE1"/>
    <w:rsid w:val="00E74545"/>
    <w:rsid w:val="00E75AD0"/>
    <w:rsid w:val="00E75AF6"/>
    <w:rsid w:val="00E7630A"/>
    <w:rsid w:val="00E77AB1"/>
    <w:rsid w:val="00E77D33"/>
    <w:rsid w:val="00E81E21"/>
    <w:rsid w:val="00E826C4"/>
    <w:rsid w:val="00E829B0"/>
    <w:rsid w:val="00E83FFB"/>
    <w:rsid w:val="00E85252"/>
    <w:rsid w:val="00E85769"/>
    <w:rsid w:val="00E85B74"/>
    <w:rsid w:val="00E8620C"/>
    <w:rsid w:val="00E86912"/>
    <w:rsid w:val="00E86F43"/>
    <w:rsid w:val="00E87663"/>
    <w:rsid w:val="00E90D8A"/>
    <w:rsid w:val="00E90E02"/>
    <w:rsid w:val="00E90E56"/>
    <w:rsid w:val="00E90EB9"/>
    <w:rsid w:val="00E920C5"/>
    <w:rsid w:val="00E94433"/>
    <w:rsid w:val="00E94C72"/>
    <w:rsid w:val="00E96B04"/>
    <w:rsid w:val="00EA0189"/>
    <w:rsid w:val="00EA04D1"/>
    <w:rsid w:val="00EA09B2"/>
    <w:rsid w:val="00EA21AB"/>
    <w:rsid w:val="00EA330A"/>
    <w:rsid w:val="00EA39F3"/>
    <w:rsid w:val="00EA5E8D"/>
    <w:rsid w:val="00EA69EC"/>
    <w:rsid w:val="00EA7DC9"/>
    <w:rsid w:val="00EB3FAA"/>
    <w:rsid w:val="00EB5543"/>
    <w:rsid w:val="00EC0BA8"/>
    <w:rsid w:val="00EC16E6"/>
    <w:rsid w:val="00EC1A92"/>
    <w:rsid w:val="00EC48A6"/>
    <w:rsid w:val="00EC4E74"/>
    <w:rsid w:val="00EC4F21"/>
    <w:rsid w:val="00EC522A"/>
    <w:rsid w:val="00EC5500"/>
    <w:rsid w:val="00EC60F4"/>
    <w:rsid w:val="00ED1AE3"/>
    <w:rsid w:val="00ED3BF3"/>
    <w:rsid w:val="00ED3D43"/>
    <w:rsid w:val="00ED4522"/>
    <w:rsid w:val="00ED4C1C"/>
    <w:rsid w:val="00ED5F37"/>
    <w:rsid w:val="00ED64C9"/>
    <w:rsid w:val="00ED7B4D"/>
    <w:rsid w:val="00ED7B5C"/>
    <w:rsid w:val="00EE0A12"/>
    <w:rsid w:val="00EE35A7"/>
    <w:rsid w:val="00EE38BC"/>
    <w:rsid w:val="00EE4956"/>
    <w:rsid w:val="00EE6C4A"/>
    <w:rsid w:val="00EE7751"/>
    <w:rsid w:val="00EE78EC"/>
    <w:rsid w:val="00EF17D6"/>
    <w:rsid w:val="00EF2837"/>
    <w:rsid w:val="00EF6751"/>
    <w:rsid w:val="00F00966"/>
    <w:rsid w:val="00F012A2"/>
    <w:rsid w:val="00F0272E"/>
    <w:rsid w:val="00F028C1"/>
    <w:rsid w:val="00F03F6F"/>
    <w:rsid w:val="00F06129"/>
    <w:rsid w:val="00F0614E"/>
    <w:rsid w:val="00F12732"/>
    <w:rsid w:val="00F133D0"/>
    <w:rsid w:val="00F1624B"/>
    <w:rsid w:val="00F212D2"/>
    <w:rsid w:val="00F22F89"/>
    <w:rsid w:val="00F24BB9"/>
    <w:rsid w:val="00F24E96"/>
    <w:rsid w:val="00F25D9D"/>
    <w:rsid w:val="00F264EB"/>
    <w:rsid w:val="00F31321"/>
    <w:rsid w:val="00F338DF"/>
    <w:rsid w:val="00F34171"/>
    <w:rsid w:val="00F344BB"/>
    <w:rsid w:val="00F3646C"/>
    <w:rsid w:val="00F4078C"/>
    <w:rsid w:val="00F40A05"/>
    <w:rsid w:val="00F4338A"/>
    <w:rsid w:val="00F434D0"/>
    <w:rsid w:val="00F45D6B"/>
    <w:rsid w:val="00F46CDD"/>
    <w:rsid w:val="00F5120E"/>
    <w:rsid w:val="00F53998"/>
    <w:rsid w:val="00F53A6F"/>
    <w:rsid w:val="00F55997"/>
    <w:rsid w:val="00F56462"/>
    <w:rsid w:val="00F57135"/>
    <w:rsid w:val="00F60091"/>
    <w:rsid w:val="00F60138"/>
    <w:rsid w:val="00F60189"/>
    <w:rsid w:val="00F60578"/>
    <w:rsid w:val="00F60A78"/>
    <w:rsid w:val="00F61916"/>
    <w:rsid w:val="00F62313"/>
    <w:rsid w:val="00F7026E"/>
    <w:rsid w:val="00F704F4"/>
    <w:rsid w:val="00F71279"/>
    <w:rsid w:val="00F71C9E"/>
    <w:rsid w:val="00F71DCD"/>
    <w:rsid w:val="00F728BD"/>
    <w:rsid w:val="00F7332E"/>
    <w:rsid w:val="00F762BA"/>
    <w:rsid w:val="00F774BF"/>
    <w:rsid w:val="00F8004F"/>
    <w:rsid w:val="00F8047E"/>
    <w:rsid w:val="00F8148C"/>
    <w:rsid w:val="00F83603"/>
    <w:rsid w:val="00F83E9E"/>
    <w:rsid w:val="00F85208"/>
    <w:rsid w:val="00F85D9B"/>
    <w:rsid w:val="00F866AD"/>
    <w:rsid w:val="00F874D2"/>
    <w:rsid w:val="00F903F1"/>
    <w:rsid w:val="00F9090E"/>
    <w:rsid w:val="00F912EF"/>
    <w:rsid w:val="00F93C35"/>
    <w:rsid w:val="00F93DA9"/>
    <w:rsid w:val="00F94C75"/>
    <w:rsid w:val="00F95344"/>
    <w:rsid w:val="00F95D5D"/>
    <w:rsid w:val="00F96806"/>
    <w:rsid w:val="00FA1656"/>
    <w:rsid w:val="00FA1AEA"/>
    <w:rsid w:val="00FA4821"/>
    <w:rsid w:val="00FA6D91"/>
    <w:rsid w:val="00FB023D"/>
    <w:rsid w:val="00FB1367"/>
    <w:rsid w:val="00FB1F8F"/>
    <w:rsid w:val="00FB3CBA"/>
    <w:rsid w:val="00FB4629"/>
    <w:rsid w:val="00FB5620"/>
    <w:rsid w:val="00FB56D3"/>
    <w:rsid w:val="00FB59CE"/>
    <w:rsid w:val="00FB7C4B"/>
    <w:rsid w:val="00FC0511"/>
    <w:rsid w:val="00FC2B43"/>
    <w:rsid w:val="00FC332E"/>
    <w:rsid w:val="00FC34FA"/>
    <w:rsid w:val="00FC3C41"/>
    <w:rsid w:val="00FC53AB"/>
    <w:rsid w:val="00FC6FC1"/>
    <w:rsid w:val="00FC733E"/>
    <w:rsid w:val="00FD0EA3"/>
    <w:rsid w:val="00FD1F16"/>
    <w:rsid w:val="00FD2CED"/>
    <w:rsid w:val="00FD426A"/>
    <w:rsid w:val="00FD4688"/>
    <w:rsid w:val="00FD663C"/>
    <w:rsid w:val="00FD6B5D"/>
    <w:rsid w:val="00FD75A0"/>
    <w:rsid w:val="00FE0343"/>
    <w:rsid w:val="00FE4F3B"/>
    <w:rsid w:val="00FE6A8E"/>
    <w:rsid w:val="00FE7652"/>
    <w:rsid w:val="00FE7857"/>
    <w:rsid w:val="00FF07DF"/>
    <w:rsid w:val="00FF084D"/>
    <w:rsid w:val="00FF3031"/>
    <w:rsid w:val="00FF4F53"/>
    <w:rsid w:val="00FF5602"/>
    <w:rsid w:val="01306367"/>
    <w:rsid w:val="020A4686"/>
    <w:rsid w:val="02237124"/>
    <w:rsid w:val="029D276D"/>
    <w:rsid w:val="02E579C6"/>
    <w:rsid w:val="03447122"/>
    <w:rsid w:val="03A11EF8"/>
    <w:rsid w:val="03DF3CD6"/>
    <w:rsid w:val="04140FFD"/>
    <w:rsid w:val="04AB20A6"/>
    <w:rsid w:val="04C766DD"/>
    <w:rsid w:val="04F722F6"/>
    <w:rsid w:val="050E7E7C"/>
    <w:rsid w:val="05A519EE"/>
    <w:rsid w:val="05AE208A"/>
    <w:rsid w:val="05B277A3"/>
    <w:rsid w:val="06273F8A"/>
    <w:rsid w:val="06313F5C"/>
    <w:rsid w:val="063971CF"/>
    <w:rsid w:val="063D2D62"/>
    <w:rsid w:val="064A393C"/>
    <w:rsid w:val="064E47FC"/>
    <w:rsid w:val="068D7149"/>
    <w:rsid w:val="06DA794D"/>
    <w:rsid w:val="073101ED"/>
    <w:rsid w:val="077D162B"/>
    <w:rsid w:val="07BB10D6"/>
    <w:rsid w:val="090542F2"/>
    <w:rsid w:val="09BD2733"/>
    <w:rsid w:val="09FB3B7B"/>
    <w:rsid w:val="0A115DC0"/>
    <w:rsid w:val="0A63049C"/>
    <w:rsid w:val="0A86447A"/>
    <w:rsid w:val="0BA648FA"/>
    <w:rsid w:val="0C0F426A"/>
    <w:rsid w:val="0D105892"/>
    <w:rsid w:val="0D430C2F"/>
    <w:rsid w:val="0D842602"/>
    <w:rsid w:val="0DF02A00"/>
    <w:rsid w:val="0E045E38"/>
    <w:rsid w:val="0E7A7DA7"/>
    <w:rsid w:val="0E9368F7"/>
    <w:rsid w:val="0EA86473"/>
    <w:rsid w:val="0ED85595"/>
    <w:rsid w:val="0F3B49E2"/>
    <w:rsid w:val="0FB23C64"/>
    <w:rsid w:val="0FE0118C"/>
    <w:rsid w:val="108C10D9"/>
    <w:rsid w:val="11DF2B76"/>
    <w:rsid w:val="12032DD9"/>
    <w:rsid w:val="13061B24"/>
    <w:rsid w:val="131617F3"/>
    <w:rsid w:val="13434E3C"/>
    <w:rsid w:val="135C3C57"/>
    <w:rsid w:val="13703B2C"/>
    <w:rsid w:val="147244EC"/>
    <w:rsid w:val="14B435FC"/>
    <w:rsid w:val="1521078E"/>
    <w:rsid w:val="15494756"/>
    <w:rsid w:val="15A8667B"/>
    <w:rsid w:val="16AB3F2B"/>
    <w:rsid w:val="16ED0E65"/>
    <w:rsid w:val="17705106"/>
    <w:rsid w:val="1816536B"/>
    <w:rsid w:val="190937C0"/>
    <w:rsid w:val="197D483D"/>
    <w:rsid w:val="1993062A"/>
    <w:rsid w:val="19BE0C6C"/>
    <w:rsid w:val="19C41601"/>
    <w:rsid w:val="1A891317"/>
    <w:rsid w:val="1AC64115"/>
    <w:rsid w:val="1B436316"/>
    <w:rsid w:val="1BA37AC4"/>
    <w:rsid w:val="1BF80445"/>
    <w:rsid w:val="1C0C3421"/>
    <w:rsid w:val="1C2603D9"/>
    <w:rsid w:val="1C316012"/>
    <w:rsid w:val="1D126E42"/>
    <w:rsid w:val="1DDA1072"/>
    <w:rsid w:val="1DE27018"/>
    <w:rsid w:val="1DFB3FB2"/>
    <w:rsid w:val="1E06427F"/>
    <w:rsid w:val="1E4D40F2"/>
    <w:rsid w:val="1E9D7D06"/>
    <w:rsid w:val="1EEA0F08"/>
    <w:rsid w:val="1F0E1C07"/>
    <w:rsid w:val="1F21072D"/>
    <w:rsid w:val="1FCE159C"/>
    <w:rsid w:val="202002D0"/>
    <w:rsid w:val="205C7A73"/>
    <w:rsid w:val="20784036"/>
    <w:rsid w:val="207F423B"/>
    <w:rsid w:val="2119248A"/>
    <w:rsid w:val="21AF1129"/>
    <w:rsid w:val="22281445"/>
    <w:rsid w:val="22592C44"/>
    <w:rsid w:val="226F274D"/>
    <w:rsid w:val="229B0C31"/>
    <w:rsid w:val="23112E5C"/>
    <w:rsid w:val="23732872"/>
    <w:rsid w:val="23831719"/>
    <w:rsid w:val="23DF6CE1"/>
    <w:rsid w:val="249538BA"/>
    <w:rsid w:val="25747195"/>
    <w:rsid w:val="263A01D4"/>
    <w:rsid w:val="26A8159B"/>
    <w:rsid w:val="26DE7AF4"/>
    <w:rsid w:val="26FF128F"/>
    <w:rsid w:val="27104E14"/>
    <w:rsid w:val="271D653A"/>
    <w:rsid w:val="27224812"/>
    <w:rsid w:val="278166C4"/>
    <w:rsid w:val="27D61BCC"/>
    <w:rsid w:val="27FB5893"/>
    <w:rsid w:val="2805090D"/>
    <w:rsid w:val="284268C1"/>
    <w:rsid w:val="284F446E"/>
    <w:rsid w:val="28665E9B"/>
    <w:rsid w:val="28CE7E4A"/>
    <w:rsid w:val="28FB3534"/>
    <w:rsid w:val="28FE607C"/>
    <w:rsid w:val="2905317B"/>
    <w:rsid w:val="29214533"/>
    <w:rsid w:val="29455AE8"/>
    <w:rsid w:val="29806B5F"/>
    <w:rsid w:val="29D87E5E"/>
    <w:rsid w:val="29ED592F"/>
    <w:rsid w:val="2A372E37"/>
    <w:rsid w:val="2A83218B"/>
    <w:rsid w:val="2AC0623F"/>
    <w:rsid w:val="2ADA73E7"/>
    <w:rsid w:val="2AE46B3B"/>
    <w:rsid w:val="2B0712EB"/>
    <w:rsid w:val="2B423B01"/>
    <w:rsid w:val="2B9D273E"/>
    <w:rsid w:val="2BAF236C"/>
    <w:rsid w:val="2BB07519"/>
    <w:rsid w:val="2C8D0F42"/>
    <w:rsid w:val="2D0C565F"/>
    <w:rsid w:val="2D1E3393"/>
    <w:rsid w:val="2D372F35"/>
    <w:rsid w:val="2D4051A2"/>
    <w:rsid w:val="2D5C3CBE"/>
    <w:rsid w:val="2DBB17FA"/>
    <w:rsid w:val="2E68700D"/>
    <w:rsid w:val="2F0A6B1C"/>
    <w:rsid w:val="2F870F85"/>
    <w:rsid w:val="2FB21075"/>
    <w:rsid w:val="2FF97FAA"/>
    <w:rsid w:val="30564722"/>
    <w:rsid w:val="30867383"/>
    <w:rsid w:val="30E12949"/>
    <w:rsid w:val="30F01483"/>
    <w:rsid w:val="317452E4"/>
    <w:rsid w:val="31D5735C"/>
    <w:rsid w:val="31EA1873"/>
    <w:rsid w:val="322214BD"/>
    <w:rsid w:val="33120651"/>
    <w:rsid w:val="339B29C2"/>
    <w:rsid w:val="341F2E8B"/>
    <w:rsid w:val="34211234"/>
    <w:rsid w:val="34516875"/>
    <w:rsid w:val="3488639D"/>
    <w:rsid w:val="34960EC5"/>
    <w:rsid w:val="34E56FD0"/>
    <w:rsid w:val="36B42068"/>
    <w:rsid w:val="36DB6198"/>
    <w:rsid w:val="36EB2B59"/>
    <w:rsid w:val="37B460FF"/>
    <w:rsid w:val="38206506"/>
    <w:rsid w:val="38226671"/>
    <w:rsid w:val="38250E44"/>
    <w:rsid w:val="3840291A"/>
    <w:rsid w:val="38AE27BC"/>
    <w:rsid w:val="38EF0C5E"/>
    <w:rsid w:val="390C0B34"/>
    <w:rsid w:val="39BD511B"/>
    <w:rsid w:val="3A457899"/>
    <w:rsid w:val="3AA53E2F"/>
    <w:rsid w:val="3AD971E4"/>
    <w:rsid w:val="3BDF1D94"/>
    <w:rsid w:val="3BE90D36"/>
    <w:rsid w:val="3BED209B"/>
    <w:rsid w:val="3C3F07A2"/>
    <w:rsid w:val="3C93088D"/>
    <w:rsid w:val="3CEB68BC"/>
    <w:rsid w:val="3D8A68A5"/>
    <w:rsid w:val="3DCC145E"/>
    <w:rsid w:val="3DE22558"/>
    <w:rsid w:val="3EA34680"/>
    <w:rsid w:val="3EAD7D6F"/>
    <w:rsid w:val="3EBB19FE"/>
    <w:rsid w:val="3ECEB0B8"/>
    <w:rsid w:val="3EE95804"/>
    <w:rsid w:val="3F3A51E7"/>
    <w:rsid w:val="3F3B745B"/>
    <w:rsid w:val="3F5A1C43"/>
    <w:rsid w:val="3F6264CD"/>
    <w:rsid w:val="3F776BF7"/>
    <w:rsid w:val="3F886D6A"/>
    <w:rsid w:val="3FF16A1B"/>
    <w:rsid w:val="406E7CF6"/>
    <w:rsid w:val="410E4085"/>
    <w:rsid w:val="41301568"/>
    <w:rsid w:val="415D2BB5"/>
    <w:rsid w:val="418E1B72"/>
    <w:rsid w:val="41A335F1"/>
    <w:rsid w:val="41FD55DA"/>
    <w:rsid w:val="42772602"/>
    <w:rsid w:val="42A95E47"/>
    <w:rsid w:val="43493A69"/>
    <w:rsid w:val="43534616"/>
    <w:rsid w:val="437F0461"/>
    <w:rsid w:val="438043EC"/>
    <w:rsid w:val="43AA5D07"/>
    <w:rsid w:val="43D82563"/>
    <w:rsid w:val="446A5A09"/>
    <w:rsid w:val="44792BF8"/>
    <w:rsid w:val="448E21C0"/>
    <w:rsid w:val="449E1A9B"/>
    <w:rsid w:val="44C304A5"/>
    <w:rsid w:val="458E24A6"/>
    <w:rsid w:val="45DF7E04"/>
    <w:rsid w:val="45FB193F"/>
    <w:rsid w:val="471274C2"/>
    <w:rsid w:val="47AA4569"/>
    <w:rsid w:val="480438C9"/>
    <w:rsid w:val="484B6E80"/>
    <w:rsid w:val="48C12093"/>
    <w:rsid w:val="48F04CB5"/>
    <w:rsid w:val="49212F86"/>
    <w:rsid w:val="4932384E"/>
    <w:rsid w:val="49904C5B"/>
    <w:rsid w:val="49BE3E20"/>
    <w:rsid w:val="49D83142"/>
    <w:rsid w:val="49E11CBA"/>
    <w:rsid w:val="49F315B5"/>
    <w:rsid w:val="4A4174DD"/>
    <w:rsid w:val="4A476247"/>
    <w:rsid w:val="4A620A3D"/>
    <w:rsid w:val="4AAB5F19"/>
    <w:rsid w:val="4B913914"/>
    <w:rsid w:val="4BAA7928"/>
    <w:rsid w:val="4BBE40F9"/>
    <w:rsid w:val="4C132A30"/>
    <w:rsid w:val="4C4A5927"/>
    <w:rsid w:val="4D0A4153"/>
    <w:rsid w:val="4D793352"/>
    <w:rsid w:val="4DA375AA"/>
    <w:rsid w:val="4E661E01"/>
    <w:rsid w:val="4E690288"/>
    <w:rsid w:val="4F56356A"/>
    <w:rsid w:val="4F86735F"/>
    <w:rsid w:val="4F8A168A"/>
    <w:rsid w:val="4FEE4105"/>
    <w:rsid w:val="4FFBDFF4"/>
    <w:rsid w:val="5124758E"/>
    <w:rsid w:val="514B3DF9"/>
    <w:rsid w:val="51B94B1B"/>
    <w:rsid w:val="52006413"/>
    <w:rsid w:val="52E3400F"/>
    <w:rsid w:val="52F871B5"/>
    <w:rsid w:val="53B97B4F"/>
    <w:rsid w:val="540041D6"/>
    <w:rsid w:val="55097645"/>
    <w:rsid w:val="559C1705"/>
    <w:rsid w:val="55C82F84"/>
    <w:rsid w:val="56136AF8"/>
    <w:rsid w:val="56397A26"/>
    <w:rsid w:val="56B60BBD"/>
    <w:rsid w:val="56E71677"/>
    <w:rsid w:val="57595D7F"/>
    <w:rsid w:val="57F32536"/>
    <w:rsid w:val="57F63E04"/>
    <w:rsid w:val="58CD74BE"/>
    <w:rsid w:val="592C3EED"/>
    <w:rsid w:val="595D3AF5"/>
    <w:rsid w:val="59CE1503"/>
    <w:rsid w:val="5A3A44BD"/>
    <w:rsid w:val="5A51034D"/>
    <w:rsid w:val="5AD800D9"/>
    <w:rsid w:val="5B4628AC"/>
    <w:rsid w:val="5B884824"/>
    <w:rsid w:val="5BFB2694"/>
    <w:rsid w:val="5C401F83"/>
    <w:rsid w:val="5CA36449"/>
    <w:rsid w:val="5CB811C4"/>
    <w:rsid w:val="5D602400"/>
    <w:rsid w:val="5DA13F66"/>
    <w:rsid w:val="5DD9A7B5"/>
    <w:rsid w:val="5DEE2225"/>
    <w:rsid w:val="5DFA8112"/>
    <w:rsid w:val="5E4841DE"/>
    <w:rsid w:val="5E9710AF"/>
    <w:rsid w:val="5F424F99"/>
    <w:rsid w:val="5F5F87D8"/>
    <w:rsid w:val="5F811E7D"/>
    <w:rsid w:val="5FA7FF7D"/>
    <w:rsid w:val="5FE94681"/>
    <w:rsid w:val="600B12DB"/>
    <w:rsid w:val="603049E7"/>
    <w:rsid w:val="60311B3C"/>
    <w:rsid w:val="60430FB9"/>
    <w:rsid w:val="60C06D43"/>
    <w:rsid w:val="60D142EA"/>
    <w:rsid w:val="60D66F64"/>
    <w:rsid w:val="61097901"/>
    <w:rsid w:val="61945CE8"/>
    <w:rsid w:val="61A807BB"/>
    <w:rsid w:val="61DB708B"/>
    <w:rsid w:val="61DC2FEB"/>
    <w:rsid w:val="626961B3"/>
    <w:rsid w:val="62B87355"/>
    <w:rsid w:val="632A4E20"/>
    <w:rsid w:val="6406235A"/>
    <w:rsid w:val="64591CAA"/>
    <w:rsid w:val="645D7753"/>
    <w:rsid w:val="64663FA6"/>
    <w:rsid w:val="65822BED"/>
    <w:rsid w:val="658D3908"/>
    <w:rsid w:val="65B07538"/>
    <w:rsid w:val="65C642C2"/>
    <w:rsid w:val="661314F3"/>
    <w:rsid w:val="66195C22"/>
    <w:rsid w:val="662A3E44"/>
    <w:rsid w:val="663766D9"/>
    <w:rsid w:val="664E37D9"/>
    <w:rsid w:val="666645F0"/>
    <w:rsid w:val="667B564F"/>
    <w:rsid w:val="66C73808"/>
    <w:rsid w:val="66FB4EC3"/>
    <w:rsid w:val="67C41D25"/>
    <w:rsid w:val="68687E98"/>
    <w:rsid w:val="68881A78"/>
    <w:rsid w:val="68CB0DD6"/>
    <w:rsid w:val="68FF56AB"/>
    <w:rsid w:val="69583CF5"/>
    <w:rsid w:val="69ED07EE"/>
    <w:rsid w:val="6A91144F"/>
    <w:rsid w:val="6B703EDA"/>
    <w:rsid w:val="6BA865A6"/>
    <w:rsid w:val="6BE57E8C"/>
    <w:rsid w:val="6C96661A"/>
    <w:rsid w:val="6CE566C7"/>
    <w:rsid w:val="6DE556CE"/>
    <w:rsid w:val="6E2E6CA5"/>
    <w:rsid w:val="6E522749"/>
    <w:rsid w:val="6F1331CE"/>
    <w:rsid w:val="6FB500E6"/>
    <w:rsid w:val="70D803EA"/>
    <w:rsid w:val="71067EFC"/>
    <w:rsid w:val="72613E2E"/>
    <w:rsid w:val="727262C1"/>
    <w:rsid w:val="72A64F6C"/>
    <w:rsid w:val="72F25778"/>
    <w:rsid w:val="72F4602F"/>
    <w:rsid w:val="72FB2FB8"/>
    <w:rsid w:val="730152FA"/>
    <w:rsid w:val="73380D60"/>
    <w:rsid w:val="73514C72"/>
    <w:rsid w:val="73ED259F"/>
    <w:rsid w:val="74184AC5"/>
    <w:rsid w:val="741A2521"/>
    <w:rsid w:val="741A605D"/>
    <w:rsid w:val="74A85DBB"/>
    <w:rsid w:val="74DE36F1"/>
    <w:rsid w:val="752F02A1"/>
    <w:rsid w:val="75616F1B"/>
    <w:rsid w:val="75CF6A79"/>
    <w:rsid w:val="75FA66DA"/>
    <w:rsid w:val="7628701A"/>
    <w:rsid w:val="76766F47"/>
    <w:rsid w:val="7685092A"/>
    <w:rsid w:val="768E6903"/>
    <w:rsid w:val="77870F02"/>
    <w:rsid w:val="77891CD7"/>
    <w:rsid w:val="77B78902"/>
    <w:rsid w:val="77C520CC"/>
    <w:rsid w:val="781E5903"/>
    <w:rsid w:val="784B6D46"/>
    <w:rsid w:val="78D27B47"/>
    <w:rsid w:val="797107A1"/>
    <w:rsid w:val="79831AC8"/>
    <w:rsid w:val="79E314BF"/>
    <w:rsid w:val="7A6B368C"/>
    <w:rsid w:val="7A6F2CB1"/>
    <w:rsid w:val="7A716189"/>
    <w:rsid w:val="7AA02E65"/>
    <w:rsid w:val="7AA06B2B"/>
    <w:rsid w:val="7AA265D3"/>
    <w:rsid w:val="7B2E4781"/>
    <w:rsid w:val="7B674ADF"/>
    <w:rsid w:val="7C077BC4"/>
    <w:rsid w:val="7C117FE0"/>
    <w:rsid w:val="7E2149F0"/>
    <w:rsid w:val="7E6904D1"/>
    <w:rsid w:val="7EAF59BE"/>
    <w:rsid w:val="7ED21CFE"/>
    <w:rsid w:val="7ED67CE2"/>
    <w:rsid w:val="7ED82026"/>
    <w:rsid w:val="7F0317E3"/>
    <w:rsid w:val="7F324788"/>
    <w:rsid w:val="7F3A3FBC"/>
    <w:rsid w:val="7F4C4562"/>
    <w:rsid w:val="7F6F5AC5"/>
    <w:rsid w:val="7FB7CA43"/>
    <w:rsid w:val="7FC65B97"/>
    <w:rsid w:val="9BB46760"/>
    <w:rsid w:val="9DBFF794"/>
    <w:rsid w:val="9F690AA2"/>
    <w:rsid w:val="C7DFC0A1"/>
    <w:rsid w:val="CFBFA216"/>
    <w:rsid w:val="CFF7D981"/>
    <w:rsid w:val="DFF02E17"/>
    <w:rsid w:val="EDFF2E81"/>
    <w:rsid w:val="F3D41D5A"/>
    <w:rsid w:val="F3FF0B5C"/>
    <w:rsid w:val="F4D9A9BB"/>
    <w:rsid w:val="FAF771ED"/>
    <w:rsid w:val="FE7E14D5"/>
    <w:rsid w:val="FE7FD539"/>
    <w:rsid w:val="FF715310"/>
    <w:rsid w:val="FFDDEF1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qFormat="1" w:unhideWhenUsed="0" w:uiPriority="0" w:semiHidden="0" w:name="Normal Indent"/>
    <w:lsdException w:qFormat="1"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iPriority="99" w:name="index heading"/>
    <w:lsdException w:qFormat="1" w:uiPriority="35" w:name="caption"/>
    <w:lsdException w:uiPriority="99" w:name="table of figures"/>
    <w:lsdException w:uiPriority="99" w:name="envelope address"/>
    <w:lsdException w:qFormat="1" w:unhideWhenUsed="0" w:uiPriority="0" w:semiHidden="0" w:name="envelope return"/>
    <w:lsdException w:qFormat="1" w:uiPriority="0" w:semiHidden="0"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uiPriority="99" w:name="Date"/>
    <w:lsdException w:qFormat="1" w:unhideWhenUsed="0" w:uiPriority="0" w:semiHidden="0" w:name="Body Text First Indent"/>
    <w:lsdException w:qFormat="1" w:unhideWhenUsed="0" w:uiPriority="0" w:semiHidden="0" w:name="Body Text First Indent 2"/>
    <w:lsdException w:uiPriority="99" w:name="Note Heading"/>
    <w:lsdException w:qFormat="1" w:unhideWhenUsed="0" w:uiPriority="0" w:semiHidden="0" w:name="Body Text 2"/>
    <w:lsdException w:uiPriority="99" w:name="Body Text 3"/>
    <w:lsdException w:qFormat="1" w:unhideWhenUsed="0" w:uiPriority="0" w:semiHidden="0" w:name="Body Text Indent 2"/>
    <w:lsdException w:qFormat="1" w:unhideWhenUsed="0" w:uiPriority="0" w:semiHidden="0"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qFormat="1" w:unhideWhenUsed="0" w:uiPriority="0" w:semiHidden="0"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nhideWhenUsed="0"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wordWrap w:val="0"/>
      <w:jc w:val="both"/>
    </w:pPr>
    <w:rPr>
      <w:rFonts w:ascii="仿宋_GB2312" w:hAnsi="Times New Roman" w:eastAsia="仿宋_GB2312" w:cs="Times New Roman"/>
      <w:kern w:val="2"/>
      <w:sz w:val="30"/>
      <w:szCs w:val="30"/>
      <w:lang w:val="en-US" w:eastAsia="zh-CN" w:bidi="ar-SA"/>
    </w:rPr>
  </w:style>
  <w:style w:type="paragraph" w:styleId="2">
    <w:name w:val="heading 1"/>
    <w:basedOn w:val="1"/>
    <w:next w:val="1"/>
    <w:link w:val="40"/>
    <w:autoRedefine/>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39"/>
    <w:autoRedefine/>
    <w:qFormat/>
    <w:uiPriority w:val="0"/>
    <w:pPr>
      <w:keepNext/>
      <w:keepLines/>
      <w:spacing w:before="260" w:after="260" w:line="416" w:lineRule="auto"/>
      <w:outlineLvl w:val="1"/>
    </w:pPr>
    <w:rPr>
      <w:rFonts w:ascii="Arial" w:hAnsi="Arial" w:eastAsia="黑体" w:cs="Arial"/>
      <w:b/>
      <w:bCs/>
      <w:sz w:val="32"/>
      <w:szCs w:val="32"/>
    </w:rPr>
  </w:style>
  <w:style w:type="character" w:default="1" w:styleId="33">
    <w:name w:val="Default Paragraph Font"/>
    <w:autoRedefine/>
    <w:semiHidden/>
    <w:unhideWhenUsed/>
    <w:qFormat/>
    <w:uiPriority w:val="1"/>
  </w:style>
  <w:style w:type="table" w:default="1" w:styleId="31">
    <w:name w:val="Normal Table"/>
    <w:autoRedefine/>
    <w:semiHidden/>
    <w:unhideWhenUsed/>
    <w:qFormat/>
    <w:uiPriority w:val="99"/>
    <w:tblPr>
      <w:tblCellMar>
        <w:top w:w="0" w:type="dxa"/>
        <w:left w:w="108" w:type="dxa"/>
        <w:bottom w:w="0" w:type="dxa"/>
        <w:right w:w="108" w:type="dxa"/>
      </w:tblCellMar>
    </w:tblPr>
  </w:style>
  <w:style w:type="paragraph" w:styleId="4">
    <w:name w:val="toc 7"/>
    <w:basedOn w:val="1"/>
    <w:next w:val="1"/>
    <w:autoRedefine/>
    <w:unhideWhenUsed/>
    <w:qFormat/>
    <w:uiPriority w:val="39"/>
    <w:pPr>
      <w:ind w:left="1800"/>
      <w:jc w:val="left"/>
    </w:pPr>
    <w:rPr>
      <w:rFonts w:ascii="等线" w:eastAsia="等线"/>
      <w:sz w:val="18"/>
      <w:szCs w:val="18"/>
    </w:rPr>
  </w:style>
  <w:style w:type="paragraph" w:styleId="5">
    <w:name w:val="Normal Indent"/>
    <w:basedOn w:val="1"/>
    <w:next w:val="1"/>
    <w:autoRedefine/>
    <w:qFormat/>
    <w:uiPriority w:val="0"/>
    <w:pPr>
      <w:ind w:firstLine="420"/>
    </w:pPr>
    <w:rPr>
      <w:rFonts w:ascii="Times New Roman" w:hAnsi="Times New Roman" w:eastAsia="宋体" w:cs="Times New Roman"/>
      <w:szCs w:val="20"/>
    </w:rPr>
  </w:style>
  <w:style w:type="paragraph" w:styleId="6">
    <w:name w:val="Document Map"/>
    <w:basedOn w:val="1"/>
    <w:link w:val="41"/>
    <w:autoRedefine/>
    <w:qFormat/>
    <w:uiPriority w:val="0"/>
    <w:pPr>
      <w:shd w:val="clear" w:color="auto" w:fill="000080"/>
    </w:pPr>
  </w:style>
  <w:style w:type="paragraph" w:styleId="7">
    <w:name w:val="annotation text"/>
    <w:basedOn w:val="1"/>
    <w:link w:val="42"/>
    <w:autoRedefine/>
    <w:qFormat/>
    <w:uiPriority w:val="0"/>
    <w:pPr>
      <w:adjustRightInd w:val="0"/>
      <w:snapToGrid w:val="0"/>
      <w:jc w:val="left"/>
    </w:pPr>
    <w:rPr>
      <w:kern w:val="0"/>
      <w:sz w:val="24"/>
      <w:szCs w:val="24"/>
    </w:rPr>
  </w:style>
  <w:style w:type="paragraph" w:styleId="8">
    <w:name w:val="Body Text"/>
    <w:basedOn w:val="1"/>
    <w:next w:val="9"/>
    <w:autoRedefine/>
    <w:qFormat/>
    <w:uiPriority w:val="0"/>
    <w:pPr>
      <w:spacing w:after="120"/>
    </w:pPr>
    <w:rPr>
      <w:rFonts w:ascii="Calibri" w:hAnsi="Calibri"/>
      <w:kern w:val="0"/>
      <w:sz w:val="24"/>
      <w:szCs w:val="20"/>
    </w:rPr>
  </w:style>
  <w:style w:type="paragraph" w:styleId="9">
    <w:name w:val="Body Text 2"/>
    <w:basedOn w:val="1"/>
    <w:autoRedefine/>
    <w:qFormat/>
    <w:uiPriority w:val="0"/>
    <w:pPr>
      <w:spacing w:after="120" w:line="480" w:lineRule="auto"/>
    </w:pPr>
  </w:style>
  <w:style w:type="paragraph" w:styleId="10">
    <w:name w:val="Body Text Indent"/>
    <w:basedOn w:val="1"/>
    <w:next w:val="11"/>
    <w:autoRedefine/>
    <w:qFormat/>
    <w:uiPriority w:val="0"/>
    <w:pPr>
      <w:ind w:firstLine="570"/>
    </w:pPr>
    <w:rPr>
      <w:rFonts w:ascii="宋体" w:hAnsi="宋体"/>
      <w:sz w:val="28"/>
    </w:rPr>
  </w:style>
  <w:style w:type="paragraph" w:styleId="11">
    <w:name w:val="envelope return"/>
    <w:basedOn w:val="1"/>
    <w:autoRedefine/>
    <w:qFormat/>
    <w:uiPriority w:val="0"/>
    <w:pPr>
      <w:snapToGrid w:val="0"/>
    </w:pPr>
    <w:rPr>
      <w:rFonts w:ascii="Arial" w:hAnsi="Arial"/>
    </w:rPr>
  </w:style>
  <w:style w:type="paragraph" w:styleId="12">
    <w:name w:val="toc 5"/>
    <w:basedOn w:val="1"/>
    <w:next w:val="1"/>
    <w:autoRedefine/>
    <w:unhideWhenUsed/>
    <w:qFormat/>
    <w:uiPriority w:val="39"/>
    <w:pPr>
      <w:ind w:left="1200"/>
      <w:jc w:val="left"/>
    </w:pPr>
    <w:rPr>
      <w:rFonts w:ascii="等线" w:eastAsia="等线"/>
      <w:sz w:val="18"/>
      <w:szCs w:val="18"/>
    </w:rPr>
  </w:style>
  <w:style w:type="paragraph" w:styleId="13">
    <w:name w:val="toc 3"/>
    <w:basedOn w:val="1"/>
    <w:next w:val="1"/>
    <w:autoRedefine/>
    <w:unhideWhenUsed/>
    <w:qFormat/>
    <w:uiPriority w:val="39"/>
    <w:pPr>
      <w:suppressAutoHyphens/>
      <w:adjustRightInd w:val="0"/>
      <w:snapToGrid w:val="0"/>
      <w:spacing w:line="360" w:lineRule="auto"/>
    </w:pPr>
    <w:rPr>
      <w:rFonts w:ascii="Times New Roman"/>
      <w:color w:val="000000"/>
      <w:szCs w:val="20"/>
    </w:rPr>
  </w:style>
  <w:style w:type="paragraph" w:styleId="14">
    <w:name w:val="toc 8"/>
    <w:basedOn w:val="1"/>
    <w:next w:val="1"/>
    <w:autoRedefine/>
    <w:unhideWhenUsed/>
    <w:qFormat/>
    <w:uiPriority w:val="39"/>
    <w:pPr>
      <w:ind w:left="2100"/>
      <w:jc w:val="left"/>
    </w:pPr>
    <w:rPr>
      <w:rFonts w:ascii="等线" w:eastAsia="等线"/>
      <w:sz w:val="18"/>
      <w:szCs w:val="18"/>
    </w:rPr>
  </w:style>
  <w:style w:type="paragraph" w:styleId="15">
    <w:name w:val="Body Text Indent 2"/>
    <w:basedOn w:val="1"/>
    <w:link w:val="43"/>
    <w:autoRedefine/>
    <w:qFormat/>
    <w:uiPriority w:val="0"/>
    <w:pPr>
      <w:spacing w:after="120" w:line="480" w:lineRule="auto"/>
      <w:ind w:left="420" w:leftChars="200"/>
    </w:pPr>
    <w:rPr>
      <w:rFonts w:eastAsia="宋体"/>
      <w:kern w:val="0"/>
      <w:sz w:val="24"/>
      <w:szCs w:val="24"/>
    </w:rPr>
  </w:style>
  <w:style w:type="paragraph" w:styleId="16">
    <w:name w:val="Balloon Text"/>
    <w:basedOn w:val="1"/>
    <w:link w:val="44"/>
    <w:autoRedefine/>
    <w:qFormat/>
    <w:uiPriority w:val="0"/>
    <w:rPr>
      <w:kern w:val="0"/>
      <w:sz w:val="18"/>
      <w:szCs w:val="18"/>
    </w:rPr>
  </w:style>
  <w:style w:type="paragraph" w:styleId="17">
    <w:name w:val="footer"/>
    <w:basedOn w:val="1"/>
    <w:link w:val="45"/>
    <w:autoRedefine/>
    <w:qFormat/>
    <w:uiPriority w:val="0"/>
    <w:pPr>
      <w:tabs>
        <w:tab w:val="center" w:pos="4153"/>
        <w:tab w:val="right" w:pos="8306"/>
      </w:tabs>
      <w:snapToGrid w:val="0"/>
      <w:jc w:val="left"/>
    </w:pPr>
    <w:rPr>
      <w:rFonts w:ascii="Calibri" w:hAnsi="Calibri" w:eastAsia="宋体" w:cs="Calibri"/>
      <w:kern w:val="0"/>
      <w:sz w:val="18"/>
      <w:szCs w:val="18"/>
    </w:rPr>
  </w:style>
  <w:style w:type="paragraph" w:styleId="18">
    <w:name w:val="header"/>
    <w:basedOn w:val="1"/>
    <w:link w:val="46"/>
    <w:autoRedefine/>
    <w:qFormat/>
    <w:uiPriority w:val="0"/>
    <w:pPr>
      <w:pBdr>
        <w:bottom w:val="single" w:color="auto" w:sz="6" w:space="1"/>
      </w:pBdr>
      <w:tabs>
        <w:tab w:val="center" w:pos="4153"/>
        <w:tab w:val="right" w:pos="8306"/>
      </w:tabs>
      <w:snapToGrid w:val="0"/>
      <w:jc w:val="center"/>
    </w:pPr>
    <w:rPr>
      <w:rFonts w:ascii="Calibri" w:hAnsi="Calibri" w:eastAsia="宋体" w:cs="Calibri"/>
      <w:kern w:val="0"/>
      <w:sz w:val="18"/>
      <w:szCs w:val="18"/>
    </w:rPr>
  </w:style>
  <w:style w:type="paragraph" w:styleId="19">
    <w:name w:val="toc 1"/>
    <w:basedOn w:val="1"/>
    <w:next w:val="1"/>
    <w:autoRedefine/>
    <w:qFormat/>
    <w:uiPriority w:val="39"/>
    <w:pPr>
      <w:suppressAutoHyphens/>
      <w:adjustRightInd w:val="0"/>
      <w:snapToGrid w:val="0"/>
      <w:spacing w:line="360" w:lineRule="auto"/>
    </w:pPr>
    <w:rPr>
      <w:rFonts w:ascii="Times New Roman"/>
      <w:color w:val="000000"/>
      <w:sz w:val="32"/>
      <w:szCs w:val="20"/>
    </w:rPr>
  </w:style>
  <w:style w:type="paragraph" w:styleId="20">
    <w:name w:val="toc 4"/>
    <w:basedOn w:val="1"/>
    <w:next w:val="1"/>
    <w:autoRedefine/>
    <w:unhideWhenUsed/>
    <w:qFormat/>
    <w:uiPriority w:val="39"/>
    <w:pPr>
      <w:ind w:left="900"/>
      <w:jc w:val="left"/>
    </w:pPr>
    <w:rPr>
      <w:rFonts w:ascii="等线" w:eastAsia="等线"/>
      <w:sz w:val="18"/>
      <w:szCs w:val="18"/>
    </w:rPr>
  </w:style>
  <w:style w:type="paragraph" w:styleId="21">
    <w:name w:val="Subtitle"/>
    <w:basedOn w:val="1"/>
    <w:next w:val="1"/>
    <w:link w:val="47"/>
    <w:autoRedefine/>
    <w:qFormat/>
    <w:uiPriority w:val="0"/>
    <w:pPr>
      <w:ind w:firstLine="200" w:firstLineChars="200"/>
      <w:jc w:val="left"/>
      <w:outlineLvl w:val="2"/>
    </w:pPr>
    <w:rPr>
      <w:rFonts w:ascii="Cambria" w:hAnsi="Cambria" w:eastAsia="黑体"/>
      <w:bCs/>
      <w:kern w:val="28"/>
      <w:sz w:val="28"/>
      <w:szCs w:val="32"/>
    </w:rPr>
  </w:style>
  <w:style w:type="paragraph" w:styleId="22">
    <w:name w:val="footnote text"/>
    <w:basedOn w:val="1"/>
    <w:link w:val="48"/>
    <w:autoRedefine/>
    <w:unhideWhenUsed/>
    <w:qFormat/>
    <w:uiPriority w:val="0"/>
    <w:pPr>
      <w:snapToGrid w:val="0"/>
      <w:jc w:val="left"/>
    </w:pPr>
    <w:rPr>
      <w:sz w:val="18"/>
    </w:rPr>
  </w:style>
  <w:style w:type="paragraph" w:styleId="23">
    <w:name w:val="toc 6"/>
    <w:basedOn w:val="1"/>
    <w:next w:val="1"/>
    <w:autoRedefine/>
    <w:unhideWhenUsed/>
    <w:qFormat/>
    <w:uiPriority w:val="39"/>
    <w:pPr>
      <w:ind w:left="1500"/>
      <w:jc w:val="left"/>
    </w:pPr>
    <w:rPr>
      <w:rFonts w:ascii="等线" w:eastAsia="等线"/>
      <w:sz w:val="18"/>
      <w:szCs w:val="18"/>
    </w:rPr>
  </w:style>
  <w:style w:type="paragraph" w:styleId="24">
    <w:name w:val="Body Text Indent 3"/>
    <w:basedOn w:val="1"/>
    <w:autoRedefine/>
    <w:qFormat/>
    <w:uiPriority w:val="0"/>
    <w:pPr>
      <w:adjustRightInd w:val="0"/>
      <w:snapToGrid w:val="0"/>
      <w:spacing w:line="360" w:lineRule="auto"/>
      <w:ind w:firstLine="480" w:firstLineChars="200"/>
    </w:pPr>
    <w:rPr>
      <w:rFonts w:ascii="楷体_GB2312" w:eastAsia="楷体_GB2312"/>
      <w:color w:val="FF0000"/>
      <w:sz w:val="24"/>
      <w:szCs w:val="24"/>
    </w:rPr>
  </w:style>
  <w:style w:type="paragraph" w:styleId="25">
    <w:name w:val="toc 2"/>
    <w:basedOn w:val="1"/>
    <w:next w:val="1"/>
    <w:autoRedefine/>
    <w:qFormat/>
    <w:uiPriority w:val="39"/>
    <w:pPr>
      <w:suppressAutoHyphens/>
      <w:adjustRightInd w:val="0"/>
      <w:snapToGrid w:val="0"/>
      <w:spacing w:line="360" w:lineRule="auto"/>
      <w:ind w:firstLine="200" w:firstLineChars="200"/>
    </w:pPr>
    <w:rPr>
      <w:rFonts w:ascii="Times New Roman"/>
      <w:color w:val="000000"/>
      <w:sz w:val="32"/>
      <w:szCs w:val="20"/>
    </w:rPr>
  </w:style>
  <w:style w:type="paragraph" w:styleId="26">
    <w:name w:val="toc 9"/>
    <w:basedOn w:val="1"/>
    <w:next w:val="1"/>
    <w:autoRedefine/>
    <w:unhideWhenUsed/>
    <w:qFormat/>
    <w:uiPriority w:val="39"/>
    <w:pPr>
      <w:ind w:left="2400"/>
      <w:jc w:val="left"/>
    </w:pPr>
    <w:rPr>
      <w:rFonts w:ascii="等线" w:eastAsia="等线"/>
      <w:sz w:val="18"/>
      <w:szCs w:val="18"/>
    </w:rPr>
  </w:style>
  <w:style w:type="paragraph" w:styleId="27">
    <w:name w:val="Normal (Web)"/>
    <w:basedOn w:val="1"/>
    <w:autoRedefine/>
    <w:unhideWhenUsed/>
    <w:qFormat/>
    <w:uiPriority w:val="99"/>
    <w:pPr>
      <w:spacing w:before="100" w:beforeAutospacing="1" w:after="100" w:afterAutospacing="1"/>
      <w:jc w:val="left"/>
    </w:pPr>
    <w:rPr>
      <w:kern w:val="0"/>
      <w:sz w:val="24"/>
    </w:rPr>
  </w:style>
  <w:style w:type="paragraph" w:styleId="28">
    <w:name w:val="annotation subject"/>
    <w:basedOn w:val="7"/>
    <w:next w:val="7"/>
    <w:link w:val="49"/>
    <w:autoRedefine/>
    <w:qFormat/>
    <w:uiPriority w:val="0"/>
    <w:rPr>
      <w:b/>
      <w:bCs/>
    </w:rPr>
  </w:style>
  <w:style w:type="paragraph" w:styleId="29">
    <w:name w:val="Body Text First Indent"/>
    <w:basedOn w:val="8"/>
    <w:next w:val="30"/>
    <w:autoRedefine/>
    <w:qFormat/>
    <w:uiPriority w:val="0"/>
    <w:pPr>
      <w:spacing w:line="500" w:lineRule="exact"/>
      <w:ind w:firstLine="320" w:firstLineChars="100"/>
    </w:pPr>
    <w:rPr>
      <w:rFonts w:ascii="Times New Roman" w:hAnsi="Times New Roman" w:eastAsia="楷体"/>
    </w:rPr>
  </w:style>
  <w:style w:type="paragraph" w:styleId="30">
    <w:name w:val="Body Text First Indent 2"/>
    <w:basedOn w:val="10"/>
    <w:autoRedefine/>
    <w:qFormat/>
    <w:uiPriority w:val="0"/>
    <w:pPr>
      <w:autoSpaceDE w:val="0"/>
      <w:autoSpaceDN w:val="0"/>
      <w:adjustRightInd w:val="0"/>
      <w:spacing w:after="120"/>
      <w:ind w:left="420" w:leftChars="200" w:firstLine="420" w:firstLineChars="200"/>
    </w:pPr>
    <w:rPr>
      <w:rFonts w:ascii="Times New Roman" w:hAnsi="Times New Roman"/>
      <w:sz w:val="20"/>
      <w:szCs w:val="20"/>
    </w:rPr>
  </w:style>
  <w:style w:type="table" w:styleId="32">
    <w:name w:val="Table Grid"/>
    <w:basedOn w:val="31"/>
    <w:autoRedefine/>
    <w:qFormat/>
    <w:uiPriority w:val="0"/>
    <w:pPr>
      <w:widowControl w:val="0"/>
      <w:jc w:val="both"/>
    </w:p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34">
    <w:name w:val="page number"/>
    <w:autoRedefine/>
    <w:qFormat/>
    <w:uiPriority w:val="0"/>
  </w:style>
  <w:style w:type="character" w:styleId="35">
    <w:name w:val="Emphasis"/>
    <w:autoRedefine/>
    <w:qFormat/>
    <w:uiPriority w:val="20"/>
    <w:rPr>
      <w:i/>
      <w:iCs/>
    </w:rPr>
  </w:style>
  <w:style w:type="character" w:styleId="36">
    <w:name w:val="Hyperlink"/>
    <w:autoRedefine/>
    <w:qFormat/>
    <w:uiPriority w:val="99"/>
    <w:rPr>
      <w:color w:val="0000FF"/>
      <w:u w:val="single"/>
    </w:rPr>
  </w:style>
  <w:style w:type="character" w:styleId="37">
    <w:name w:val="annotation reference"/>
    <w:autoRedefine/>
    <w:qFormat/>
    <w:uiPriority w:val="0"/>
    <w:rPr>
      <w:sz w:val="21"/>
      <w:szCs w:val="21"/>
    </w:rPr>
  </w:style>
  <w:style w:type="character" w:styleId="38">
    <w:name w:val="footnote reference"/>
    <w:autoRedefine/>
    <w:unhideWhenUsed/>
    <w:qFormat/>
    <w:uiPriority w:val="0"/>
    <w:rPr>
      <w:vertAlign w:val="superscript"/>
    </w:rPr>
  </w:style>
  <w:style w:type="character" w:customStyle="1" w:styleId="39">
    <w:name w:val="标题 2 字符"/>
    <w:link w:val="3"/>
    <w:autoRedefine/>
    <w:qFormat/>
    <w:uiPriority w:val="0"/>
    <w:rPr>
      <w:rFonts w:ascii="Arial" w:hAnsi="Arial" w:eastAsia="黑体" w:cs="Arial"/>
      <w:b/>
      <w:bCs/>
      <w:kern w:val="2"/>
      <w:sz w:val="32"/>
      <w:szCs w:val="32"/>
      <w:lang w:val="en-US" w:eastAsia="zh-CN" w:bidi="ar-SA"/>
    </w:rPr>
  </w:style>
  <w:style w:type="character" w:customStyle="1" w:styleId="40">
    <w:name w:val="标题 1 字符"/>
    <w:link w:val="2"/>
    <w:autoRedefine/>
    <w:qFormat/>
    <w:uiPriority w:val="0"/>
    <w:rPr>
      <w:rFonts w:eastAsia="仿宋_GB2312"/>
      <w:b/>
      <w:bCs/>
      <w:kern w:val="44"/>
      <w:sz w:val="44"/>
      <w:szCs w:val="44"/>
      <w:lang w:val="en-US" w:eastAsia="zh-CN" w:bidi="ar-SA"/>
    </w:rPr>
  </w:style>
  <w:style w:type="character" w:customStyle="1" w:styleId="41">
    <w:name w:val="文档结构图 字符"/>
    <w:link w:val="6"/>
    <w:autoRedefine/>
    <w:qFormat/>
    <w:uiPriority w:val="0"/>
    <w:rPr>
      <w:rFonts w:eastAsia="仿宋_GB2312"/>
      <w:kern w:val="2"/>
      <w:sz w:val="30"/>
      <w:szCs w:val="30"/>
      <w:lang w:val="en-US" w:eastAsia="zh-CN" w:bidi="ar-SA"/>
    </w:rPr>
  </w:style>
  <w:style w:type="character" w:customStyle="1" w:styleId="42">
    <w:name w:val="批注文字 字符"/>
    <w:link w:val="7"/>
    <w:autoRedefine/>
    <w:qFormat/>
    <w:uiPriority w:val="0"/>
    <w:rPr>
      <w:rFonts w:eastAsia="仿宋_GB2312"/>
      <w:sz w:val="24"/>
      <w:szCs w:val="24"/>
    </w:rPr>
  </w:style>
  <w:style w:type="character" w:customStyle="1" w:styleId="43">
    <w:name w:val="正文文本缩进 2 字符"/>
    <w:link w:val="15"/>
    <w:autoRedefine/>
    <w:qFormat/>
    <w:uiPriority w:val="0"/>
    <w:rPr>
      <w:rFonts w:eastAsia="宋体"/>
      <w:sz w:val="24"/>
      <w:szCs w:val="24"/>
      <w:lang w:val="en-US" w:eastAsia="zh-CN" w:bidi="ar-SA"/>
    </w:rPr>
  </w:style>
  <w:style w:type="character" w:customStyle="1" w:styleId="44">
    <w:name w:val="批注框文本 字符"/>
    <w:link w:val="16"/>
    <w:autoRedefine/>
    <w:qFormat/>
    <w:uiPriority w:val="0"/>
    <w:rPr>
      <w:rFonts w:eastAsia="仿宋_GB2312"/>
      <w:sz w:val="18"/>
      <w:szCs w:val="18"/>
      <w:lang w:val="en-US" w:eastAsia="zh-CN" w:bidi="ar-SA"/>
    </w:rPr>
  </w:style>
  <w:style w:type="character" w:customStyle="1" w:styleId="45">
    <w:name w:val="页脚 字符"/>
    <w:link w:val="17"/>
    <w:autoRedefine/>
    <w:qFormat/>
    <w:uiPriority w:val="0"/>
    <w:rPr>
      <w:rFonts w:ascii="Calibri" w:hAnsi="Calibri" w:eastAsia="宋体" w:cs="Calibri"/>
      <w:sz w:val="18"/>
      <w:szCs w:val="18"/>
      <w:lang w:val="en-US" w:eastAsia="zh-CN" w:bidi="ar-SA"/>
    </w:rPr>
  </w:style>
  <w:style w:type="character" w:customStyle="1" w:styleId="46">
    <w:name w:val="页眉 字符"/>
    <w:link w:val="18"/>
    <w:autoRedefine/>
    <w:qFormat/>
    <w:uiPriority w:val="0"/>
    <w:rPr>
      <w:rFonts w:ascii="Calibri" w:hAnsi="Calibri" w:eastAsia="宋体" w:cs="Calibri"/>
      <w:sz w:val="18"/>
      <w:szCs w:val="18"/>
      <w:lang w:val="en-US" w:eastAsia="zh-CN" w:bidi="ar-SA"/>
    </w:rPr>
  </w:style>
  <w:style w:type="character" w:customStyle="1" w:styleId="47">
    <w:name w:val="副标题 字符"/>
    <w:link w:val="21"/>
    <w:autoRedefine/>
    <w:qFormat/>
    <w:uiPriority w:val="0"/>
    <w:rPr>
      <w:rFonts w:ascii="Cambria" w:hAnsi="Cambria" w:eastAsia="黑体"/>
      <w:bCs/>
      <w:kern w:val="28"/>
      <w:sz w:val="28"/>
      <w:szCs w:val="32"/>
    </w:rPr>
  </w:style>
  <w:style w:type="character" w:customStyle="1" w:styleId="48">
    <w:name w:val="脚注文本 字符"/>
    <w:link w:val="22"/>
    <w:autoRedefine/>
    <w:qFormat/>
    <w:uiPriority w:val="0"/>
    <w:rPr>
      <w:rFonts w:ascii="仿宋_GB2312" w:eastAsia="仿宋_GB2312"/>
      <w:kern w:val="2"/>
      <w:sz w:val="18"/>
      <w:szCs w:val="30"/>
    </w:rPr>
  </w:style>
  <w:style w:type="character" w:customStyle="1" w:styleId="49">
    <w:name w:val="批注主题 字符"/>
    <w:link w:val="28"/>
    <w:autoRedefine/>
    <w:qFormat/>
    <w:uiPriority w:val="0"/>
    <w:rPr>
      <w:rFonts w:eastAsia="仿宋_GB2312"/>
      <w:b/>
      <w:bCs/>
      <w:sz w:val="24"/>
      <w:szCs w:val="24"/>
      <w:lang w:val="en-US" w:eastAsia="zh-CN" w:bidi="ar-SA"/>
    </w:rPr>
  </w:style>
  <w:style w:type="character" w:customStyle="1" w:styleId="50">
    <w:name w:val="15"/>
    <w:autoRedefine/>
    <w:qFormat/>
    <w:uiPriority w:val="0"/>
    <w:rPr>
      <w:rFonts w:hint="default" w:ascii="Calibri" w:hAnsi="Calibri" w:cs="Calibri"/>
    </w:rPr>
  </w:style>
  <w:style w:type="character" w:customStyle="1" w:styleId="51">
    <w:name w:val="font11"/>
    <w:autoRedefine/>
    <w:qFormat/>
    <w:uiPriority w:val="0"/>
    <w:rPr>
      <w:rFonts w:hint="default" w:ascii="Times New Roman" w:hAnsi="Times New Roman" w:cs="Times New Roman"/>
      <w:color w:val="000000"/>
      <w:sz w:val="20"/>
      <w:szCs w:val="20"/>
      <w:u w:val="none"/>
    </w:rPr>
  </w:style>
  <w:style w:type="character" w:customStyle="1" w:styleId="52">
    <w:name w:val="10"/>
    <w:autoRedefine/>
    <w:qFormat/>
    <w:uiPriority w:val="0"/>
    <w:rPr>
      <w:rFonts w:hint="default" w:ascii="Calibri" w:hAnsi="Calibri" w:cs="Calibri"/>
    </w:rPr>
  </w:style>
  <w:style w:type="character" w:customStyle="1" w:styleId="53">
    <w:name w:val="font21"/>
    <w:autoRedefine/>
    <w:qFormat/>
    <w:uiPriority w:val="0"/>
    <w:rPr>
      <w:rFonts w:hint="eastAsia" w:ascii="宋体" w:hAnsi="宋体" w:eastAsia="宋体" w:cs="宋体"/>
      <w:color w:val="000000"/>
      <w:sz w:val="20"/>
      <w:szCs w:val="20"/>
      <w:u w:val="none"/>
    </w:rPr>
  </w:style>
  <w:style w:type="paragraph" w:customStyle="1" w:styleId="54">
    <w:name w:val="修订1"/>
    <w:autoRedefine/>
    <w:semiHidden/>
    <w:qFormat/>
    <w:uiPriority w:val="99"/>
    <w:rPr>
      <w:rFonts w:ascii="Times New Roman" w:hAnsi="Times New Roman" w:eastAsia="仿宋_GB2312" w:cs="Times New Roman"/>
      <w:kern w:val="2"/>
      <w:sz w:val="30"/>
      <w:szCs w:val="30"/>
      <w:lang w:val="en-US" w:eastAsia="zh-CN" w:bidi="ar-SA"/>
    </w:rPr>
  </w:style>
  <w:style w:type="paragraph" w:customStyle="1" w:styleId="55">
    <w:name w:val="my正文"/>
    <w:basedOn w:val="1"/>
    <w:autoRedefine/>
    <w:qFormat/>
    <w:uiPriority w:val="0"/>
    <w:pPr>
      <w:spacing w:line="360" w:lineRule="auto"/>
      <w:ind w:firstLine="480" w:firstLineChars="200"/>
    </w:pPr>
    <w:rPr>
      <w:sz w:val="24"/>
    </w:rPr>
  </w:style>
  <w:style w:type="paragraph" w:customStyle="1" w:styleId="56">
    <w:name w:val="Char Char1 Char Char Char Char Char Char"/>
    <w:basedOn w:val="1"/>
    <w:autoRedefine/>
    <w:qFormat/>
    <w:uiPriority w:val="0"/>
    <w:pPr>
      <w:widowControl/>
      <w:spacing w:after="160" w:line="240" w:lineRule="exact"/>
      <w:jc w:val="left"/>
    </w:pPr>
    <w:rPr>
      <w:rFonts w:eastAsia="宋体"/>
      <w:sz w:val="21"/>
      <w:szCs w:val="24"/>
    </w:rPr>
  </w:style>
  <w:style w:type="paragraph" w:customStyle="1" w:styleId="57">
    <w:name w:val="Char"/>
    <w:basedOn w:val="1"/>
    <w:autoRedefine/>
    <w:qFormat/>
    <w:uiPriority w:val="0"/>
    <w:rPr>
      <w:rFonts w:eastAsia="宋体"/>
      <w:sz w:val="21"/>
      <w:szCs w:val="24"/>
    </w:rPr>
  </w:style>
  <w:style w:type="paragraph" w:customStyle="1" w:styleId="58">
    <w:name w:val="样式 样式 正文格式 + 首行缩进: 2 字符 + 自动设置1"/>
    <w:basedOn w:val="1"/>
    <w:autoRedefine/>
    <w:qFormat/>
    <w:uiPriority w:val="0"/>
    <w:pPr>
      <w:widowControl/>
      <w:spacing w:line="500" w:lineRule="atLeast"/>
      <w:ind w:firstLine="200" w:firstLineChars="200"/>
    </w:pPr>
    <w:rPr>
      <w:rFonts w:ascii="Times New Roman"/>
      <w:kern w:val="0"/>
      <w:sz w:val="28"/>
      <w:szCs w:val="28"/>
    </w:rPr>
  </w:style>
  <w:style w:type="paragraph" w:customStyle="1" w:styleId="59">
    <w:name w:val="p0"/>
    <w:basedOn w:val="1"/>
    <w:autoRedefine/>
    <w:qFormat/>
    <w:uiPriority w:val="0"/>
    <w:pPr>
      <w:widowControl/>
    </w:pPr>
    <w:rPr>
      <w:rFonts w:eastAsia="宋体"/>
      <w:kern w:val="0"/>
    </w:rPr>
  </w:style>
  <w:style w:type="paragraph" w:customStyle="1" w:styleId="60">
    <w:name w:val="标题 5（有编号）（绿盟科技）"/>
    <w:basedOn w:val="1"/>
    <w:next w:val="1"/>
    <w:autoRedefine/>
    <w:qFormat/>
    <w:uiPriority w:val="0"/>
    <w:pPr>
      <w:keepNext/>
      <w:keepLines/>
      <w:wordWrap/>
      <w:spacing w:before="280" w:after="156" w:line="377" w:lineRule="auto"/>
      <w:ind w:firstLine="200" w:firstLineChars="200"/>
      <w:outlineLvl w:val="4"/>
    </w:pPr>
    <w:rPr>
      <w:rFonts w:ascii="Arial" w:hAnsi="Arial" w:eastAsia="黑体"/>
      <w:b/>
      <w:sz w:val="24"/>
      <w:szCs w:val="28"/>
    </w:rPr>
  </w:style>
  <w:style w:type="paragraph" w:customStyle="1" w:styleId="61">
    <w:name w:val="Default"/>
    <w:autoRedefine/>
    <w:qFormat/>
    <w:uiPriority w:val="0"/>
    <w:pPr>
      <w:widowControl w:val="0"/>
      <w:autoSpaceDE w:val="0"/>
      <w:autoSpaceDN w:val="0"/>
      <w:adjustRightInd w:val="0"/>
    </w:pPr>
    <w:rPr>
      <w:rFonts w:ascii="仿宋_GB2312" w:hAnsi="Times New Roman" w:eastAsia="仿宋_GB2312" w:cs="仿宋_GB2312"/>
      <w:color w:val="000000"/>
      <w:sz w:val="24"/>
      <w:szCs w:val="24"/>
      <w:lang w:val="en-US" w:eastAsia="zh-CN" w:bidi="ar-SA"/>
    </w:rPr>
  </w:style>
  <w:style w:type="character" w:customStyle="1" w:styleId="62">
    <w:name w:val="批注文字 Char"/>
    <w:autoRedefine/>
    <w:qFormat/>
    <w:uiPriority w:val="0"/>
    <w:rPr>
      <w:rFonts w:eastAsia="仿宋_GB2312"/>
      <w:kern w:val="2"/>
      <w:sz w:val="30"/>
      <w:szCs w:val="24"/>
    </w:rPr>
  </w:style>
  <w:style w:type="paragraph" w:customStyle="1" w:styleId="63">
    <w:name w:val="Revision"/>
    <w:autoRedefine/>
    <w:hidden/>
    <w:semiHidden/>
    <w:qFormat/>
    <w:uiPriority w:val="99"/>
    <w:rPr>
      <w:rFonts w:ascii="仿宋_GB2312" w:hAnsi="Times New Roman" w:eastAsia="仿宋_GB2312" w:cs="Times New Roman"/>
      <w:kern w:val="2"/>
      <w:sz w:val="30"/>
      <w:szCs w:val="30"/>
      <w:lang w:val="en-US" w:eastAsia="zh-CN" w:bidi="ar-SA"/>
    </w:rPr>
  </w:style>
  <w:style w:type="paragraph" w:customStyle="1" w:styleId="64">
    <w:name w:val="WPSOffice手动目录 1"/>
    <w:autoRedefine/>
    <w:uiPriority w:val="0"/>
    <w:pPr>
      <w:ind w:leftChars="0"/>
    </w:pPr>
    <w:rPr>
      <w:rFonts w:ascii="Times New Roman" w:hAnsi="Times New Roman" w:eastAsia="宋体" w:cs="Times New Roman"/>
      <w:sz w:val="20"/>
      <w:szCs w:val="20"/>
    </w:rPr>
  </w:style>
  <w:style w:type="paragraph" w:customStyle="1" w:styleId="65">
    <w:name w:val="WPSOffice手动目录 2"/>
    <w:autoRedefine/>
    <w:qFormat/>
    <w:uiPriority w:val="0"/>
    <w:pPr>
      <w:ind w:leftChars="200"/>
    </w:pPr>
    <w:rPr>
      <w:rFonts w:ascii="Times New Roman" w:hAnsi="Times New Roman" w:eastAsia="宋体" w:cs="Times New Roman"/>
      <w:sz w:val="20"/>
      <w:szCs w:val="20"/>
    </w:rPr>
  </w:style>
</w:style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footer" Target="footer4.xml"/><Relationship Id="rId6" Type="http://schemas.openxmlformats.org/officeDocument/2006/relationships/footer" Target="footer3.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customXml" Target="../customXml/item1.xml"/><Relationship Id="rId18" Type="http://schemas.openxmlformats.org/officeDocument/2006/relationships/image" Target="media/image10.png"/><Relationship Id="rId17" Type="http://schemas.openxmlformats.org/officeDocument/2006/relationships/image" Target="media/image9.png"/><Relationship Id="rId16" Type="http://schemas.openxmlformats.org/officeDocument/2006/relationships/image" Target="media/image8.png"/><Relationship Id="rId15" Type="http://schemas.openxmlformats.org/officeDocument/2006/relationships/image" Target="media/image7.png"/><Relationship Id="rId14" Type="http://schemas.openxmlformats.org/officeDocument/2006/relationships/image" Target="media/image6.png"/><Relationship Id="rId13" Type="http://schemas.openxmlformats.org/officeDocument/2006/relationships/image" Target="media/image5.png"/><Relationship Id="rId12" Type="http://schemas.openxmlformats.org/officeDocument/2006/relationships/image" Target="media/image4.png"/><Relationship Id="rId11" Type="http://schemas.openxmlformats.org/officeDocument/2006/relationships/image" Target="media/image3.png"/><Relationship Id="rId10" Type="http://schemas.openxmlformats.org/officeDocument/2006/relationships/image" Target="media/image2.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A0A9CC6-FED5-4CD2-9A2E-C29BE76D4524}">
  <ds:schemaRefs/>
</ds:datastoreItem>
</file>

<file path=docProps/app.xml><?xml version="1.0" encoding="utf-8"?>
<Properties xmlns="http://schemas.openxmlformats.org/officeDocument/2006/extended-properties" xmlns:vt="http://schemas.openxmlformats.org/officeDocument/2006/docPropsVTypes">
  <Template>Normal</Template>
  <Company>Sky123.Org</Company>
  <Pages>29</Pages>
  <Words>6637</Words>
  <Characters>6919</Characters>
  <Lines>72</Lines>
  <Paragraphs>20</Paragraphs>
  <TotalTime>4</TotalTime>
  <ScaleCrop>false</ScaleCrop>
  <LinksUpToDate>false</LinksUpToDate>
  <CharactersWithSpaces>7128</CharactersWithSpaces>
  <Application>WPS Office_12.1.0.16729_F1E327BC-269C-435d-A152-05C5408002CA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2022-05-31T05:43:00Z</dcterms:created>
  <dc:creator>microsoft</dc:creator>
  <cp:lastModifiedBy>夏天</cp:lastModifiedBy>
  <cp:lastPrinted>2021-05-17T05:06:00Z</cp:lastPrinted>
  <dcterms:modified xsi:type="dcterms:W3CDTF">2024-05-22T05:31:40Z</dcterms:modified>
  <dc:title>北京市财政支出项目绩效评价报告</dc:title>
  <cp:revision>49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2052-12.1.0.16729</vt:lpwstr>
  </property>
  <property fmtid="{D5CDD505-2E9C-101B-9397-08002B2CF9AE}" pid="3" name="ICV">
    <vt:lpwstr>6D7A558EC7C84651A979B04A78278752_13</vt:lpwstr>
  </property>
</Properties>
</file>