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cs="汉仪典雅体简"/>
          <w:color w:val="auto"/>
        </w:rPr>
      </w:pPr>
    </w:p>
    <w:p>
      <w:pPr>
        <w:jc w:val="center"/>
        <w:rPr>
          <w:color w:val="auto"/>
        </w:rPr>
      </w:pPr>
    </w:p>
    <w:p>
      <w:pPr>
        <w:jc w:val="center"/>
        <w:rPr>
          <w:color w:val="auto"/>
        </w:rPr>
      </w:pPr>
    </w:p>
    <w:p>
      <w:pPr>
        <w:jc w:val="center"/>
        <w:rPr>
          <w:color w:val="auto"/>
        </w:rPr>
      </w:pPr>
    </w:p>
    <w:p>
      <w:pPr>
        <w:adjustRightInd w:val="0"/>
        <w:snapToGrid w:val="0"/>
        <w:spacing w:line="360" w:lineRule="auto"/>
        <w:jc w:val="center"/>
        <w:outlineLvl w:val="0"/>
        <w:rPr>
          <w:rFonts w:eastAsia="黑体" w:cs="黑体"/>
          <w:color w:val="auto"/>
          <w:sz w:val="48"/>
          <w:szCs w:val="48"/>
        </w:rPr>
      </w:pPr>
      <w:bookmarkStart w:id="0" w:name="_Toc15822"/>
      <w:r>
        <w:rPr>
          <w:rFonts w:hint="eastAsia" w:eastAsia="黑体" w:cs="黑体"/>
          <w:color w:val="auto"/>
          <w:sz w:val="48"/>
          <w:szCs w:val="48"/>
        </w:rPr>
        <w:t>北京市市级财政支出项目</w:t>
      </w:r>
      <w:bookmarkEnd w:id="0"/>
    </w:p>
    <w:p>
      <w:pPr>
        <w:adjustRightInd w:val="0"/>
        <w:snapToGrid w:val="0"/>
        <w:spacing w:line="360" w:lineRule="auto"/>
        <w:jc w:val="center"/>
        <w:rPr>
          <w:rFonts w:eastAsia="黑体"/>
          <w:color w:val="auto"/>
          <w:sz w:val="48"/>
          <w:szCs w:val="48"/>
        </w:rPr>
      </w:pPr>
      <w:r>
        <w:rPr>
          <w:rFonts w:hint="eastAsia" w:eastAsia="黑体" w:cs="黑体"/>
          <w:color w:val="auto"/>
          <w:sz w:val="48"/>
          <w:szCs w:val="48"/>
        </w:rPr>
        <w:t>绩效评价报告</w:t>
      </w:r>
    </w:p>
    <w:p>
      <w:pPr>
        <w:jc w:val="center"/>
        <w:rPr>
          <w:rFonts w:eastAsia="宋体"/>
          <w:color w:val="auto"/>
          <w:sz w:val="32"/>
          <w:szCs w:val="32"/>
        </w:rPr>
      </w:pPr>
    </w:p>
    <w:p>
      <w:pPr>
        <w:rPr>
          <w:rFonts w:eastAsia="宋体"/>
          <w:color w:val="auto"/>
          <w:sz w:val="32"/>
          <w:szCs w:val="32"/>
        </w:rPr>
      </w:pPr>
    </w:p>
    <w:p>
      <w:pPr>
        <w:wordWrap w:val="0"/>
        <w:adjustRightInd/>
        <w:snapToGrid/>
        <w:spacing w:before="0" w:beforeLines="-2147483648" w:after="0" w:afterLines="-2147483648" w:line="480" w:lineRule="auto"/>
        <w:ind w:firstLine="142" w:firstLineChars="47"/>
        <w:rPr>
          <w:rFonts w:hint="eastAsia" w:ascii="仿宋_GB2312" w:hAnsi="楷体" w:eastAsia="仿宋_GB2312" w:cs="仿宋_GB2312"/>
          <w:b/>
          <w:bCs/>
          <w:sz w:val="30"/>
          <w:szCs w:val="30"/>
          <w:u w:val="single"/>
        </w:rPr>
      </w:pPr>
    </w:p>
    <w:p>
      <w:pPr>
        <w:wordWrap w:val="0"/>
        <w:adjustRightInd/>
        <w:snapToGrid/>
        <w:spacing w:before="0" w:beforeLines="-2147483648" w:after="0" w:afterLines="-2147483648" w:line="480" w:lineRule="auto"/>
        <w:ind w:firstLine="142" w:firstLineChars="47"/>
        <w:rPr>
          <w:rFonts w:hint="eastAsia" w:ascii="仿宋_GB2312" w:hAnsi="楷体" w:eastAsia="仿宋_GB2312" w:cs="仿宋_GB2312"/>
          <w:b/>
          <w:bCs/>
          <w:sz w:val="30"/>
          <w:szCs w:val="30"/>
          <w:u w:val="single"/>
        </w:rPr>
      </w:pPr>
      <w:r>
        <w:rPr>
          <w:rFonts w:hint="eastAsia" w:ascii="仿宋_GB2312" w:hAnsi="楷体" w:eastAsia="仿宋_GB2312" w:cs="仿宋_GB2312"/>
          <w:b/>
          <w:bCs/>
          <w:sz w:val="30"/>
          <w:szCs w:val="30"/>
          <w:u w:val="none"/>
        </w:rPr>
        <w:t>主管部门</w:t>
      </w:r>
      <w:r>
        <w:rPr>
          <w:rFonts w:hint="eastAsia" w:ascii="仿宋_GB2312" w:hAnsi="楷体" w:eastAsia="仿宋_GB2312" w:cs="仿宋_GB2312"/>
          <w:b/>
          <w:bCs/>
          <w:sz w:val="30"/>
          <w:szCs w:val="30"/>
          <w:u w:val="none"/>
          <w:lang w:eastAsia="zh-CN"/>
        </w:rPr>
        <w:t>：</w:t>
      </w:r>
      <w:r>
        <w:rPr>
          <w:rFonts w:hint="eastAsia" w:ascii="仿宋_GB2312" w:hAnsi="楷体" w:eastAsia="仿宋_GB2312" w:cs="仿宋_GB2312"/>
          <w:b/>
          <w:bCs/>
          <w:sz w:val="30"/>
          <w:szCs w:val="30"/>
          <w:u w:val="single"/>
        </w:rPr>
        <w:tab/>
      </w:r>
      <w:r>
        <w:rPr>
          <w:rFonts w:hint="eastAsia" w:ascii="仿宋_GB2312" w:hAnsi="楷体" w:eastAsia="仿宋_GB2312" w:cs="仿宋_GB2312"/>
          <w:b/>
          <w:bCs/>
          <w:sz w:val="30"/>
          <w:szCs w:val="30"/>
          <w:u w:val="single"/>
        </w:rPr>
        <w:tab/>
      </w:r>
      <w:r>
        <w:rPr>
          <w:rFonts w:hint="eastAsia" w:ascii="仿宋_GB2312" w:hAnsi="楷体" w:eastAsia="仿宋_GB2312" w:cs="仿宋_GB2312"/>
          <w:b/>
          <w:bCs/>
          <w:sz w:val="30"/>
          <w:szCs w:val="30"/>
          <w:u w:val="single"/>
        </w:rPr>
        <w:t xml:space="preserve">           北京市应急管理局</w:t>
      </w:r>
      <w:r>
        <w:rPr>
          <w:rFonts w:hint="eastAsia" w:ascii="仿宋_GB2312" w:hAnsi="楷体" w:eastAsia="仿宋_GB2312" w:cs="仿宋_GB2312"/>
          <w:b/>
          <w:bCs/>
          <w:sz w:val="30"/>
          <w:szCs w:val="30"/>
          <w:u w:val="single"/>
        </w:rPr>
        <w:tab/>
      </w:r>
      <w:r>
        <w:rPr>
          <w:rFonts w:hint="eastAsia" w:ascii="仿宋_GB2312" w:hAnsi="楷体" w:eastAsia="仿宋_GB2312" w:cs="仿宋_GB2312"/>
          <w:b/>
          <w:bCs/>
          <w:sz w:val="30"/>
          <w:szCs w:val="30"/>
          <w:u w:val="single"/>
        </w:rPr>
        <w:t xml:space="preserve">  </w:t>
      </w:r>
      <w:r>
        <w:rPr>
          <w:rFonts w:hint="eastAsia" w:ascii="仿宋_GB2312" w:hAnsi="楷体" w:eastAsia="仿宋_GB2312" w:cs="仿宋_GB2312"/>
          <w:b/>
          <w:bCs/>
          <w:sz w:val="30"/>
          <w:szCs w:val="30"/>
          <w:u w:val="single"/>
        </w:rPr>
        <w:tab/>
      </w:r>
      <w:r>
        <w:rPr>
          <w:rFonts w:hint="eastAsia" w:ascii="仿宋_GB2312" w:hAnsi="楷体" w:eastAsia="仿宋_GB2312" w:cs="仿宋_GB2312"/>
          <w:b/>
          <w:bCs/>
          <w:sz w:val="30"/>
          <w:szCs w:val="30"/>
          <w:u w:val="single"/>
        </w:rPr>
        <w:tab/>
      </w:r>
      <w:r>
        <w:rPr>
          <w:rFonts w:hint="eastAsia" w:ascii="仿宋_GB2312" w:hAnsi="楷体" w:eastAsia="仿宋_GB2312" w:cs="仿宋_GB2312"/>
          <w:b/>
          <w:bCs/>
          <w:sz w:val="30"/>
          <w:szCs w:val="30"/>
          <w:u w:val="single"/>
        </w:rPr>
        <w:t xml:space="preserve">        </w:t>
      </w:r>
    </w:p>
    <w:p>
      <w:pPr>
        <w:wordWrap w:val="0"/>
        <w:adjustRightInd/>
        <w:snapToGrid/>
        <w:spacing w:before="0" w:beforeLines="-2147483648" w:after="0" w:afterLines="-2147483648" w:line="480" w:lineRule="auto"/>
        <w:ind w:firstLine="142" w:firstLineChars="47"/>
        <w:rPr>
          <w:rFonts w:hint="eastAsia" w:ascii="仿宋_GB2312" w:hAnsi="楷体" w:eastAsia="仿宋_GB2312" w:cs="仿宋_GB2312"/>
          <w:b/>
          <w:bCs/>
          <w:sz w:val="30"/>
          <w:szCs w:val="30"/>
          <w:u w:val="single"/>
        </w:rPr>
      </w:pPr>
      <w:r>
        <w:rPr>
          <w:rFonts w:hint="eastAsia" w:ascii="仿宋_GB2312" w:hAnsi="楷体" w:eastAsia="仿宋_GB2312" w:cs="仿宋_GB2312"/>
          <w:b/>
          <w:bCs/>
          <w:sz w:val="30"/>
          <w:szCs w:val="30"/>
          <w:u w:val="none"/>
        </w:rPr>
        <w:t>项目单位</w:t>
      </w:r>
      <w:r>
        <w:rPr>
          <w:rFonts w:hint="eastAsia" w:ascii="仿宋_GB2312" w:hAnsi="楷体" w:eastAsia="仿宋_GB2312" w:cs="仿宋_GB2312"/>
          <w:b/>
          <w:bCs/>
          <w:sz w:val="30"/>
          <w:szCs w:val="30"/>
          <w:u w:val="none"/>
          <w:lang w:eastAsia="zh-CN"/>
        </w:rPr>
        <w:t>：</w:t>
      </w:r>
      <w:r>
        <w:rPr>
          <w:rFonts w:hint="eastAsia" w:ascii="仿宋_GB2312" w:hAnsi="楷体" w:eastAsia="仿宋_GB2312" w:cs="仿宋_GB2312"/>
          <w:b/>
          <w:bCs/>
          <w:sz w:val="30"/>
          <w:szCs w:val="30"/>
          <w:u w:val="single"/>
        </w:rPr>
        <w:t xml:space="preserve">   </w:t>
      </w:r>
      <w:r>
        <w:rPr>
          <w:rFonts w:hint="eastAsia" w:ascii="仿宋_GB2312" w:hAnsi="楷体" w:eastAsia="仿宋_GB2312" w:cs="仿宋_GB2312"/>
          <w:b/>
          <w:bCs/>
          <w:sz w:val="30"/>
          <w:szCs w:val="30"/>
          <w:u w:val="single"/>
        </w:rPr>
        <w:tab/>
      </w:r>
      <w:r>
        <w:rPr>
          <w:rFonts w:hint="eastAsia" w:ascii="仿宋_GB2312" w:hAnsi="楷体" w:eastAsia="仿宋_GB2312" w:cs="仿宋_GB2312"/>
          <w:b/>
          <w:bCs/>
          <w:sz w:val="30"/>
          <w:szCs w:val="30"/>
          <w:u w:val="single"/>
        </w:rPr>
        <w:t xml:space="preserve">        北京市应急管理局机关  </w:t>
      </w:r>
      <w:r>
        <w:rPr>
          <w:rFonts w:hint="eastAsia" w:ascii="仿宋_GB2312" w:hAnsi="楷体" w:eastAsia="仿宋_GB2312" w:cs="仿宋_GB2312"/>
          <w:b/>
          <w:bCs/>
          <w:sz w:val="30"/>
          <w:szCs w:val="30"/>
          <w:u w:val="single"/>
          <w:lang w:val="en-US" w:eastAsia="zh-CN"/>
        </w:rPr>
        <w:t xml:space="preserve">        </w:t>
      </w:r>
      <w:r>
        <w:rPr>
          <w:rFonts w:hint="eastAsia" w:ascii="仿宋_GB2312" w:hAnsi="楷体" w:eastAsia="仿宋_GB2312" w:cs="仿宋_GB2312"/>
          <w:b/>
          <w:bCs/>
          <w:sz w:val="30"/>
          <w:szCs w:val="30"/>
          <w:u w:val="single"/>
        </w:rPr>
        <w:t xml:space="preserve">      </w:t>
      </w:r>
    </w:p>
    <w:p>
      <w:pPr>
        <w:wordWrap w:val="0"/>
        <w:adjustRightInd/>
        <w:snapToGrid/>
        <w:spacing w:before="0" w:beforeLines="-2147483648" w:after="0" w:afterLines="-2147483648" w:line="480" w:lineRule="auto"/>
        <w:ind w:firstLine="142" w:firstLineChars="47"/>
        <w:rPr>
          <w:rFonts w:hint="eastAsia" w:ascii="仿宋_GB2312" w:hAnsi="楷体" w:eastAsia="仿宋_GB2312" w:cs="仿宋_GB2312"/>
          <w:b/>
          <w:bCs/>
          <w:sz w:val="30"/>
          <w:szCs w:val="30"/>
          <w:u w:val="single"/>
        </w:rPr>
      </w:pPr>
      <w:r>
        <w:rPr>
          <w:rFonts w:hint="eastAsia" w:ascii="仿宋_GB2312" w:hAnsi="楷体" w:eastAsia="仿宋_GB2312" w:cs="仿宋_GB2312"/>
          <w:b/>
          <w:bCs/>
          <w:sz w:val="30"/>
          <w:szCs w:val="30"/>
          <w:u w:val="none"/>
        </w:rPr>
        <w:t>项目名称</w:t>
      </w:r>
      <w:r>
        <w:rPr>
          <w:rFonts w:hint="eastAsia" w:ascii="仿宋_GB2312" w:hAnsi="楷体" w:eastAsia="仿宋_GB2312" w:cs="仿宋_GB2312"/>
          <w:b/>
          <w:bCs/>
          <w:sz w:val="30"/>
          <w:szCs w:val="30"/>
          <w:u w:val="none"/>
          <w:lang w:eastAsia="zh-CN"/>
        </w:rPr>
        <w:t>：</w:t>
      </w:r>
      <w:r>
        <w:rPr>
          <w:rFonts w:hint="eastAsia" w:ascii="仿宋_GB2312" w:hAnsi="楷体" w:eastAsia="仿宋_GB2312" w:cs="仿宋_GB2312"/>
          <w:b/>
          <w:bCs/>
          <w:sz w:val="30"/>
          <w:szCs w:val="30"/>
          <w:u w:val="single"/>
        </w:rPr>
        <w:t xml:space="preserve">       城市安全风险评估工作服务项目  </w:t>
      </w:r>
      <w:r>
        <w:rPr>
          <w:rFonts w:hint="eastAsia" w:ascii="仿宋_GB2312" w:hAnsi="楷体" w:eastAsia="仿宋_GB2312" w:cs="仿宋_GB2312"/>
          <w:b/>
          <w:bCs/>
          <w:sz w:val="30"/>
          <w:szCs w:val="30"/>
          <w:u w:val="single"/>
          <w:lang w:val="en-US" w:eastAsia="zh-CN"/>
        </w:rPr>
        <w:t xml:space="preserve">         </w:t>
      </w:r>
      <w:r>
        <w:rPr>
          <w:rFonts w:hint="eastAsia" w:ascii="仿宋_GB2312" w:hAnsi="楷体" w:eastAsia="仿宋_GB2312" w:cs="仿宋_GB2312"/>
          <w:b/>
          <w:bCs/>
          <w:sz w:val="30"/>
          <w:szCs w:val="30"/>
          <w:u w:val="single"/>
        </w:rPr>
        <w:t xml:space="preserve">  </w:t>
      </w:r>
    </w:p>
    <w:p>
      <w:pPr>
        <w:wordWrap w:val="0"/>
        <w:adjustRightInd/>
        <w:snapToGrid/>
        <w:spacing w:before="0" w:beforeLines="-2147483648" w:after="0" w:afterLines="-2147483648" w:line="480" w:lineRule="auto"/>
        <w:ind w:firstLine="142" w:firstLineChars="47"/>
        <w:rPr>
          <w:rFonts w:hint="eastAsia" w:ascii="仿宋_GB2312" w:hAnsi="楷体" w:eastAsia="仿宋_GB2312" w:cs="仿宋_GB2312"/>
          <w:b/>
          <w:bCs/>
          <w:sz w:val="30"/>
          <w:szCs w:val="30"/>
          <w:u w:val="single"/>
        </w:rPr>
      </w:pPr>
      <w:r>
        <w:rPr>
          <w:rFonts w:hint="eastAsia" w:ascii="仿宋_GB2312" w:hAnsi="楷体" w:eastAsia="仿宋_GB2312" w:cs="仿宋_GB2312"/>
          <w:b/>
          <w:bCs/>
          <w:sz w:val="30"/>
          <w:szCs w:val="30"/>
          <w:u w:val="none"/>
        </w:rPr>
        <w:t>评价时间：</w:t>
      </w:r>
      <w:r>
        <w:rPr>
          <w:rFonts w:hint="eastAsia" w:ascii="仿宋_GB2312" w:hAnsi="楷体" w:eastAsia="仿宋_GB2312" w:cs="仿宋_GB2312"/>
          <w:b/>
          <w:bCs/>
          <w:sz w:val="30"/>
          <w:szCs w:val="30"/>
          <w:u w:val="single"/>
        </w:rPr>
        <w:t xml:space="preserve">                2024年5月              </w:t>
      </w:r>
      <w:r>
        <w:rPr>
          <w:rFonts w:hint="eastAsia" w:ascii="仿宋_GB2312" w:hAnsi="楷体" w:eastAsia="仿宋_GB2312" w:cs="仿宋_GB2312"/>
          <w:b/>
          <w:bCs/>
          <w:sz w:val="30"/>
          <w:szCs w:val="30"/>
          <w:u w:val="single"/>
          <w:lang w:val="en-US" w:eastAsia="zh-CN"/>
        </w:rPr>
        <w:t xml:space="preserve">      </w:t>
      </w:r>
      <w:r>
        <w:rPr>
          <w:rFonts w:hint="eastAsia" w:ascii="仿宋_GB2312" w:hAnsi="楷体" w:eastAsia="仿宋_GB2312" w:cs="仿宋_GB2312"/>
          <w:b/>
          <w:bCs/>
          <w:sz w:val="30"/>
          <w:szCs w:val="30"/>
          <w:u w:val="single"/>
        </w:rPr>
        <w:t xml:space="preserve">  </w:t>
      </w:r>
    </w:p>
    <w:p>
      <w:pPr>
        <w:wordWrap w:val="0"/>
        <w:adjustRightInd/>
        <w:snapToGrid/>
        <w:spacing w:before="0" w:beforeLines="-2147483648" w:after="0" w:afterLines="-2147483648" w:line="480" w:lineRule="auto"/>
        <w:ind w:firstLine="142" w:firstLineChars="47"/>
        <w:rPr>
          <w:rFonts w:hint="eastAsia" w:ascii="仿宋_GB2312" w:hAnsi="楷体" w:eastAsia="仿宋_GB2312" w:cs="仿宋_GB2312"/>
          <w:b/>
          <w:bCs/>
          <w:sz w:val="30"/>
          <w:szCs w:val="30"/>
          <w:u w:val="single"/>
        </w:rPr>
      </w:pPr>
      <w:r>
        <w:rPr>
          <w:rFonts w:hint="eastAsia" w:ascii="仿宋_GB2312" w:hAnsi="楷体" w:eastAsia="仿宋_GB2312" w:cs="仿宋_GB2312"/>
          <w:b/>
          <w:bCs/>
          <w:sz w:val="30"/>
          <w:szCs w:val="30"/>
          <w:u w:val="none"/>
        </w:rPr>
        <w:t>填报日期：</w:t>
      </w:r>
      <w:r>
        <w:rPr>
          <w:rFonts w:hint="eastAsia" w:ascii="仿宋_GB2312" w:hAnsi="楷体" w:eastAsia="仿宋_GB2312" w:cs="仿宋_GB2312"/>
          <w:b/>
          <w:bCs/>
          <w:sz w:val="30"/>
          <w:szCs w:val="30"/>
          <w:u w:val="single"/>
        </w:rPr>
        <w:t xml:space="preserve">                2024年5月             </w:t>
      </w:r>
      <w:r>
        <w:rPr>
          <w:rFonts w:hint="eastAsia" w:ascii="仿宋_GB2312" w:hAnsi="楷体" w:eastAsia="仿宋_GB2312" w:cs="仿宋_GB2312"/>
          <w:b/>
          <w:bCs/>
          <w:sz w:val="30"/>
          <w:szCs w:val="30"/>
          <w:u w:val="single"/>
          <w:lang w:val="en-US" w:eastAsia="zh-CN"/>
        </w:rPr>
        <w:t xml:space="preserve">      </w:t>
      </w:r>
      <w:r>
        <w:rPr>
          <w:rFonts w:hint="eastAsia" w:ascii="仿宋_GB2312" w:hAnsi="楷体" w:eastAsia="仿宋_GB2312" w:cs="仿宋_GB2312"/>
          <w:b/>
          <w:bCs/>
          <w:sz w:val="30"/>
          <w:szCs w:val="30"/>
          <w:u w:val="single"/>
        </w:rPr>
        <w:t xml:space="preserve">   </w:t>
      </w:r>
    </w:p>
    <w:p/>
    <w:p>
      <w:pPr>
        <w:keepNext/>
        <w:suppressAutoHyphens/>
        <w:wordWrap/>
        <w:adjustRightInd w:val="0"/>
        <w:snapToGrid w:val="0"/>
        <w:spacing w:line="360" w:lineRule="auto"/>
        <w:jc w:val="center"/>
        <w:rPr>
          <w:rFonts w:hint="eastAsia" w:ascii="Times New Roman" w:eastAsia="黑体"/>
          <w:color w:val="auto"/>
          <w:sz w:val="32"/>
        </w:rPr>
      </w:pPr>
      <w:r>
        <w:rPr>
          <w:rFonts w:hint="eastAsia" w:ascii="Times New Roman" w:eastAsia="黑体"/>
          <w:color w:val="auto"/>
          <w:sz w:val="32"/>
        </w:rPr>
        <w:br w:type="page"/>
      </w:r>
    </w:p>
    <w:sdt>
      <w:sdtPr>
        <w:rPr>
          <w:rFonts w:hint="eastAsia" w:ascii="楷体" w:hAnsi="楷体" w:eastAsia="楷体" w:cs="楷体"/>
          <w:b w:val="0"/>
          <w:bCs w:val="0"/>
          <w:kern w:val="2"/>
          <w:sz w:val="28"/>
          <w:szCs w:val="28"/>
          <w:lang w:val="en-US" w:eastAsia="zh-CN" w:bidi="ar-SA"/>
        </w:rPr>
        <w:id w:val="147457051"/>
        <w15:color w:val="DBDBDB"/>
        <w:docPartObj>
          <w:docPartGallery w:val="Table of Contents"/>
          <w:docPartUnique/>
        </w:docPartObj>
      </w:sdtPr>
      <w:sdtEndPr>
        <w:rPr>
          <w:rFonts w:hint="eastAsia" w:ascii="楷体" w:hAnsi="楷体" w:eastAsia="楷体" w:cs="楷体"/>
          <w:b/>
          <w:bCs w:val="0"/>
          <w:kern w:val="2"/>
          <w:sz w:val="28"/>
          <w:szCs w:val="28"/>
          <w:lang w:val="en-US" w:eastAsia="zh-CN" w:bidi="ar-SA"/>
        </w:rPr>
      </w:sdtEndPr>
      <w:sdtContent>
        <w:p>
          <w:pPr>
            <w:spacing w:beforeLines="0" w:afterLines="0"/>
            <w:jc w:val="center"/>
            <w:rPr>
              <w:rFonts w:hint="eastAsia" w:ascii="楷体" w:hAnsi="楷体" w:eastAsia="楷体" w:cs="楷体"/>
              <w:b w:val="0"/>
              <w:bCs w:val="0"/>
              <w:sz w:val="28"/>
              <w:szCs w:val="28"/>
            </w:rPr>
          </w:pPr>
          <w:r>
            <w:rPr>
              <w:rFonts w:hint="eastAsia" w:ascii="楷体" w:hAnsi="楷体" w:eastAsia="楷体" w:cs="楷体"/>
              <w:b w:val="0"/>
              <w:bCs w:val="0"/>
              <w:sz w:val="28"/>
              <w:szCs w:val="28"/>
            </w:rPr>
            <w:t>目录</w:t>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TOC \o "1-2" \h \u </w:instrText>
          </w:r>
          <w:r>
            <w:rPr>
              <w:rFonts w:hint="eastAsia" w:ascii="楷体" w:hAnsi="楷体" w:eastAsia="楷体" w:cs="楷体"/>
              <w:b w:val="0"/>
              <w:bCs w:val="0"/>
              <w:sz w:val="28"/>
              <w:szCs w:val="28"/>
            </w:rPr>
            <w:fldChar w:fldCharType="separate"/>
          </w:r>
        </w:p>
        <w:p>
          <w:pPr>
            <w:pStyle w:val="9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_Toc30444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一、基本情况</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_Toc30444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5"/>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_Toc24730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（一）项目概况</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_Toc24730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5"/>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_Toc25443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（二）项目绩效目标</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_Toc25443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6</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_Toc11456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二、绩效评价工作开展情况</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_Toc11456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11</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5"/>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_Toc26607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（一）绩效评价目的、对象及范围</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_Toc26607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11</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5"/>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_Toc2878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（二）绩效评价原则、方法及指标体系</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_Toc2878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12</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5"/>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_Toc4782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（三）绩效评价工作过程</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_Toc4782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13</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_Toc6258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三、综合评价情况及评价结论</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_Toc6258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14</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_Toc8791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四、绩效评价指标分析</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_Toc8791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15</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5"/>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_Toc9414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（一）项目决策情况</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_Toc9414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15</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5"/>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_Toc10256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（二）项目过程情况</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_Toc10256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18</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5"/>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_Toc32160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（三）项目产出情况</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_Toc32160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20</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5"/>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_Toc8470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（四）项目效益情况</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_Toc8470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26</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_Toc17137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五、主要的经验及做法、存在的问题及原因分析</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_Toc17137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28</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5"/>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_Toc3739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（一）主要经验及做法</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_Toc3739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28</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5"/>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_Toc22047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（二）存在的主要问题及原因分析</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_Toc22047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29</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_Toc1403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六、有关建议</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_Toc1403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29</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5"/>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_Toc5471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（一）完善绩效目标及指标设置</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_Toc5471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29</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5"/>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_Toc15548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（二）提升项目整体申报逻辑</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_Toc15548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30</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5"/>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_Toc28345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（三）提升项目管理机制</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_Toc28345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30</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_Toc6392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七、其他需要说明的问题</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_Toc6392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30</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_Toc28744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八、附件</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_Toc28744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30</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_Toc25629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附件1：项目绩效评价指标体系及打分情况表</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_Toc25629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30</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_Toc26495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附件2：专家及评价工作组情况表</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_Toc26495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30</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9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_Toc7208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附件3：评价专家意见汇总书</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_Toc7208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30</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r>
            <w:rPr>
              <w:rFonts w:hint="eastAsia" w:ascii="楷体" w:hAnsi="楷体" w:eastAsia="楷体" w:cs="楷体"/>
              <w:b w:val="0"/>
              <w:bCs w:val="0"/>
              <w:sz w:val="28"/>
              <w:szCs w:val="28"/>
            </w:rPr>
            <w:fldChar w:fldCharType="end"/>
          </w:r>
        </w:p>
      </w:sdtContent>
    </w:sdt>
    <w:p>
      <w:pPr>
        <w:keepNext/>
        <w:widowControl/>
        <w:suppressAutoHyphens/>
        <w:wordWrap/>
        <w:topLinePunct/>
        <w:adjustRightInd w:val="0"/>
        <w:snapToGrid w:val="0"/>
        <w:spacing w:line="360" w:lineRule="auto"/>
        <w:jc w:val="center"/>
        <w:rPr>
          <w:color w:val="auto"/>
        </w:rPr>
        <w:sectPr>
          <w:headerReference r:id="rId5" w:type="default"/>
          <w:footerReference r:id="rId6" w:type="default"/>
          <w:footerReference r:id="rId7" w:type="even"/>
          <w:pgSz w:w="11906" w:h="16838"/>
          <w:pgMar w:top="2098" w:right="1531" w:bottom="1984" w:left="1531" w:header="850" w:footer="1417" w:gutter="0"/>
          <w:cols w:space="720" w:num="1"/>
          <w:docGrid w:type="lines" w:linePitch="411" w:charSpace="0"/>
        </w:sectPr>
      </w:pPr>
    </w:p>
    <w:p>
      <w:pPr>
        <w:keepNext/>
        <w:widowControl/>
        <w:suppressAutoHyphens/>
        <w:wordWrap/>
        <w:topLinePunct/>
        <w:adjustRightInd w:val="0"/>
        <w:snapToGrid w:val="0"/>
        <w:spacing w:line="540" w:lineRule="exact"/>
        <w:jc w:val="center"/>
        <w:rPr>
          <w:color w:val="auto"/>
        </w:rPr>
        <w:sectPr>
          <w:footerReference r:id="rId8" w:type="default"/>
          <w:type w:val="continuous"/>
          <w:pgSz w:w="11906" w:h="16838"/>
          <w:pgMar w:top="2098" w:right="1531" w:bottom="1984" w:left="1531" w:header="850" w:footer="1417" w:gutter="0"/>
          <w:pgNumType w:start="1"/>
          <w:cols w:space="720" w:num="1"/>
          <w:docGrid w:type="lines" w:linePitch="411" w:charSpace="0"/>
        </w:sectPr>
      </w:pPr>
    </w:p>
    <w:p>
      <w:pPr>
        <w:wordWrap/>
        <w:adjustRightInd w:val="0"/>
        <w:snapToGrid w:val="0"/>
        <w:spacing w:line="360" w:lineRule="auto"/>
        <w:jc w:val="center"/>
        <w:outlineLvl w:val="0"/>
        <w:rPr>
          <w:color w:val="auto"/>
          <w:sz w:val="32"/>
          <w:szCs w:val="32"/>
        </w:rPr>
      </w:pPr>
      <w:bookmarkStart w:id="1" w:name="_Toc31124"/>
      <w:r>
        <w:rPr>
          <w:rFonts w:hint="eastAsia" w:ascii="华文中宋" w:hAnsi="华文中宋" w:eastAsia="华文中宋"/>
          <w:bCs/>
          <w:color w:val="auto"/>
          <w:sz w:val="36"/>
          <w:szCs w:val="44"/>
        </w:rPr>
        <w:t>城市安全风险评估工作服务项目绩效评价报告</w:t>
      </w:r>
      <w:bookmarkEnd w:id="1"/>
    </w:p>
    <w:p>
      <w:pPr>
        <w:wordWrap/>
        <w:adjustRightInd w:val="0"/>
        <w:snapToGrid w:val="0"/>
        <w:spacing w:line="360" w:lineRule="auto"/>
        <w:ind w:firstLine="640" w:firstLineChars="200"/>
        <w:outlineLvl w:val="0"/>
        <w:rPr>
          <w:rFonts w:ascii="Times New Roman" w:eastAsia="黑体"/>
          <w:color w:val="auto"/>
          <w:sz w:val="32"/>
        </w:rPr>
      </w:pPr>
      <w:bookmarkStart w:id="2" w:name="_Toc336506954"/>
      <w:bookmarkStart w:id="3" w:name="_Toc336506889"/>
      <w:bookmarkStart w:id="4" w:name="_Toc6605"/>
      <w:bookmarkStart w:id="5" w:name="_Toc16064"/>
      <w:bookmarkStart w:id="6" w:name="_Toc30405"/>
      <w:bookmarkStart w:id="7" w:name="_Toc16288"/>
      <w:bookmarkStart w:id="8" w:name="_Toc30444"/>
      <w:r>
        <w:rPr>
          <w:rFonts w:hint="eastAsia" w:ascii="Times New Roman" w:eastAsia="黑体"/>
          <w:color w:val="auto"/>
          <w:sz w:val="32"/>
        </w:rPr>
        <w:t>一、</w:t>
      </w:r>
      <w:bookmarkEnd w:id="2"/>
      <w:bookmarkEnd w:id="3"/>
      <w:bookmarkEnd w:id="4"/>
      <w:bookmarkEnd w:id="5"/>
      <w:r>
        <w:rPr>
          <w:rFonts w:hint="eastAsia" w:ascii="Times New Roman" w:eastAsia="黑体"/>
          <w:color w:val="auto"/>
          <w:sz w:val="32"/>
        </w:rPr>
        <w:t>基本情况</w:t>
      </w:r>
      <w:bookmarkEnd w:id="6"/>
      <w:bookmarkEnd w:id="7"/>
      <w:bookmarkEnd w:id="8"/>
    </w:p>
    <w:p>
      <w:pPr>
        <w:wordWrap/>
        <w:adjustRightInd w:val="0"/>
        <w:snapToGrid w:val="0"/>
        <w:spacing w:line="360" w:lineRule="auto"/>
        <w:ind w:firstLine="640" w:firstLineChars="200"/>
        <w:outlineLvl w:val="1"/>
        <w:rPr>
          <w:rFonts w:ascii="Times New Roman" w:eastAsia="楷体_GB2312"/>
          <w:color w:val="auto"/>
          <w:sz w:val="32"/>
        </w:rPr>
      </w:pPr>
      <w:bookmarkStart w:id="9" w:name="_Toc336506890"/>
      <w:bookmarkStart w:id="10" w:name="_Toc24730"/>
      <w:bookmarkStart w:id="11" w:name="_Toc32139"/>
      <w:bookmarkStart w:id="12" w:name="_Toc336506955"/>
      <w:bookmarkStart w:id="13" w:name="_Toc2704"/>
      <w:bookmarkStart w:id="14" w:name="_Toc9395"/>
      <w:bookmarkStart w:id="15" w:name="_Toc32604"/>
      <w:bookmarkStart w:id="16" w:name="_Toc320182850"/>
      <w:r>
        <w:rPr>
          <w:rFonts w:hint="eastAsia" w:ascii="Times New Roman" w:eastAsia="楷体_GB2312"/>
          <w:color w:val="auto"/>
          <w:sz w:val="32"/>
        </w:rPr>
        <w:t>（一）项目概况</w:t>
      </w:r>
      <w:bookmarkEnd w:id="9"/>
      <w:bookmarkEnd w:id="10"/>
      <w:bookmarkEnd w:id="11"/>
      <w:bookmarkEnd w:id="12"/>
      <w:bookmarkEnd w:id="13"/>
      <w:bookmarkEnd w:id="14"/>
      <w:bookmarkEnd w:id="15"/>
      <w:bookmarkEnd w:id="16"/>
    </w:p>
    <w:p>
      <w:pPr>
        <w:suppressAutoHyphens/>
        <w:wordWrap/>
        <w:adjustRightInd w:val="0"/>
        <w:snapToGrid w:val="0"/>
        <w:spacing w:before="0" w:beforeLines="-2147483648" w:after="0" w:afterLines="-2147483648" w:line="360" w:lineRule="auto"/>
        <w:ind w:firstLine="640" w:firstLineChars="200"/>
        <w:outlineLvl w:val="2"/>
        <w:rPr>
          <w:rFonts w:hint="eastAsia" w:ascii="仿宋_GB2312" w:hAnsi="Times New Roman" w:eastAsia="仿宋_GB2312" w:cs="Times New Roman"/>
          <w:sz w:val="32"/>
          <w:szCs w:val="32"/>
        </w:rPr>
      </w:pPr>
      <w:r>
        <w:rPr>
          <w:rFonts w:hint="eastAsia" w:ascii="仿宋_GB2312" w:hAnsi="Times New Roman" w:eastAsia="仿宋_GB2312" w:cs="Times New Roman"/>
          <w:sz w:val="32"/>
          <w:szCs w:val="32"/>
        </w:rPr>
        <w:t>1.项目背景</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以习近平新时代中国特色社会主义思想为指导，深入贯彻党的二十大精神和习近平总书记关于防范化解重大风险的重要论述，认真落实《中华人民共和国安全生产法》《北京市安全生产条例》《北京市公共安全风险管理办法》（京应急委发〔2021〕2号）《北京市安全生产风险管理实施指南（试行）》（京安办发〔2021〕15号）《北京市城市安全风险评估三年工作方案（2022年-2024年）》（京应急办发〔2022〕10号）等法律法规和文件要求，在2023年，持续深化和拓展城市安全风险评估工作，进一步筑牢风险防范基础，推进城市安全风险评估向广度和深度“双拓展”，推动行业、属地、社会单位城市安全风险评估能力和质量“双提升”。2023年度北京市应急管理局机关（以下简称“应急管理局”）实施城市安全风险评估工作服务项目（以下简称“项目”）。</w:t>
      </w:r>
    </w:p>
    <w:p>
      <w:pPr>
        <w:suppressAutoHyphens/>
        <w:wordWrap/>
        <w:adjustRightInd w:val="0"/>
        <w:snapToGrid w:val="0"/>
        <w:spacing w:before="0" w:beforeLines="-2147483648" w:after="0" w:afterLines="-2147483648" w:line="360" w:lineRule="auto"/>
        <w:ind w:firstLine="640" w:firstLineChars="200"/>
        <w:outlineLvl w:val="2"/>
        <w:rPr>
          <w:rFonts w:hint="eastAsia" w:ascii="仿宋_GB2312" w:hAnsi="Times New Roman" w:eastAsia="仿宋_GB2312" w:cs="Times New Roman"/>
          <w:sz w:val="32"/>
          <w:szCs w:val="32"/>
        </w:rPr>
      </w:pPr>
      <w:r>
        <w:rPr>
          <w:rFonts w:hint="eastAsia" w:ascii="仿宋_GB2312" w:hAnsi="Times New Roman" w:eastAsia="仿宋_GB2312" w:cs="Times New Roman"/>
          <w:sz w:val="32"/>
          <w:szCs w:val="32"/>
        </w:rPr>
        <w:t>2.项目主要内容及实施情况</w:t>
      </w:r>
    </w:p>
    <w:p>
      <w:pPr>
        <w:suppressAutoHyphens/>
        <w:wordWrap/>
        <w:adjustRightInd w:val="0"/>
        <w:snapToGrid w:val="0"/>
        <w:spacing w:before="0" w:beforeLines="-2147483648" w:after="0" w:afterLines="-2147483648" w:line="360" w:lineRule="auto"/>
        <w:ind w:firstLine="640" w:firstLineChars="200"/>
        <w:outlineLvl w:val="2"/>
        <w:rPr>
          <w:rFonts w:hint="eastAsia" w:ascii="仿宋_GB2312" w:hAnsi="Times New Roman" w:eastAsia="仿宋_GB2312" w:cs="Times New Roman"/>
          <w:sz w:val="32"/>
          <w:szCs w:val="32"/>
        </w:rPr>
      </w:pPr>
      <w:r>
        <w:rPr>
          <w:rFonts w:hint="eastAsia" w:ascii="仿宋_GB2312" w:hAnsi="Times New Roman" w:eastAsia="仿宋_GB2312" w:cs="Times New Roman"/>
          <w:sz w:val="32"/>
          <w:szCs w:val="32"/>
        </w:rPr>
        <w:t>（1）项目内容</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项目主要以聘请专家咨询和聘请专业技术人员现场核查、现场指导形式，每季度对重点行业领域安全风险形势和受自然灾害因素影响风险进行分析研判，提出对策建议；对社会单位安全风险评估数据质量进行线上核查；对社会单位安全风险评估工作质量进行现场核查；编制全市重点行业领域安全风险评估数据汇总分析报告；编制北京市重点行业领域安全风险白皮书；城市安全风险评估数据处理服务；对相关市级部门和各区风险评估工作进行技术指导；修订地方标准《生产经营单位安全生产风险评估规范》（DB11/T1478-2017）。</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（2）项目完成情况</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该项目为跨年项目，2023年3月组织公开招标形式选定北京市劳保所科技发展有限公司为中标服务单位，2023年5月组织签订项目合同书，依据合同约定合同履约期自2023年5月15日-2024年4月30日，截止报告日项目已完成合同约定全部工作内容并通过验收。</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3.项目资金投入和使用情况</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bookmarkStart w:id="17" w:name="_Toc8349"/>
      <w:bookmarkStart w:id="18" w:name="_Toc336506892"/>
      <w:bookmarkStart w:id="19" w:name="_Toc2015"/>
      <w:bookmarkStart w:id="20" w:name="_Toc336506957"/>
      <w:r>
        <w:rPr>
          <w:rFonts w:hint="eastAsia" w:ascii="仿宋_GB2312" w:hAnsi="Malgun Gothic" w:eastAsia="仿宋_GB2312" w:cs="Malgun Gothic"/>
          <w:sz w:val="32"/>
          <w:szCs w:val="32"/>
        </w:rPr>
        <w:t>（1）项目总体资金投入情况</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该项目预算金额为571.934万元，实际中标金额为571.5万元，招标结余0.434万元已于2023年末退回财政。依据合同条款约定，2023年6月向项目单位拨付首付款410.655万元、2023年11月向项目承担单位拨付第二笔款136.885万元，2024年4月28日，通过应急管理局项目管理委员验收后，支付剩余尾款23.96万元。项目经费明细如下表1。</w:t>
      </w:r>
    </w:p>
    <w:p>
      <w:pPr>
        <w:wordWrap/>
        <w:adjustRightInd w:val="0"/>
        <w:snapToGrid w:val="0"/>
        <w:spacing w:line="360" w:lineRule="auto"/>
        <w:jc w:val="center"/>
        <w:rPr>
          <w:rFonts w:ascii="黑体" w:eastAsia="黑体"/>
          <w:iCs/>
          <w:color w:val="auto"/>
          <w:sz w:val="28"/>
          <w:szCs w:val="24"/>
        </w:rPr>
      </w:pPr>
      <w:r>
        <w:rPr>
          <w:rFonts w:hint="eastAsia" w:ascii="黑体" w:eastAsia="黑体"/>
          <w:iCs/>
          <w:color w:val="auto"/>
          <w:sz w:val="28"/>
          <w:szCs w:val="24"/>
        </w:rPr>
        <w:t>表1：项目经费明细表</w:t>
      </w:r>
    </w:p>
    <w:tbl>
      <w:tblPr>
        <w:tblStyle w:val="47"/>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57"/>
        <w:gridCol w:w="2261"/>
        <w:gridCol w:w="1317"/>
        <w:gridCol w:w="2834"/>
        <w:gridCol w:w="12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456" w:hRule="atLeast"/>
          <w:tblHeader/>
          <w:jc w:val="center"/>
        </w:trPr>
        <w:tc>
          <w:tcPr>
            <w:tcW w:w="857" w:type="dxa"/>
            <w:vMerge w:val="restart"/>
            <w:vAlign w:val="center"/>
          </w:tcPr>
          <w:p>
            <w:pPr>
              <w:suppressAutoHyphens/>
              <w:wordWrap/>
              <w:adjustRightInd w:val="0"/>
              <w:snapToGrid w:val="0"/>
              <w:ind w:left="0" w:leftChars="0" w:firstLine="0" w:firstLineChars="0"/>
              <w:jc w:val="center"/>
              <w:rPr>
                <w:rFonts w:ascii="宋体" w:hAnsi="宋体" w:eastAsia="宋体"/>
                <w:b/>
                <w:bCs/>
                <w:color w:val="auto"/>
                <w:sz w:val="20"/>
                <w:szCs w:val="20"/>
              </w:rPr>
            </w:pPr>
            <w:r>
              <w:rPr>
                <w:rFonts w:hint="eastAsia" w:ascii="宋体" w:hAnsi="宋体" w:eastAsia="宋体"/>
                <w:b/>
                <w:bCs/>
                <w:color w:val="auto"/>
                <w:sz w:val="20"/>
                <w:szCs w:val="20"/>
              </w:rPr>
              <w:t>序号</w:t>
            </w:r>
          </w:p>
        </w:tc>
        <w:tc>
          <w:tcPr>
            <w:tcW w:w="3578" w:type="dxa"/>
            <w:gridSpan w:val="2"/>
            <w:vAlign w:val="center"/>
          </w:tcPr>
          <w:p>
            <w:pPr>
              <w:suppressAutoHyphens/>
              <w:wordWrap/>
              <w:adjustRightInd w:val="0"/>
              <w:snapToGrid w:val="0"/>
              <w:ind w:firstLine="1205" w:firstLineChars="600"/>
              <w:jc w:val="both"/>
              <w:rPr>
                <w:rFonts w:ascii="宋体" w:hAnsi="宋体" w:eastAsia="宋体"/>
                <w:b/>
                <w:bCs/>
                <w:color w:val="auto"/>
                <w:sz w:val="20"/>
                <w:szCs w:val="20"/>
              </w:rPr>
            </w:pPr>
            <w:r>
              <w:rPr>
                <w:rFonts w:hint="eastAsia" w:ascii="宋体" w:hAnsi="宋体" w:eastAsia="宋体"/>
                <w:b/>
                <w:bCs/>
                <w:color w:val="auto"/>
                <w:sz w:val="20"/>
                <w:szCs w:val="20"/>
              </w:rPr>
              <w:t>预算内容</w:t>
            </w:r>
          </w:p>
        </w:tc>
        <w:tc>
          <w:tcPr>
            <w:tcW w:w="4093" w:type="dxa"/>
            <w:gridSpan w:val="2"/>
            <w:vAlign w:val="center"/>
          </w:tcPr>
          <w:p>
            <w:pPr>
              <w:suppressAutoHyphens/>
              <w:wordWrap/>
              <w:adjustRightInd w:val="0"/>
              <w:snapToGrid w:val="0"/>
              <w:ind w:firstLine="1205" w:firstLineChars="600"/>
              <w:jc w:val="both"/>
              <w:rPr>
                <w:rFonts w:ascii="宋体" w:hAnsi="宋体" w:eastAsia="宋体"/>
                <w:b/>
                <w:bCs/>
                <w:color w:val="auto"/>
                <w:sz w:val="20"/>
                <w:szCs w:val="20"/>
              </w:rPr>
            </w:pPr>
            <w:r>
              <w:rPr>
                <w:rFonts w:hint="eastAsia" w:ascii="宋体" w:hAnsi="宋体" w:eastAsia="宋体"/>
                <w:b/>
                <w:bCs/>
                <w:color w:val="auto"/>
                <w:sz w:val="20"/>
                <w:szCs w:val="20"/>
                <w:lang w:val="en-US" w:eastAsia="zh-CN"/>
              </w:rPr>
              <w:t>供应商分项报价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562" w:hRule="atLeast"/>
          <w:tblHeader/>
          <w:jc w:val="center"/>
        </w:trPr>
        <w:tc>
          <w:tcPr>
            <w:tcW w:w="857" w:type="dxa"/>
            <w:vMerge w:val="continue"/>
            <w:vAlign w:val="center"/>
          </w:tcPr>
          <w:p>
            <w:pPr>
              <w:suppressAutoHyphens/>
              <w:wordWrap/>
              <w:adjustRightInd w:val="0"/>
              <w:snapToGrid w:val="0"/>
              <w:jc w:val="center"/>
              <w:rPr>
                <w:rFonts w:ascii="宋体" w:hAnsi="宋体" w:eastAsia="宋体"/>
                <w:b/>
                <w:bCs/>
                <w:color w:val="auto"/>
                <w:sz w:val="20"/>
                <w:szCs w:val="20"/>
              </w:rPr>
            </w:pPr>
          </w:p>
        </w:tc>
        <w:tc>
          <w:tcPr>
            <w:tcW w:w="2261" w:type="dxa"/>
            <w:vAlign w:val="center"/>
          </w:tcPr>
          <w:p>
            <w:pPr>
              <w:suppressAutoHyphens/>
              <w:wordWrap/>
              <w:adjustRightInd w:val="0"/>
              <w:snapToGrid w:val="0"/>
              <w:jc w:val="center"/>
              <w:rPr>
                <w:rFonts w:ascii="宋体" w:hAnsi="宋体" w:eastAsia="宋体"/>
                <w:b/>
                <w:bCs/>
                <w:color w:val="auto"/>
                <w:sz w:val="20"/>
                <w:szCs w:val="20"/>
              </w:rPr>
            </w:pPr>
            <w:r>
              <w:rPr>
                <w:rFonts w:hint="eastAsia" w:ascii="宋体" w:hAnsi="宋体" w:eastAsia="宋体"/>
                <w:b/>
                <w:bCs/>
                <w:color w:val="auto"/>
                <w:sz w:val="20"/>
                <w:szCs w:val="20"/>
              </w:rPr>
              <w:t>主要服务内容</w:t>
            </w:r>
          </w:p>
        </w:tc>
        <w:tc>
          <w:tcPr>
            <w:tcW w:w="1317" w:type="dxa"/>
            <w:vAlign w:val="center"/>
          </w:tcPr>
          <w:p>
            <w:pPr>
              <w:suppressAutoHyphens/>
              <w:wordWrap/>
              <w:adjustRightInd w:val="0"/>
              <w:snapToGrid w:val="0"/>
              <w:ind w:left="0" w:leftChars="0" w:firstLine="0" w:firstLineChars="0"/>
              <w:jc w:val="both"/>
              <w:rPr>
                <w:rFonts w:ascii="宋体" w:hAnsi="宋体" w:eastAsia="宋体"/>
                <w:b/>
                <w:bCs/>
                <w:color w:val="auto"/>
                <w:sz w:val="20"/>
                <w:szCs w:val="20"/>
              </w:rPr>
            </w:pPr>
            <w:r>
              <w:rPr>
                <w:rFonts w:hint="eastAsia" w:ascii="宋体" w:hAnsi="宋体" w:eastAsia="宋体"/>
                <w:b/>
                <w:bCs/>
                <w:color w:val="auto"/>
                <w:sz w:val="20"/>
                <w:szCs w:val="20"/>
              </w:rPr>
              <w:t>金额（万元）</w:t>
            </w:r>
          </w:p>
        </w:tc>
        <w:tc>
          <w:tcPr>
            <w:tcW w:w="2834" w:type="dxa"/>
            <w:vAlign w:val="center"/>
          </w:tcPr>
          <w:p>
            <w:pPr>
              <w:suppressAutoHyphens/>
              <w:wordWrap/>
              <w:adjustRightInd w:val="0"/>
              <w:snapToGrid w:val="0"/>
              <w:jc w:val="center"/>
              <w:rPr>
                <w:rFonts w:ascii="宋体" w:hAnsi="宋体" w:eastAsia="宋体"/>
                <w:b/>
                <w:bCs/>
                <w:color w:val="auto"/>
                <w:sz w:val="20"/>
                <w:szCs w:val="20"/>
              </w:rPr>
            </w:pPr>
            <w:r>
              <w:rPr>
                <w:rFonts w:hint="eastAsia" w:ascii="宋体" w:hAnsi="宋体" w:eastAsia="宋体"/>
                <w:b/>
                <w:bCs/>
                <w:color w:val="auto"/>
                <w:sz w:val="20"/>
                <w:szCs w:val="20"/>
              </w:rPr>
              <w:t>主要服务内容</w:t>
            </w:r>
          </w:p>
        </w:tc>
        <w:tc>
          <w:tcPr>
            <w:tcW w:w="1259" w:type="dxa"/>
            <w:vAlign w:val="center"/>
          </w:tcPr>
          <w:p>
            <w:pPr>
              <w:suppressAutoHyphens/>
              <w:wordWrap/>
              <w:adjustRightInd w:val="0"/>
              <w:snapToGrid w:val="0"/>
              <w:ind w:left="0" w:leftChars="0" w:firstLine="0" w:firstLineChars="0"/>
              <w:jc w:val="both"/>
              <w:rPr>
                <w:rFonts w:ascii="宋体" w:hAnsi="宋体" w:eastAsia="宋体"/>
                <w:b/>
                <w:bCs/>
                <w:color w:val="auto"/>
                <w:sz w:val="20"/>
                <w:szCs w:val="20"/>
              </w:rPr>
            </w:pPr>
            <w:r>
              <w:rPr>
                <w:rFonts w:hint="eastAsia" w:ascii="宋体" w:hAnsi="宋体" w:eastAsia="宋体"/>
                <w:b/>
                <w:bCs/>
                <w:color w:val="auto"/>
                <w:sz w:val="20"/>
                <w:szCs w:val="20"/>
              </w:rPr>
              <w:t>金额（万元）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25" w:hRule="atLeast"/>
          <w:jc w:val="center"/>
        </w:trPr>
        <w:tc>
          <w:tcPr>
            <w:tcW w:w="857"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1</w:t>
            </w:r>
          </w:p>
        </w:tc>
        <w:tc>
          <w:tcPr>
            <w:tcW w:w="2261" w:type="dxa"/>
            <w:vAlign w:val="center"/>
          </w:tcPr>
          <w:p>
            <w:pPr>
              <w:suppressAutoHyphens/>
              <w:wordWrap/>
              <w:adjustRightInd w:val="0"/>
              <w:snapToGrid w:val="0"/>
              <w:jc w:val="center"/>
              <w:rPr>
                <w:rFonts w:ascii="宋体" w:hAnsi="宋体" w:eastAsia="宋体"/>
                <w:color w:val="auto"/>
                <w:sz w:val="20"/>
                <w:szCs w:val="20"/>
              </w:rPr>
            </w:pPr>
          </w:p>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每季度对重点行业领域安全风险形势和受自然灾害因素影响风险进行分析研判，提出对策建议</w:t>
            </w:r>
          </w:p>
          <w:p>
            <w:pPr>
              <w:suppressAutoHyphens/>
              <w:wordWrap/>
              <w:adjustRightInd w:val="0"/>
              <w:snapToGrid w:val="0"/>
              <w:jc w:val="center"/>
              <w:rPr>
                <w:rFonts w:ascii="宋体" w:hAnsi="宋体" w:eastAsia="宋体"/>
                <w:color w:val="auto"/>
                <w:sz w:val="20"/>
                <w:szCs w:val="20"/>
              </w:rPr>
            </w:pPr>
          </w:p>
        </w:tc>
        <w:tc>
          <w:tcPr>
            <w:tcW w:w="1317" w:type="dxa"/>
            <w:vAlign w:val="center"/>
          </w:tcPr>
          <w:p>
            <w:pPr>
              <w:widowControl/>
              <w:jc w:val="center"/>
              <w:rPr>
                <w:color w:val="auto"/>
              </w:rPr>
            </w:pPr>
            <w:r>
              <w:rPr>
                <w:rFonts w:hint="eastAsia" w:ascii="宋体" w:hAnsi="宋体" w:eastAsia="宋体" w:cs="宋体"/>
                <w:color w:val="auto"/>
                <w:kern w:val="0"/>
                <w:sz w:val="19"/>
                <w:szCs w:val="19"/>
                <w:lang w:bidi="ar"/>
              </w:rPr>
              <w:t>47.92</w:t>
            </w:r>
          </w:p>
          <w:p>
            <w:pPr>
              <w:suppressAutoHyphens/>
              <w:wordWrap/>
              <w:adjustRightInd w:val="0"/>
              <w:snapToGrid w:val="0"/>
              <w:jc w:val="center"/>
              <w:rPr>
                <w:rFonts w:ascii="宋体" w:hAnsi="宋体" w:eastAsia="宋体"/>
                <w:color w:val="auto"/>
                <w:sz w:val="20"/>
                <w:szCs w:val="20"/>
              </w:rPr>
            </w:pPr>
          </w:p>
        </w:tc>
        <w:tc>
          <w:tcPr>
            <w:tcW w:w="2834"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重点行业领域安全风险分析研判及对策建议报告，内容要合理、数据要准确，能对相关行业、各区域安全风险趋势进行研判分析，为北京市风险管理工作提供支撑、保障作用。</w:t>
            </w:r>
          </w:p>
        </w:tc>
        <w:tc>
          <w:tcPr>
            <w:tcW w:w="1259" w:type="dxa"/>
            <w:vAlign w:val="center"/>
          </w:tcPr>
          <w:p>
            <w:pPr>
              <w:suppressAutoHyphens/>
              <w:wordWrap/>
              <w:adjustRightInd w:val="0"/>
              <w:snapToGrid w:val="0"/>
              <w:jc w:val="center"/>
              <w:rPr>
                <w:rFonts w:hint="default" w:ascii="宋体" w:hAnsi="宋体" w:eastAsia="宋体"/>
                <w:color w:val="auto"/>
                <w:sz w:val="20"/>
                <w:szCs w:val="20"/>
                <w:lang w:val="en-US" w:eastAsia="zh-CN"/>
              </w:rPr>
            </w:pPr>
            <w:r>
              <w:rPr>
                <w:rFonts w:hint="eastAsia" w:ascii="宋体" w:hAnsi="宋体" w:eastAsia="宋体" w:cs="宋体"/>
                <w:color w:val="auto"/>
                <w:kern w:val="0"/>
                <w:sz w:val="19"/>
                <w:szCs w:val="19"/>
                <w:lang w:eastAsia="zh-CN" w:bidi="ar"/>
              </w:rPr>
              <w:t>6</w:t>
            </w:r>
            <w:r>
              <w:rPr>
                <w:rFonts w:hint="eastAsia" w:ascii="宋体" w:hAnsi="宋体" w:eastAsia="宋体" w:cs="宋体"/>
                <w:color w:val="auto"/>
                <w:kern w:val="0"/>
                <w:sz w:val="19"/>
                <w:szCs w:val="19"/>
                <w:lang w:val="en-US" w:eastAsia="zh-CN" w:bidi="ar"/>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07" w:hRule="atLeast"/>
          <w:jc w:val="center"/>
        </w:trPr>
        <w:tc>
          <w:tcPr>
            <w:tcW w:w="857"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2</w:t>
            </w:r>
          </w:p>
        </w:tc>
        <w:tc>
          <w:tcPr>
            <w:tcW w:w="2261"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对社会单位安全风险评估数据质量进行线上核查</w:t>
            </w:r>
          </w:p>
          <w:p>
            <w:pPr>
              <w:suppressAutoHyphens/>
              <w:wordWrap/>
              <w:adjustRightInd w:val="0"/>
              <w:snapToGrid w:val="0"/>
              <w:jc w:val="center"/>
              <w:rPr>
                <w:rFonts w:ascii="宋体" w:hAnsi="宋体" w:eastAsia="宋体"/>
                <w:color w:val="auto"/>
                <w:sz w:val="20"/>
                <w:szCs w:val="20"/>
              </w:rPr>
            </w:pPr>
          </w:p>
        </w:tc>
        <w:tc>
          <w:tcPr>
            <w:tcW w:w="1317" w:type="dxa"/>
            <w:vAlign w:val="center"/>
          </w:tcPr>
          <w:p>
            <w:pPr>
              <w:widowControl/>
              <w:jc w:val="center"/>
              <w:rPr>
                <w:color w:val="auto"/>
              </w:rPr>
            </w:pPr>
            <w:r>
              <w:rPr>
                <w:rFonts w:hint="eastAsia" w:ascii="宋体" w:hAnsi="宋体" w:eastAsia="宋体" w:cs="宋体"/>
                <w:color w:val="auto"/>
                <w:kern w:val="0"/>
                <w:sz w:val="19"/>
                <w:szCs w:val="19"/>
                <w:lang w:bidi="ar"/>
              </w:rPr>
              <w:t>127.31</w:t>
            </w:r>
          </w:p>
          <w:p>
            <w:pPr>
              <w:suppressAutoHyphens/>
              <w:wordWrap/>
              <w:adjustRightInd w:val="0"/>
              <w:snapToGrid w:val="0"/>
              <w:jc w:val="center"/>
              <w:rPr>
                <w:rFonts w:ascii="宋体" w:hAnsi="宋体" w:eastAsia="宋体"/>
                <w:color w:val="auto"/>
                <w:sz w:val="20"/>
                <w:szCs w:val="20"/>
              </w:rPr>
            </w:pPr>
          </w:p>
        </w:tc>
        <w:tc>
          <w:tcPr>
            <w:tcW w:w="2834"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安全风险评估数据线上核查报告，要包含2000家非小微社会单位和1700 家小微社会单位线上核查记录，要包含安全风险数据、应急资源数据、社会单位风险评估诊断分级数据质量的多维度统计分析等内容，并对存在的共性问题进行提炼，提出对策建议措施。</w:t>
            </w:r>
          </w:p>
        </w:tc>
        <w:tc>
          <w:tcPr>
            <w:tcW w:w="1259" w:type="dxa"/>
            <w:vAlign w:val="center"/>
          </w:tcPr>
          <w:p>
            <w:pPr>
              <w:suppressAutoHyphens/>
              <w:wordWrap/>
              <w:adjustRightInd w:val="0"/>
              <w:snapToGrid w:val="0"/>
              <w:jc w:val="center"/>
              <w:rPr>
                <w:rFonts w:hint="default" w:ascii="宋体" w:hAnsi="宋体" w:eastAsia="宋体"/>
                <w:color w:val="auto"/>
                <w:sz w:val="20"/>
                <w:szCs w:val="20"/>
                <w:lang w:val="en-US" w:eastAsia="zh-CN"/>
              </w:rPr>
            </w:pPr>
            <w:r>
              <w:rPr>
                <w:rFonts w:hint="eastAsia" w:ascii="宋体" w:hAnsi="宋体" w:eastAsia="宋体" w:cs="宋体"/>
                <w:color w:val="auto"/>
                <w:kern w:val="0"/>
                <w:sz w:val="19"/>
                <w:szCs w:val="19"/>
                <w:lang w:eastAsia="zh-CN" w:bidi="ar"/>
              </w:rPr>
              <w:t>9</w:t>
            </w:r>
            <w:r>
              <w:rPr>
                <w:rFonts w:hint="eastAsia" w:ascii="宋体" w:hAnsi="宋体" w:eastAsia="宋体" w:cs="宋体"/>
                <w:color w:val="auto"/>
                <w:kern w:val="0"/>
                <w:sz w:val="19"/>
                <w:szCs w:val="19"/>
                <w:lang w:val="en-US" w:eastAsia="zh-CN" w:bidi="ar"/>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60" w:hRule="atLeast"/>
          <w:jc w:val="center"/>
        </w:trPr>
        <w:tc>
          <w:tcPr>
            <w:tcW w:w="857"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3</w:t>
            </w:r>
          </w:p>
        </w:tc>
        <w:tc>
          <w:tcPr>
            <w:tcW w:w="2261"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对社会单位安全风险评估工作质量进行现场核查</w:t>
            </w:r>
          </w:p>
          <w:p>
            <w:pPr>
              <w:suppressAutoHyphens/>
              <w:wordWrap/>
              <w:adjustRightInd w:val="0"/>
              <w:snapToGrid w:val="0"/>
              <w:jc w:val="center"/>
              <w:rPr>
                <w:rFonts w:ascii="宋体" w:hAnsi="宋体" w:eastAsia="宋体"/>
                <w:color w:val="auto"/>
                <w:sz w:val="20"/>
                <w:szCs w:val="20"/>
              </w:rPr>
            </w:pPr>
          </w:p>
        </w:tc>
        <w:tc>
          <w:tcPr>
            <w:tcW w:w="1317" w:type="dxa"/>
            <w:vAlign w:val="center"/>
          </w:tcPr>
          <w:p>
            <w:pPr>
              <w:widowControl/>
              <w:jc w:val="center"/>
              <w:rPr>
                <w:color w:val="auto"/>
              </w:rPr>
            </w:pPr>
            <w:r>
              <w:rPr>
                <w:rFonts w:hint="eastAsia" w:ascii="宋体" w:hAnsi="宋体" w:eastAsia="宋体" w:cs="宋体"/>
                <w:color w:val="auto"/>
                <w:kern w:val="0"/>
                <w:sz w:val="19"/>
                <w:szCs w:val="19"/>
                <w:lang w:bidi="ar"/>
              </w:rPr>
              <w:t>119.88</w:t>
            </w:r>
          </w:p>
          <w:p>
            <w:pPr>
              <w:suppressAutoHyphens/>
              <w:wordWrap/>
              <w:adjustRightInd w:val="0"/>
              <w:snapToGrid w:val="0"/>
              <w:jc w:val="center"/>
              <w:rPr>
                <w:rFonts w:ascii="宋体" w:hAnsi="宋体" w:eastAsia="宋体"/>
                <w:color w:val="auto"/>
                <w:sz w:val="20"/>
                <w:szCs w:val="20"/>
              </w:rPr>
            </w:pPr>
          </w:p>
        </w:tc>
        <w:tc>
          <w:tcPr>
            <w:tcW w:w="2834"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安全风险评估工作质量现场核查报告，要包含200家非小微社会单位现场核查记录，重点对核查社会单位的风险辨识的全面性、风险等级的准确性、管控措施的有效性和落实情况、风险评估报告编制的规范性等进行分析，对存在的问题进行梳理汇总，提出问题整改措施建议。</w:t>
            </w:r>
          </w:p>
        </w:tc>
        <w:tc>
          <w:tcPr>
            <w:tcW w:w="1259" w:type="dxa"/>
            <w:vAlign w:val="center"/>
          </w:tcPr>
          <w:p>
            <w:pPr>
              <w:suppressAutoHyphens/>
              <w:wordWrap/>
              <w:adjustRightInd w:val="0"/>
              <w:snapToGrid w:val="0"/>
              <w:jc w:val="center"/>
              <w:rPr>
                <w:rFonts w:hint="default" w:ascii="宋体" w:hAnsi="宋体" w:eastAsia="宋体"/>
                <w:color w:val="auto"/>
                <w:sz w:val="20"/>
                <w:szCs w:val="20"/>
                <w:lang w:val="en-US" w:eastAsia="zh-CN"/>
              </w:rPr>
            </w:pPr>
            <w:r>
              <w:rPr>
                <w:rFonts w:hint="eastAsia" w:ascii="宋体" w:hAnsi="宋体" w:eastAsia="宋体" w:cs="宋体"/>
                <w:color w:val="auto"/>
                <w:kern w:val="0"/>
                <w:sz w:val="19"/>
                <w:szCs w:val="19"/>
                <w:lang w:eastAsia="zh-CN" w:bidi="ar"/>
              </w:rPr>
              <w:t>9</w:t>
            </w:r>
            <w:r>
              <w:rPr>
                <w:rFonts w:hint="eastAsia" w:ascii="宋体" w:hAnsi="宋体" w:eastAsia="宋体" w:cs="宋体"/>
                <w:color w:val="auto"/>
                <w:kern w:val="0"/>
                <w:sz w:val="19"/>
                <w:szCs w:val="19"/>
                <w:lang w:val="en-US" w:eastAsia="zh-CN" w:bidi="ar"/>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60" w:hRule="atLeast"/>
          <w:jc w:val="center"/>
        </w:trPr>
        <w:tc>
          <w:tcPr>
            <w:tcW w:w="857"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4</w:t>
            </w:r>
          </w:p>
        </w:tc>
        <w:tc>
          <w:tcPr>
            <w:tcW w:w="2261"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编制全市安全风险评估数据汇总分析报告</w:t>
            </w:r>
          </w:p>
          <w:p>
            <w:pPr>
              <w:suppressAutoHyphens/>
              <w:wordWrap/>
              <w:adjustRightInd w:val="0"/>
              <w:snapToGrid w:val="0"/>
              <w:jc w:val="center"/>
              <w:rPr>
                <w:rFonts w:ascii="宋体" w:hAnsi="宋体" w:eastAsia="宋体"/>
                <w:color w:val="auto"/>
                <w:sz w:val="20"/>
                <w:szCs w:val="20"/>
              </w:rPr>
            </w:pPr>
          </w:p>
        </w:tc>
        <w:tc>
          <w:tcPr>
            <w:tcW w:w="1317" w:type="dxa"/>
            <w:vAlign w:val="center"/>
          </w:tcPr>
          <w:p>
            <w:pPr>
              <w:widowControl/>
              <w:jc w:val="center"/>
              <w:rPr>
                <w:color w:val="auto"/>
              </w:rPr>
            </w:pPr>
            <w:r>
              <w:rPr>
                <w:rFonts w:hint="eastAsia" w:ascii="宋体" w:hAnsi="宋体" w:eastAsia="宋体" w:cs="宋体"/>
                <w:color w:val="auto"/>
                <w:kern w:val="0"/>
                <w:sz w:val="19"/>
                <w:szCs w:val="19"/>
                <w:lang w:bidi="ar"/>
              </w:rPr>
              <w:t>67.93</w:t>
            </w:r>
          </w:p>
          <w:p>
            <w:pPr>
              <w:suppressAutoHyphens/>
              <w:wordWrap/>
              <w:adjustRightInd w:val="0"/>
              <w:snapToGrid w:val="0"/>
              <w:jc w:val="center"/>
              <w:rPr>
                <w:rFonts w:ascii="宋体" w:hAnsi="宋体" w:eastAsia="宋体"/>
                <w:color w:val="auto"/>
                <w:sz w:val="20"/>
                <w:szCs w:val="20"/>
              </w:rPr>
            </w:pPr>
          </w:p>
        </w:tc>
        <w:tc>
          <w:tcPr>
            <w:tcW w:w="2834"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全市重点行业领域安全风险评估数据汇总分析报告，要符合《北京市公共安全风险管理办法》(京应急委发(2021)2号)、《北京市安全生产风险管理实施指南》(京安办发(2021)15号)《北京市生产安全应急资源调查规范》要求，至少包括全市风险数据、应急资源调查数据、社会单位风险评估诊断分级等数据的汇总分析、问题分析、工作建议等内容。</w:t>
            </w:r>
          </w:p>
        </w:tc>
        <w:tc>
          <w:tcPr>
            <w:tcW w:w="1259" w:type="dxa"/>
            <w:vAlign w:val="center"/>
          </w:tcPr>
          <w:p>
            <w:pPr>
              <w:suppressAutoHyphens/>
              <w:wordWrap/>
              <w:adjustRightInd w:val="0"/>
              <w:snapToGrid w:val="0"/>
              <w:jc w:val="center"/>
              <w:rPr>
                <w:rFonts w:hint="default" w:ascii="宋体" w:hAnsi="宋体" w:eastAsia="宋体"/>
                <w:color w:val="auto"/>
                <w:sz w:val="20"/>
                <w:szCs w:val="20"/>
              </w:rPr>
            </w:pPr>
            <w:r>
              <w:rPr>
                <w:rFonts w:hint="eastAsia" w:ascii="宋体" w:hAnsi="宋体" w:eastAsia="宋体" w:cs="宋体"/>
                <w:color w:val="auto"/>
                <w:kern w:val="0"/>
                <w:sz w:val="19"/>
                <w:szCs w:val="19"/>
                <w:lang w:val="en-US" w:eastAsia="zh-CN" w:bidi="ar"/>
              </w:rPr>
              <w:t>65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60" w:hRule="atLeast"/>
          <w:jc w:val="center"/>
        </w:trPr>
        <w:tc>
          <w:tcPr>
            <w:tcW w:w="857"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5</w:t>
            </w:r>
          </w:p>
        </w:tc>
        <w:tc>
          <w:tcPr>
            <w:tcW w:w="2261"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编制北京市重点行业领域安全风险白皮书</w:t>
            </w:r>
          </w:p>
          <w:p>
            <w:pPr>
              <w:suppressAutoHyphens/>
              <w:wordWrap/>
              <w:adjustRightInd w:val="0"/>
              <w:snapToGrid w:val="0"/>
              <w:jc w:val="center"/>
              <w:rPr>
                <w:rFonts w:ascii="宋体" w:hAnsi="宋体" w:eastAsia="宋体"/>
                <w:color w:val="auto"/>
                <w:sz w:val="20"/>
                <w:szCs w:val="20"/>
              </w:rPr>
            </w:pPr>
          </w:p>
        </w:tc>
        <w:tc>
          <w:tcPr>
            <w:tcW w:w="1317" w:type="dxa"/>
            <w:vAlign w:val="center"/>
          </w:tcPr>
          <w:p>
            <w:pPr>
              <w:widowControl/>
              <w:jc w:val="center"/>
              <w:rPr>
                <w:color w:val="auto"/>
              </w:rPr>
            </w:pPr>
            <w:r>
              <w:rPr>
                <w:rFonts w:hint="eastAsia" w:ascii="宋体" w:hAnsi="宋体" w:eastAsia="宋体" w:cs="宋体"/>
                <w:color w:val="auto"/>
                <w:kern w:val="0"/>
                <w:sz w:val="19"/>
                <w:szCs w:val="19"/>
                <w:lang w:bidi="ar"/>
              </w:rPr>
              <w:t>50.43</w:t>
            </w:r>
          </w:p>
          <w:p>
            <w:pPr>
              <w:suppressAutoHyphens/>
              <w:wordWrap/>
              <w:adjustRightInd w:val="0"/>
              <w:snapToGrid w:val="0"/>
              <w:jc w:val="center"/>
              <w:rPr>
                <w:rFonts w:ascii="宋体" w:hAnsi="宋体" w:eastAsia="宋体"/>
                <w:color w:val="auto"/>
                <w:sz w:val="20"/>
                <w:szCs w:val="20"/>
              </w:rPr>
            </w:pPr>
          </w:p>
        </w:tc>
        <w:tc>
          <w:tcPr>
            <w:tcW w:w="2834"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北京市重点行业领域安全风险白皮书，要充分分析北京市城市安全风险评估相关成果资料及数据，体现政府在实现风险评估与隐患排查治理同推进，与预案管理相衔接，与精准执法和安责险服务共协同等方面的鲜明立场、政策措施、工作成果、工作成效和问题不足，能为市政府及相关部门、各区政府风险管理提供决策参考。</w:t>
            </w:r>
          </w:p>
        </w:tc>
        <w:tc>
          <w:tcPr>
            <w:tcW w:w="1259" w:type="dxa"/>
            <w:vAlign w:val="center"/>
          </w:tcPr>
          <w:p>
            <w:pPr>
              <w:suppressAutoHyphens/>
              <w:wordWrap/>
              <w:adjustRightInd w:val="0"/>
              <w:snapToGrid w:val="0"/>
              <w:jc w:val="center"/>
              <w:rPr>
                <w:rFonts w:hint="default" w:ascii="宋体" w:hAnsi="宋体" w:eastAsia="宋体"/>
                <w:color w:val="auto"/>
                <w:sz w:val="20"/>
                <w:szCs w:val="20"/>
              </w:rPr>
            </w:pPr>
            <w:r>
              <w:rPr>
                <w:rFonts w:hint="eastAsia" w:ascii="宋体" w:hAnsi="宋体" w:eastAsia="宋体" w:cs="宋体"/>
                <w:color w:val="auto"/>
                <w:kern w:val="0"/>
                <w:sz w:val="19"/>
                <w:szCs w:val="19"/>
                <w:lang w:eastAsia="zh-CN" w:bidi="ar"/>
              </w:rPr>
              <w:t>6</w:t>
            </w:r>
            <w:r>
              <w:rPr>
                <w:rFonts w:hint="eastAsia" w:ascii="宋体" w:hAnsi="宋体" w:eastAsia="宋体" w:cs="宋体"/>
                <w:color w:val="auto"/>
                <w:kern w:val="0"/>
                <w:sz w:val="19"/>
                <w:szCs w:val="19"/>
                <w:lang w:val="en-US" w:eastAsia="zh-CN" w:bidi="ar"/>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42" w:hRule="atLeast"/>
          <w:jc w:val="center"/>
        </w:trPr>
        <w:tc>
          <w:tcPr>
            <w:tcW w:w="857"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6</w:t>
            </w:r>
          </w:p>
        </w:tc>
        <w:tc>
          <w:tcPr>
            <w:tcW w:w="2261"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城市安全风险评估数据处理服务</w:t>
            </w:r>
          </w:p>
          <w:p>
            <w:pPr>
              <w:suppressAutoHyphens/>
              <w:wordWrap/>
              <w:adjustRightInd w:val="0"/>
              <w:snapToGrid w:val="0"/>
              <w:jc w:val="center"/>
              <w:rPr>
                <w:rFonts w:ascii="宋体" w:hAnsi="宋体" w:eastAsia="宋体"/>
                <w:color w:val="auto"/>
                <w:sz w:val="20"/>
                <w:szCs w:val="20"/>
              </w:rPr>
            </w:pPr>
          </w:p>
        </w:tc>
        <w:tc>
          <w:tcPr>
            <w:tcW w:w="1317" w:type="dxa"/>
            <w:vAlign w:val="center"/>
          </w:tcPr>
          <w:p>
            <w:pPr>
              <w:widowControl/>
              <w:jc w:val="center"/>
              <w:rPr>
                <w:color w:val="auto"/>
              </w:rPr>
            </w:pPr>
            <w:r>
              <w:rPr>
                <w:rFonts w:hint="eastAsia" w:ascii="宋体" w:hAnsi="宋体" w:eastAsia="宋体" w:cs="宋体"/>
                <w:color w:val="auto"/>
                <w:kern w:val="0"/>
                <w:sz w:val="19"/>
                <w:szCs w:val="19"/>
                <w:lang w:bidi="ar"/>
              </w:rPr>
              <w:t>98.40</w:t>
            </w:r>
          </w:p>
          <w:p>
            <w:pPr>
              <w:suppressAutoHyphens/>
              <w:wordWrap/>
              <w:adjustRightInd w:val="0"/>
              <w:snapToGrid w:val="0"/>
              <w:jc w:val="center"/>
              <w:rPr>
                <w:rFonts w:ascii="宋体" w:hAnsi="宋体" w:eastAsia="宋体"/>
                <w:color w:val="auto"/>
                <w:sz w:val="20"/>
                <w:szCs w:val="20"/>
              </w:rPr>
            </w:pPr>
          </w:p>
        </w:tc>
        <w:tc>
          <w:tcPr>
            <w:tcW w:w="2834"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城市安全风险评估数据服务，要满足市、区(管委会)、街乡三级政府和市、区两级行业部门以及社会单位等不同用户对城市安全风险管理有关数据的不同需求，包括帐户管理、数据填报、风险分析、风险等级模型计算、事故案例库完善、数据统计、查询、对接、更新、标准化等相关需求，风险地图和可视化产品要能体现出对大数据的挖掘与应用。</w:t>
            </w:r>
          </w:p>
        </w:tc>
        <w:tc>
          <w:tcPr>
            <w:tcW w:w="1259" w:type="dxa"/>
            <w:vAlign w:val="center"/>
          </w:tcPr>
          <w:p>
            <w:pPr>
              <w:suppressAutoHyphens/>
              <w:wordWrap/>
              <w:adjustRightInd w:val="0"/>
              <w:snapToGrid w:val="0"/>
              <w:jc w:val="center"/>
              <w:rPr>
                <w:rFonts w:hint="default" w:ascii="宋体" w:hAnsi="宋体" w:eastAsia="宋体"/>
                <w:color w:val="auto"/>
                <w:sz w:val="20"/>
                <w:szCs w:val="20"/>
                <w:lang w:val="en-US" w:eastAsia="zh-CN"/>
              </w:rPr>
            </w:pPr>
            <w:r>
              <w:rPr>
                <w:rFonts w:hint="eastAsia" w:ascii="宋体" w:hAnsi="宋体" w:eastAsia="宋体" w:cs="宋体"/>
                <w:color w:val="auto"/>
                <w:kern w:val="0"/>
                <w:sz w:val="19"/>
                <w:szCs w:val="19"/>
                <w:lang w:eastAsia="zh-CN" w:bidi="ar"/>
              </w:rPr>
              <w:t>9</w:t>
            </w:r>
            <w:r>
              <w:rPr>
                <w:rFonts w:hint="eastAsia" w:ascii="宋体" w:hAnsi="宋体" w:eastAsia="宋体" w:cs="宋体"/>
                <w:color w:val="auto"/>
                <w:kern w:val="0"/>
                <w:sz w:val="19"/>
                <w:szCs w:val="19"/>
                <w:lang w:val="en-US" w:eastAsia="zh-CN" w:bidi="ar"/>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4" w:hRule="atLeast"/>
          <w:jc w:val="center"/>
        </w:trPr>
        <w:tc>
          <w:tcPr>
            <w:tcW w:w="857" w:type="dxa"/>
            <w:vAlign w:val="center"/>
          </w:tcPr>
          <w:p>
            <w:pPr>
              <w:suppressAutoHyphens/>
              <w:wordWrap/>
              <w:adjustRightInd w:val="0"/>
              <w:snapToGrid w:val="0"/>
              <w:jc w:val="center"/>
              <w:rPr>
                <w:rFonts w:ascii="宋体" w:hAnsi="宋体" w:eastAsia="宋体"/>
                <w:b/>
                <w:bCs/>
                <w:color w:val="auto"/>
                <w:sz w:val="20"/>
                <w:szCs w:val="20"/>
              </w:rPr>
            </w:pPr>
            <w:r>
              <w:rPr>
                <w:rFonts w:hint="eastAsia" w:ascii="宋体" w:hAnsi="宋体" w:eastAsia="宋体"/>
                <w:b/>
                <w:bCs/>
                <w:color w:val="auto"/>
                <w:sz w:val="20"/>
                <w:szCs w:val="20"/>
              </w:rPr>
              <w:t>7</w:t>
            </w:r>
          </w:p>
        </w:tc>
        <w:tc>
          <w:tcPr>
            <w:tcW w:w="2261"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对相关市级部门和各区风险评估工作进行技术指导</w:t>
            </w:r>
          </w:p>
          <w:p>
            <w:pPr>
              <w:suppressAutoHyphens/>
              <w:wordWrap/>
              <w:adjustRightInd w:val="0"/>
              <w:snapToGrid w:val="0"/>
              <w:jc w:val="center"/>
              <w:rPr>
                <w:rFonts w:ascii="宋体" w:hAnsi="宋体" w:eastAsia="宋体"/>
                <w:color w:val="auto"/>
                <w:sz w:val="20"/>
                <w:szCs w:val="20"/>
              </w:rPr>
            </w:pPr>
          </w:p>
        </w:tc>
        <w:tc>
          <w:tcPr>
            <w:tcW w:w="1317"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54.984</w:t>
            </w:r>
          </w:p>
          <w:p>
            <w:pPr>
              <w:suppressAutoHyphens/>
              <w:wordWrap/>
              <w:adjustRightInd w:val="0"/>
              <w:snapToGrid w:val="0"/>
              <w:jc w:val="center"/>
              <w:rPr>
                <w:rFonts w:ascii="宋体" w:hAnsi="宋体" w:eastAsia="宋体"/>
                <w:color w:val="auto"/>
                <w:sz w:val="20"/>
                <w:szCs w:val="20"/>
              </w:rPr>
            </w:pPr>
          </w:p>
        </w:tc>
        <w:tc>
          <w:tcPr>
            <w:tcW w:w="2834" w:type="dxa"/>
            <w:vAlign w:val="center"/>
          </w:tcPr>
          <w:p>
            <w:pPr>
              <w:suppressAutoHyphens/>
              <w:wordWrap/>
              <w:adjustRightInd w:val="0"/>
              <w:snapToGrid w:val="0"/>
              <w:jc w:val="center"/>
              <w:rPr>
                <w:rFonts w:ascii="宋体" w:hAnsi="宋体" w:eastAsia="宋体"/>
                <w:b/>
                <w:bCs/>
                <w:color w:val="auto"/>
                <w:sz w:val="20"/>
                <w:szCs w:val="20"/>
              </w:rPr>
            </w:pPr>
            <w:r>
              <w:rPr>
                <w:rFonts w:hint="eastAsia" w:ascii="宋体" w:hAnsi="宋体" w:eastAsia="宋体"/>
                <w:color w:val="auto"/>
                <w:sz w:val="20"/>
                <w:szCs w:val="20"/>
              </w:rPr>
              <w:t>指导相关市级部门和各区开展风险评估工作，指导服务范围要涵盖住房城乡建设委、市城市管理委、市水务局、市交通委、市商务局、市文化和旅游局、市应急局、市体育局、市园林绿化局、市教委、市卫生健康委、市民政局等12个市级行业部门、16个各区、经济技术开发区管委会等部门，指导内容应包括受自然灾害影响因素风险评估、社会单位风险评估诊断分级、行业安全风险评估、区域整体风险评估、重大安全风险评估论证机制建立等内容。</w:t>
            </w:r>
          </w:p>
        </w:tc>
        <w:tc>
          <w:tcPr>
            <w:tcW w:w="1259" w:type="dxa"/>
            <w:vAlign w:val="center"/>
          </w:tcPr>
          <w:p>
            <w:pPr>
              <w:suppressAutoHyphens/>
              <w:wordWrap/>
              <w:adjustRightInd w:val="0"/>
              <w:snapToGrid w:val="0"/>
              <w:jc w:val="center"/>
              <w:rPr>
                <w:rFonts w:hint="default" w:ascii="宋体" w:hAnsi="宋体" w:eastAsia="宋体"/>
                <w:b/>
                <w:bCs/>
                <w:color w:val="auto"/>
                <w:sz w:val="20"/>
                <w:szCs w:val="20"/>
              </w:rPr>
            </w:pPr>
            <w:r>
              <w:rPr>
                <w:rFonts w:hint="eastAsia" w:ascii="宋体" w:hAnsi="宋体" w:eastAsia="宋体"/>
                <w:color w:val="auto"/>
                <w:sz w:val="20"/>
                <w:szCs w:val="20"/>
                <w:lang w:eastAsia="zh-CN"/>
              </w:rPr>
              <w:t>7</w:t>
            </w:r>
            <w:r>
              <w:rPr>
                <w:rFonts w:hint="eastAsia" w:ascii="宋体" w:hAnsi="宋体" w:eastAsia="宋体"/>
                <w:color w:val="auto"/>
                <w:sz w:val="20"/>
                <w:szCs w:val="20"/>
                <w:lang w:val="en-US" w:eastAsia="zh-CN"/>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4" w:hRule="atLeast"/>
          <w:jc w:val="center"/>
        </w:trPr>
        <w:tc>
          <w:tcPr>
            <w:tcW w:w="857" w:type="dxa"/>
            <w:vAlign w:val="center"/>
          </w:tcPr>
          <w:p>
            <w:pPr>
              <w:suppressAutoHyphens/>
              <w:wordWrap/>
              <w:adjustRightInd w:val="0"/>
              <w:snapToGrid w:val="0"/>
              <w:jc w:val="center"/>
              <w:rPr>
                <w:rFonts w:ascii="宋体" w:hAnsi="宋体" w:eastAsia="宋体"/>
                <w:b/>
                <w:bCs/>
                <w:color w:val="auto"/>
                <w:sz w:val="20"/>
                <w:szCs w:val="20"/>
              </w:rPr>
            </w:pPr>
            <w:r>
              <w:rPr>
                <w:rFonts w:hint="eastAsia" w:ascii="宋体" w:hAnsi="宋体" w:eastAsia="宋体"/>
                <w:b/>
                <w:bCs/>
                <w:color w:val="auto"/>
                <w:sz w:val="20"/>
                <w:szCs w:val="20"/>
              </w:rPr>
              <w:t>8</w:t>
            </w:r>
          </w:p>
        </w:tc>
        <w:tc>
          <w:tcPr>
            <w:tcW w:w="2261"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修订地方标准《生产经营单位安全生产风险评估规范》</w:t>
            </w:r>
          </w:p>
        </w:tc>
        <w:tc>
          <w:tcPr>
            <w:tcW w:w="1317" w:type="dxa"/>
            <w:vAlign w:val="center"/>
          </w:tcPr>
          <w:p>
            <w:pPr>
              <w:suppressAutoHyphens/>
              <w:wordWrap/>
              <w:adjustRightInd w:val="0"/>
              <w:snapToGrid w:val="0"/>
              <w:jc w:val="center"/>
              <w:rPr>
                <w:rFonts w:ascii="宋体" w:hAnsi="宋体" w:eastAsia="宋体"/>
                <w:color w:val="auto"/>
                <w:sz w:val="20"/>
                <w:szCs w:val="20"/>
              </w:rPr>
            </w:pPr>
            <w:r>
              <w:rPr>
                <w:rFonts w:hint="eastAsia" w:ascii="宋体" w:hAnsi="宋体" w:eastAsia="宋体"/>
                <w:color w:val="auto"/>
                <w:sz w:val="20"/>
                <w:szCs w:val="20"/>
              </w:rPr>
              <w:t>5.08</w:t>
            </w:r>
          </w:p>
        </w:tc>
        <w:tc>
          <w:tcPr>
            <w:tcW w:w="2834" w:type="dxa"/>
            <w:vAlign w:val="center"/>
          </w:tcPr>
          <w:p>
            <w:pPr>
              <w:suppressAutoHyphens/>
              <w:wordWrap/>
              <w:adjustRightInd w:val="0"/>
              <w:snapToGrid w:val="0"/>
              <w:jc w:val="center"/>
              <w:rPr>
                <w:rFonts w:ascii="宋体" w:hAnsi="宋体" w:eastAsia="宋体"/>
                <w:b/>
                <w:bCs/>
                <w:color w:val="auto"/>
                <w:sz w:val="20"/>
                <w:szCs w:val="20"/>
              </w:rPr>
            </w:pPr>
            <w:r>
              <w:rPr>
                <w:rFonts w:hint="eastAsia" w:ascii="宋体" w:hAnsi="宋体" w:eastAsia="宋体"/>
                <w:color w:val="auto"/>
                <w:sz w:val="20"/>
                <w:szCs w:val="20"/>
              </w:rPr>
              <w:t>《生产经营单位安全生产风险评估规范》(送审稿),要符合相关法律法规和标准规范对社会单位(含生产经营单位)开展风险评估工作的最新要求，以及北京市安全风险评估工作的实际，内容明确、逻辑严密，语言规范，具备较强的适用性和可操作性。</w:t>
            </w:r>
          </w:p>
        </w:tc>
        <w:tc>
          <w:tcPr>
            <w:tcW w:w="1259" w:type="dxa"/>
            <w:vAlign w:val="center"/>
          </w:tcPr>
          <w:p>
            <w:pPr>
              <w:suppressAutoHyphens/>
              <w:wordWrap/>
              <w:adjustRightInd w:val="0"/>
              <w:snapToGrid w:val="0"/>
              <w:jc w:val="center"/>
              <w:rPr>
                <w:rFonts w:hint="default" w:ascii="宋体" w:hAnsi="宋体" w:eastAsia="宋体"/>
                <w:b/>
                <w:bCs/>
                <w:color w:val="auto"/>
                <w:sz w:val="20"/>
                <w:szCs w:val="20"/>
              </w:rPr>
            </w:pPr>
            <w:r>
              <w:rPr>
                <w:rFonts w:hint="eastAsia" w:ascii="宋体" w:hAnsi="宋体" w:eastAsia="宋体"/>
                <w:color w:val="auto"/>
                <w:sz w:val="20"/>
                <w:szCs w:val="20"/>
                <w:lang w:eastAsia="zh-CN"/>
              </w:rPr>
              <w:t>2</w:t>
            </w:r>
            <w:r>
              <w:rPr>
                <w:rFonts w:hint="eastAsia" w:ascii="宋体" w:hAnsi="宋体" w:eastAsia="宋体"/>
                <w:color w:val="auto"/>
                <w:sz w:val="20"/>
                <w:szCs w:val="20"/>
                <w:lang w:val="en-US" w:eastAsia="zh-CN"/>
              </w:rPr>
              <w:t>5.5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4" w:hRule="atLeast"/>
          <w:jc w:val="center"/>
        </w:trPr>
        <w:tc>
          <w:tcPr>
            <w:tcW w:w="857" w:type="dxa"/>
            <w:vAlign w:val="center"/>
          </w:tcPr>
          <w:p>
            <w:pPr>
              <w:suppressAutoHyphens/>
              <w:wordWrap/>
              <w:adjustRightInd w:val="0"/>
              <w:snapToGrid w:val="0"/>
              <w:ind w:left="0" w:leftChars="0" w:firstLine="0" w:firstLineChars="0"/>
              <w:jc w:val="both"/>
              <w:rPr>
                <w:rFonts w:ascii="宋体" w:hAnsi="宋体" w:eastAsia="宋体"/>
                <w:b/>
                <w:bCs/>
                <w:color w:val="auto"/>
                <w:sz w:val="20"/>
                <w:szCs w:val="20"/>
              </w:rPr>
            </w:pPr>
            <w:r>
              <w:rPr>
                <w:rFonts w:hint="eastAsia" w:ascii="宋体" w:hAnsi="宋体" w:eastAsia="宋体"/>
                <w:b/>
                <w:bCs/>
                <w:color w:val="auto"/>
                <w:sz w:val="20"/>
                <w:szCs w:val="20"/>
              </w:rPr>
              <w:t>总计</w:t>
            </w:r>
          </w:p>
        </w:tc>
        <w:tc>
          <w:tcPr>
            <w:tcW w:w="2261" w:type="dxa"/>
            <w:vAlign w:val="center"/>
          </w:tcPr>
          <w:p>
            <w:pPr>
              <w:suppressAutoHyphens/>
              <w:wordWrap/>
              <w:adjustRightInd w:val="0"/>
              <w:snapToGrid w:val="0"/>
              <w:jc w:val="center"/>
              <w:rPr>
                <w:rFonts w:ascii="宋体" w:hAnsi="宋体" w:eastAsia="宋体"/>
                <w:b/>
                <w:bCs/>
                <w:color w:val="auto"/>
                <w:sz w:val="20"/>
                <w:szCs w:val="20"/>
              </w:rPr>
            </w:pPr>
            <w:r>
              <w:rPr>
                <w:rFonts w:hint="eastAsia" w:ascii="宋体" w:hAnsi="宋体" w:eastAsia="宋体"/>
                <w:b/>
                <w:bCs/>
                <w:color w:val="auto"/>
                <w:sz w:val="20"/>
                <w:szCs w:val="20"/>
              </w:rPr>
              <w:t>——</w:t>
            </w:r>
          </w:p>
        </w:tc>
        <w:tc>
          <w:tcPr>
            <w:tcW w:w="1317" w:type="dxa"/>
            <w:vAlign w:val="center"/>
          </w:tcPr>
          <w:p>
            <w:pPr>
              <w:suppressAutoHyphens/>
              <w:wordWrap/>
              <w:adjustRightInd w:val="0"/>
              <w:snapToGrid w:val="0"/>
              <w:ind w:left="0" w:leftChars="0" w:firstLine="201" w:firstLineChars="100"/>
              <w:jc w:val="both"/>
              <w:rPr>
                <w:rFonts w:ascii="宋体" w:hAnsi="宋体" w:eastAsia="宋体"/>
                <w:b/>
                <w:bCs/>
                <w:color w:val="auto"/>
                <w:sz w:val="20"/>
                <w:szCs w:val="20"/>
              </w:rPr>
            </w:pPr>
            <w:r>
              <w:rPr>
                <w:rFonts w:hint="eastAsia" w:ascii="宋体" w:hAnsi="宋体" w:eastAsia="宋体"/>
                <w:b/>
                <w:bCs/>
                <w:color w:val="auto"/>
                <w:sz w:val="20"/>
                <w:szCs w:val="20"/>
              </w:rPr>
              <w:t>571.934</w:t>
            </w:r>
          </w:p>
        </w:tc>
        <w:tc>
          <w:tcPr>
            <w:tcW w:w="2834" w:type="dxa"/>
            <w:vAlign w:val="center"/>
          </w:tcPr>
          <w:p>
            <w:pPr>
              <w:suppressAutoHyphens/>
              <w:wordWrap/>
              <w:adjustRightInd w:val="0"/>
              <w:snapToGrid w:val="0"/>
              <w:jc w:val="center"/>
              <w:rPr>
                <w:rFonts w:ascii="宋体" w:hAnsi="宋体" w:eastAsia="宋体"/>
                <w:b/>
                <w:bCs/>
                <w:color w:val="auto"/>
                <w:sz w:val="20"/>
                <w:szCs w:val="20"/>
              </w:rPr>
            </w:pPr>
            <w:r>
              <w:rPr>
                <w:rFonts w:hint="eastAsia" w:ascii="宋体" w:hAnsi="宋体" w:eastAsia="宋体"/>
                <w:b/>
                <w:bCs/>
                <w:color w:val="auto"/>
                <w:sz w:val="20"/>
                <w:szCs w:val="20"/>
              </w:rPr>
              <w:t>——</w:t>
            </w:r>
          </w:p>
        </w:tc>
        <w:tc>
          <w:tcPr>
            <w:tcW w:w="1259" w:type="dxa"/>
            <w:vAlign w:val="center"/>
          </w:tcPr>
          <w:p>
            <w:pPr>
              <w:suppressAutoHyphens/>
              <w:wordWrap/>
              <w:adjustRightInd w:val="0"/>
              <w:snapToGrid w:val="0"/>
              <w:jc w:val="center"/>
              <w:rPr>
                <w:rFonts w:ascii="宋体" w:hAnsi="宋体" w:eastAsia="宋体"/>
                <w:b/>
                <w:bCs/>
                <w:color w:val="auto"/>
                <w:sz w:val="20"/>
                <w:szCs w:val="20"/>
              </w:rPr>
            </w:pPr>
            <w:r>
              <w:rPr>
                <w:rFonts w:hint="eastAsia" w:ascii="宋体" w:hAnsi="宋体" w:eastAsia="宋体"/>
                <w:b/>
                <w:bCs/>
                <w:color w:val="auto"/>
                <w:sz w:val="20"/>
                <w:szCs w:val="20"/>
              </w:rPr>
              <w:t>571.5</w:t>
            </w:r>
          </w:p>
        </w:tc>
      </w:tr>
    </w:tbl>
    <w:p>
      <w:pPr>
        <w:suppressAutoHyphens/>
        <w:wordWrap/>
        <w:adjustRightInd w:val="0"/>
        <w:snapToGrid w:val="0"/>
        <w:ind w:firstLine="640" w:firstLineChars="200"/>
        <w:rPr>
          <w:color w:val="auto"/>
          <w:sz w:val="32"/>
          <w:szCs w:val="24"/>
        </w:rPr>
      </w:pPr>
    </w:p>
    <w:p>
      <w:pPr>
        <w:wordWrap w:val="0"/>
        <w:adjustRightInd w:val="0"/>
        <w:snapToGrid w:val="0"/>
        <w:spacing w:before="0" w:beforeLines="-2147483648" w:after="0" w:afterLines="-2147483648" w:line="360" w:lineRule="auto"/>
        <w:ind w:firstLine="561" w:firstLineChars="0"/>
        <w:outlineLvl w:val="1"/>
        <w:rPr>
          <w:rFonts w:hint="eastAsia" w:ascii="仿宋_GB2312" w:hAnsi="Malgun Gothic" w:eastAsia="仿宋_GB2312" w:cs="Malgun Gothic"/>
          <w:sz w:val="32"/>
          <w:szCs w:val="32"/>
        </w:rPr>
      </w:pPr>
      <w:bookmarkStart w:id="21" w:name="_Toc25443"/>
      <w:r>
        <w:rPr>
          <w:rFonts w:hint="eastAsia" w:ascii="仿宋_GB2312" w:hAnsi="Malgun Gothic" w:eastAsia="仿宋_GB2312" w:cs="Malgun Gothic"/>
          <w:sz w:val="32"/>
          <w:szCs w:val="32"/>
        </w:rPr>
        <w:t>（二）项目绩效目标</w:t>
      </w:r>
      <w:bookmarkEnd w:id="17"/>
      <w:bookmarkEnd w:id="18"/>
      <w:bookmarkEnd w:id="19"/>
      <w:bookmarkEnd w:id="20"/>
      <w:bookmarkEnd w:id="21"/>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bookmarkStart w:id="22" w:name="_Toc336506958"/>
      <w:bookmarkStart w:id="23" w:name="_Toc336506893"/>
      <w:r>
        <w:rPr>
          <w:rFonts w:hint="eastAsia" w:ascii="仿宋_GB2312" w:hAnsi="Malgun Gothic" w:eastAsia="仿宋_GB2312" w:cs="Malgun Gothic"/>
          <w:sz w:val="32"/>
          <w:szCs w:val="32"/>
        </w:rPr>
        <w:t>年度绩效目标： 深化和拓展城市安全风险评估工作，进一步筑牢风险防范基础，在既有城市安全风险评估工作成果基础上，持续巩固工作成果，夯实工作基础，健全工作机制，完善责任体系，推进城市安全风险评估向广度和深度“双拓展”，推动行业、属地、社会单位城市安全风险评估能力和质量“双提升”，有效评估、管控各类安全风险，深入落实安全风险分级管控制度，从源头防范化解重大安全风险，不断提升城市风险管理水平，为北京市率先基本实现社会主义现代化提供坚实的安全保障。2023年，每季度持续对重点行业领域安全风险形势和受自然灾害因素影响风险进行分析研判，提出对策建议，督促各部门、各区加强风险管理工作；通过线上核查和现场检查，进一步规范企业安全风险管理工作，提升工作质量，推动各单位落实风险管理责任；编制全市重点行业领域安全风险评估数据汇总分析报告，有效掌握全市各行业的安全风险状况提供支撑；编制白皮书，按照惯例印发各部门、各区，为各单位做好风险管控提供决策参考；城市安全风险评估数据服务，强化对风险大数据的挖掘与应用，为各单位提供有力数据支撑；对相关市级部门和各区风险评估工作进行技术指导，推动自然灾害因素对生产经营活动和城市运行安全保障的影响的风险评估、生产经营单位风险评估诊断分级，区域整体性安全风险等级评估、重大安全风险评估论证机制建立等工作开展；修订地方标准《生产经营单位安全生产风险评估规范》（DB11/T1478-2017），通过对安全风险评估工作的流程、评估内容、方法标准等优化完善，为生产经营单位风险评估与管控工作提供更具科学性、通用性和首都特色的技术指引。</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具体绩效指标见表2。</w:t>
      </w:r>
    </w:p>
    <w:p>
      <w:pPr>
        <w:wordWrap/>
        <w:adjustRightInd w:val="0"/>
        <w:snapToGrid w:val="0"/>
        <w:spacing w:line="360" w:lineRule="auto"/>
        <w:jc w:val="center"/>
        <w:rPr>
          <w:rFonts w:ascii="黑体" w:eastAsia="黑体"/>
          <w:iCs/>
          <w:color w:val="auto"/>
          <w:sz w:val="28"/>
          <w:szCs w:val="24"/>
        </w:rPr>
      </w:pPr>
      <w:r>
        <w:rPr>
          <w:rFonts w:ascii="黑体" w:eastAsia="黑体"/>
          <w:iCs/>
          <w:color w:val="auto"/>
          <w:sz w:val="28"/>
          <w:szCs w:val="24"/>
        </w:rPr>
        <w:t>表</w:t>
      </w:r>
      <w:r>
        <w:rPr>
          <w:rFonts w:hint="eastAsia" w:ascii="黑体" w:eastAsia="黑体"/>
          <w:iCs/>
          <w:color w:val="auto"/>
          <w:sz w:val="28"/>
          <w:szCs w:val="24"/>
        </w:rPr>
        <w:t>2</w:t>
      </w:r>
      <w:r>
        <w:rPr>
          <w:rFonts w:ascii="黑体" w:eastAsia="黑体"/>
          <w:iCs/>
          <w:color w:val="auto"/>
          <w:sz w:val="28"/>
          <w:szCs w:val="24"/>
        </w:rPr>
        <w:t>：项目</w:t>
      </w:r>
      <w:r>
        <w:rPr>
          <w:rFonts w:hint="eastAsia" w:ascii="黑体" w:eastAsia="黑体"/>
          <w:iCs/>
          <w:color w:val="auto"/>
          <w:sz w:val="28"/>
          <w:szCs w:val="24"/>
        </w:rPr>
        <w:t>绩效</w:t>
      </w:r>
      <w:r>
        <w:rPr>
          <w:rFonts w:ascii="黑体" w:eastAsia="黑体"/>
          <w:iCs/>
          <w:color w:val="auto"/>
          <w:sz w:val="28"/>
          <w:szCs w:val="24"/>
        </w:rPr>
        <w:t>指标表</w:t>
      </w:r>
    </w:p>
    <w:tbl>
      <w:tblPr>
        <w:tblStyle w:val="4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3"/>
        <w:gridCol w:w="1133"/>
        <w:gridCol w:w="4390"/>
        <w:gridCol w:w="23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tblHeader/>
          <w:jc w:val="center"/>
        </w:trPr>
        <w:tc>
          <w:tcPr>
            <w:tcW w:w="395"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b/>
                <w:color w:val="auto"/>
                <w:kern w:val="0"/>
                <w:sz w:val="20"/>
                <w:szCs w:val="20"/>
              </w:rPr>
            </w:pPr>
            <w:bookmarkStart w:id="24" w:name="_Toc18516"/>
            <w:bookmarkStart w:id="25" w:name="_Toc26968"/>
            <w:r>
              <w:rPr>
                <w:rFonts w:ascii="宋体" w:hAnsi="宋体" w:eastAsia="宋体" w:cs="Courier New"/>
                <w:b/>
                <w:color w:val="auto"/>
                <w:kern w:val="0"/>
                <w:sz w:val="20"/>
                <w:szCs w:val="20"/>
              </w:rPr>
              <w:t>一级指标</w:t>
            </w: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b/>
                <w:color w:val="auto"/>
                <w:kern w:val="0"/>
                <w:sz w:val="20"/>
                <w:szCs w:val="20"/>
              </w:rPr>
            </w:pPr>
            <w:r>
              <w:rPr>
                <w:rFonts w:ascii="宋体" w:hAnsi="宋体" w:eastAsia="宋体" w:cs="Courier New"/>
                <w:b/>
                <w:color w:val="auto"/>
                <w:kern w:val="0"/>
                <w:sz w:val="20"/>
                <w:szCs w:val="20"/>
              </w:rPr>
              <w:t>二级指标</w:t>
            </w:r>
          </w:p>
        </w:tc>
        <w:tc>
          <w:tcPr>
            <w:tcW w:w="2573" w:type="pct"/>
            <w:shd w:val="clear" w:color="auto" w:fill="auto"/>
            <w:vAlign w:val="center"/>
          </w:tcPr>
          <w:p>
            <w:pPr>
              <w:widowControl/>
              <w:wordWrap/>
              <w:adjustRightInd w:val="0"/>
              <w:snapToGrid w:val="0"/>
              <w:ind w:firstLine="1606" w:firstLineChars="800"/>
              <w:jc w:val="both"/>
              <w:rPr>
                <w:rFonts w:ascii="宋体" w:hAnsi="宋体" w:eastAsia="宋体" w:cs="Courier New"/>
                <w:b/>
                <w:color w:val="auto"/>
                <w:kern w:val="0"/>
                <w:sz w:val="20"/>
                <w:szCs w:val="20"/>
              </w:rPr>
            </w:pPr>
            <w:r>
              <w:rPr>
                <w:rFonts w:ascii="宋体" w:hAnsi="宋体" w:eastAsia="宋体" w:cs="Courier New"/>
                <w:b/>
                <w:color w:val="auto"/>
                <w:kern w:val="0"/>
                <w:sz w:val="20"/>
                <w:szCs w:val="20"/>
              </w:rPr>
              <w:t>三级指标</w:t>
            </w:r>
          </w:p>
        </w:tc>
        <w:tc>
          <w:tcPr>
            <w:tcW w:w="1366" w:type="pct"/>
            <w:shd w:val="clear" w:color="auto" w:fill="auto"/>
            <w:vAlign w:val="center"/>
          </w:tcPr>
          <w:p>
            <w:pPr>
              <w:widowControl/>
              <w:wordWrap/>
              <w:adjustRightInd w:val="0"/>
              <w:snapToGrid w:val="0"/>
              <w:ind w:firstLine="803" w:firstLineChars="400"/>
              <w:jc w:val="both"/>
              <w:rPr>
                <w:rFonts w:ascii="宋体" w:hAnsi="宋体" w:eastAsia="宋体" w:cs="宋体"/>
                <w:b/>
                <w:color w:val="auto"/>
                <w:kern w:val="0"/>
                <w:sz w:val="20"/>
                <w:szCs w:val="20"/>
              </w:rPr>
            </w:pPr>
            <w:r>
              <w:rPr>
                <w:rFonts w:hint="eastAsia" w:ascii="宋体" w:hAnsi="宋体" w:eastAsia="宋体" w:cs="宋体"/>
                <w:b/>
                <w:color w:val="auto"/>
                <w:kern w:val="0"/>
                <w:sz w:val="20"/>
                <w:szCs w:val="20"/>
              </w:rPr>
              <w:t>指标值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restar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hint="eastAsia" w:ascii="宋体" w:hAnsi="宋体" w:eastAsia="宋体" w:cs="Courier New"/>
                <w:color w:val="auto"/>
                <w:kern w:val="0"/>
                <w:sz w:val="20"/>
                <w:szCs w:val="20"/>
              </w:rPr>
              <w:t>产出指标</w:t>
            </w: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ascii="宋体" w:hAnsi="宋体" w:eastAsia="宋体" w:cs="Courier New"/>
                <w:color w:val="auto"/>
                <w:kern w:val="0"/>
                <w:sz w:val="20"/>
                <w:szCs w:val="20"/>
              </w:rPr>
              <w:t>数量指标</w:t>
            </w:r>
          </w:p>
        </w:tc>
        <w:tc>
          <w:tcPr>
            <w:tcW w:w="2573" w:type="pct"/>
            <w:shd w:val="clear" w:color="auto" w:fill="auto"/>
            <w:noWrap/>
            <w:vAlign w:val="center"/>
          </w:tcPr>
          <w:p>
            <w:pPr>
              <w:widowControl/>
              <w:jc w:val="left"/>
              <w:textAlignment w:val="center"/>
              <w:rPr>
                <w:rFonts w:ascii="宋体" w:hAnsi="宋体" w:eastAsia="宋体" w:cs="宋体"/>
                <w:color w:val="auto"/>
                <w:kern w:val="0"/>
                <w:sz w:val="20"/>
                <w:szCs w:val="20"/>
              </w:rPr>
            </w:pPr>
            <w:r>
              <w:rPr>
                <w:rFonts w:hint="eastAsia" w:ascii="宋体" w:hAnsi="宋体" w:eastAsia="宋体" w:cs="宋体"/>
                <w:color w:val="auto"/>
                <w:kern w:val="0"/>
                <w:sz w:val="20"/>
                <w:szCs w:val="20"/>
                <w:lang w:bidi="ar"/>
              </w:rPr>
              <w:t>安全风险评估工作质量现场抽查报告</w:t>
            </w:r>
          </w:p>
        </w:tc>
        <w:tc>
          <w:tcPr>
            <w:tcW w:w="1366" w:type="pct"/>
            <w:shd w:val="clear" w:color="auto" w:fill="auto"/>
            <w:noWrap/>
            <w:vAlign w:val="center"/>
          </w:tcPr>
          <w:p>
            <w:pPr>
              <w:widowControl/>
              <w:jc w:val="center"/>
              <w:textAlignment w:val="center"/>
              <w:rPr>
                <w:rFonts w:ascii="宋体" w:hAnsi="宋体" w:eastAsia="宋体" w:cs="宋体"/>
                <w:color w:val="auto"/>
                <w:kern w:val="0"/>
                <w:sz w:val="20"/>
                <w:szCs w:val="20"/>
              </w:rPr>
            </w:pPr>
            <w:r>
              <w:rPr>
                <w:rFonts w:hint="eastAsia" w:ascii="宋体" w:hAnsi="宋体" w:eastAsia="宋体" w:cs="宋体"/>
                <w:color w:val="auto"/>
                <w:kern w:val="0"/>
                <w:sz w:val="24"/>
                <w:szCs w:val="24"/>
                <w:lang w:bidi="ar"/>
              </w:rPr>
              <w:t>＝1份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adjustRightInd w:val="0"/>
              <w:snapToGrid w:val="0"/>
              <w:jc w:val="center"/>
              <w:rPr>
                <w:rFonts w:ascii="宋体" w:hAnsi="宋体" w:eastAsia="宋体" w:cs="Courier New"/>
                <w:color w:val="auto"/>
                <w:kern w:val="0"/>
                <w:sz w:val="20"/>
                <w:szCs w:val="20"/>
              </w:rPr>
            </w:pP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ascii="宋体" w:hAnsi="宋体" w:eastAsia="宋体" w:cs="Courier New"/>
                <w:color w:val="auto"/>
                <w:kern w:val="0"/>
                <w:sz w:val="20"/>
                <w:szCs w:val="20"/>
              </w:rPr>
              <w:t>数量指标</w:t>
            </w:r>
          </w:p>
        </w:tc>
        <w:tc>
          <w:tcPr>
            <w:tcW w:w="2573" w:type="pct"/>
            <w:shd w:val="clear" w:color="auto" w:fill="auto"/>
            <w:noWrap/>
            <w:vAlign w:val="center"/>
          </w:tcPr>
          <w:p>
            <w:pPr>
              <w:widowControl/>
              <w:jc w:val="left"/>
              <w:textAlignment w:val="center"/>
              <w:rPr>
                <w:rFonts w:ascii="宋体" w:hAnsi="宋体" w:eastAsia="宋体" w:cs="宋体"/>
                <w:color w:val="auto"/>
                <w:kern w:val="0"/>
                <w:sz w:val="20"/>
                <w:szCs w:val="20"/>
              </w:rPr>
            </w:pPr>
            <w:r>
              <w:rPr>
                <w:rFonts w:hint="eastAsia" w:ascii="宋体" w:hAnsi="宋体" w:eastAsia="宋体" w:cs="宋体"/>
                <w:color w:val="auto"/>
                <w:kern w:val="0"/>
                <w:sz w:val="20"/>
                <w:szCs w:val="20"/>
                <w:lang w:bidi="ar"/>
              </w:rPr>
              <w:t>安全风险评估数据线上核查报告</w:t>
            </w:r>
          </w:p>
        </w:tc>
        <w:tc>
          <w:tcPr>
            <w:tcW w:w="1366" w:type="pct"/>
            <w:shd w:val="clear" w:color="auto" w:fill="auto"/>
            <w:noWrap/>
            <w:vAlign w:val="center"/>
          </w:tcPr>
          <w:p>
            <w:pPr>
              <w:widowControl/>
              <w:jc w:val="center"/>
              <w:textAlignment w:val="center"/>
              <w:rPr>
                <w:rFonts w:ascii="宋体" w:hAnsi="宋体" w:eastAsia="宋体"/>
                <w:color w:val="auto"/>
                <w:sz w:val="20"/>
                <w:szCs w:val="20"/>
              </w:rPr>
            </w:pPr>
            <w:r>
              <w:rPr>
                <w:rFonts w:hint="eastAsia" w:ascii="宋体" w:hAnsi="宋体" w:eastAsia="宋体" w:cs="宋体"/>
                <w:color w:val="auto"/>
                <w:kern w:val="0"/>
                <w:sz w:val="24"/>
                <w:szCs w:val="24"/>
                <w:lang w:bidi="ar"/>
              </w:rPr>
              <w:t>＝1份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adjustRightInd w:val="0"/>
              <w:snapToGrid w:val="0"/>
              <w:jc w:val="center"/>
              <w:rPr>
                <w:rFonts w:ascii="宋体" w:hAnsi="宋体" w:eastAsia="宋体" w:cs="Courier New"/>
                <w:color w:val="auto"/>
                <w:kern w:val="0"/>
                <w:sz w:val="20"/>
                <w:szCs w:val="20"/>
              </w:rPr>
            </w:pP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ascii="宋体" w:hAnsi="宋体" w:eastAsia="宋体" w:cs="Courier New"/>
                <w:color w:val="auto"/>
                <w:kern w:val="0"/>
                <w:sz w:val="20"/>
                <w:szCs w:val="20"/>
              </w:rPr>
              <w:t>数量指标</w:t>
            </w:r>
          </w:p>
        </w:tc>
        <w:tc>
          <w:tcPr>
            <w:tcW w:w="2573" w:type="pct"/>
            <w:shd w:val="clear" w:color="auto" w:fill="auto"/>
            <w:noWrap/>
            <w:vAlign w:val="center"/>
          </w:tcPr>
          <w:p>
            <w:pPr>
              <w:widowControl/>
              <w:jc w:val="left"/>
              <w:textAlignment w:val="center"/>
              <w:rPr>
                <w:rFonts w:ascii="宋体" w:hAnsi="宋体" w:eastAsia="宋体" w:cs="宋体"/>
                <w:color w:val="auto"/>
                <w:kern w:val="0"/>
                <w:sz w:val="20"/>
                <w:szCs w:val="20"/>
              </w:rPr>
            </w:pPr>
            <w:r>
              <w:rPr>
                <w:rFonts w:hint="eastAsia" w:ascii="宋体" w:hAnsi="宋体" w:eastAsia="宋体" w:cs="宋体"/>
                <w:color w:val="auto"/>
                <w:kern w:val="0"/>
                <w:sz w:val="20"/>
                <w:szCs w:val="20"/>
                <w:lang w:bidi="ar"/>
              </w:rPr>
              <w:t>对相关市级部门和各区风险评估工作进行技术指导</w:t>
            </w:r>
          </w:p>
        </w:tc>
        <w:tc>
          <w:tcPr>
            <w:tcW w:w="1366" w:type="pct"/>
            <w:shd w:val="clear" w:color="auto" w:fill="auto"/>
            <w:noWrap/>
            <w:vAlign w:val="center"/>
          </w:tcPr>
          <w:p>
            <w:pPr>
              <w:widowControl/>
              <w:jc w:val="center"/>
              <w:textAlignment w:val="center"/>
              <w:rPr>
                <w:rFonts w:ascii="宋体" w:hAnsi="宋体" w:eastAsia="宋体"/>
                <w:color w:val="auto"/>
                <w:sz w:val="20"/>
                <w:szCs w:val="20"/>
              </w:rPr>
            </w:pPr>
            <w:r>
              <w:rPr>
                <w:rFonts w:hint="eastAsia" w:ascii="宋体" w:hAnsi="宋体" w:eastAsia="宋体" w:cs="宋体"/>
                <w:color w:val="auto"/>
                <w:kern w:val="0"/>
                <w:sz w:val="24"/>
                <w:szCs w:val="24"/>
                <w:lang w:bidi="ar"/>
              </w:rPr>
              <w:t>＝29个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adjustRightInd w:val="0"/>
              <w:snapToGrid w:val="0"/>
              <w:jc w:val="center"/>
              <w:rPr>
                <w:rFonts w:ascii="宋体" w:hAnsi="宋体" w:eastAsia="宋体" w:cs="Courier New"/>
                <w:color w:val="auto"/>
                <w:kern w:val="0"/>
                <w:sz w:val="20"/>
                <w:szCs w:val="20"/>
              </w:rPr>
            </w:pP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ascii="宋体" w:hAnsi="宋体" w:eastAsia="宋体" w:cs="Courier New"/>
                <w:color w:val="auto"/>
                <w:kern w:val="0"/>
                <w:sz w:val="20"/>
                <w:szCs w:val="20"/>
              </w:rPr>
              <w:t>数量指标</w:t>
            </w:r>
          </w:p>
        </w:tc>
        <w:tc>
          <w:tcPr>
            <w:tcW w:w="2573" w:type="pct"/>
            <w:shd w:val="clear" w:color="auto" w:fill="auto"/>
            <w:noWrap/>
            <w:vAlign w:val="center"/>
          </w:tcPr>
          <w:p>
            <w:pPr>
              <w:widowControl/>
              <w:jc w:val="left"/>
              <w:textAlignment w:val="center"/>
              <w:rPr>
                <w:rFonts w:ascii="宋体" w:hAnsi="宋体" w:eastAsia="宋体" w:cs="宋体"/>
                <w:color w:val="auto"/>
                <w:kern w:val="0"/>
                <w:sz w:val="20"/>
                <w:szCs w:val="20"/>
              </w:rPr>
            </w:pPr>
            <w:r>
              <w:rPr>
                <w:rFonts w:hint="eastAsia" w:ascii="宋体" w:hAnsi="宋体" w:eastAsia="宋体" w:cs="宋体"/>
                <w:color w:val="auto"/>
                <w:kern w:val="0"/>
                <w:sz w:val="20"/>
                <w:szCs w:val="20"/>
                <w:lang w:bidi="ar"/>
              </w:rPr>
              <w:t>《生产经营单位安全生产风险评估规范》（DB11/T1478-2017）修订稿</w:t>
            </w:r>
          </w:p>
        </w:tc>
        <w:tc>
          <w:tcPr>
            <w:tcW w:w="1366" w:type="pct"/>
            <w:shd w:val="clear" w:color="auto" w:fill="auto"/>
            <w:noWrap/>
            <w:vAlign w:val="center"/>
          </w:tcPr>
          <w:p>
            <w:pPr>
              <w:widowControl/>
              <w:jc w:val="center"/>
              <w:textAlignment w:val="center"/>
              <w:rPr>
                <w:rFonts w:ascii="宋体" w:hAnsi="宋体" w:eastAsia="宋体"/>
                <w:color w:val="auto"/>
                <w:sz w:val="20"/>
                <w:szCs w:val="20"/>
              </w:rPr>
            </w:pPr>
            <w:r>
              <w:rPr>
                <w:rFonts w:hint="eastAsia" w:ascii="宋体" w:hAnsi="宋体" w:eastAsia="宋体" w:cs="宋体"/>
                <w:color w:val="auto"/>
                <w:kern w:val="0"/>
                <w:sz w:val="24"/>
                <w:szCs w:val="24"/>
                <w:lang w:bidi="ar"/>
              </w:rPr>
              <w:t>＝1份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adjustRightInd w:val="0"/>
              <w:snapToGrid w:val="0"/>
              <w:jc w:val="center"/>
              <w:rPr>
                <w:rFonts w:ascii="宋体" w:hAnsi="宋体" w:eastAsia="宋体" w:cs="Courier New"/>
                <w:color w:val="auto"/>
                <w:kern w:val="0"/>
                <w:sz w:val="20"/>
                <w:szCs w:val="20"/>
              </w:rPr>
            </w:pP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ascii="宋体" w:hAnsi="宋体" w:eastAsia="宋体" w:cs="Courier New"/>
                <w:color w:val="auto"/>
                <w:kern w:val="0"/>
                <w:sz w:val="20"/>
                <w:szCs w:val="20"/>
              </w:rPr>
              <w:t>数量指标</w:t>
            </w:r>
          </w:p>
        </w:tc>
        <w:tc>
          <w:tcPr>
            <w:tcW w:w="2573" w:type="pct"/>
            <w:shd w:val="clear" w:color="auto" w:fill="auto"/>
            <w:noWrap/>
            <w:vAlign w:val="center"/>
          </w:tcPr>
          <w:p>
            <w:pPr>
              <w:widowControl/>
              <w:jc w:val="left"/>
              <w:textAlignment w:val="center"/>
              <w:rPr>
                <w:rFonts w:ascii="宋体" w:hAnsi="宋体" w:eastAsia="宋体" w:cs="宋体"/>
                <w:color w:val="auto"/>
                <w:kern w:val="0"/>
                <w:sz w:val="20"/>
                <w:szCs w:val="20"/>
              </w:rPr>
            </w:pPr>
            <w:r>
              <w:rPr>
                <w:rFonts w:hint="eastAsia" w:ascii="宋体" w:hAnsi="宋体" w:eastAsia="宋体" w:cs="宋体"/>
                <w:color w:val="auto"/>
                <w:kern w:val="0"/>
                <w:sz w:val="20"/>
                <w:szCs w:val="20"/>
                <w:lang w:bidi="ar"/>
              </w:rPr>
              <w:t>重点行业领域安全风险分析研判及对策建议报告</w:t>
            </w:r>
          </w:p>
        </w:tc>
        <w:tc>
          <w:tcPr>
            <w:tcW w:w="1366" w:type="pct"/>
            <w:shd w:val="clear" w:color="auto" w:fill="auto"/>
            <w:noWrap/>
            <w:vAlign w:val="center"/>
          </w:tcPr>
          <w:p>
            <w:pPr>
              <w:widowControl/>
              <w:jc w:val="center"/>
              <w:textAlignment w:val="center"/>
              <w:rPr>
                <w:rFonts w:ascii="宋体" w:hAnsi="宋体" w:eastAsia="宋体"/>
                <w:color w:val="auto"/>
                <w:sz w:val="20"/>
                <w:szCs w:val="20"/>
              </w:rPr>
            </w:pPr>
            <w:r>
              <w:rPr>
                <w:rFonts w:hint="eastAsia" w:ascii="宋体" w:hAnsi="宋体" w:eastAsia="宋体" w:cs="宋体"/>
                <w:color w:val="auto"/>
                <w:kern w:val="0"/>
                <w:sz w:val="24"/>
                <w:szCs w:val="24"/>
                <w:lang w:bidi="ar"/>
              </w:rPr>
              <w:t>＝4份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adjustRightInd w:val="0"/>
              <w:snapToGrid w:val="0"/>
              <w:jc w:val="center"/>
              <w:rPr>
                <w:rFonts w:ascii="宋体" w:hAnsi="宋体" w:eastAsia="宋体" w:cs="Courier New"/>
                <w:color w:val="auto"/>
                <w:kern w:val="0"/>
                <w:sz w:val="20"/>
                <w:szCs w:val="20"/>
              </w:rPr>
            </w:pP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ascii="宋体" w:hAnsi="宋体" w:eastAsia="宋体" w:cs="Courier New"/>
                <w:color w:val="auto"/>
                <w:kern w:val="0"/>
                <w:sz w:val="20"/>
                <w:szCs w:val="20"/>
              </w:rPr>
              <w:t>数量指标</w:t>
            </w:r>
          </w:p>
        </w:tc>
        <w:tc>
          <w:tcPr>
            <w:tcW w:w="2573" w:type="pct"/>
            <w:shd w:val="clear" w:color="auto" w:fill="auto"/>
            <w:noWrap/>
            <w:vAlign w:val="center"/>
          </w:tcPr>
          <w:p>
            <w:pPr>
              <w:widowControl/>
              <w:jc w:val="left"/>
              <w:textAlignment w:val="center"/>
              <w:rPr>
                <w:rFonts w:ascii="宋体" w:hAnsi="宋体" w:eastAsia="宋体" w:cs="宋体"/>
                <w:color w:val="auto"/>
                <w:kern w:val="0"/>
                <w:sz w:val="20"/>
                <w:szCs w:val="20"/>
              </w:rPr>
            </w:pPr>
            <w:r>
              <w:rPr>
                <w:rFonts w:hint="eastAsia" w:ascii="宋体" w:hAnsi="宋体" w:eastAsia="宋体" w:cs="宋体"/>
                <w:color w:val="auto"/>
                <w:kern w:val="0"/>
                <w:sz w:val="20"/>
                <w:szCs w:val="20"/>
                <w:lang w:bidi="ar"/>
              </w:rPr>
              <w:t>城市安全风险评估数据处理服务报告</w:t>
            </w:r>
          </w:p>
        </w:tc>
        <w:tc>
          <w:tcPr>
            <w:tcW w:w="1366" w:type="pct"/>
            <w:shd w:val="clear" w:color="auto" w:fill="auto"/>
            <w:noWrap/>
            <w:vAlign w:val="center"/>
          </w:tcPr>
          <w:p>
            <w:pPr>
              <w:widowControl/>
              <w:jc w:val="center"/>
              <w:textAlignment w:val="center"/>
              <w:rPr>
                <w:rFonts w:ascii="宋体" w:hAnsi="宋体" w:eastAsia="宋体"/>
                <w:color w:val="auto"/>
                <w:sz w:val="20"/>
                <w:szCs w:val="20"/>
              </w:rPr>
            </w:pPr>
            <w:r>
              <w:rPr>
                <w:rFonts w:hint="eastAsia" w:ascii="宋体" w:hAnsi="宋体" w:eastAsia="宋体" w:cs="宋体"/>
                <w:color w:val="auto"/>
                <w:kern w:val="0"/>
                <w:sz w:val="24"/>
                <w:szCs w:val="24"/>
                <w:lang w:bidi="ar"/>
              </w:rPr>
              <w:t>＝1份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adjustRightInd w:val="0"/>
              <w:snapToGrid w:val="0"/>
              <w:jc w:val="center"/>
              <w:rPr>
                <w:rFonts w:ascii="宋体" w:hAnsi="宋体" w:eastAsia="宋体" w:cs="Courier New"/>
                <w:color w:val="auto"/>
                <w:kern w:val="0"/>
                <w:sz w:val="20"/>
                <w:szCs w:val="20"/>
              </w:rPr>
            </w:pP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ascii="宋体" w:hAnsi="宋体" w:eastAsia="宋体" w:cs="Courier New"/>
                <w:color w:val="auto"/>
                <w:kern w:val="0"/>
                <w:sz w:val="20"/>
                <w:szCs w:val="20"/>
              </w:rPr>
              <w:t>数量指标</w:t>
            </w:r>
          </w:p>
        </w:tc>
        <w:tc>
          <w:tcPr>
            <w:tcW w:w="2573" w:type="pct"/>
            <w:shd w:val="clear" w:color="auto" w:fill="auto"/>
            <w:noWrap/>
            <w:vAlign w:val="center"/>
          </w:tcPr>
          <w:p>
            <w:pPr>
              <w:widowControl/>
              <w:jc w:val="left"/>
              <w:textAlignment w:val="center"/>
              <w:rPr>
                <w:rFonts w:ascii="宋体" w:hAnsi="宋体" w:eastAsia="宋体" w:cs="宋体"/>
                <w:color w:val="auto"/>
                <w:kern w:val="0"/>
                <w:sz w:val="20"/>
                <w:szCs w:val="20"/>
              </w:rPr>
            </w:pPr>
            <w:r>
              <w:rPr>
                <w:rFonts w:hint="eastAsia" w:ascii="宋体" w:hAnsi="宋体" w:eastAsia="宋体" w:cs="宋体"/>
                <w:color w:val="auto"/>
                <w:kern w:val="0"/>
                <w:sz w:val="20"/>
                <w:szCs w:val="20"/>
                <w:lang w:bidi="ar"/>
              </w:rPr>
              <w:t>全市重点行业领域安全风险评估数据汇总分析报告</w:t>
            </w:r>
          </w:p>
        </w:tc>
        <w:tc>
          <w:tcPr>
            <w:tcW w:w="1366" w:type="pct"/>
            <w:shd w:val="clear" w:color="auto" w:fill="auto"/>
            <w:noWrap/>
            <w:vAlign w:val="center"/>
          </w:tcPr>
          <w:p>
            <w:pPr>
              <w:widowControl/>
              <w:jc w:val="center"/>
              <w:textAlignment w:val="center"/>
              <w:rPr>
                <w:rFonts w:ascii="宋体" w:hAnsi="宋体" w:eastAsia="宋体"/>
                <w:color w:val="auto"/>
                <w:sz w:val="20"/>
                <w:szCs w:val="20"/>
              </w:rPr>
            </w:pPr>
            <w:r>
              <w:rPr>
                <w:rFonts w:hint="eastAsia" w:ascii="宋体" w:hAnsi="宋体" w:eastAsia="宋体" w:cs="宋体"/>
                <w:color w:val="auto"/>
                <w:kern w:val="0"/>
                <w:sz w:val="24"/>
                <w:szCs w:val="24"/>
                <w:lang w:bidi="ar"/>
              </w:rPr>
              <w:t>＝1份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adjustRightInd w:val="0"/>
              <w:snapToGrid w:val="0"/>
              <w:jc w:val="center"/>
              <w:rPr>
                <w:rFonts w:ascii="宋体" w:hAnsi="宋体" w:eastAsia="宋体" w:cs="Courier New"/>
                <w:color w:val="auto"/>
                <w:kern w:val="0"/>
                <w:sz w:val="20"/>
                <w:szCs w:val="20"/>
              </w:rPr>
            </w:pP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ascii="宋体" w:hAnsi="宋体" w:eastAsia="宋体" w:cs="Courier New"/>
                <w:color w:val="auto"/>
                <w:kern w:val="0"/>
                <w:sz w:val="20"/>
                <w:szCs w:val="20"/>
              </w:rPr>
              <w:t>数量指标</w:t>
            </w:r>
          </w:p>
        </w:tc>
        <w:tc>
          <w:tcPr>
            <w:tcW w:w="2573" w:type="pct"/>
            <w:shd w:val="clear" w:color="auto" w:fill="auto"/>
            <w:noWrap/>
            <w:vAlign w:val="center"/>
          </w:tcPr>
          <w:p>
            <w:pPr>
              <w:widowControl/>
              <w:jc w:val="left"/>
              <w:textAlignment w:val="center"/>
              <w:rPr>
                <w:rFonts w:ascii="宋体" w:hAnsi="宋体" w:eastAsia="宋体" w:cs="宋体"/>
                <w:color w:val="auto"/>
                <w:kern w:val="0"/>
                <w:sz w:val="20"/>
                <w:szCs w:val="20"/>
              </w:rPr>
            </w:pPr>
            <w:r>
              <w:rPr>
                <w:rFonts w:hint="eastAsia" w:ascii="宋体" w:hAnsi="宋体" w:eastAsia="宋体" w:cs="宋体"/>
                <w:color w:val="auto"/>
                <w:kern w:val="0"/>
                <w:sz w:val="20"/>
                <w:szCs w:val="20"/>
                <w:lang w:bidi="ar"/>
              </w:rPr>
              <w:t>北京市重点行业领域安全风险白皮书</w:t>
            </w:r>
          </w:p>
        </w:tc>
        <w:tc>
          <w:tcPr>
            <w:tcW w:w="1366" w:type="pct"/>
            <w:shd w:val="clear" w:color="auto" w:fill="auto"/>
            <w:noWrap/>
            <w:vAlign w:val="center"/>
          </w:tcPr>
          <w:p>
            <w:pPr>
              <w:widowControl/>
              <w:jc w:val="center"/>
              <w:textAlignment w:val="center"/>
              <w:rPr>
                <w:rFonts w:ascii="宋体" w:hAnsi="宋体" w:eastAsia="宋体"/>
                <w:color w:val="auto"/>
                <w:sz w:val="20"/>
                <w:szCs w:val="20"/>
              </w:rPr>
            </w:pPr>
            <w:r>
              <w:rPr>
                <w:rFonts w:hint="eastAsia" w:ascii="宋体" w:hAnsi="宋体" w:eastAsia="宋体" w:cs="宋体"/>
                <w:color w:val="auto"/>
                <w:kern w:val="0"/>
                <w:sz w:val="24"/>
                <w:szCs w:val="24"/>
                <w:lang w:bidi="ar"/>
              </w:rPr>
              <w:t>＝1份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adjustRightInd w:val="0"/>
              <w:snapToGrid w:val="0"/>
              <w:jc w:val="center"/>
              <w:rPr>
                <w:rFonts w:ascii="宋体" w:hAnsi="宋体" w:eastAsia="宋体" w:cs="Courier New"/>
                <w:color w:val="auto"/>
                <w:kern w:val="0"/>
                <w:sz w:val="20"/>
                <w:szCs w:val="20"/>
              </w:rPr>
            </w:pP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ascii="宋体" w:hAnsi="宋体" w:eastAsia="宋体" w:cs="Courier New"/>
                <w:color w:val="auto"/>
                <w:kern w:val="0"/>
                <w:sz w:val="20"/>
                <w:szCs w:val="20"/>
              </w:rPr>
              <w:t>质量指标</w:t>
            </w:r>
          </w:p>
        </w:tc>
        <w:tc>
          <w:tcPr>
            <w:tcW w:w="2573" w:type="pct"/>
            <w:shd w:val="clear" w:color="auto" w:fill="auto"/>
            <w:noWrap/>
            <w:vAlign w:val="center"/>
          </w:tcPr>
          <w:p>
            <w:pPr>
              <w:widowControl/>
              <w:jc w:val="left"/>
              <w:textAlignment w:val="center"/>
              <w:rPr>
                <w:rFonts w:ascii="宋体" w:hAnsi="宋体" w:eastAsia="宋体" w:cs="宋体"/>
                <w:color w:val="auto"/>
                <w:kern w:val="0"/>
                <w:sz w:val="20"/>
                <w:szCs w:val="20"/>
              </w:rPr>
            </w:pPr>
            <w:r>
              <w:rPr>
                <w:rFonts w:hint="eastAsia" w:ascii="宋体" w:hAnsi="宋体" w:eastAsia="宋体" w:cs="宋体"/>
                <w:color w:val="auto"/>
                <w:kern w:val="0"/>
                <w:sz w:val="18"/>
                <w:szCs w:val="18"/>
                <w:lang w:bidi="ar"/>
              </w:rPr>
              <w:t>《生产经营单位安全生产风险评估规范》（DB11/T1478-2017）修订稿</w:t>
            </w:r>
          </w:p>
        </w:tc>
        <w:tc>
          <w:tcPr>
            <w:tcW w:w="1366" w:type="pct"/>
            <w:shd w:val="clear" w:color="auto" w:fill="auto"/>
            <w:noWrap/>
            <w:vAlign w:val="center"/>
          </w:tcPr>
          <w:p>
            <w:pPr>
              <w:widowControl/>
              <w:wordWrap/>
              <w:adjustRightInd w:val="0"/>
              <w:snapToGrid w:val="0"/>
              <w:jc w:val="center"/>
              <w:rPr>
                <w:rFonts w:ascii="宋体" w:hAnsi="宋体" w:eastAsia="宋体" w:cs="宋体"/>
                <w:color w:val="auto"/>
                <w:kern w:val="0"/>
                <w:sz w:val="20"/>
                <w:szCs w:val="20"/>
              </w:rPr>
            </w:pPr>
            <w:r>
              <w:rPr>
                <w:rFonts w:hint="eastAsia" w:ascii="宋体" w:hAnsi="宋体" w:eastAsia="宋体" w:cs="宋体"/>
                <w:color w:val="auto"/>
                <w:kern w:val="0"/>
                <w:sz w:val="20"/>
                <w:szCs w:val="20"/>
              </w:rPr>
              <w:t>定性 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widowControl/>
              <w:wordWrap/>
              <w:adjustRightInd w:val="0"/>
              <w:snapToGrid w:val="0"/>
              <w:jc w:val="center"/>
              <w:rPr>
                <w:rFonts w:ascii="宋体" w:hAnsi="宋体" w:eastAsia="宋体" w:cs="Courier New"/>
                <w:color w:val="auto"/>
                <w:kern w:val="0"/>
                <w:sz w:val="20"/>
                <w:szCs w:val="20"/>
              </w:rPr>
            </w:pP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ascii="宋体" w:hAnsi="宋体" w:eastAsia="宋体" w:cs="Courier New"/>
                <w:color w:val="auto"/>
                <w:kern w:val="0"/>
                <w:sz w:val="20"/>
                <w:szCs w:val="20"/>
              </w:rPr>
              <w:t>质量指标</w:t>
            </w:r>
          </w:p>
        </w:tc>
        <w:tc>
          <w:tcPr>
            <w:tcW w:w="2573" w:type="pct"/>
            <w:shd w:val="clear" w:color="auto" w:fill="auto"/>
            <w:noWrap/>
            <w:vAlign w:val="center"/>
          </w:tcPr>
          <w:p>
            <w:pPr>
              <w:widowControl/>
              <w:jc w:val="left"/>
              <w:textAlignment w:val="center"/>
              <w:rPr>
                <w:rFonts w:ascii="宋体" w:hAnsi="宋体" w:eastAsia="宋体" w:cs="宋体"/>
                <w:color w:val="auto"/>
                <w:kern w:val="0"/>
                <w:sz w:val="20"/>
                <w:szCs w:val="20"/>
              </w:rPr>
            </w:pPr>
            <w:r>
              <w:rPr>
                <w:rFonts w:hint="eastAsia" w:ascii="宋体" w:hAnsi="宋体" w:eastAsia="宋体" w:cs="宋体"/>
                <w:color w:val="auto"/>
                <w:kern w:val="0"/>
                <w:sz w:val="18"/>
                <w:szCs w:val="18"/>
                <w:lang w:bidi="ar"/>
              </w:rPr>
              <w:t>重点行业领域安全风险分析研判及对策建议报告</w:t>
            </w:r>
          </w:p>
        </w:tc>
        <w:tc>
          <w:tcPr>
            <w:tcW w:w="1366" w:type="pct"/>
            <w:shd w:val="clear" w:color="auto" w:fill="auto"/>
            <w:noWrap/>
            <w:vAlign w:val="center"/>
          </w:tcPr>
          <w:p>
            <w:pPr>
              <w:widowControl/>
              <w:jc w:val="left"/>
              <w:textAlignment w:val="center"/>
              <w:rPr>
                <w:rFonts w:ascii="宋体" w:hAnsi="宋体" w:eastAsia="宋体"/>
                <w:color w:val="auto"/>
                <w:kern w:val="0"/>
                <w:sz w:val="20"/>
                <w:szCs w:val="20"/>
              </w:rPr>
            </w:pPr>
            <w:r>
              <w:rPr>
                <w:rFonts w:hint="eastAsia" w:ascii="宋体" w:hAnsi="宋体" w:eastAsia="宋体" w:cs="宋体"/>
                <w:color w:val="auto"/>
                <w:kern w:val="0"/>
                <w:sz w:val="18"/>
                <w:szCs w:val="18"/>
                <w:lang w:bidi="ar"/>
              </w:rPr>
              <w:t>要符合《北京市公共安全风险管理办法》（京应急委发〔2021〕2号）《北京市安全生产风险管理实施指南》（京安办发〔2021〕15号）要求，单项通过专家评审验收。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widowControl/>
              <w:wordWrap/>
              <w:adjustRightInd w:val="0"/>
              <w:snapToGrid w:val="0"/>
              <w:jc w:val="center"/>
              <w:rPr>
                <w:rFonts w:ascii="宋体" w:hAnsi="宋体" w:eastAsia="宋体" w:cs="Courier New"/>
                <w:color w:val="auto"/>
                <w:kern w:val="0"/>
                <w:sz w:val="20"/>
                <w:szCs w:val="20"/>
              </w:rPr>
            </w:pP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ascii="宋体" w:hAnsi="宋体" w:eastAsia="宋体" w:cs="Courier New"/>
                <w:color w:val="auto"/>
                <w:kern w:val="0"/>
                <w:sz w:val="20"/>
                <w:szCs w:val="20"/>
              </w:rPr>
              <w:t>质量指标</w:t>
            </w:r>
          </w:p>
        </w:tc>
        <w:tc>
          <w:tcPr>
            <w:tcW w:w="2573" w:type="pct"/>
            <w:shd w:val="clear" w:color="auto" w:fill="auto"/>
            <w:noWrap/>
            <w:vAlign w:val="center"/>
          </w:tcPr>
          <w:p>
            <w:pPr>
              <w:widowControl/>
              <w:jc w:val="left"/>
              <w:textAlignment w:val="center"/>
              <w:rPr>
                <w:rFonts w:ascii="宋体" w:hAnsi="宋体" w:eastAsia="宋体" w:cs="宋体"/>
                <w:color w:val="auto"/>
                <w:kern w:val="0"/>
                <w:sz w:val="20"/>
                <w:szCs w:val="20"/>
              </w:rPr>
            </w:pPr>
            <w:r>
              <w:rPr>
                <w:rFonts w:hint="eastAsia" w:ascii="宋体" w:hAnsi="宋体" w:eastAsia="宋体" w:cs="宋体"/>
                <w:color w:val="auto"/>
                <w:kern w:val="0"/>
                <w:sz w:val="18"/>
                <w:szCs w:val="18"/>
                <w:lang w:bidi="ar"/>
              </w:rPr>
              <w:t>全市重点行业领域安全风险评估数据汇总分析报告</w:t>
            </w:r>
          </w:p>
        </w:tc>
        <w:tc>
          <w:tcPr>
            <w:tcW w:w="1366" w:type="pct"/>
            <w:shd w:val="clear" w:color="auto" w:fill="auto"/>
            <w:noWrap/>
            <w:vAlign w:val="center"/>
          </w:tcPr>
          <w:p>
            <w:pPr>
              <w:widowControl/>
              <w:jc w:val="left"/>
              <w:textAlignment w:val="center"/>
              <w:rPr>
                <w:rFonts w:ascii="宋体" w:hAnsi="宋体" w:eastAsia="宋体"/>
                <w:color w:val="auto"/>
                <w:kern w:val="0"/>
                <w:sz w:val="20"/>
                <w:szCs w:val="20"/>
              </w:rPr>
            </w:pPr>
            <w:r>
              <w:rPr>
                <w:rFonts w:hint="eastAsia" w:ascii="宋体" w:hAnsi="宋体" w:eastAsia="宋体" w:cs="宋体"/>
                <w:color w:val="auto"/>
                <w:kern w:val="0"/>
                <w:sz w:val="18"/>
                <w:szCs w:val="18"/>
                <w:lang w:bidi="ar"/>
              </w:rPr>
              <w:t>内容要合理、数据要准确，能对各行业、各区域安全风险趋势进行研判分析，提出重大安全风险行业、属地主体管控以及政府联防控联控的对策建议，为市委市政府、行业部门和各区领导风险管理决策提供有力支撑，单项通过专家评审验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widowControl/>
              <w:wordWrap/>
              <w:adjustRightInd w:val="0"/>
              <w:snapToGrid w:val="0"/>
              <w:jc w:val="center"/>
              <w:rPr>
                <w:rFonts w:ascii="宋体" w:hAnsi="宋体" w:eastAsia="宋体" w:cs="Courier New"/>
                <w:color w:val="auto"/>
                <w:kern w:val="0"/>
                <w:sz w:val="20"/>
                <w:szCs w:val="20"/>
              </w:rPr>
            </w:pP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ascii="宋体" w:hAnsi="宋体" w:eastAsia="宋体" w:cs="Courier New"/>
                <w:color w:val="auto"/>
                <w:kern w:val="0"/>
                <w:sz w:val="20"/>
                <w:szCs w:val="20"/>
              </w:rPr>
              <w:t>质量指标</w:t>
            </w:r>
          </w:p>
        </w:tc>
        <w:tc>
          <w:tcPr>
            <w:tcW w:w="2573" w:type="pct"/>
            <w:shd w:val="clear" w:color="auto" w:fill="auto"/>
            <w:noWrap/>
            <w:vAlign w:val="center"/>
          </w:tcPr>
          <w:p>
            <w:pPr>
              <w:widowControl/>
              <w:jc w:val="left"/>
              <w:textAlignment w:val="center"/>
              <w:rPr>
                <w:rFonts w:ascii="宋体" w:hAnsi="宋体" w:eastAsia="宋体" w:cs="宋体"/>
                <w:color w:val="auto"/>
                <w:kern w:val="0"/>
                <w:sz w:val="20"/>
                <w:szCs w:val="20"/>
              </w:rPr>
            </w:pPr>
            <w:r>
              <w:rPr>
                <w:rFonts w:hint="eastAsia" w:ascii="宋体" w:hAnsi="宋体" w:eastAsia="宋体" w:cs="宋体"/>
                <w:color w:val="auto"/>
                <w:kern w:val="0"/>
                <w:sz w:val="18"/>
                <w:szCs w:val="18"/>
                <w:lang w:bidi="ar"/>
              </w:rPr>
              <w:t>北京市重点行业领域安全风险白皮书</w:t>
            </w:r>
          </w:p>
        </w:tc>
        <w:tc>
          <w:tcPr>
            <w:tcW w:w="1366" w:type="pct"/>
            <w:shd w:val="clear" w:color="auto" w:fill="auto"/>
            <w:noWrap/>
            <w:vAlign w:val="center"/>
          </w:tcPr>
          <w:p>
            <w:pPr>
              <w:widowControl/>
              <w:jc w:val="left"/>
              <w:textAlignment w:val="center"/>
              <w:rPr>
                <w:rFonts w:ascii="宋体" w:hAnsi="宋体" w:eastAsia="宋体"/>
                <w:color w:val="auto"/>
                <w:kern w:val="0"/>
                <w:sz w:val="20"/>
                <w:szCs w:val="20"/>
              </w:rPr>
            </w:pPr>
            <w:r>
              <w:rPr>
                <w:rFonts w:hint="eastAsia" w:ascii="宋体" w:hAnsi="宋体" w:eastAsia="宋体" w:cs="宋体"/>
                <w:color w:val="auto"/>
                <w:kern w:val="0"/>
                <w:sz w:val="18"/>
                <w:szCs w:val="18"/>
                <w:lang w:bidi="ar"/>
              </w:rPr>
              <w:t>要符合《北京市公共安全风险管理办法》（京应急委发〔2021〕2号）、《北京市安全生产风险管理实施指南》（京安办发〔2021〕15号）《北京市生产安全应急资源调查规范》要求，至少包括全市风险数据、应急资源调查数据、单位风险评估诊断分级等数据的汇总分析、问题分析、工作建议等内容，单项通过专家评审验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widowControl/>
              <w:wordWrap/>
              <w:adjustRightInd w:val="0"/>
              <w:snapToGrid w:val="0"/>
              <w:jc w:val="center"/>
              <w:rPr>
                <w:rFonts w:ascii="宋体" w:hAnsi="宋体" w:eastAsia="宋体" w:cs="Courier New"/>
                <w:color w:val="auto"/>
                <w:kern w:val="0"/>
                <w:sz w:val="20"/>
                <w:szCs w:val="20"/>
              </w:rPr>
            </w:pP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ascii="宋体" w:hAnsi="宋体" w:eastAsia="宋体" w:cs="Courier New"/>
                <w:color w:val="auto"/>
                <w:kern w:val="0"/>
                <w:sz w:val="20"/>
                <w:szCs w:val="20"/>
              </w:rPr>
              <w:t>质量指标</w:t>
            </w:r>
          </w:p>
        </w:tc>
        <w:tc>
          <w:tcPr>
            <w:tcW w:w="2573" w:type="pct"/>
            <w:shd w:val="clear" w:color="auto" w:fill="auto"/>
            <w:noWrap/>
            <w:vAlign w:val="center"/>
          </w:tcPr>
          <w:p>
            <w:pPr>
              <w:widowControl/>
              <w:jc w:val="left"/>
              <w:textAlignment w:val="center"/>
              <w:rPr>
                <w:rFonts w:ascii="宋体" w:hAnsi="宋体" w:eastAsia="宋体" w:cs="宋体"/>
                <w:color w:val="auto"/>
                <w:kern w:val="0"/>
                <w:sz w:val="20"/>
                <w:szCs w:val="20"/>
              </w:rPr>
            </w:pPr>
            <w:r>
              <w:rPr>
                <w:rFonts w:hint="eastAsia" w:ascii="宋体" w:hAnsi="宋体" w:eastAsia="宋体" w:cs="宋体"/>
                <w:color w:val="auto"/>
                <w:kern w:val="0"/>
                <w:sz w:val="18"/>
                <w:szCs w:val="18"/>
                <w:lang w:bidi="ar"/>
              </w:rPr>
              <w:t>城市安全风险评估数据服务</w:t>
            </w:r>
          </w:p>
        </w:tc>
        <w:tc>
          <w:tcPr>
            <w:tcW w:w="1366" w:type="pct"/>
            <w:shd w:val="clear" w:color="auto" w:fill="auto"/>
            <w:noWrap/>
            <w:vAlign w:val="center"/>
          </w:tcPr>
          <w:p>
            <w:pPr>
              <w:widowControl/>
              <w:jc w:val="left"/>
              <w:textAlignment w:val="center"/>
              <w:rPr>
                <w:rFonts w:ascii="宋体" w:hAnsi="宋体" w:eastAsia="宋体"/>
                <w:color w:val="auto"/>
                <w:kern w:val="0"/>
                <w:sz w:val="20"/>
                <w:szCs w:val="20"/>
              </w:rPr>
            </w:pPr>
            <w:r>
              <w:rPr>
                <w:rFonts w:hint="eastAsia" w:ascii="宋体" w:hAnsi="宋体" w:eastAsia="宋体" w:cs="宋体"/>
                <w:color w:val="auto"/>
                <w:kern w:val="0"/>
                <w:sz w:val="18"/>
                <w:szCs w:val="18"/>
                <w:lang w:bidi="ar"/>
              </w:rPr>
              <w:t>要充分分析北京市城市安全风险评估相关成果资料及数据，体现政府在实现风险评估与隐患排查治理同推进，与预案管理相衔接，与精准执法和安责险服务共协同等方面的鲜明立场、政策措施、工作成果、工作成效和问题不足，能为市政府及相关部门、各区政府风险管理提供决策参考，单项通过专家评审验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widowControl/>
              <w:wordWrap/>
              <w:adjustRightInd w:val="0"/>
              <w:snapToGrid w:val="0"/>
              <w:jc w:val="center"/>
              <w:rPr>
                <w:rFonts w:ascii="宋体" w:hAnsi="宋体" w:eastAsia="宋体" w:cs="Courier New"/>
                <w:color w:val="auto"/>
                <w:kern w:val="0"/>
                <w:sz w:val="20"/>
                <w:szCs w:val="20"/>
              </w:rPr>
            </w:pP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ascii="宋体" w:hAnsi="宋体" w:eastAsia="宋体" w:cs="Courier New"/>
                <w:color w:val="auto"/>
                <w:kern w:val="0"/>
                <w:sz w:val="20"/>
                <w:szCs w:val="20"/>
              </w:rPr>
              <w:t>质量指标</w:t>
            </w:r>
          </w:p>
        </w:tc>
        <w:tc>
          <w:tcPr>
            <w:tcW w:w="2573" w:type="pct"/>
            <w:shd w:val="clear" w:color="auto" w:fill="auto"/>
            <w:noWrap/>
            <w:vAlign w:val="center"/>
          </w:tcPr>
          <w:p>
            <w:pPr>
              <w:widowControl/>
              <w:jc w:val="left"/>
              <w:textAlignment w:val="center"/>
              <w:rPr>
                <w:rFonts w:ascii="宋体" w:hAnsi="宋体" w:eastAsia="宋体" w:cs="宋体"/>
                <w:color w:val="auto"/>
                <w:kern w:val="0"/>
                <w:sz w:val="20"/>
                <w:szCs w:val="20"/>
              </w:rPr>
            </w:pPr>
            <w:r>
              <w:rPr>
                <w:rFonts w:hint="eastAsia" w:ascii="宋体" w:hAnsi="宋体" w:eastAsia="宋体" w:cs="宋体"/>
                <w:color w:val="auto"/>
                <w:kern w:val="0"/>
                <w:sz w:val="18"/>
                <w:szCs w:val="18"/>
                <w:lang w:bidi="ar"/>
              </w:rPr>
              <w:t>指导相关市级部门和各区开展风险评估工作</w:t>
            </w:r>
          </w:p>
        </w:tc>
        <w:tc>
          <w:tcPr>
            <w:tcW w:w="1366" w:type="pct"/>
            <w:shd w:val="clear" w:color="auto" w:fill="auto"/>
            <w:noWrap/>
            <w:vAlign w:val="center"/>
          </w:tcPr>
          <w:p>
            <w:pPr>
              <w:widowControl/>
              <w:jc w:val="left"/>
              <w:textAlignment w:val="center"/>
              <w:rPr>
                <w:rFonts w:ascii="宋体" w:hAnsi="宋体" w:eastAsia="宋体"/>
                <w:color w:val="auto"/>
                <w:kern w:val="0"/>
                <w:sz w:val="20"/>
                <w:szCs w:val="20"/>
              </w:rPr>
            </w:pPr>
            <w:r>
              <w:rPr>
                <w:rFonts w:hint="eastAsia" w:ascii="宋体" w:hAnsi="宋体" w:eastAsia="宋体" w:cs="宋体"/>
                <w:color w:val="auto"/>
                <w:kern w:val="0"/>
                <w:sz w:val="18"/>
                <w:szCs w:val="18"/>
                <w:lang w:bidi="ar"/>
              </w:rPr>
              <w:t>要满足市、区（管委会）、街乡三级政府和市、区两级行业部门以及社会单位等不同用户对城市安全风险管理有关数据的不同需求，包括帐户管理、数据填报、风险分析、风险等级模型计算、事故案例库完善、数据统计、查询、对接、更新、标准化等相关需求，风险地图和可视化产品要能体现出对大数据的挖掘与应用，单项通过专家评审验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widowControl/>
              <w:wordWrap/>
              <w:adjustRightInd w:val="0"/>
              <w:snapToGrid w:val="0"/>
              <w:jc w:val="center"/>
              <w:rPr>
                <w:rFonts w:ascii="宋体" w:hAnsi="宋体" w:eastAsia="宋体" w:cs="Courier New"/>
                <w:color w:val="auto"/>
                <w:kern w:val="0"/>
                <w:sz w:val="20"/>
                <w:szCs w:val="20"/>
              </w:rPr>
            </w:pP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ascii="宋体" w:hAnsi="宋体" w:eastAsia="宋体" w:cs="Courier New"/>
                <w:color w:val="auto"/>
                <w:kern w:val="0"/>
                <w:sz w:val="20"/>
                <w:szCs w:val="20"/>
              </w:rPr>
              <w:t>质量指标</w:t>
            </w:r>
          </w:p>
        </w:tc>
        <w:tc>
          <w:tcPr>
            <w:tcW w:w="2573" w:type="pct"/>
            <w:shd w:val="clear" w:color="auto" w:fill="auto"/>
            <w:noWrap/>
            <w:vAlign w:val="center"/>
          </w:tcPr>
          <w:p>
            <w:pPr>
              <w:widowControl/>
              <w:jc w:val="left"/>
              <w:textAlignment w:val="center"/>
              <w:rPr>
                <w:rFonts w:ascii="宋体" w:hAnsi="宋体" w:eastAsia="宋体" w:cs="宋体"/>
                <w:color w:val="auto"/>
                <w:kern w:val="0"/>
                <w:sz w:val="20"/>
                <w:szCs w:val="20"/>
              </w:rPr>
            </w:pPr>
            <w:r>
              <w:rPr>
                <w:rFonts w:hint="eastAsia" w:ascii="宋体" w:hAnsi="宋体" w:eastAsia="宋体" w:cs="宋体"/>
                <w:color w:val="auto"/>
                <w:kern w:val="0"/>
                <w:sz w:val="18"/>
                <w:szCs w:val="18"/>
                <w:lang w:bidi="ar"/>
              </w:rPr>
              <w:t>验收要求</w:t>
            </w:r>
          </w:p>
        </w:tc>
        <w:tc>
          <w:tcPr>
            <w:tcW w:w="1366" w:type="pct"/>
            <w:shd w:val="clear" w:color="auto" w:fill="auto"/>
            <w:noWrap/>
            <w:vAlign w:val="center"/>
          </w:tcPr>
          <w:p>
            <w:pPr>
              <w:widowControl/>
              <w:jc w:val="left"/>
              <w:textAlignment w:val="center"/>
              <w:rPr>
                <w:rFonts w:ascii="宋体" w:hAnsi="宋体" w:eastAsia="宋体"/>
                <w:color w:val="auto"/>
                <w:kern w:val="0"/>
                <w:sz w:val="20"/>
                <w:szCs w:val="20"/>
              </w:rPr>
            </w:pPr>
            <w:r>
              <w:rPr>
                <w:rFonts w:hint="eastAsia" w:ascii="宋体" w:hAnsi="宋体" w:eastAsia="宋体" w:cs="宋体"/>
                <w:color w:val="auto"/>
                <w:kern w:val="0"/>
                <w:sz w:val="18"/>
                <w:szCs w:val="18"/>
                <w:lang w:bidi="ar"/>
              </w:rPr>
              <w:t>指导内容应包括受自然灾害影响因素风险评估、风险评估诊断分级、行业安全风险评估、区域整体风险评估、重大安全风险评估论证机制建立等内容，单项通过专家评审验收。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widowControl/>
              <w:wordWrap/>
              <w:adjustRightInd w:val="0"/>
              <w:snapToGrid w:val="0"/>
              <w:jc w:val="center"/>
              <w:rPr>
                <w:rFonts w:ascii="宋体" w:hAnsi="宋体" w:eastAsia="宋体" w:cs="Courier New"/>
                <w:color w:val="auto"/>
                <w:kern w:val="0"/>
                <w:sz w:val="20"/>
                <w:szCs w:val="20"/>
              </w:rPr>
            </w:pP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ascii="宋体" w:hAnsi="宋体" w:eastAsia="宋体" w:cs="Courier New"/>
                <w:color w:val="auto"/>
                <w:kern w:val="0"/>
                <w:sz w:val="20"/>
                <w:szCs w:val="20"/>
              </w:rPr>
              <w:t>质量指标</w:t>
            </w:r>
          </w:p>
        </w:tc>
        <w:tc>
          <w:tcPr>
            <w:tcW w:w="2573" w:type="pct"/>
            <w:shd w:val="clear" w:color="auto" w:fill="auto"/>
            <w:noWrap/>
            <w:vAlign w:val="center"/>
          </w:tcPr>
          <w:p>
            <w:pPr>
              <w:widowControl/>
              <w:jc w:val="left"/>
              <w:textAlignment w:val="center"/>
              <w:rPr>
                <w:rFonts w:ascii="宋体" w:hAnsi="宋体" w:eastAsia="宋体" w:cs="宋体"/>
                <w:color w:val="auto"/>
                <w:kern w:val="0"/>
                <w:sz w:val="20"/>
                <w:szCs w:val="20"/>
              </w:rPr>
            </w:pPr>
            <w:r>
              <w:rPr>
                <w:rFonts w:hint="eastAsia" w:ascii="宋体" w:hAnsi="宋体" w:eastAsia="宋体" w:cs="宋体"/>
                <w:color w:val="auto"/>
                <w:kern w:val="0"/>
                <w:sz w:val="18"/>
                <w:szCs w:val="18"/>
                <w:lang w:bidi="ar"/>
              </w:rPr>
              <w:t>安全风险评估数据线上核查报告</w:t>
            </w:r>
          </w:p>
        </w:tc>
        <w:tc>
          <w:tcPr>
            <w:tcW w:w="1366" w:type="pct"/>
            <w:shd w:val="clear" w:color="auto" w:fill="auto"/>
            <w:noWrap/>
            <w:vAlign w:val="center"/>
          </w:tcPr>
          <w:p>
            <w:pPr>
              <w:widowControl/>
              <w:jc w:val="left"/>
              <w:textAlignment w:val="center"/>
              <w:rPr>
                <w:rFonts w:ascii="宋体" w:hAnsi="宋体" w:eastAsia="宋体"/>
                <w:color w:val="auto"/>
                <w:kern w:val="0"/>
                <w:sz w:val="20"/>
                <w:szCs w:val="20"/>
              </w:rPr>
            </w:pPr>
            <w:r>
              <w:rPr>
                <w:rFonts w:hint="eastAsia" w:ascii="宋体" w:hAnsi="宋体" w:eastAsia="宋体" w:cs="宋体"/>
                <w:color w:val="auto"/>
                <w:kern w:val="0"/>
                <w:sz w:val="18"/>
                <w:szCs w:val="18"/>
                <w:lang w:bidi="ar"/>
              </w:rPr>
              <w:t>各分项目完成后，项目负责同志要根据验收标准，及时对各项成果进行审核把关；技术支撑单位要组织一次不少于5名专家的评审会，专家要根据各分项目验收的质量标准，出具各分项成果是否通过质量验收的专家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widowControl/>
              <w:wordWrap/>
              <w:adjustRightInd w:val="0"/>
              <w:snapToGrid w:val="0"/>
              <w:jc w:val="center"/>
              <w:rPr>
                <w:rFonts w:ascii="宋体" w:hAnsi="宋体" w:eastAsia="宋体" w:cs="Courier New"/>
                <w:color w:val="auto"/>
                <w:kern w:val="0"/>
                <w:sz w:val="20"/>
                <w:szCs w:val="20"/>
              </w:rPr>
            </w:pP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ascii="宋体" w:hAnsi="宋体" w:eastAsia="宋体" w:cs="Courier New"/>
                <w:color w:val="auto"/>
                <w:kern w:val="0"/>
                <w:sz w:val="20"/>
                <w:szCs w:val="20"/>
              </w:rPr>
              <w:t>质量指标</w:t>
            </w:r>
          </w:p>
        </w:tc>
        <w:tc>
          <w:tcPr>
            <w:tcW w:w="2573" w:type="pct"/>
            <w:shd w:val="clear" w:color="auto" w:fill="auto"/>
            <w:noWrap/>
            <w:vAlign w:val="center"/>
          </w:tcPr>
          <w:p>
            <w:pPr>
              <w:widowControl/>
              <w:jc w:val="left"/>
              <w:textAlignment w:val="center"/>
              <w:rPr>
                <w:rFonts w:ascii="宋体" w:hAnsi="宋体" w:eastAsia="宋体" w:cs="宋体"/>
                <w:color w:val="auto"/>
                <w:kern w:val="0"/>
                <w:sz w:val="20"/>
                <w:szCs w:val="20"/>
              </w:rPr>
            </w:pPr>
            <w:r>
              <w:rPr>
                <w:rFonts w:hint="eastAsia" w:ascii="宋体" w:hAnsi="宋体" w:eastAsia="宋体" w:cs="宋体"/>
                <w:color w:val="auto"/>
                <w:kern w:val="0"/>
                <w:sz w:val="18"/>
                <w:szCs w:val="18"/>
                <w:lang w:bidi="ar"/>
              </w:rPr>
              <w:t>安全风险评估工作质量现场抽查报告</w:t>
            </w:r>
          </w:p>
        </w:tc>
        <w:tc>
          <w:tcPr>
            <w:tcW w:w="1366" w:type="pct"/>
            <w:shd w:val="clear" w:color="auto" w:fill="auto"/>
            <w:noWrap/>
            <w:vAlign w:val="center"/>
          </w:tcPr>
          <w:p>
            <w:pPr>
              <w:widowControl/>
              <w:jc w:val="left"/>
              <w:textAlignment w:val="center"/>
              <w:rPr>
                <w:rFonts w:ascii="宋体" w:hAnsi="宋体" w:eastAsia="宋体"/>
                <w:color w:val="auto"/>
                <w:kern w:val="0"/>
                <w:sz w:val="20"/>
                <w:szCs w:val="20"/>
              </w:rPr>
            </w:pPr>
            <w:r>
              <w:rPr>
                <w:rFonts w:hint="eastAsia" w:ascii="宋体" w:hAnsi="宋体" w:eastAsia="宋体" w:cs="宋体"/>
                <w:color w:val="auto"/>
                <w:kern w:val="0"/>
                <w:sz w:val="18"/>
                <w:szCs w:val="18"/>
                <w:lang w:bidi="ar"/>
              </w:rPr>
              <w:t>要包含安全风险数据、应急资源数据、风险评估诊断分级数据质量的多维度统计分析等内容，并对存在的共性问题进行提炼，提出对策建议措施。核查结论准确率在90%以上，单项通过专家评审验收。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widowControl/>
              <w:wordWrap/>
              <w:adjustRightInd w:val="0"/>
              <w:snapToGrid w:val="0"/>
              <w:jc w:val="center"/>
              <w:rPr>
                <w:rFonts w:ascii="宋体" w:hAnsi="宋体" w:eastAsia="宋体" w:cs="Courier New"/>
                <w:color w:val="auto"/>
                <w:kern w:val="0"/>
                <w:sz w:val="20"/>
                <w:szCs w:val="20"/>
              </w:rPr>
            </w:pP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hint="eastAsia" w:ascii="宋体" w:hAnsi="宋体" w:eastAsia="宋体" w:cs="Courier New"/>
                <w:color w:val="auto"/>
                <w:kern w:val="0"/>
                <w:sz w:val="20"/>
                <w:szCs w:val="20"/>
              </w:rPr>
              <w:t>时效</w:t>
            </w:r>
            <w:r>
              <w:rPr>
                <w:rFonts w:ascii="宋体" w:hAnsi="宋体" w:eastAsia="宋体" w:cs="Courier New"/>
                <w:color w:val="auto"/>
                <w:kern w:val="0"/>
                <w:sz w:val="20"/>
                <w:szCs w:val="20"/>
              </w:rPr>
              <w:t>指标</w:t>
            </w:r>
          </w:p>
        </w:tc>
        <w:tc>
          <w:tcPr>
            <w:tcW w:w="2573" w:type="pct"/>
            <w:shd w:val="clear" w:color="auto" w:fill="auto"/>
            <w:noWrap/>
            <w:vAlign w:val="center"/>
          </w:tcPr>
          <w:p>
            <w:pPr>
              <w:widowControl/>
              <w:wordWrap/>
              <w:adjustRightInd w:val="0"/>
              <w:snapToGrid w:val="0"/>
              <w:jc w:val="center"/>
              <w:rPr>
                <w:rFonts w:ascii="宋体" w:hAnsi="宋体" w:eastAsia="宋体" w:cs="宋体"/>
                <w:color w:val="auto"/>
                <w:kern w:val="0"/>
                <w:sz w:val="20"/>
                <w:szCs w:val="20"/>
              </w:rPr>
            </w:pPr>
            <w:r>
              <w:rPr>
                <w:rFonts w:hint="eastAsia" w:ascii="宋体" w:hAnsi="宋体" w:eastAsia="宋体" w:cs="宋体"/>
                <w:color w:val="auto"/>
                <w:kern w:val="0"/>
                <w:sz w:val="20"/>
                <w:szCs w:val="20"/>
              </w:rPr>
              <w:t>完成除2024年第1季度重点行业领域安全风险分析研判及对策建议外的其他所有工作</w:t>
            </w:r>
          </w:p>
        </w:tc>
        <w:tc>
          <w:tcPr>
            <w:tcW w:w="1366" w:type="pct"/>
            <w:shd w:val="clear" w:color="auto" w:fill="auto"/>
            <w:noWrap/>
            <w:vAlign w:val="center"/>
          </w:tcPr>
          <w:p>
            <w:pPr>
              <w:widowControl/>
              <w:wordWrap/>
              <w:jc w:val="center"/>
              <w:rPr>
                <w:rFonts w:ascii="宋体" w:hAnsi="宋体" w:eastAsia="宋体"/>
                <w:color w:val="auto"/>
                <w:kern w:val="0"/>
                <w:sz w:val="20"/>
                <w:szCs w:val="20"/>
              </w:rPr>
            </w:pPr>
            <w:r>
              <w:rPr>
                <w:rFonts w:hint="eastAsia" w:ascii="宋体" w:hAnsi="宋体" w:eastAsia="宋体"/>
                <w:color w:val="auto"/>
                <w:kern w:val="0"/>
                <w:sz w:val="20"/>
                <w:szCs w:val="20"/>
              </w:rPr>
              <w:t>2023年12月底前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widowControl/>
              <w:wordWrap/>
              <w:adjustRightInd w:val="0"/>
              <w:snapToGrid w:val="0"/>
              <w:jc w:val="left"/>
              <w:rPr>
                <w:rFonts w:ascii="宋体" w:hAnsi="宋体" w:eastAsia="宋体" w:cs="Courier New"/>
                <w:color w:val="auto"/>
                <w:kern w:val="0"/>
                <w:sz w:val="20"/>
                <w:szCs w:val="20"/>
              </w:rPr>
            </w:pP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hint="eastAsia" w:ascii="宋体" w:hAnsi="宋体" w:eastAsia="宋体" w:cs="Courier New"/>
                <w:color w:val="auto"/>
                <w:kern w:val="0"/>
                <w:sz w:val="20"/>
                <w:szCs w:val="20"/>
              </w:rPr>
              <w:t>时效</w:t>
            </w:r>
            <w:r>
              <w:rPr>
                <w:rFonts w:ascii="宋体" w:hAnsi="宋体" w:eastAsia="宋体" w:cs="Courier New"/>
                <w:color w:val="auto"/>
                <w:kern w:val="0"/>
                <w:sz w:val="20"/>
                <w:szCs w:val="20"/>
              </w:rPr>
              <w:t>指标</w:t>
            </w:r>
          </w:p>
        </w:tc>
        <w:tc>
          <w:tcPr>
            <w:tcW w:w="2573" w:type="pct"/>
            <w:shd w:val="clear" w:color="auto" w:fill="auto"/>
            <w:vAlign w:val="center"/>
          </w:tcPr>
          <w:p>
            <w:pPr>
              <w:widowControl/>
              <w:wordWrap/>
              <w:adjustRightInd w:val="0"/>
              <w:snapToGrid w:val="0"/>
              <w:jc w:val="center"/>
              <w:rPr>
                <w:rFonts w:ascii="宋体" w:hAnsi="宋体" w:eastAsia="宋体" w:cs="宋体"/>
                <w:color w:val="auto"/>
                <w:kern w:val="0"/>
                <w:sz w:val="20"/>
                <w:szCs w:val="20"/>
              </w:rPr>
            </w:pPr>
            <w:r>
              <w:rPr>
                <w:rFonts w:hint="eastAsia" w:ascii="宋体" w:hAnsi="宋体" w:eastAsia="宋体" w:cs="宋体"/>
                <w:color w:val="auto"/>
                <w:kern w:val="0"/>
                <w:sz w:val="20"/>
                <w:szCs w:val="20"/>
              </w:rPr>
              <w:t>完成2024年第1季度重点行业领域安全风险分析研判及对策建议</w:t>
            </w:r>
          </w:p>
        </w:tc>
        <w:tc>
          <w:tcPr>
            <w:tcW w:w="1366" w:type="pct"/>
            <w:shd w:val="clear" w:color="auto" w:fill="auto"/>
            <w:vAlign w:val="center"/>
          </w:tcPr>
          <w:p>
            <w:pPr>
              <w:widowControl/>
              <w:wordWrap/>
              <w:adjustRightInd w:val="0"/>
              <w:snapToGrid w:val="0"/>
              <w:jc w:val="center"/>
              <w:rPr>
                <w:rFonts w:ascii="宋体" w:hAnsi="宋体" w:eastAsia="宋体" w:cs="宋体"/>
                <w:color w:val="auto"/>
                <w:kern w:val="0"/>
                <w:sz w:val="20"/>
                <w:szCs w:val="20"/>
              </w:rPr>
            </w:pPr>
            <w:r>
              <w:rPr>
                <w:rFonts w:hint="eastAsia" w:ascii="宋体" w:hAnsi="宋体" w:eastAsia="宋体" w:cs="宋体"/>
                <w:color w:val="auto"/>
                <w:kern w:val="0"/>
                <w:sz w:val="20"/>
                <w:szCs w:val="20"/>
              </w:rPr>
              <w:t>2024年3月底前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widowControl/>
              <w:wordWrap/>
              <w:adjustRightInd w:val="0"/>
              <w:snapToGrid w:val="0"/>
              <w:jc w:val="left"/>
              <w:rPr>
                <w:rFonts w:ascii="宋体" w:hAnsi="宋体" w:eastAsia="宋体" w:cs="Courier New"/>
                <w:color w:val="auto"/>
                <w:kern w:val="0"/>
                <w:sz w:val="20"/>
                <w:szCs w:val="20"/>
              </w:rPr>
            </w:pPr>
          </w:p>
        </w:tc>
        <w:tc>
          <w:tcPr>
            <w:tcW w:w="664" w:type="pct"/>
            <w:shd w:val="clear" w:color="auto" w:fill="auto"/>
            <w:vAlign w:val="center"/>
          </w:tcPr>
          <w:p>
            <w:pPr>
              <w:widowControl/>
              <w:wordWrap/>
              <w:adjustRightInd w:val="0"/>
              <w:snapToGrid w:val="0"/>
              <w:ind w:left="0" w:leftChars="0" w:firstLine="0" w:firstLineChars="0"/>
              <w:jc w:val="both"/>
              <w:rPr>
                <w:rFonts w:ascii="宋体" w:hAnsi="宋体" w:eastAsia="宋体" w:cs="Courier New"/>
                <w:color w:val="auto"/>
                <w:kern w:val="0"/>
                <w:sz w:val="20"/>
                <w:szCs w:val="20"/>
              </w:rPr>
            </w:pPr>
            <w:r>
              <w:rPr>
                <w:rFonts w:ascii="宋体" w:hAnsi="宋体" w:eastAsia="宋体" w:cs="Courier New"/>
                <w:color w:val="auto"/>
                <w:kern w:val="0"/>
                <w:sz w:val="20"/>
                <w:szCs w:val="20"/>
              </w:rPr>
              <w:t>成本指标</w:t>
            </w:r>
          </w:p>
        </w:tc>
        <w:tc>
          <w:tcPr>
            <w:tcW w:w="2573" w:type="pct"/>
            <w:shd w:val="clear" w:color="auto" w:fill="auto"/>
            <w:vAlign w:val="center"/>
          </w:tcPr>
          <w:p>
            <w:pPr>
              <w:widowControl/>
              <w:wordWrap/>
              <w:adjustRightInd w:val="0"/>
              <w:snapToGrid w:val="0"/>
              <w:jc w:val="center"/>
              <w:rPr>
                <w:rFonts w:ascii="宋体" w:hAnsi="宋体" w:eastAsia="宋体" w:cs="宋体"/>
                <w:color w:val="auto"/>
                <w:kern w:val="0"/>
                <w:sz w:val="20"/>
                <w:szCs w:val="20"/>
              </w:rPr>
            </w:pPr>
            <w:r>
              <w:rPr>
                <w:rFonts w:hint="eastAsia" w:ascii="宋体" w:hAnsi="宋体" w:eastAsia="宋体" w:cs="宋体"/>
                <w:color w:val="auto"/>
                <w:kern w:val="0"/>
                <w:sz w:val="20"/>
                <w:szCs w:val="20"/>
              </w:rPr>
              <w:t>项目总成本控制预算范围，节余资金返还财政</w:t>
            </w:r>
          </w:p>
        </w:tc>
        <w:tc>
          <w:tcPr>
            <w:tcW w:w="1366" w:type="pct"/>
            <w:shd w:val="clear" w:color="auto" w:fill="auto"/>
            <w:vAlign w:val="center"/>
          </w:tcPr>
          <w:p>
            <w:pPr>
              <w:widowControl/>
              <w:wordWrap/>
              <w:adjustRightInd w:val="0"/>
              <w:snapToGrid w:val="0"/>
              <w:jc w:val="center"/>
              <w:rPr>
                <w:rFonts w:ascii="宋体" w:hAnsi="宋体" w:eastAsia="宋体" w:cs="宋体"/>
                <w:color w:val="auto"/>
                <w:kern w:val="0"/>
                <w:sz w:val="20"/>
                <w:szCs w:val="20"/>
              </w:rPr>
            </w:pPr>
            <w:r>
              <w:rPr>
                <w:rFonts w:hint="eastAsia" w:ascii="宋体" w:hAnsi="宋体" w:eastAsia="宋体" w:cs="宋体"/>
                <w:color w:val="auto"/>
                <w:kern w:val="0"/>
                <w:sz w:val="20"/>
                <w:szCs w:val="20"/>
              </w:rPr>
              <w:t>≤571.9345万元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shd w:val="clear" w:color="auto" w:fill="auto"/>
            <w:vAlign w:val="center"/>
          </w:tcPr>
          <w:p>
            <w:pPr>
              <w:widowControl/>
              <w:wordWrap/>
              <w:adjustRightInd w:val="0"/>
              <w:snapToGrid w:val="0"/>
              <w:ind w:left="0" w:leftChars="0" w:firstLine="0" w:firstLineChars="0"/>
              <w:jc w:val="left"/>
              <w:rPr>
                <w:rFonts w:ascii="宋体" w:hAnsi="宋体" w:eastAsia="宋体" w:cs="Courier New"/>
                <w:color w:val="auto"/>
                <w:kern w:val="0"/>
                <w:sz w:val="20"/>
                <w:szCs w:val="20"/>
              </w:rPr>
            </w:pPr>
            <w:r>
              <w:rPr>
                <w:rFonts w:hint="eastAsia" w:ascii="宋体" w:hAnsi="宋体" w:eastAsia="宋体" w:cs="Courier New"/>
                <w:color w:val="auto"/>
                <w:kern w:val="0"/>
                <w:sz w:val="20"/>
                <w:szCs w:val="20"/>
              </w:rPr>
              <w:t>效益指标</w:t>
            </w:r>
          </w:p>
        </w:tc>
        <w:tc>
          <w:tcPr>
            <w:tcW w:w="664" w:type="pct"/>
            <w:shd w:val="clear" w:color="auto" w:fill="auto"/>
            <w:vAlign w:val="center"/>
          </w:tcPr>
          <w:p>
            <w:pPr>
              <w:widowControl/>
              <w:wordWrap/>
              <w:adjustRightInd w:val="0"/>
              <w:snapToGrid w:val="0"/>
              <w:ind w:left="200" w:leftChars="0" w:hanging="200" w:hangingChars="100"/>
              <w:jc w:val="both"/>
              <w:rPr>
                <w:rFonts w:ascii="宋体" w:hAnsi="宋体" w:eastAsia="宋体" w:cs="宋体"/>
                <w:color w:val="auto"/>
                <w:kern w:val="0"/>
                <w:sz w:val="20"/>
                <w:szCs w:val="20"/>
              </w:rPr>
            </w:pPr>
            <w:r>
              <w:rPr>
                <w:rFonts w:hint="eastAsia" w:ascii="宋体" w:hAnsi="宋体" w:eastAsia="宋体" w:cs="宋体"/>
                <w:color w:val="auto"/>
                <w:kern w:val="0"/>
                <w:sz w:val="20"/>
                <w:szCs w:val="20"/>
              </w:rPr>
              <w:t>社会效益指标</w:t>
            </w:r>
          </w:p>
        </w:tc>
        <w:tc>
          <w:tcPr>
            <w:tcW w:w="2573" w:type="pct"/>
            <w:shd w:val="clear" w:color="auto" w:fill="auto"/>
            <w:noWrap/>
            <w:vAlign w:val="center"/>
          </w:tcPr>
          <w:p>
            <w:pPr>
              <w:widowControl/>
              <w:wordWrap/>
              <w:adjustRightInd w:val="0"/>
              <w:snapToGrid w:val="0"/>
              <w:jc w:val="center"/>
              <w:rPr>
                <w:rFonts w:ascii="宋体" w:hAnsi="宋体" w:eastAsia="宋体" w:cs="宋体"/>
                <w:color w:val="auto"/>
                <w:kern w:val="0"/>
                <w:sz w:val="20"/>
                <w:szCs w:val="20"/>
              </w:rPr>
            </w:pPr>
            <w:r>
              <w:rPr>
                <w:rFonts w:hint="eastAsia" w:ascii="宋体" w:hAnsi="宋体" w:eastAsia="宋体" w:cs="宋体"/>
                <w:color w:val="auto"/>
                <w:kern w:val="0"/>
                <w:sz w:val="20"/>
                <w:szCs w:val="20"/>
              </w:rPr>
              <w:t>项目实施受益主体（社会单位、相关行业部门、各区、街道乡镇）城市安全风险评估工作质量</w:t>
            </w:r>
          </w:p>
        </w:tc>
        <w:tc>
          <w:tcPr>
            <w:tcW w:w="1366" w:type="pct"/>
            <w:shd w:val="clear" w:color="auto" w:fill="auto"/>
            <w:vAlign w:val="center"/>
          </w:tcPr>
          <w:p>
            <w:pPr>
              <w:widowControl/>
              <w:wordWrap/>
              <w:adjustRightInd w:val="0"/>
              <w:snapToGrid w:val="0"/>
              <w:jc w:val="center"/>
              <w:rPr>
                <w:rFonts w:ascii="宋体" w:hAnsi="宋体" w:eastAsia="宋体" w:cs="宋体"/>
                <w:color w:val="auto"/>
                <w:kern w:val="0"/>
                <w:sz w:val="20"/>
                <w:szCs w:val="20"/>
              </w:rPr>
            </w:pPr>
            <w:r>
              <w:rPr>
                <w:rFonts w:hint="eastAsia" w:ascii="宋体" w:hAnsi="宋体" w:eastAsia="宋体" w:cs="宋体"/>
                <w:color w:val="auto"/>
                <w:kern w:val="0"/>
                <w:sz w:val="20"/>
                <w:szCs w:val="20"/>
              </w:rPr>
              <w:t>10个行业领域不低于现有台账总量50%的非小微社会单位完成安全风险评估；新增的4个行业领域不低于新建台账总量50%的社会单位完成安全风险评估。安全风险数据的审核及时率，提升到不低于95%。非小微社会单位的季度风险更新率提升到85%。线上核查合格率提升到不低于85%；现场抽查的合格率提升到不低于70%。持续推进安全风险评估向广度和深度“双拓展”，推动行业、属地、社会单位城市安全风险评估能力和质量“双提升”工作取得阶段性成效。安全风险管理工作基础进一步夯实，风险评估及管控工作成效进一步巩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jc w:val="center"/>
        </w:trPr>
        <w:tc>
          <w:tcPr>
            <w:tcW w:w="395" w:type="pct"/>
            <w:shd w:val="clear" w:color="auto" w:fill="auto"/>
            <w:vAlign w:val="center"/>
          </w:tcPr>
          <w:p>
            <w:pPr>
              <w:widowControl/>
              <w:wordWrap/>
              <w:adjustRightInd w:val="0"/>
              <w:snapToGrid w:val="0"/>
              <w:ind w:left="0" w:leftChars="0" w:firstLine="0" w:firstLineChars="0"/>
              <w:jc w:val="center"/>
              <w:rPr>
                <w:rFonts w:ascii="宋体" w:hAnsi="宋体" w:eastAsia="宋体" w:cs="Courier New"/>
                <w:color w:val="auto"/>
                <w:kern w:val="0"/>
                <w:sz w:val="20"/>
                <w:szCs w:val="20"/>
              </w:rPr>
            </w:pPr>
            <w:r>
              <w:rPr>
                <w:rFonts w:hint="eastAsia" w:ascii="宋体" w:hAnsi="宋体" w:eastAsia="宋体" w:cs="Courier New"/>
                <w:color w:val="auto"/>
                <w:kern w:val="0"/>
                <w:sz w:val="20"/>
                <w:szCs w:val="20"/>
              </w:rPr>
              <w:t>满意度指标</w:t>
            </w:r>
          </w:p>
        </w:tc>
        <w:tc>
          <w:tcPr>
            <w:tcW w:w="664" w:type="pct"/>
            <w:shd w:val="clear" w:color="auto" w:fill="auto"/>
            <w:vAlign w:val="center"/>
          </w:tcPr>
          <w:p>
            <w:pPr>
              <w:widowControl/>
              <w:wordWrap/>
              <w:adjustRightInd w:val="0"/>
              <w:snapToGrid w:val="0"/>
              <w:ind w:left="0" w:leftChars="0" w:firstLine="0" w:firstLineChars="0"/>
              <w:jc w:val="center"/>
              <w:rPr>
                <w:rFonts w:ascii="宋体" w:hAnsi="宋体" w:eastAsia="宋体" w:cs="Courier New"/>
                <w:color w:val="auto"/>
                <w:kern w:val="0"/>
                <w:sz w:val="20"/>
                <w:szCs w:val="20"/>
              </w:rPr>
            </w:pPr>
            <w:r>
              <w:rPr>
                <w:rFonts w:ascii="宋体" w:hAnsi="宋体" w:eastAsia="宋体" w:cs="Courier New"/>
                <w:color w:val="auto"/>
                <w:kern w:val="0"/>
                <w:sz w:val="20"/>
                <w:szCs w:val="20"/>
              </w:rPr>
              <w:t>服务对象满意度指标</w:t>
            </w:r>
          </w:p>
        </w:tc>
        <w:tc>
          <w:tcPr>
            <w:tcW w:w="2573" w:type="pct"/>
            <w:shd w:val="clear" w:color="auto" w:fill="auto"/>
            <w:noWrap/>
            <w:vAlign w:val="center"/>
          </w:tcPr>
          <w:p>
            <w:pPr>
              <w:widowControl/>
              <w:tabs>
                <w:tab w:val="left" w:pos="1473"/>
              </w:tabs>
              <w:wordWrap/>
              <w:adjustRightInd w:val="0"/>
              <w:snapToGrid w:val="0"/>
              <w:jc w:val="left"/>
              <w:rPr>
                <w:rFonts w:ascii="宋体" w:hAnsi="宋体" w:eastAsia="宋体" w:cs="宋体"/>
                <w:color w:val="auto"/>
                <w:kern w:val="0"/>
                <w:sz w:val="20"/>
                <w:szCs w:val="20"/>
              </w:rPr>
            </w:pPr>
            <w:r>
              <w:rPr>
                <w:rFonts w:hint="eastAsia" w:ascii="宋体" w:hAnsi="宋体" w:eastAsia="宋体" w:cs="宋体"/>
                <w:color w:val="auto"/>
                <w:kern w:val="0"/>
                <w:sz w:val="20"/>
                <w:szCs w:val="20"/>
              </w:rPr>
              <w:t>项目实施受益主体（社会单位、相关行业部门、各区、街道乡镇）对城市安全风险评估工作组织管理、指导服务等指标满意度调查</w:t>
            </w:r>
          </w:p>
        </w:tc>
        <w:tc>
          <w:tcPr>
            <w:tcW w:w="1366" w:type="pct"/>
            <w:shd w:val="clear" w:color="auto" w:fill="auto"/>
            <w:noWrap/>
            <w:vAlign w:val="center"/>
          </w:tcPr>
          <w:p>
            <w:pPr>
              <w:widowControl/>
              <w:wordWrap/>
              <w:adjustRightInd w:val="0"/>
              <w:snapToGrid w:val="0"/>
              <w:jc w:val="center"/>
              <w:rPr>
                <w:rFonts w:ascii="宋体" w:hAnsi="宋体" w:eastAsia="宋体" w:cs="宋体"/>
                <w:color w:val="auto"/>
                <w:kern w:val="0"/>
                <w:sz w:val="20"/>
                <w:szCs w:val="20"/>
              </w:rPr>
            </w:pPr>
            <w:r>
              <w:rPr>
                <w:rFonts w:hint="eastAsia" w:ascii="宋体" w:hAnsi="宋体" w:eastAsia="宋体" w:cs="宋体"/>
                <w:color w:val="auto"/>
                <w:kern w:val="0"/>
                <w:sz w:val="20"/>
                <w:szCs w:val="20"/>
              </w:rPr>
              <w:t>≥90%</w:t>
            </w:r>
          </w:p>
        </w:tc>
      </w:tr>
    </w:tbl>
    <w:p>
      <w:pPr>
        <w:wordWrap/>
        <w:adjustRightInd w:val="0"/>
        <w:snapToGrid w:val="0"/>
        <w:spacing w:line="360" w:lineRule="auto"/>
        <w:rPr>
          <w:rFonts w:ascii="Times New Roman" w:eastAsia="黑体"/>
          <w:color w:val="auto"/>
          <w:sz w:val="32"/>
        </w:rPr>
      </w:pPr>
    </w:p>
    <w:p>
      <w:pPr>
        <w:wordWrap/>
        <w:adjustRightInd w:val="0"/>
        <w:snapToGrid w:val="0"/>
        <w:spacing w:line="360" w:lineRule="auto"/>
        <w:ind w:firstLine="640" w:firstLineChars="200"/>
        <w:outlineLvl w:val="0"/>
        <w:rPr>
          <w:rFonts w:ascii="Times New Roman" w:eastAsia="黑体"/>
          <w:color w:val="auto"/>
          <w:sz w:val="32"/>
        </w:rPr>
      </w:pPr>
      <w:bookmarkStart w:id="26" w:name="_Toc2841"/>
      <w:bookmarkStart w:id="27" w:name="_Toc11306"/>
      <w:bookmarkStart w:id="28" w:name="_Toc11456"/>
      <w:r>
        <w:rPr>
          <w:rFonts w:hint="eastAsia" w:ascii="Times New Roman" w:eastAsia="黑体"/>
          <w:color w:val="auto"/>
          <w:sz w:val="32"/>
        </w:rPr>
        <w:t>二、绩效评价工作</w:t>
      </w:r>
      <w:bookmarkEnd w:id="22"/>
      <w:bookmarkEnd w:id="23"/>
      <w:bookmarkEnd w:id="24"/>
      <w:bookmarkEnd w:id="25"/>
      <w:r>
        <w:rPr>
          <w:rFonts w:hint="eastAsia" w:ascii="Times New Roman" w:eastAsia="黑体"/>
          <w:color w:val="auto"/>
          <w:sz w:val="32"/>
        </w:rPr>
        <w:t>开展情况</w:t>
      </w:r>
      <w:bookmarkEnd w:id="26"/>
      <w:bookmarkEnd w:id="27"/>
      <w:bookmarkEnd w:id="28"/>
    </w:p>
    <w:p>
      <w:pPr>
        <w:wordWrap/>
        <w:adjustRightInd w:val="0"/>
        <w:snapToGrid w:val="0"/>
        <w:spacing w:before="0" w:beforeLines="-2147483648" w:after="0" w:afterLines="-2147483648" w:line="360" w:lineRule="auto"/>
        <w:ind w:firstLine="640" w:firstLineChars="200"/>
        <w:outlineLvl w:val="1"/>
        <w:rPr>
          <w:rFonts w:hint="eastAsia" w:ascii="Times New Roman" w:hAnsi="Times New Roman" w:eastAsia="楷体_GB2312" w:cs="Times New Roman"/>
          <w:sz w:val="32"/>
          <w:szCs w:val="30"/>
        </w:rPr>
      </w:pPr>
      <w:bookmarkStart w:id="29" w:name="_Toc313007027"/>
      <w:bookmarkStart w:id="30" w:name="_Toc29739"/>
      <w:bookmarkStart w:id="31" w:name="_Toc26607"/>
      <w:bookmarkStart w:id="32" w:name="_Toc35588402"/>
      <w:bookmarkStart w:id="33" w:name="_Toc24176"/>
      <w:bookmarkStart w:id="34" w:name="_Toc35588773"/>
      <w:bookmarkStart w:id="35" w:name="_Toc9542"/>
      <w:bookmarkStart w:id="36" w:name="_Toc336506894"/>
      <w:bookmarkStart w:id="37" w:name="_Toc336506959"/>
      <w:bookmarkStart w:id="38" w:name="_Toc4409"/>
      <w:r>
        <w:rPr>
          <w:rFonts w:hint="eastAsia" w:ascii="Times New Roman" w:hAnsi="Times New Roman" w:eastAsia="楷体_GB2312" w:cs="Times New Roman"/>
          <w:sz w:val="32"/>
          <w:szCs w:val="30"/>
        </w:rPr>
        <w:t>（一）</w:t>
      </w:r>
      <w:bookmarkEnd w:id="29"/>
      <w:r>
        <w:rPr>
          <w:rFonts w:hint="eastAsia" w:ascii="Times New Roman" w:hAnsi="Times New Roman" w:eastAsia="楷体_GB2312" w:cs="Times New Roman"/>
          <w:sz w:val="32"/>
          <w:szCs w:val="30"/>
        </w:rPr>
        <w:t>绩效评价目的、对象及范围</w:t>
      </w:r>
      <w:bookmarkEnd w:id="30"/>
      <w:bookmarkEnd w:id="31"/>
      <w:bookmarkEnd w:id="32"/>
      <w:bookmarkEnd w:id="33"/>
      <w:bookmarkEnd w:id="34"/>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bookmarkStart w:id="39" w:name="_Toc313007028"/>
      <w:bookmarkStart w:id="40" w:name="_Toc35588403"/>
      <w:bookmarkStart w:id="41" w:name="_Toc35588774"/>
      <w:r>
        <w:rPr>
          <w:rFonts w:hint="eastAsia" w:ascii="仿宋_GB2312" w:hAnsi="Malgun Gothic" w:eastAsia="仿宋_GB2312" w:cs="Malgun Gothic"/>
          <w:sz w:val="32"/>
          <w:szCs w:val="32"/>
        </w:rPr>
        <w:t>为深入贯彻落实北京市财政局《关于印发进一步深化项目支出绩效预算管理改革的意见的通知》（京财预〔2017〕2944号）等文件要求，根据《北京市项目支出绩效评价管理办法》（京财绩效〔2020〕2146号）（以下简称“京财绩效2146号文”）文件精神，聚焦北京市应急管理局2023年度城市安全风险评估工作服务项目资金，围绕决策、过程、产出及效益情况开展评价。</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本次评价工作按照市财政局“加强财政支出管理，强化支出责任，建立科学、合理的财政支出绩效评价管理体系，提高财政资金使用效益”的要求，通过绩效评价，发现项目决策、管理和绩效中存在的问题，反映项目绩效实现情况，提出改进意见和建议，促进项目单位总结经验、发现问题、改进工作，促进项目资金使用的规范化、资源配置的合理化，从而有效提高财政资金的使用效益。</w:t>
      </w:r>
    </w:p>
    <w:p>
      <w:pPr>
        <w:wordWrap/>
        <w:adjustRightInd w:val="0"/>
        <w:snapToGrid w:val="0"/>
        <w:spacing w:before="0" w:beforeLines="-2147483648" w:after="0" w:afterLines="-2147483648" w:line="360" w:lineRule="auto"/>
        <w:ind w:firstLine="640" w:firstLineChars="200"/>
        <w:outlineLvl w:val="1"/>
        <w:rPr>
          <w:rFonts w:hint="eastAsia" w:ascii="Times New Roman" w:hAnsi="Times New Roman" w:eastAsia="楷体_GB2312" w:cs="Times New Roman"/>
          <w:sz w:val="32"/>
          <w:szCs w:val="30"/>
        </w:rPr>
      </w:pPr>
      <w:bookmarkStart w:id="42" w:name="_Toc2953"/>
      <w:bookmarkStart w:id="43" w:name="_Toc14745"/>
      <w:bookmarkStart w:id="44" w:name="_Toc2878"/>
      <w:r>
        <w:rPr>
          <w:rFonts w:hint="eastAsia" w:ascii="Times New Roman" w:hAnsi="Times New Roman" w:eastAsia="楷体_GB2312" w:cs="Times New Roman"/>
          <w:sz w:val="32"/>
          <w:szCs w:val="30"/>
        </w:rPr>
        <w:t>（二）绩效评价原则、</w:t>
      </w:r>
      <w:bookmarkEnd w:id="39"/>
      <w:r>
        <w:rPr>
          <w:rFonts w:hint="eastAsia" w:ascii="Times New Roman" w:hAnsi="Times New Roman" w:eastAsia="楷体_GB2312" w:cs="Times New Roman"/>
          <w:sz w:val="32"/>
          <w:szCs w:val="30"/>
        </w:rPr>
        <w:t>方法及指标体系</w:t>
      </w:r>
      <w:bookmarkEnd w:id="40"/>
      <w:bookmarkEnd w:id="41"/>
      <w:bookmarkEnd w:id="42"/>
      <w:bookmarkEnd w:id="43"/>
      <w:bookmarkEnd w:id="44"/>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bookmarkStart w:id="45" w:name="_Toc313007030"/>
      <w:r>
        <w:rPr>
          <w:rFonts w:hint="eastAsia" w:ascii="仿宋_GB2312" w:hAnsi="Malgun Gothic" w:eastAsia="仿宋_GB2312" w:cs="Malgun Gothic"/>
          <w:sz w:val="32"/>
          <w:szCs w:val="32"/>
        </w:rPr>
        <w:t>1.评价原则和方法</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本次评价本着问题导向、系统评价、科学客观、讲求绩效的原则，采用全面评价和重点评价相结合、现场评价和非现场评价相结合、定性分析与定量分析相结合的方式，运用案卷研究、比较分析、专家咨询等方法，对项目决策、过程、产出、效益四方面进行综合评价。</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2.评价指标体系</w:t>
      </w:r>
      <w:bookmarkEnd w:id="45"/>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bookmarkStart w:id="46" w:name="_Toc35588775"/>
      <w:bookmarkStart w:id="47" w:name="_Toc35588404"/>
      <w:bookmarkStart w:id="48" w:name="_Toc313007032"/>
      <w:r>
        <w:rPr>
          <w:rFonts w:hint="eastAsia" w:ascii="仿宋_GB2312" w:hAnsi="Malgun Gothic" w:eastAsia="仿宋_GB2312" w:cs="Malgun Gothic"/>
          <w:sz w:val="32"/>
          <w:szCs w:val="32"/>
        </w:rPr>
        <w:t>根据京财绩效2146号文相关精神，结合项目特点，在与专家组、项目单位充分协商的基础上，评价工作组细化了项目的绩效评价指标体系，详见附件1。评价指标体系总分值为100分，其中项目决策10分，项目过程20分，项目产出40分，项目效益30分。绩效评价综合绩效级别分为4个等级：</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综合得分在90（含）-100分为优；</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综合得分在80（含）-90分为良；</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综合得分在60（含）-80分为中；</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综合得分在60分以下为较差。</w:t>
      </w:r>
    </w:p>
    <w:p>
      <w:pPr>
        <w:wordWrap/>
        <w:adjustRightInd w:val="0"/>
        <w:snapToGrid w:val="0"/>
        <w:spacing w:before="0" w:beforeLines="-2147483648" w:after="0" w:afterLines="-2147483648" w:line="360" w:lineRule="auto"/>
        <w:ind w:firstLine="640" w:firstLineChars="200"/>
        <w:outlineLvl w:val="1"/>
        <w:rPr>
          <w:rFonts w:hint="eastAsia" w:ascii="Times New Roman" w:hAnsi="Times New Roman" w:eastAsia="楷体_GB2312" w:cs="Times New Roman"/>
          <w:sz w:val="32"/>
          <w:szCs w:val="30"/>
        </w:rPr>
      </w:pPr>
      <w:bookmarkStart w:id="49" w:name="_Toc4782"/>
      <w:bookmarkStart w:id="50" w:name="_Toc14060"/>
      <w:bookmarkStart w:id="51" w:name="_Toc23827"/>
      <w:r>
        <w:rPr>
          <w:rFonts w:hint="eastAsia" w:ascii="Times New Roman" w:hAnsi="Times New Roman" w:eastAsia="楷体_GB2312" w:cs="Times New Roman"/>
          <w:sz w:val="32"/>
          <w:szCs w:val="30"/>
        </w:rPr>
        <w:t>（三）绩效评价工作过程</w:t>
      </w:r>
      <w:bookmarkEnd w:id="46"/>
      <w:bookmarkEnd w:id="47"/>
      <w:bookmarkEnd w:id="48"/>
      <w:bookmarkEnd w:id="49"/>
      <w:bookmarkEnd w:id="50"/>
      <w:bookmarkEnd w:id="51"/>
    </w:p>
    <w:bookmarkEnd w:id="35"/>
    <w:bookmarkEnd w:id="36"/>
    <w:bookmarkEnd w:id="37"/>
    <w:bookmarkEnd w:id="38"/>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bookmarkStart w:id="52" w:name="_Toc336506960"/>
      <w:bookmarkStart w:id="53" w:name="_Toc336506895"/>
      <w:r>
        <w:rPr>
          <w:rFonts w:hint="eastAsia" w:ascii="仿宋_GB2312" w:hAnsi="Malgun Gothic" w:eastAsia="仿宋_GB2312" w:cs="Malgun Gothic"/>
          <w:sz w:val="32"/>
          <w:szCs w:val="32"/>
        </w:rPr>
        <w:t>1.准备阶段</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2024年5月，在明确委托方要求的前提下，评价机构组建了评价工作组，与项目单位充分沟通的基础上，进行项目资料收集、整理和分析等工作；完成专家遴选，组建绩效评价专家组，进行了专家培训等相关工作。</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2.实施阶段</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在资料收集和整理分析的基础上，评价工作组于2024年5月17日组织召开了线上专家评价会，评价专家组通过查阅资料、听取汇报、现场询问等方式，了解项目的执行情况，对项目决策、过程、产出、效益进行了综合评价。</w:t>
      </w:r>
    </w:p>
    <w:p>
      <w:pPr>
        <w:wordWrap/>
        <w:adjustRightInd w:val="0"/>
        <w:snapToGrid w:val="0"/>
        <w:spacing w:line="360" w:lineRule="auto"/>
        <w:jc w:val="center"/>
        <w:rPr>
          <w:rFonts w:ascii="黑体" w:eastAsia="黑体"/>
          <w:iCs/>
          <w:color w:val="auto"/>
          <w:sz w:val="28"/>
          <w:szCs w:val="24"/>
        </w:rPr>
      </w:pPr>
      <w:r>
        <w:rPr>
          <w:rFonts w:hint="eastAsia" w:ascii="黑体" w:eastAsia="黑体"/>
          <w:iCs/>
          <w:color w:val="auto"/>
          <w:sz w:val="28"/>
          <w:szCs w:val="24"/>
        </w:rPr>
        <w:t>表3：评价专家组名单</w:t>
      </w:r>
    </w:p>
    <w:tbl>
      <w:tblPr>
        <w:tblStyle w:val="4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8"/>
        <w:gridCol w:w="3495"/>
        <w:gridCol w:w="1973"/>
        <w:gridCol w:w="16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tblHeader/>
          <w:jc w:val="center"/>
        </w:trPr>
        <w:tc>
          <w:tcPr>
            <w:tcW w:w="843" w:type="pct"/>
            <w:vAlign w:val="center"/>
          </w:tcPr>
          <w:p>
            <w:pPr>
              <w:widowControl/>
              <w:jc w:val="center"/>
              <w:rPr>
                <w:rFonts w:ascii="宋体" w:hAnsi="宋体" w:eastAsia="宋体" w:cs="宋体"/>
                <w:b/>
                <w:bCs/>
                <w:color w:val="auto"/>
                <w:kern w:val="0"/>
                <w:sz w:val="20"/>
                <w:szCs w:val="20"/>
              </w:rPr>
            </w:pPr>
            <w:r>
              <w:rPr>
                <w:rFonts w:hint="eastAsia" w:ascii="宋体" w:hAnsi="宋体" w:eastAsia="宋体" w:cs="宋体"/>
                <w:b/>
                <w:bCs/>
                <w:color w:val="auto"/>
                <w:kern w:val="0"/>
                <w:sz w:val="20"/>
                <w:szCs w:val="20"/>
              </w:rPr>
              <w:t>姓名</w:t>
            </w:r>
          </w:p>
        </w:tc>
        <w:tc>
          <w:tcPr>
            <w:tcW w:w="2049" w:type="pct"/>
            <w:noWrap/>
            <w:vAlign w:val="center"/>
          </w:tcPr>
          <w:p>
            <w:pPr>
              <w:widowControl/>
              <w:jc w:val="center"/>
              <w:rPr>
                <w:rFonts w:ascii="宋体" w:hAnsi="宋体" w:eastAsia="宋体" w:cs="宋体"/>
                <w:b/>
                <w:bCs/>
                <w:color w:val="auto"/>
                <w:kern w:val="0"/>
                <w:sz w:val="20"/>
                <w:szCs w:val="20"/>
              </w:rPr>
            </w:pPr>
            <w:r>
              <w:rPr>
                <w:rFonts w:hint="eastAsia" w:ascii="宋体" w:hAnsi="宋体" w:eastAsia="宋体" w:cs="宋体"/>
                <w:b/>
                <w:bCs/>
                <w:color w:val="auto"/>
                <w:kern w:val="0"/>
                <w:sz w:val="20"/>
                <w:szCs w:val="20"/>
              </w:rPr>
              <w:t>工作单位</w:t>
            </w:r>
          </w:p>
        </w:tc>
        <w:tc>
          <w:tcPr>
            <w:tcW w:w="1157" w:type="pct"/>
            <w:noWrap/>
            <w:vAlign w:val="center"/>
          </w:tcPr>
          <w:p>
            <w:pPr>
              <w:widowControl/>
              <w:jc w:val="center"/>
              <w:rPr>
                <w:rFonts w:ascii="宋体" w:hAnsi="宋体" w:eastAsia="宋体" w:cs="宋体"/>
                <w:b/>
                <w:bCs/>
                <w:color w:val="auto"/>
                <w:kern w:val="0"/>
                <w:sz w:val="20"/>
                <w:szCs w:val="20"/>
              </w:rPr>
            </w:pPr>
            <w:r>
              <w:rPr>
                <w:rFonts w:hint="eastAsia" w:ascii="宋体" w:hAnsi="宋体" w:eastAsia="宋体" w:cs="宋体"/>
                <w:b/>
                <w:bCs/>
                <w:color w:val="auto"/>
                <w:kern w:val="0"/>
                <w:sz w:val="20"/>
                <w:szCs w:val="20"/>
              </w:rPr>
              <w:t>职务/职称</w:t>
            </w:r>
          </w:p>
        </w:tc>
        <w:tc>
          <w:tcPr>
            <w:tcW w:w="951" w:type="pct"/>
            <w:noWrap/>
            <w:vAlign w:val="center"/>
          </w:tcPr>
          <w:p>
            <w:pPr>
              <w:widowControl/>
              <w:jc w:val="center"/>
              <w:rPr>
                <w:rFonts w:ascii="宋体" w:hAnsi="宋体" w:eastAsia="宋体" w:cs="宋体"/>
                <w:b/>
                <w:bCs/>
                <w:color w:val="auto"/>
                <w:kern w:val="0"/>
                <w:sz w:val="20"/>
                <w:szCs w:val="20"/>
              </w:rPr>
            </w:pPr>
            <w:r>
              <w:rPr>
                <w:rFonts w:hint="eastAsia" w:ascii="宋体" w:hAnsi="宋体" w:eastAsia="宋体" w:cs="宋体"/>
                <w:b/>
                <w:bCs/>
                <w:color w:val="auto"/>
                <w:kern w:val="0"/>
                <w:sz w:val="20"/>
                <w:szCs w:val="20"/>
              </w:rPr>
              <w:t>专业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438" w:type="dxa"/>
            <w:vAlign w:val="center"/>
          </w:tcPr>
          <w:p>
            <w:pPr>
              <w:jc w:val="left"/>
              <w:rPr>
                <w:rFonts w:asciiTheme="minorEastAsia" w:hAnsiTheme="minorEastAsia" w:eastAsiaTheme="minorEastAsia" w:cstheme="minorEastAsia"/>
                <w:color w:val="auto"/>
                <w:kern w:val="0"/>
                <w:sz w:val="20"/>
                <w:szCs w:val="20"/>
              </w:rPr>
            </w:pPr>
            <w:r>
              <w:rPr>
                <w:rFonts w:hint="eastAsia" w:asciiTheme="minorEastAsia" w:hAnsiTheme="minorEastAsia" w:eastAsiaTheme="minorEastAsia" w:cstheme="minorEastAsia"/>
                <w:color w:val="auto"/>
                <w:sz w:val="20"/>
                <w:szCs w:val="20"/>
              </w:rPr>
              <w:t xml:space="preserve">马跃 </w:t>
            </w:r>
          </w:p>
        </w:tc>
        <w:tc>
          <w:tcPr>
            <w:tcW w:w="3495" w:type="dxa"/>
            <w:noWrap/>
            <w:vAlign w:val="center"/>
          </w:tcPr>
          <w:p>
            <w:pPr>
              <w:jc w:val="center"/>
              <w:rPr>
                <w:rFonts w:asciiTheme="minorEastAsia" w:hAnsiTheme="minorEastAsia" w:eastAsiaTheme="minorEastAsia" w:cstheme="minorEastAsia"/>
                <w:color w:val="auto"/>
                <w:kern w:val="0"/>
                <w:sz w:val="20"/>
                <w:szCs w:val="20"/>
              </w:rPr>
            </w:pPr>
            <w:r>
              <w:rPr>
                <w:rFonts w:hint="eastAsia" w:asciiTheme="minorEastAsia" w:hAnsiTheme="minorEastAsia" w:eastAsiaTheme="minorEastAsia" w:cstheme="minorEastAsia"/>
                <w:color w:val="auto"/>
                <w:sz w:val="20"/>
                <w:szCs w:val="20"/>
              </w:rPr>
              <w:t>原市财政局财政监督处处长兼监督分局局长</w:t>
            </w:r>
          </w:p>
        </w:tc>
        <w:tc>
          <w:tcPr>
            <w:tcW w:w="1973" w:type="dxa"/>
            <w:noWrap/>
            <w:vAlign w:val="center"/>
          </w:tcPr>
          <w:p>
            <w:pPr>
              <w:widowControl/>
              <w:jc w:val="center"/>
              <w:rPr>
                <w:rFonts w:asciiTheme="minorEastAsia" w:hAnsiTheme="minorEastAsia" w:eastAsiaTheme="minorEastAsia" w:cstheme="minorEastAsia"/>
                <w:color w:val="auto"/>
                <w:kern w:val="0"/>
                <w:sz w:val="20"/>
                <w:szCs w:val="20"/>
              </w:rPr>
            </w:pPr>
            <w:r>
              <w:rPr>
                <w:rFonts w:asciiTheme="minorEastAsia" w:hAnsiTheme="minorEastAsia" w:eastAsiaTheme="minorEastAsia" w:cstheme="minorEastAsia"/>
                <w:color w:val="auto"/>
                <w:sz w:val="20"/>
                <w:szCs w:val="20"/>
              </w:rPr>
              <w:t>高级会计师</w:t>
            </w:r>
          </w:p>
        </w:tc>
        <w:tc>
          <w:tcPr>
            <w:tcW w:w="1622" w:type="dxa"/>
            <w:noWrap/>
            <w:vAlign w:val="center"/>
          </w:tcPr>
          <w:p>
            <w:pPr>
              <w:widowControl/>
              <w:jc w:val="center"/>
              <w:rPr>
                <w:rFonts w:asciiTheme="minorEastAsia" w:hAnsiTheme="minorEastAsia" w:eastAsiaTheme="minorEastAsia" w:cstheme="minorEastAsia"/>
                <w:color w:val="auto"/>
                <w:kern w:val="0"/>
                <w:sz w:val="20"/>
                <w:szCs w:val="20"/>
              </w:rPr>
            </w:pPr>
            <w:r>
              <w:rPr>
                <w:rFonts w:hint="eastAsia" w:asciiTheme="minorEastAsia" w:hAnsiTheme="minorEastAsia" w:eastAsiaTheme="minorEastAsia" w:cstheme="minorEastAsia"/>
                <w:color w:val="auto"/>
                <w:sz w:val="20"/>
                <w:szCs w:val="20"/>
              </w:rPr>
              <w:t>项目管理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438" w:type="dxa"/>
            <w:vAlign w:val="center"/>
          </w:tcPr>
          <w:p>
            <w:pPr>
              <w:jc w:val="left"/>
              <w:rPr>
                <w:rFonts w:asciiTheme="minorEastAsia" w:hAnsiTheme="minorEastAsia" w:eastAsiaTheme="minorEastAsia" w:cstheme="minorEastAsia"/>
                <w:color w:val="auto"/>
                <w:kern w:val="0"/>
                <w:sz w:val="20"/>
                <w:szCs w:val="20"/>
              </w:rPr>
            </w:pPr>
            <w:r>
              <w:rPr>
                <w:rFonts w:hint="eastAsia" w:asciiTheme="minorEastAsia" w:hAnsiTheme="minorEastAsia" w:eastAsiaTheme="minorEastAsia" w:cstheme="minorEastAsia"/>
                <w:color w:val="auto"/>
                <w:sz w:val="20"/>
                <w:szCs w:val="20"/>
              </w:rPr>
              <w:t>李云峰</w:t>
            </w:r>
          </w:p>
        </w:tc>
        <w:tc>
          <w:tcPr>
            <w:tcW w:w="3495" w:type="dxa"/>
            <w:vAlign w:val="center"/>
          </w:tcPr>
          <w:p>
            <w:pPr>
              <w:jc w:val="center"/>
              <w:rPr>
                <w:rFonts w:asciiTheme="minorEastAsia" w:hAnsiTheme="minorEastAsia" w:eastAsiaTheme="minorEastAsia" w:cstheme="minorEastAsia"/>
                <w:color w:val="auto"/>
                <w:kern w:val="0"/>
                <w:sz w:val="20"/>
                <w:szCs w:val="20"/>
              </w:rPr>
            </w:pPr>
            <w:r>
              <w:rPr>
                <w:rFonts w:hint="eastAsia" w:asciiTheme="minorEastAsia" w:hAnsiTheme="minorEastAsia" w:eastAsiaTheme="minorEastAsia" w:cstheme="minorEastAsia"/>
                <w:color w:val="auto"/>
                <w:sz w:val="20"/>
                <w:szCs w:val="20"/>
              </w:rPr>
              <w:t>北京市农林科学院</w:t>
            </w:r>
          </w:p>
        </w:tc>
        <w:tc>
          <w:tcPr>
            <w:tcW w:w="1973" w:type="dxa"/>
            <w:vAlign w:val="center"/>
          </w:tcPr>
          <w:p>
            <w:pPr>
              <w:jc w:val="center"/>
              <w:rPr>
                <w:rFonts w:asciiTheme="minorEastAsia" w:hAnsiTheme="minorEastAsia" w:eastAsiaTheme="minorEastAsia" w:cstheme="minorEastAsia"/>
                <w:color w:val="auto"/>
                <w:kern w:val="0"/>
                <w:sz w:val="20"/>
                <w:szCs w:val="20"/>
              </w:rPr>
            </w:pPr>
            <w:r>
              <w:rPr>
                <w:rFonts w:hint="eastAsia" w:asciiTheme="minorEastAsia" w:hAnsiTheme="minorEastAsia" w:eastAsiaTheme="minorEastAsia" w:cstheme="minorEastAsia"/>
                <w:color w:val="auto"/>
                <w:sz w:val="20"/>
                <w:szCs w:val="20"/>
              </w:rPr>
              <w:t>教授</w:t>
            </w:r>
          </w:p>
        </w:tc>
        <w:tc>
          <w:tcPr>
            <w:tcW w:w="1622" w:type="dxa"/>
            <w:vAlign w:val="center"/>
          </w:tcPr>
          <w:p>
            <w:pPr>
              <w:jc w:val="center"/>
              <w:rPr>
                <w:rFonts w:asciiTheme="minorEastAsia" w:hAnsiTheme="minorEastAsia" w:eastAsiaTheme="minorEastAsia" w:cstheme="minorEastAsia"/>
                <w:color w:val="auto"/>
                <w:kern w:val="0"/>
                <w:sz w:val="20"/>
                <w:szCs w:val="20"/>
              </w:rPr>
            </w:pPr>
            <w:r>
              <w:rPr>
                <w:rFonts w:hint="eastAsia" w:asciiTheme="minorEastAsia" w:hAnsiTheme="minorEastAsia" w:eastAsiaTheme="minorEastAsia" w:cstheme="minorEastAsia"/>
                <w:color w:val="auto"/>
                <w:sz w:val="20"/>
                <w:szCs w:val="20"/>
              </w:rPr>
              <w:t>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438" w:type="dxa"/>
            <w:vAlign w:val="center"/>
          </w:tcPr>
          <w:p>
            <w:pPr>
              <w:jc w:val="left"/>
              <w:rPr>
                <w:rFonts w:asciiTheme="minorEastAsia" w:hAnsiTheme="minorEastAsia" w:eastAsiaTheme="minorEastAsia" w:cstheme="minorEastAsia"/>
                <w:color w:val="auto"/>
                <w:kern w:val="0"/>
                <w:sz w:val="20"/>
                <w:szCs w:val="20"/>
              </w:rPr>
            </w:pPr>
            <w:r>
              <w:rPr>
                <w:rFonts w:hint="eastAsia" w:asciiTheme="minorEastAsia" w:hAnsiTheme="minorEastAsia" w:eastAsiaTheme="minorEastAsia" w:cstheme="minorEastAsia"/>
                <w:color w:val="auto"/>
                <w:sz w:val="20"/>
                <w:szCs w:val="20"/>
              </w:rPr>
              <w:t>杨鹃</w:t>
            </w:r>
          </w:p>
        </w:tc>
        <w:tc>
          <w:tcPr>
            <w:tcW w:w="3495" w:type="dxa"/>
            <w:vAlign w:val="center"/>
          </w:tcPr>
          <w:p>
            <w:pPr>
              <w:jc w:val="center"/>
              <w:rPr>
                <w:rFonts w:asciiTheme="minorEastAsia" w:hAnsiTheme="minorEastAsia" w:eastAsiaTheme="minorEastAsia" w:cstheme="minorEastAsia"/>
                <w:color w:val="auto"/>
                <w:kern w:val="0"/>
                <w:sz w:val="20"/>
                <w:szCs w:val="20"/>
              </w:rPr>
            </w:pPr>
            <w:r>
              <w:rPr>
                <w:rFonts w:hint="eastAsia" w:asciiTheme="minorEastAsia" w:hAnsiTheme="minorEastAsia" w:eastAsiaTheme="minorEastAsia" w:cstheme="minorEastAsia"/>
                <w:color w:val="auto"/>
                <w:sz w:val="20"/>
                <w:szCs w:val="20"/>
              </w:rPr>
              <w:t>首都经济贸易大学会计学院</w:t>
            </w:r>
          </w:p>
        </w:tc>
        <w:tc>
          <w:tcPr>
            <w:tcW w:w="1973" w:type="dxa"/>
            <w:vAlign w:val="center"/>
          </w:tcPr>
          <w:p>
            <w:pPr>
              <w:jc w:val="center"/>
              <w:rPr>
                <w:rFonts w:asciiTheme="minorEastAsia" w:hAnsiTheme="minorEastAsia" w:eastAsiaTheme="minorEastAsia" w:cstheme="minorEastAsia"/>
                <w:color w:val="auto"/>
                <w:kern w:val="0"/>
                <w:sz w:val="20"/>
                <w:szCs w:val="20"/>
              </w:rPr>
            </w:pPr>
            <w:r>
              <w:rPr>
                <w:rFonts w:hint="eastAsia" w:asciiTheme="minorEastAsia" w:hAnsiTheme="minorEastAsia" w:eastAsiaTheme="minorEastAsia" w:cstheme="minorEastAsia"/>
                <w:color w:val="auto"/>
                <w:sz w:val="20"/>
                <w:szCs w:val="20"/>
              </w:rPr>
              <w:t xml:space="preserve">教授 </w:t>
            </w:r>
          </w:p>
        </w:tc>
        <w:tc>
          <w:tcPr>
            <w:tcW w:w="1622" w:type="dxa"/>
            <w:vAlign w:val="center"/>
          </w:tcPr>
          <w:p>
            <w:pPr>
              <w:jc w:val="center"/>
              <w:rPr>
                <w:rFonts w:asciiTheme="minorEastAsia" w:hAnsiTheme="minorEastAsia" w:eastAsiaTheme="minorEastAsia" w:cstheme="minorEastAsia"/>
                <w:color w:val="auto"/>
                <w:kern w:val="0"/>
                <w:sz w:val="20"/>
                <w:szCs w:val="20"/>
              </w:rPr>
            </w:pPr>
            <w:r>
              <w:rPr>
                <w:rFonts w:hint="eastAsia" w:asciiTheme="minorEastAsia" w:hAnsiTheme="minorEastAsia" w:eastAsiaTheme="minorEastAsia" w:cstheme="minorEastAsia"/>
                <w:color w:val="auto"/>
                <w:sz w:val="20"/>
                <w:szCs w:val="20"/>
              </w:rPr>
              <w:t>财务管理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438" w:type="dxa"/>
            <w:vAlign w:val="center"/>
          </w:tcPr>
          <w:p>
            <w:pPr>
              <w:jc w:val="left"/>
              <w:rPr>
                <w:rFonts w:asciiTheme="minorEastAsia" w:hAnsiTheme="minorEastAsia" w:eastAsiaTheme="minorEastAsia" w:cstheme="minorEastAsia"/>
                <w:color w:val="auto"/>
                <w:kern w:val="0"/>
                <w:sz w:val="20"/>
                <w:szCs w:val="20"/>
              </w:rPr>
            </w:pPr>
            <w:r>
              <w:rPr>
                <w:rFonts w:hint="eastAsia" w:asciiTheme="minorEastAsia" w:hAnsiTheme="minorEastAsia" w:eastAsiaTheme="minorEastAsia" w:cstheme="minorEastAsia"/>
                <w:color w:val="auto"/>
                <w:sz w:val="20"/>
                <w:szCs w:val="20"/>
              </w:rPr>
              <w:t>王丽新</w:t>
            </w:r>
          </w:p>
        </w:tc>
        <w:tc>
          <w:tcPr>
            <w:tcW w:w="3495" w:type="dxa"/>
            <w:vAlign w:val="center"/>
          </w:tcPr>
          <w:p>
            <w:pPr>
              <w:jc w:val="center"/>
              <w:rPr>
                <w:rFonts w:asciiTheme="minorEastAsia" w:hAnsiTheme="minorEastAsia" w:eastAsiaTheme="minorEastAsia" w:cstheme="minorEastAsia"/>
                <w:color w:val="auto"/>
                <w:kern w:val="0"/>
                <w:sz w:val="20"/>
                <w:szCs w:val="20"/>
              </w:rPr>
            </w:pPr>
            <w:r>
              <w:rPr>
                <w:rFonts w:hint="eastAsia" w:asciiTheme="minorEastAsia" w:hAnsiTheme="minorEastAsia" w:eastAsiaTheme="minorEastAsia" w:cstheme="minorEastAsia"/>
                <w:color w:val="auto"/>
                <w:sz w:val="20"/>
                <w:szCs w:val="20"/>
              </w:rPr>
              <w:t>北方工业大学</w:t>
            </w:r>
          </w:p>
        </w:tc>
        <w:tc>
          <w:tcPr>
            <w:tcW w:w="1973" w:type="dxa"/>
            <w:vAlign w:val="center"/>
          </w:tcPr>
          <w:p>
            <w:pPr>
              <w:jc w:val="center"/>
              <w:rPr>
                <w:rFonts w:asciiTheme="minorEastAsia" w:hAnsiTheme="minorEastAsia" w:eastAsiaTheme="minorEastAsia" w:cstheme="minorEastAsia"/>
                <w:color w:val="auto"/>
                <w:kern w:val="0"/>
                <w:sz w:val="20"/>
                <w:szCs w:val="20"/>
              </w:rPr>
            </w:pPr>
            <w:r>
              <w:rPr>
                <w:rFonts w:hint="eastAsia" w:asciiTheme="minorEastAsia" w:hAnsiTheme="minorEastAsia" w:eastAsiaTheme="minorEastAsia" w:cstheme="minorEastAsia"/>
                <w:color w:val="auto"/>
                <w:sz w:val="20"/>
                <w:szCs w:val="20"/>
              </w:rPr>
              <w:t>教授</w:t>
            </w:r>
          </w:p>
        </w:tc>
        <w:tc>
          <w:tcPr>
            <w:tcW w:w="1622" w:type="dxa"/>
            <w:vAlign w:val="center"/>
          </w:tcPr>
          <w:p>
            <w:pPr>
              <w:jc w:val="center"/>
              <w:rPr>
                <w:rFonts w:asciiTheme="minorEastAsia" w:hAnsiTheme="minorEastAsia" w:eastAsiaTheme="minorEastAsia" w:cstheme="minorEastAsia"/>
                <w:color w:val="auto"/>
                <w:kern w:val="0"/>
                <w:sz w:val="20"/>
                <w:szCs w:val="20"/>
              </w:rPr>
            </w:pPr>
            <w:r>
              <w:rPr>
                <w:rFonts w:hint="eastAsia" w:asciiTheme="minorEastAsia" w:hAnsiTheme="minorEastAsia" w:eastAsiaTheme="minorEastAsia" w:cstheme="minorEastAsia"/>
                <w:color w:val="auto"/>
                <w:kern w:val="0"/>
                <w:sz w:val="20"/>
                <w:szCs w:val="20"/>
              </w:rPr>
              <w:t>内控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438" w:type="dxa"/>
            <w:vAlign w:val="center"/>
          </w:tcPr>
          <w:p>
            <w:pPr>
              <w:jc w:val="left"/>
              <w:rPr>
                <w:rFonts w:asciiTheme="minorEastAsia" w:hAnsiTheme="minorEastAsia" w:eastAsiaTheme="minorEastAsia" w:cstheme="minorEastAsia"/>
                <w:color w:val="auto"/>
                <w:kern w:val="0"/>
                <w:sz w:val="20"/>
                <w:szCs w:val="20"/>
              </w:rPr>
            </w:pPr>
            <w:r>
              <w:rPr>
                <w:rFonts w:hint="eastAsia" w:asciiTheme="minorEastAsia" w:hAnsiTheme="minorEastAsia" w:eastAsiaTheme="minorEastAsia" w:cstheme="minorEastAsia"/>
                <w:color w:val="auto"/>
                <w:sz w:val="20"/>
                <w:szCs w:val="20"/>
              </w:rPr>
              <w:t>王宏</w:t>
            </w:r>
          </w:p>
        </w:tc>
        <w:tc>
          <w:tcPr>
            <w:tcW w:w="3495" w:type="dxa"/>
            <w:vAlign w:val="center"/>
          </w:tcPr>
          <w:p>
            <w:pPr>
              <w:jc w:val="center"/>
              <w:rPr>
                <w:rFonts w:asciiTheme="minorEastAsia" w:hAnsiTheme="minorEastAsia" w:eastAsiaTheme="minorEastAsia" w:cstheme="minorEastAsia"/>
                <w:color w:val="auto"/>
                <w:kern w:val="0"/>
                <w:sz w:val="20"/>
                <w:szCs w:val="20"/>
              </w:rPr>
            </w:pPr>
            <w:r>
              <w:rPr>
                <w:rFonts w:hint="eastAsia" w:asciiTheme="minorEastAsia" w:hAnsiTheme="minorEastAsia" w:eastAsiaTheme="minorEastAsia" w:cstheme="minorEastAsia"/>
                <w:color w:val="auto"/>
                <w:sz w:val="20"/>
                <w:szCs w:val="20"/>
              </w:rPr>
              <w:t>北京石油化工学院教授</w:t>
            </w:r>
          </w:p>
        </w:tc>
        <w:tc>
          <w:tcPr>
            <w:tcW w:w="1973" w:type="dxa"/>
            <w:vAlign w:val="center"/>
          </w:tcPr>
          <w:p>
            <w:pPr>
              <w:jc w:val="center"/>
              <w:rPr>
                <w:rFonts w:asciiTheme="minorEastAsia" w:hAnsiTheme="minorEastAsia" w:eastAsiaTheme="minorEastAsia" w:cstheme="minorEastAsia"/>
                <w:color w:val="auto"/>
                <w:kern w:val="0"/>
                <w:sz w:val="20"/>
                <w:szCs w:val="20"/>
              </w:rPr>
            </w:pPr>
            <w:r>
              <w:rPr>
                <w:rFonts w:hint="eastAsia" w:asciiTheme="minorEastAsia" w:hAnsiTheme="minorEastAsia" w:eastAsiaTheme="minorEastAsia" w:cstheme="minorEastAsia"/>
                <w:color w:val="auto"/>
                <w:sz w:val="20"/>
                <w:szCs w:val="20"/>
              </w:rPr>
              <w:t>教授</w:t>
            </w:r>
          </w:p>
        </w:tc>
        <w:tc>
          <w:tcPr>
            <w:tcW w:w="1622" w:type="dxa"/>
            <w:vAlign w:val="center"/>
          </w:tcPr>
          <w:p>
            <w:pPr>
              <w:jc w:val="center"/>
              <w:rPr>
                <w:rFonts w:asciiTheme="minorEastAsia" w:hAnsiTheme="minorEastAsia" w:eastAsiaTheme="minorEastAsia" w:cstheme="minorEastAsia"/>
                <w:color w:val="auto"/>
                <w:kern w:val="0"/>
                <w:sz w:val="20"/>
                <w:szCs w:val="20"/>
              </w:rPr>
            </w:pPr>
            <w:r>
              <w:rPr>
                <w:rFonts w:hint="eastAsia" w:asciiTheme="minorEastAsia" w:hAnsiTheme="minorEastAsia" w:eastAsiaTheme="minorEastAsia" w:cstheme="minorEastAsia"/>
                <w:color w:val="auto"/>
                <w:sz w:val="20"/>
                <w:szCs w:val="20"/>
              </w:rPr>
              <w:t>管理</w:t>
            </w:r>
          </w:p>
        </w:tc>
      </w:tr>
    </w:tbl>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3.评价分析阶段</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评价工作组根据收集到的项目相关资料以及评价专家组意见，对项目决策、管理、绩效情况进行综合分析，按照规定的文本格式和内容撰写绩效评价报告，提交单位征求意见。同时，根据反馈意见，在规定时间内修改形成绩效评价报告正式稿报送委托方。</w:t>
      </w:r>
      <w:bookmarkEnd w:id="52"/>
      <w:bookmarkEnd w:id="53"/>
      <w:bookmarkStart w:id="54" w:name="_Toc4489"/>
      <w:bookmarkStart w:id="55" w:name="_Toc336506896"/>
      <w:bookmarkStart w:id="56" w:name="_Toc336506961"/>
      <w:bookmarkStart w:id="57" w:name="_Toc28464"/>
    </w:p>
    <w:p>
      <w:pPr>
        <w:wordWrap/>
        <w:adjustRightInd w:val="0"/>
        <w:snapToGrid w:val="0"/>
        <w:spacing w:before="0" w:beforeLines="-2147483648" w:after="0" w:afterLines="-2147483648" w:line="360" w:lineRule="auto"/>
        <w:ind w:firstLine="640" w:firstLineChars="200"/>
        <w:outlineLvl w:val="0"/>
        <w:rPr>
          <w:rFonts w:hint="eastAsia" w:ascii="Times New Roman" w:hAnsi="Times New Roman" w:eastAsia="黑体" w:cs="Times New Roman"/>
          <w:sz w:val="32"/>
          <w:szCs w:val="30"/>
        </w:rPr>
      </w:pPr>
      <w:bookmarkStart w:id="58" w:name="_Toc336506900"/>
      <w:bookmarkStart w:id="59" w:name="_Toc336506965"/>
      <w:bookmarkStart w:id="60" w:name="_Toc30230"/>
      <w:bookmarkStart w:id="61" w:name="_Toc31715"/>
      <w:bookmarkStart w:id="62" w:name="_Toc9290"/>
      <w:bookmarkStart w:id="63" w:name="_Toc6258"/>
      <w:bookmarkStart w:id="64" w:name="_Toc13154"/>
      <w:r>
        <w:rPr>
          <w:rFonts w:hint="eastAsia" w:ascii="Times New Roman" w:hAnsi="Times New Roman" w:eastAsia="黑体" w:cs="Times New Roman"/>
          <w:sz w:val="32"/>
          <w:szCs w:val="30"/>
        </w:rPr>
        <w:t>三、</w:t>
      </w:r>
      <w:bookmarkEnd w:id="58"/>
      <w:bookmarkEnd w:id="59"/>
      <w:bookmarkEnd w:id="60"/>
      <w:bookmarkEnd w:id="61"/>
      <w:r>
        <w:rPr>
          <w:rFonts w:hint="eastAsia" w:ascii="Times New Roman" w:hAnsi="Times New Roman" w:eastAsia="黑体" w:cs="Times New Roman"/>
          <w:sz w:val="32"/>
          <w:szCs w:val="30"/>
        </w:rPr>
        <w:t>综合评价情况及评价结论</w:t>
      </w:r>
      <w:bookmarkEnd w:id="62"/>
      <w:bookmarkEnd w:id="63"/>
      <w:bookmarkEnd w:id="64"/>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项目采取公开招标方式委托服务商，组建专业服务团队，完成深化和拓展城市安全风险评估等工作，管控各类安全风险，深入落实安全风险分级管控制度，从源头防范化解重大安全风险，不断提升城市风险管理水平。</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但聚焦项目管理实施情况，本次评价也发现项目在前期需求论证、绩效目标及指标设置、过程管理、项目实施效益、满意度调查等方面有进一步提升空间。通过评价，项目综合评价得分9</w:t>
      </w:r>
      <w:r>
        <w:rPr>
          <w:rFonts w:hint="eastAsia" w:ascii="仿宋_GB2312" w:hAnsi="Malgun Gothic" w:eastAsia="仿宋_GB2312" w:cs="Malgun Gothic"/>
          <w:sz w:val="32"/>
          <w:szCs w:val="32"/>
          <w:lang w:val="en-US" w:eastAsia="zh-CN"/>
        </w:rPr>
        <w:t>1</w:t>
      </w:r>
      <w:r>
        <w:rPr>
          <w:rFonts w:hint="eastAsia" w:ascii="仿宋_GB2312" w:hAnsi="Malgun Gothic" w:eastAsia="仿宋_GB2312" w:cs="Malgun Gothic"/>
          <w:sz w:val="32"/>
          <w:szCs w:val="32"/>
        </w:rPr>
        <w:t>.</w:t>
      </w:r>
      <w:r>
        <w:rPr>
          <w:rFonts w:hint="eastAsia" w:ascii="仿宋_GB2312" w:hAnsi="Malgun Gothic" w:eastAsia="仿宋_GB2312" w:cs="Malgun Gothic"/>
          <w:sz w:val="32"/>
          <w:szCs w:val="32"/>
          <w:lang w:val="en-US" w:eastAsia="zh-CN"/>
        </w:rPr>
        <w:t>2</w:t>
      </w:r>
      <w:r>
        <w:rPr>
          <w:rFonts w:hint="eastAsia" w:ascii="仿宋_GB2312" w:hAnsi="Malgun Gothic" w:eastAsia="仿宋_GB2312" w:cs="Malgun Gothic"/>
          <w:sz w:val="32"/>
          <w:szCs w:val="32"/>
        </w:rPr>
        <w:t>分，评价等级为“优”，具体得分情况见表4。</w:t>
      </w:r>
    </w:p>
    <w:p>
      <w:pPr>
        <w:snapToGrid w:val="0"/>
        <w:spacing w:line="360" w:lineRule="auto"/>
        <w:jc w:val="center"/>
        <w:rPr>
          <w:rFonts w:ascii="黑体" w:hAnsi="黑体" w:eastAsia="黑体"/>
          <w:color w:val="auto"/>
          <w:sz w:val="28"/>
          <w:szCs w:val="28"/>
        </w:rPr>
      </w:pPr>
      <w:r>
        <w:rPr>
          <w:rFonts w:hint="eastAsia" w:ascii="黑体" w:hAnsi="黑体" w:eastAsia="黑体"/>
          <w:color w:val="auto"/>
          <w:sz w:val="28"/>
          <w:szCs w:val="28"/>
        </w:rPr>
        <w:t>表4：综合评价得分情况表</w:t>
      </w:r>
    </w:p>
    <w:tbl>
      <w:tblPr>
        <w:tblStyle w:val="46"/>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shd w:val="clear" w:color="auto" w:fill="C0C0C0"/>
        <w:tblLayout w:type="fixed"/>
        <w:tblCellMar>
          <w:top w:w="0" w:type="dxa"/>
          <w:left w:w="57" w:type="dxa"/>
          <w:bottom w:w="0" w:type="dxa"/>
          <w:right w:w="57" w:type="dxa"/>
        </w:tblCellMar>
      </w:tblPr>
      <w:tblGrid>
        <w:gridCol w:w="2250"/>
        <w:gridCol w:w="3240"/>
        <w:gridCol w:w="2995"/>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shd w:val="clear" w:color="auto" w:fill="C0C0C0"/>
          <w:tblCellMar>
            <w:top w:w="0" w:type="dxa"/>
            <w:left w:w="57" w:type="dxa"/>
            <w:bottom w:w="0" w:type="dxa"/>
            <w:right w:w="57" w:type="dxa"/>
          </w:tblCellMar>
        </w:tblPrEx>
        <w:trPr>
          <w:cantSplit/>
          <w:trHeight w:val="620" w:hRule="atLeast"/>
          <w:jc w:val="center"/>
        </w:trPr>
        <w:tc>
          <w:tcPr>
            <w:tcW w:w="2250" w:type="dxa"/>
            <w:tcBorders>
              <w:top w:val="single" w:color="FFFFFF" w:sz="4" w:space="0"/>
              <w:left w:val="single" w:color="FFFFFF" w:sz="4" w:space="0"/>
              <w:bottom w:val="single" w:color="FFFFFF" w:sz="6" w:space="0"/>
              <w:right w:val="single" w:color="FFFFFF" w:sz="6" w:space="0"/>
            </w:tcBorders>
            <w:shd w:val="clear" w:color="auto" w:fill="C0C0C0"/>
            <w:vAlign w:val="center"/>
          </w:tcPr>
          <w:p>
            <w:pPr>
              <w:adjustRightInd w:val="0"/>
              <w:snapToGrid w:val="0"/>
              <w:spacing w:before="120" w:after="60" w:line="300" w:lineRule="auto"/>
              <w:jc w:val="center"/>
              <w:rPr>
                <w:rFonts w:ascii="Times New Roman" w:eastAsia="方正仿宋_GB2312"/>
                <w:b/>
                <w:color w:val="auto"/>
                <w:sz w:val="28"/>
                <w:szCs w:val="28"/>
              </w:rPr>
            </w:pPr>
            <w:r>
              <w:rPr>
                <w:rFonts w:ascii="Times New Roman" w:eastAsia="方正仿宋_GB2312"/>
                <w:b/>
                <w:color w:val="auto"/>
                <w:sz w:val="28"/>
                <w:szCs w:val="28"/>
              </w:rPr>
              <w:t>评价内容</w:t>
            </w:r>
          </w:p>
        </w:tc>
        <w:tc>
          <w:tcPr>
            <w:tcW w:w="3240" w:type="dxa"/>
            <w:tcBorders>
              <w:top w:val="single" w:color="FFFFFF" w:sz="4" w:space="0"/>
              <w:left w:val="single" w:color="FFFFFF" w:sz="6" w:space="0"/>
              <w:bottom w:val="single" w:color="FFFFFF" w:sz="6" w:space="0"/>
              <w:right w:val="single" w:color="FFFFFF" w:sz="6" w:space="0"/>
            </w:tcBorders>
            <w:shd w:val="clear" w:color="auto" w:fill="C0C0C0"/>
            <w:vAlign w:val="center"/>
          </w:tcPr>
          <w:p>
            <w:pPr>
              <w:adjustRightInd w:val="0"/>
              <w:snapToGrid w:val="0"/>
              <w:spacing w:before="120" w:after="60" w:line="300" w:lineRule="auto"/>
              <w:jc w:val="center"/>
              <w:rPr>
                <w:rFonts w:ascii="Times New Roman" w:eastAsia="方正仿宋_GB2312"/>
                <w:b/>
                <w:color w:val="auto"/>
                <w:sz w:val="28"/>
                <w:szCs w:val="28"/>
              </w:rPr>
            </w:pPr>
            <w:r>
              <w:rPr>
                <w:rFonts w:ascii="Times New Roman" w:eastAsia="方正仿宋_GB2312"/>
                <w:b/>
                <w:color w:val="auto"/>
                <w:sz w:val="28"/>
                <w:szCs w:val="28"/>
              </w:rPr>
              <w:t>分值</w:t>
            </w:r>
          </w:p>
        </w:tc>
        <w:tc>
          <w:tcPr>
            <w:tcW w:w="2995" w:type="dxa"/>
            <w:tcBorders>
              <w:top w:val="single" w:color="FFFFFF" w:sz="4" w:space="0"/>
              <w:left w:val="single" w:color="FFFFFF" w:sz="6" w:space="0"/>
              <w:bottom w:val="single" w:color="FFFFFF" w:sz="6" w:space="0"/>
              <w:right w:val="single" w:color="FFFFFF" w:sz="4" w:space="0"/>
            </w:tcBorders>
            <w:shd w:val="clear" w:color="auto" w:fill="C0C0C0"/>
            <w:vAlign w:val="center"/>
          </w:tcPr>
          <w:p>
            <w:pPr>
              <w:adjustRightInd w:val="0"/>
              <w:snapToGrid w:val="0"/>
              <w:spacing w:before="120" w:after="60" w:line="300" w:lineRule="auto"/>
              <w:jc w:val="center"/>
              <w:rPr>
                <w:rFonts w:ascii="Times New Roman" w:eastAsia="方正仿宋_GB2312"/>
                <w:b/>
                <w:color w:val="auto"/>
                <w:sz w:val="28"/>
                <w:szCs w:val="28"/>
              </w:rPr>
            </w:pPr>
            <w:r>
              <w:rPr>
                <w:rFonts w:ascii="Times New Roman" w:eastAsia="方正仿宋_GB2312"/>
                <w:b/>
                <w:color w:val="auto"/>
                <w:sz w:val="28"/>
                <w:szCs w:val="28"/>
              </w:rPr>
              <w:t>评价得分</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57" w:type="dxa"/>
            <w:bottom w:w="0" w:type="dxa"/>
            <w:right w:w="57" w:type="dxa"/>
          </w:tblCellMar>
        </w:tblPrEx>
        <w:trPr>
          <w:cantSplit/>
          <w:trHeight w:val="532" w:hRule="atLeast"/>
          <w:jc w:val="center"/>
        </w:trPr>
        <w:tc>
          <w:tcPr>
            <w:tcW w:w="2250" w:type="dxa"/>
            <w:tcBorders>
              <w:top w:val="single" w:color="FFFFFF" w:sz="6" w:space="0"/>
              <w:left w:val="single" w:color="FFFFFF" w:sz="4" w:space="0"/>
              <w:bottom w:val="single" w:color="FFFFFF" w:sz="6" w:space="0"/>
              <w:right w:val="single" w:color="FFFFFF" w:sz="6" w:space="0"/>
            </w:tcBorders>
            <w:shd w:val="clear" w:color="auto" w:fill="C0C0C0"/>
            <w:vAlign w:val="center"/>
          </w:tcPr>
          <w:p>
            <w:pPr>
              <w:pStyle w:val="13"/>
              <w:adjustRightInd w:val="0"/>
              <w:snapToGrid w:val="0"/>
              <w:spacing w:before="120" w:after="60" w:line="300" w:lineRule="auto"/>
              <w:ind w:firstLine="0"/>
              <w:jc w:val="center"/>
              <w:rPr>
                <w:rFonts w:eastAsia="方正仿宋_GB2312"/>
                <w:b/>
                <w:color w:val="auto"/>
                <w:sz w:val="28"/>
                <w:szCs w:val="28"/>
              </w:rPr>
            </w:pPr>
            <w:r>
              <w:rPr>
                <w:rFonts w:eastAsia="方正仿宋_GB2312"/>
                <w:b/>
                <w:color w:val="auto"/>
                <w:sz w:val="28"/>
                <w:szCs w:val="28"/>
              </w:rPr>
              <w:t>项目决策</w:t>
            </w:r>
          </w:p>
        </w:tc>
        <w:tc>
          <w:tcPr>
            <w:tcW w:w="3240" w:type="dxa"/>
            <w:tcBorders>
              <w:top w:val="single" w:color="FFFFFF" w:sz="6" w:space="0"/>
              <w:left w:val="single" w:color="FFFFFF" w:sz="6" w:space="0"/>
              <w:bottom w:val="single" w:color="FFFFFF" w:sz="6" w:space="0"/>
              <w:right w:val="single" w:color="FFFFFF" w:sz="6" w:space="0"/>
            </w:tcBorders>
            <w:shd w:val="clear" w:color="auto" w:fill="C0C0C0"/>
            <w:vAlign w:val="center"/>
          </w:tcPr>
          <w:p>
            <w:pPr>
              <w:adjustRightInd w:val="0"/>
              <w:snapToGrid w:val="0"/>
              <w:jc w:val="center"/>
              <w:rPr>
                <w:rFonts w:ascii="Times New Roman" w:eastAsia="方正仿宋_GB2312"/>
                <w:b/>
                <w:color w:val="auto"/>
                <w:sz w:val="28"/>
                <w:szCs w:val="28"/>
              </w:rPr>
            </w:pPr>
            <w:r>
              <w:rPr>
                <w:rFonts w:hint="eastAsia" w:ascii="Times New Roman" w:eastAsia="方正仿宋_GB2312"/>
                <w:b/>
                <w:color w:val="auto"/>
                <w:sz w:val="28"/>
                <w:szCs w:val="28"/>
              </w:rPr>
              <w:t>10.00</w:t>
            </w:r>
          </w:p>
        </w:tc>
        <w:tc>
          <w:tcPr>
            <w:tcW w:w="2995" w:type="dxa"/>
            <w:tcBorders>
              <w:top w:val="single" w:color="FFFFFF" w:sz="6" w:space="0"/>
              <w:left w:val="single" w:color="FFFFFF" w:sz="6" w:space="0"/>
              <w:bottom w:val="single" w:color="FFFFFF" w:sz="6" w:space="0"/>
              <w:right w:val="single" w:color="FFFFFF" w:sz="4" w:space="0"/>
            </w:tcBorders>
            <w:shd w:val="clear" w:color="auto" w:fill="C0C0C0"/>
            <w:vAlign w:val="center"/>
          </w:tcPr>
          <w:p>
            <w:pPr>
              <w:adjustRightInd w:val="0"/>
              <w:snapToGrid w:val="0"/>
              <w:jc w:val="center"/>
              <w:rPr>
                <w:rFonts w:hint="default" w:ascii="Times New Roman" w:eastAsia="方正仿宋_GB2312"/>
                <w:b/>
                <w:color w:val="auto"/>
                <w:sz w:val="28"/>
                <w:szCs w:val="28"/>
                <w:lang w:val="en-US" w:eastAsia="zh-CN"/>
              </w:rPr>
            </w:pPr>
            <w:r>
              <w:rPr>
                <w:rFonts w:hint="eastAsia" w:ascii="Times New Roman" w:eastAsia="方正仿宋_GB2312"/>
                <w:b/>
                <w:color w:val="auto"/>
                <w:sz w:val="28"/>
                <w:szCs w:val="28"/>
                <w:lang w:val="en-US" w:eastAsia="zh-CN"/>
              </w:rPr>
              <w:t>9</w:t>
            </w:r>
            <w:r>
              <w:rPr>
                <w:rFonts w:hint="eastAsia" w:ascii="Times New Roman" w:eastAsia="方正仿宋_GB2312"/>
                <w:b/>
                <w:color w:val="auto"/>
                <w:sz w:val="28"/>
                <w:szCs w:val="28"/>
              </w:rPr>
              <w:t>.</w:t>
            </w:r>
            <w:r>
              <w:rPr>
                <w:rFonts w:hint="eastAsia" w:ascii="Times New Roman" w:eastAsia="方正仿宋_GB2312"/>
                <w:b/>
                <w:color w:val="auto"/>
                <w:sz w:val="28"/>
                <w:szCs w:val="28"/>
                <w:lang w:val="en-US" w:eastAsia="zh-CN"/>
              </w:rPr>
              <w:t>24</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shd w:val="clear" w:color="auto" w:fill="C0C0C0"/>
          <w:tblCellMar>
            <w:top w:w="0" w:type="dxa"/>
            <w:left w:w="57" w:type="dxa"/>
            <w:bottom w:w="0" w:type="dxa"/>
            <w:right w:w="57" w:type="dxa"/>
          </w:tblCellMar>
        </w:tblPrEx>
        <w:trPr>
          <w:cantSplit/>
          <w:trHeight w:val="532" w:hRule="atLeast"/>
          <w:jc w:val="center"/>
        </w:trPr>
        <w:tc>
          <w:tcPr>
            <w:tcW w:w="2250" w:type="dxa"/>
            <w:tcBorders>
              <w:top w:val="single" w:color="FFFFFF" w:sz="6" w:space="0"/>
              <w:left w:val="single" w:color="FFFFFF" w:sz="4" w:space="0"/>
              <w:bottom w:val="single" w:color="FFFFFF" w:sz="6" w:space="0"/>
              <w:right w:val="single" w:color="FFFFFF" w:sz="6" w:space="0"/>
            </w:tcBorders>
            <w:shd w:val="clear" w:color="auto" w:fill="C0C0C0"/>
            <w:vAlign w:val="center"/>
          </w:tcPr>
          <w:p>
            <w:pPr>
              <w:adjustRightInd w:val="0"/>
              <w:snapToGrid w:val="0"/>
              <w:spacing w:before="120" w:after="60" w:line="300" w:lineRule="auto"/>
              <w:jc w:val="center"/>
              <w:rPr>
                <w:rFonts w:ascii="Times New Roman" w:eastAsia="方正仿宋_GB2312"/>
                <w:b/>
                <w:color w:val="auto"/>
                <w:sz w:val="28"/>
                <w:szCs w:val="28"/>
              </w:rPr>
            </w:pPr>
            <w:r>
              <w:rPr>
                <w:rFonts w:ascii="Times New Roman" w:eastAsia="方正仿宋_GB2312"/>
                <w:b/>
                <w:color w:val="auto"/>
                <w:sz w:val="28"/>
                <w:szCs w:val="28"/>
              </w:rPr>
              <w:t>项目</w:t>
            </w:r>
            <w:r>
              <w:rPr>
                <w:rFonts w:hint="eastAsia" w:ascii="Times New Roman" w:eastAsia="方正仿宋_GB2312"/>
                <w:b/>
                <w:color w:val="auto"/>
                <w:sz w:val="28"/>
                <w:szCs w:val="28"/>
              </w:rPr>
              <w:t>过程</w:t>
            </w:r>
          </w:p>
        </w:tc>
        <w:tc>
          <w:tcPr>
            <w:tcW w:w="3240" w:type="dxa"/>
            <w:tcBorders>
              <w:top w:val="single" w:color="FFFFFF" w:sz="6" w:space="0"/>
              <w:left w:val="single" w:color="FFFFFF" w:sz="6" w:space="0"/>
              <w:bottom w:val="single" w:color="FFFFFF" w:sz="6" w:space="0"/>
              <w:right w:val="single" w:color="FFFFFF" w:sz="6" w:space="0"/>
            </w:tcBorders>
            <w:shd w:val="clear" w:color="auto" w:fill="C0C0C0"/>
            <w:vAlign w:val="center"/>
          </w:tcPr>
          <w:p>
            <w:pPr>
              <w:adjustRightInd w:val="0"/>
              <w:snapToGrid w:val="0"/>
              <w:jc w:val="center"/>
              <w:rPr>
                <w:rFonts w:ascii="Times New Roman" w:eastAsia="方正仿宋_GB2312"/>
                <w:b/>
                <w:color w:val="auto"/>
                <w:sz w:val="28"/>
                <w:szCs w:val="28"/>
              </w:rPr>
            </w:pPr>
            <w:r>
              <w:rPr>
                <w:rFonts w:hint="eastAsia" w:ascii="Times New Roman" w:eastAsia="方正仿宋_GB2312"/>
                <w:b/>
                <w:color w:val="auto"/>
                <w:sz w:val="28"/>
                <w:szCs w:val="28"/>
              </w:rPr>
              <w:t>20.00</w:t>
            </w:r>
          </w:p>
        </w:tc>
        <w:tc>
          <w:tcPr>
            <w:tcW w:w="2995" w:type="dxa"/>
            <w:tcBorders>
              <w:top w:val="single" w:color="FFFFFF" w:sz="6" w:space="0"/>
              <w:left w:val="single" w:color="FFFFFF" w:sz="6" w:space="0"/>
              <w:bottom w:val="single" w:color="FFFFFF" w:sz="6" w:space="0"/>
              <w:right w:val="single" w:color="FFFFFF" w:sz="4" w:space="0"/>
            </w:tcBorders>
            <w:shd w:val="clear" w:color="auto" w:fill="C0C0C0"/>
            <w:vAlign w:val="center"/>
          </w:tcPr>
          <w:p>
            <w:pPr>
              <w:adjustRightInd w:val="0"/>
              <w:snapToGrid w:val="0"/>
              <w:jc w:val="center"/>
              <w:rPr>
                <w:rFonts w:ascii="Times New Roman" w:eastAsia="方正仿宋_GB2312"/>
                <w:b/>
                <w:color w:val="auto"/>
                <w:sz w:val="28"/>
                <w:szCs w:val="28"/>
              </w:rPr>
            </w:pPr>
            <w:r>
              <w:rPr>
                <w:rFonts w:hint="eastAsia" w:ascii="Times New Roman" w:eastAsia="方正仿宋_GB2312"/>
                <w:b/>
                <w:color w:val="auto"/>
                <w:sz w:val="28"/>
                <w:szCs w:val="28"/>
              </w:rPr>
              <w:t>19.</w:t>
            </w:r>
            <w:r>
              <w:rPr>
                <w:rFonts w:hint="eastAsia" w:ascii="Times New Roman" w:eastAsia="方正仿宋_GB2312"/>
                <w:b/>
                <w:color w:val="auto"/>
                <w:sz w:val="28"/>
                <w:szCs w:val="28"/>
                <w:lang w:val="en-US" w:eastAsia="zh-CN"/>
              </w:rPr>
              <w:t>3</w:t>
            </w:r>
            <w:r>
              <w:rPr>
                <w:rFonts w:hint="eastAsia" w:ascii="Times New Roman" w:eastAsia="方正仿宋_GB2312"/>
                <w:b/>
                <w:color w:val="auto"/>
                <w:sz w:val="28"/>
                <w:szCs w:val="28"/>
              </w:rPr>
              <w:t>2</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shd w:val="clear" w:color="auto" w:fill="C0C0C0"/>
          <w:tblCellMar>
            <w:top w:w="0" w:type="dxa"/>
            <w:left w:w="57" w:type="dxa"/>
            <w:bottom w:w="0" w:type="dxa"/>
            <w:right w:w="57" w:type="dxa"/>
          </w:tblCellMar>
        </w:tblPrEx>
        <w:trPr>
          <w:cantSplit/>
          <w:trHeight w:val="532" w:hRule="atLeast"/>
          <w:jc w:val="center"/>
        </w:trPr>
        <w:tc>
          <w:tcPr>
            <w:tcW w:w="2250" w:type="dxa"/>
            <w:tcBorders>
              <w:top w:val="single" w:color="FFFFFF" w:sz="6" w:space="0"/>
              <w:left w:val="single" w:color="FFFFFF" w:sz="4" w:space="0"/>
              <w:bottom w:val="single" w:color="FFFFFF" w:sz="4" w:space="0"/>
              <w:right w:val="single" w:color="FFFFFF" w:sz="6" w:space="0"/>
            </w:tcBorders>
            <w:shd w:val="clear" w:color="auto" w:fill="C0C0C0"/>
            <w:vAlign w:val="center"/>
          </w:tcPr>
          <w:p>
            <w:pPr>
              <w:adjustRightInd w:val="0"/>
              <w:snapToGrid w:val="0"/>
              <w:spacing w:before="120" w:after="60" w:line="300" w:lineRule="auto"/>
              <w:jc w:val="center"/>
              <w:rPr>
                <w:rFonts w:ascii="Times New Roman" w:eastAsia="方正仿宋_GB2312"/>
                <w:b/>
                <w:color w:val="auto"/>
                <w:sz w:val="28"/>
                <w:szCs w:val="28"/>
              </w:rPr>
            </w:pPr>
            <w:r>
              <w:rPr>
                <w:rFonts w:ascii="Times New Roman" w:eastAsia="方正仿宋_GB2312"/>
                <w:b/>
                <w:color w:val="auto"/>
                <w:sz w:val="28"/>
                <w:szCs w:val="28"/>
              </w:rPr>
              <w:t>项目</w:t>
            </w:r>
            <w:r>
              <w:rPr>
                <w:rFonts w:hint="eastAsia" w:ascii="Times New Roman" w:eastAsia="方正仿宋_GB2312"/>
                <w:b/>
                <w:color w:val="auto"/>
                <w:sz w:val="28"/>
                <w:szCs w:val="28"/>
              </w:rPr>
              <w:t>产出</w:t>
            </w:r>
          </w:p>
        </w:tc>
        <w:tc>
          <w:tcPr>
            <w:tcW w:w="3240" w:type="dxa"/>
            <w:tcBorders>
              <w:top w:val="single" w:color="FFFFFF" w:sz="6" w:space="0"/>
              <w:left w:val="single" w:color="FFFFFF" w:sz="6" w:space="0"/>
              <w:bottom w:val="single" w:color="FFFFFF" w:sz="4" w:space="0"/>
              <w:right w:val="single" w:color="FFFFFF" w:sz="4" w:space="0"/>
            </w:tcBorders>
            <w:shd w:val="clear" w:color="auto" w:fill="C0C0C0"/>
            <w:vAlign w:val="center"/>
          </w:tcPr>
          <w:p>
            <w:pPr>
              <w:adjustRightInd w:val="0"/>
              <w:snapToGrid w:val="0"/>
              <w:jc w:val="center"/>
              <w:rPr>
                <w:rFonts w:ascii="Times New Roman" w:eastAsia="方正仿宋_GB2312"/>
                <w:b/>
                <w:color w:val="auto"/>
                <w:sz w:val="28"/>
                <w:szCs w:val="28"/>
              </w:rPr>
            </w:pPr>
            <w:r>
              <w:rPr>
                <w:rFonts w:hint="eastAsia" w:ascii="Times New Roman" w:eastAsia="方正仿宋_GB2312"/>
                <w:b/>
                <w:color w:val="auto"/>
                <w:sz w:val="28"/>
                <w:szCs w:val="28"/>
              </w:rPr>
              <w:t>40.00</w:t>
            </w:r>
          </w:p>
        </w:tc>
        <w:tc>
          <w:tcPr>
            <w:tcW w:w="2995" w:type="dxa"/>
            <w:tcBorders>
              <w:top w:val="single" w:color="FFFFFF" w:sz="6" w:space="0"/>
              <w:left w:val="single" w:color="FFFFFF" w:sz="4" w:space="0"/>
              <w:bottom w:val="single" w:color="FFFFFF" w:sz="4" w:space="0"/>
              <w:right w:val="single" w:color="FFFFFF" w:sz="4" w:space="0"/>
            </w:tcBorders>
            <w:shd w:val="clear" w:color="auto" w:fill="C0C0C0"/>
            <w:vAlign w:val="center"/>
          </w:tcPr>
          <w:p>
            <w:pPr>
              <w:adjustRightInd w:val="0"/>
              <w:snapToGrid w:val="0"/>
              <w:jc w:val="center"/>
              <w:rPr>
                <w:rFonts w:ascii="Times New Roman" w:eastAsia="方正仿宋_GB2312"/>
                <w:b/>
                <w:color w:val="auto"/>
                <w:sz w:val="28"/>
                <w:szCs w:val="28"/>
              </w:rPr>
            </w:pPr>
            <w:r>
              <w:rPr>
                <w:rFonts w:hint="eastAsia" w:ascii="Times New Roman" w:eastAsia="方正仿宋_GB2312"/>
                <w:b/>
                <w:color w:val="auto"/>
                <w:sz w:val="28"/>
                <w:szCs w:val="28"/>
              </w:rPr>
              <w:t>36.04</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57" w:type="dxa"/>
            <w:bottom w:w="0" w:type="dxa"/>
            <w:right w:w="57" w:type="dxa"/>
          </w:tblCellMar>
        </w:tblPrEx>
        <w:trPr>
          <w:cantSplit/>
          <w:trHeight w:val="532" w:hRule="atLeast"/>
          <w:jc w:val="center"/>
        </w:trPr>
        <w:tc>
          <w:tcPr>
            <w:tcW w:w="2250" w:type="dxa"/>
            <w:tcBorders>
              <w:top w:val="single" w:color="FFFFFF" w:sz="6" w:space="0"/>
              <w:left w:val="single" w:color="FFFFFF" w:sz="4" w:space="0"/>
              <w:bottom w:val="single" w:color="FFFFFF" w:sz="4" w:space="0"/>
              <w:right w:val="single" w:color="FFFFFF" w:sz="6" w:space="0"/>
            </w:tcBorders>
            <w:shd w:val="clear" w:color="auto" w:fill="C0C0C0"/>
            <w:vAlign w:val="center"/>
          </w:tcPr>
          <w:p>
            <w:pPr>
              <w:adjustRightInd w:val="0"/>
              <w:snapToGrid w:val="0"/>
              <w:spacing w:before="120" w:after="60" w:line="300" w:lineRule="auto"/>
              <w:jc w:val="center"/>
              <w:rPr>
                <w:rFonts w:ascii="Times New Roman" w:eastAsia="方正仿宋_GB2312"/>
                <w:b/>
                <w:color w:val="auto"/>
                <w:sz w:val="28"/>
                <w:szCs w:val="28"/>
              </w:rPr>
            </w:pPr>
            <w:r>
              <w:rPr>
                <w:rFonts w:hint="eastAsia" w:ascii="Times New Roman" w:eastAsia="方正仿宋_GB2312"/>
                <w:b/>
                <w:color w:val="auto"/>
                <w:sz w:val="28"/>
                <w:szCs w:val="28"/>
              </w:rPr>
              <w:t>项目效益</w:t>
            </w:r>
          </w:p>
        </w:tc>
        <w:tc>
          <w:tcPr>
            <w:tcW w:w="3240" w:type="dxa"/>
            <w:tcBorders>
              <w:top w:val="single" w:color="FFFFFF" w:sz="6" w:space="0"/>
              <w:left w:val="single" w:color="FFFFFF" w:sz="6" w:space="0"/>
              <w:bottom w:val="single" w:color="FFFFFF" w:sz="4" w:space="0"/>
              <w:right w:val="single" w:color="FFFFFF" w:sz="4" w:space="0"/>
            </w:tcBorders>
            <w:shd w:val="clear" w:color="auto" w:fill="C0C0C0"/>
            <w:vAlign w:val="center"/>
          </w:tcPr>
          <w:p>
            <w:pPr>
              <w:adjustRightInd w:val="0"/>
              <w:snapToGrid w:val="0"/>
              <w:jc w:val="center"/>
              <w:rPr>
                <w:rFonts w:ascii="Times New Roman" w:eastAsia="方正仿宋_GB2312"/>
                <w:b/>
                <w:color w:val="auto"/>
                <w:sz w:val="28"/>
                <w:szCs w:val="28"/>
              </w:rPr>
            </w:pPr>
            <w:r>
              <w:rPr>
                <w:rFonts w:hint="eastAsia" w:ascii="Times New Roman" w:eastAsia="方正仿宋_GB2312"/>
                <w:b/>
                <w:color w:val="auto"/>
                <w:sz w:val="28"/>
                <w:szCs w:val="28"/>
              </w:rPr>
              <w:t>30.00</w:t>
            </w:r>
          </w:p>
        </w:tc>
        <w:tc>
          <w:tcPr>
            <w:tcW w:w="2995" w:type="dxa"/>
            <w:tcBorders>
              <w:top w:val="single" w:color="FFFFFF" w:sz="6" w:space="0"/>
              <w:left w:val="single" w:color="FFFFFF" w:sz="4" w:space="0"/>
              <w:bottom w:val="single" w:color="FFFFFF" w:sz="4" w:space="0"/>
              <w:right w:val="single" w:color="FFFFFF" w:sz="4" w:space="0"/>
            </w:tcBorders>
            <w:shd w:val="clear" w:color="auto" w:fill="C0C0C0"/>
            <w:vAlign w:val="center"/>
          </w:tcPr>
          <w:p>
            <w:pPr>
              <w:adjustRightInd w:val="0"/>
              <w:snapToGrid w:val="0"/>
              <w:jc w:val="center"/>
              <w:rPr>
                <w:rFonts w:ascii="Times New Roman" w:eastAsia="方正仿宋_GB2312"/>
                <w:b/>
                <w:color w:val="auto"/>
                <w:sz w:val="28"/>
                <w:szCs w:val="28"/>
              </w:rPr>
            </w:pPr>
            <w:r>
              <w:rPr>
                <w:rFonts w:hint="eastAsia" w:ascii="Times New Roman" w:eastAsia="方正仿宋_GB2312"/>
                <w:b/>
                <w:color w:val="auto"/>
                <w:sz w:val="28"/>
                <w:szCs w:val="28"/>
              </w:rPr>
              <w:t>26.60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shd w:val="clear" w:color="auto" w:fill="C0C0C0"/>
          <w:tblCellMar>
            <w:top w:w="0" w:type="dxa"/>
            <w:left w:w="57" w:type="dxa"/>
            <w:bottom w:w="0" w:type="dxa"/>
            <w:right w:w="57" w:type="dxa"/>
          </w:tblCellMar>
        </w:tblPrEx>
        <w:trPr>
          <w:cantSplit/>
          <w:trHeight w:val="765" w:hRule="atLeast"/>
          <w:jc w:val="center"/>
        </w:trPr>
        <w:tc>
          <w:tcPr>
            <w:tcW w:w="2250" w:type="dxa"/>
            <w:tcBorders>
              <w:top w:val="single" w:color="FFFFFF" w:sz="4" w:space="0"/>
              <w:left w:val="single" w:color="FFFFFF" w:sz="4" w:space="0"/>
              <w:bottom w:val="single" w:color="FFFFFF" w:sz="4" w:space="0"/>
              <w:right w:val="single" w:color="FFFFFF" w:sz="6" w:space="0"/>
            </w:tcBorders>
            <w:shd w:val="clear" w:color="auto" w:fill="C0C0C0"/>
            <w:vAlign w:val="center"/>
          </w:tcPr>
          <w:p>
            <w:pPr>
              <w:adjustRightInd w:val="0"/>
              <w:snapToGrid w:val="0"/>
              <w:spacing w:before="120" w:after="60" w:line="300" w:lineRule="auto"/>
              <w:jc w:val="center"/>
              <w:rPr>
                <w:rFonts w:ascii="Times New Roman" w:eastAsia="方正仿宋_GB2312"/>
                <w:b/>
                <w:color w:val="auto"/>
                <w:sz w:val="28"/>
                <w:szCs w:val="28"/>
              </w:rPr>
            </w:pPr>
            <w:r>
              <w:rPr>
                <w:rFonts w:ascii="Times New Roman" w:eastAsia="方正仿宋_GB2312"/>
                <w:b/>
                <w:color w:val="auto"/>
                <w:sz w:val="28"/>
                <w:szCs w:val="28"/>
              </w:rPr>
              <w:t>综合得分</w:t>
            </w:r>
          </w:p>
        </w:tc>
        <w:tc>
          <w:tcPr>
            <w:tcW w:w="3240" w:type="dxa"/>
            <w:tcBorders>
              <w:top w:val="single" w:color="FFFFFF" w:sz="4" w:space="0"/>
              <w:left w:val="single" w:color="FFFFFF" w:sz="6" w:space="0"/>
              <w:bottom w:val="single" w:color="FFFFFF" w:sz="4" w:space="0"/>
              <w:right w:val="single" w:color="FFFFFF" w:sz="4" w:space="0"/>
            </w:tcBorders>
            <w:shd w:val="clear" w:color="auto" w:fill="C0C0C0"/>
            <w:vAlign w:val="center"/>
          </w:tcPr>
          <w:p>
            <w:pPr>
              <w:adjustRightInd w:val="0"/>
              <w:snapToGrid w:val="0"/>
              <w:jc w:val="center"/>
              <w:rPr>
                <w:rFonts w:ascii="Times New Roman" w:eastAsia="方正仿宋_GB2312"/>
                <w:b/>
                <w:color w:val="auto"/>
                <w:sz w:val="28"/>
                <w:szCs w:val="28"/>
              </w:rPr>
            </w:pPr>
            <w:r>
              <w:rPr>
                <w:rFonts w:ascii="Times New Roman" w:eastAsia="方正仿宋_GB2312"/>
                <w:b/>
                <w:color w:val="auto"/>
                <w:sz w:val="28"/>
                <w:szCs w:val="28"/>
              </w:rPr>
              <w:t>100.00</w:t>
            </w:r>
          </w:p>
        </w:tc>
        <w:tc>
          <w:tcPr>
            <w:tcW w:w="2995" w:type="dxa"/>
            <w:tcBorders>
              <w:top w:val="single" w:color="FFFFFF" w:sz="4" w:space="0"/>
              <w:left w:val="single" w:color="FFFFFF" w:sz="4" w:space="0"/>
              <w:bottom w:val="single" w:color="FFFFFF" w:sz="4" w:space="0"/>
              <w:right w:val="single" w:color="FFFFFF" w:sz="4" w:space="0"/>
            </w:tcBorders>
            <w:shd w:val="clear" w:color="auto" w:fill="C0C0C0"/>
            <w:vAlign w:val="center"/>
          </w:tcPr>
          <w:p>
            <w:pPr>
              <w:adjustRightInd w:val="0"/>
              <w:snapToGrid w:val="0"/>
              <w:jc w:val="center"/>
              <w:rPr>
                <w:rFonts w:hint="eastAsia" w:ascii="Times New Roman" w:eastAsia="方正仿宋_GB2312"/>
                <w:b/>
                <w:color w:val="auto"/>
                <w:sz w:val="28"/>
                <w:szCs w:val="28"/>
                <w:lang w:eastAsia="zh-CN"/>
              </w:rPr>
            </w:pPr>
            <w:r>
              <w:rPr>
                <w:rFonts w:hint="eastAsia" w:ascii="Times New Roman" w:eastAsia="方正仿宋_GB2312"/>
                <w:b/>
                <w:color w:val="auto"/>
                <w:sz w:val="28"/>
                <w:szCs w:val="28"/>
              </w:rPr>
              <w:t>9</w:t>
            </w:r>
            <w:r>
              <w:rPr>
                <w:rFonts w:hint="eastAsia" w:ascii="Times New Roman" w:eastAsia="方正仿宋_GB2312"/>
                <w:b/>
                <w:color w:val="auto"/>
                <w:sz w:val="28"/>
                <w:szCs w:val="28"/>
                <w:lang w:val="en-US" w:eastAsia="zh-CN"/>
              </w:rPr>
              <w:t>1</w:t>
            </w:r>
            <w:r>
              <w:rPr>
                <w:rFonts w:hint="eastAsia" w:ascii="Times New Roman" w:eastAsia="方正仿宋_GB2312"/>
                <w:b/>
                <w:color w:val="auto"/>
                <w:sz w:val="28"/>
                <w:szCs w:val="28"/>
              </w:rPr>
              <w:t>.</w:t>
            </w:r>
            <w:r>
              <w:rPr>
                <w:rFonts w:hint="eastAsia" w:ascii="Times New Roman" w:eastAsia="方正仿宋_GB2312"/>
                <w:b/>
                <w:color w:val="auto"/>
                <w:sz w:val="28"/>
                <w:szCs w:val="28"/>
                <w:lang w:val="en-US" w:eastAsia="zh-CN"/>
              </w:rPr>
              <w:t>2</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shd w:val="clear" w:color="auto" w:fill="C0C0C0"/>
          <w:tblCellMar>
            <w:top w:w="0" w:type="dxa"/>
            <w:left w:w="57" w:type="dxa"/>
            <w:bottom w:w="0" w:type="dxa"/>
            <w:right w:w="57" w:type="dxa"/>
          </w:tblCellMar>
        </w:tblPrEx>
        <w:trPr>
          <w:cantSplit/>
          <w:trHeight w:val="790" w:hRule="atLeast"/>
          <w:jc w:val="center"/>
        </w:trPr>
        <w:tc>
          <w:tcPr>
            <w:tcW w:w="2250" w:type="dxa"/>
            <w:tcBorders>
              <w:top w:val="single" w:color="FFFFFF" w:sz="4" w:space="0"/>
              <w:left w:val="single" w:color="FFFFFF" w:sz="4" w:space="0"/>
              <w:bottom w:val="single" w:color="FFFFFF" w:sz="4" w:space="0"/>
              <w:right w:val="single" w:color="FFFFFF" w:sz="6" w:space="0"/>
            </w:tcBorders>
            <w:shd w:val="clear" w:color="auto" w:fill="C0C0C0"/>
            <w:vAlign w:val="center"/>
          </w:tcPr>
          <w:p>
            <w:pPr>
              <w:adjustRightInd w:val="0"/>
              <w:snapToGrid w:val="0"/>
              <w:spacing w:before="120" w:after="60" w:line="300" w:lineRule="auto"/>
              <w:jc w:val="center"/>
              <w:rPr>
                <w:rFonts w:ascii="Times New Roman" w:eastAsia="方正仿宋_GB2312"/>
                <w:b/>
                <w:color w:val="auto"/>
                <w:sz w:val="28"/>
                <w:szCs w:val="28"/>
              </w:rPr>
            </w:pPr>
            <w:r>
              <w:rPr>
                <w:rFonts w:ascii="Times New Roman" w:eastAsia="方正仿宋_GB2312"/>
                <w:b/>
                <w:color w:val="auto"/>
                <w:sz w:val="28"/>
                <w:szCs w:val="28"/>
              </w:rPr>
              <w:t>绩效评定级别</w:t>
            </w:r>
          </w:p>
        </w:tc>
        <w:tc>
          <w:tcPr>
            <w:tcW w:w="6235" w:type="dxa"/>
            <w:gridSpan w:val="2"/>
            <w:tcBorders>
              <w:top w:val="single" w:color="FFFFFF" w:sz="4" w:space="0"/>
              <w:left w:val="single" w:color="FFFFFF" w:sz="6" w:space="0"/>
              <w:bottom w:val="single" w:color="FFFFFF" w:sz="4" w:space="0"/>
              <w:right w:val="single" w:color="FFFFFF" w:sz="4" w:space="0"/>
            </w:tcBorders>
            <w:shd w:val="clear" w:color="auto" w:fill="C0C0C0"/>
            <w:vAlign w:val="center"/>
          </w:tcPr>
          <w:p>
            <w:pPr>
              <w:adjustRightInd w:val="0"/>
              <w:snapToGrid w:val="0"/>
              <w:jc w:val="center"/>
              <w:rPr>
                <w:rFonts w:ascii="Times New Roman" w:eastAsia="方正仿宋_GB2312"/>
                <w:b/>
                <w:color w:val="auto"/>
                <w:sz w:val="28"/>
                <w:szCs w:val="28"/>
              </w:rPr>
            </w:pPr>
            <w:r>
              <w:rPr>
                <w:rFonts w:hint="eastAsia" w:ascii="Times New Roman" w:eastAsia="方正仿宋_GB2312"/>
                <w:b/>
                <w:color w:val="auto"/>
                <w:sz w:val="28"/>
                <w:szCs w:val="28"/>
              </w:rPr>
              <w:t>优</w:t>
            </w:r>
          </w:p>
        </w:tc>
      </w:tr>
    </w:tbl>
    <w:p>
      <w:pPr>
        <w:snapToGrid w:val="0"/>
        <w:spacing w:line="360" w:lineRule="auto"/>
        <w:jc w:val="center"/>
        <w:rPr>
          <w:rFonts w:ascii="黑体" w:hAnsi="黑体" w:eastAsia="黑体"/>
          <w:color w:val="auto"/>
          <w:sz w:val="28"/>
          <w:szCs w:val="28"/>
        </w:rPr>
      </w:pPr>
    </w:p>
    <w:p>
      <w:pPr>
        <w:wordWrap/>
        <w:adjustRightInd w:val="0"/>
        <w:snapToGrid w:val="0"/>
        <w:spacing w:before="0" w:beforeLines="-2147483648" w:after="0" w:afterLines="-2147483648" w:line="360" w:lineRule="auto"/>
        <w:ind w:firstLine="640" w:firstLineChars="200"/>
        <w:outlineLvl w:val="0"/>
        <w:rPr>
          <w:rFonts w:hint="eastAsia" w:ascii="Times New Roman" w:hAnsi="Times New Roman" w:eastAsia="黑体" w:cs="Times New Roman"/>
          <w:sz w:val="32"/>
          <w:szCs w:val="30"/>
        </w:rPr>
      </w:pPr>
      <w:bookmarkStart w:id="65" w:name="_Toc8791"/>
      <w:bookmarkStart w:id="66" w:name="_Toc412"/>
      <w:bookmarkStart w:id="67" w:name="_Toc3936"/>
      <w:r>
        <w:rPr>
          <w:rFonts w:hint="eastAsia" w:ascii="Times New Roman" w:hAnsi="Times New Roman" w:eastAsia="黑体" w:cs="Times New Roman"/>
          <w:sz w:val="32"/>
          <w:szCs w:val="30"/>
        </w:rPr>
        <w:t>四、绩效评价指标分析</w:t>
      </w:r>
      <w:bookmarkEnd w:id="54"/>
      <w:bookmarkEnd w:id="55"/>
      <w:bookmarkEnd w:id="56"/>
      <w:bookmarkEnd w:id="57"/>
      <w:bookmarkEnd w:id="65"/>
      <w:bookmarkEnd w:id="66"/>
      <w:bookmarkEnd w:id="67"/>
    </w:p>
    <w:p>
      <w:pPr>
        <w:wordWrap/>
        <w:adjustRightInd w:val="0"/>
        <w:snapToGrid w:val="0"/>
        <w:spacing w:before="0" w:beforeLines="-2147483648" w:after="0" w:afterLines="-2147483648" w:line="360" w:lineRule="auto"/>
        <w:ind w:firstLine="640" w:firstLineChars="200"/>
        <w:outlineLvl w:val="1"/>
        <w:rPr>
          <w:rFonts w:hint="eastAsia" w:ascii="Times New Roman" w:hAnsi="Times New Roman" w:eastAsia="楷体_GB2312" w:cs="Times New Roman"/>
          <w:sz w:val="32"/>
          <w:szCs w:val="30"/>
        </w:rPr>
      </w:pPr>
      <w:bookmarkStart w:id="68" w:name="_Toc336506897"/>
      <w:bookmarkStart w:id="69" w:name="_Toc7675"/>
      <w:bookmarkStart w:id="70" w:name="_Toc336506962"/>
      <w:bookmarkStart w:id="71" w:name="_Toc4841"/>
      <w:bookmarkStart w:id="72" w:name="_Toc14611"/>
      <w:bookmarkStart w:id="73" w:name="_Toc9414"/>
      <w:bookmarkStart w:id="74" w:name="_Toc24469"/>
      <w:r>
        <w:rPr>
          <w:rFonts w:hint="eastAsia" w:ascii="Times New Roman" w:hAnsi="Times New Roman" w:eastAsia="楷体_GB2312" w:cs="Times New Roman"/>
          <w:sz w:val="32"/>
          <w:szCs w:val="30"/>
        </w:rPr>
        <w:t>（一）项目</w:t>
      </w:r>
      <w:bookmarkEnd w:id="68"/>
      <w:bookmarkEnd w:id="69"/>
      <w:bookmarkEnd w:id="70"/>
      <w:bookmarkEnd w:id="71"/>
      <w:r>
        <w:rPr>
          <w:rFonts w:hint="eastAsia" w:ascii="Times New Roman" w:hAnsi="Times New Roman" w:eastAsia="楷体_GB2312" w:cs="Times New Roman"/>
          <w:sz w:val="32"/>
          <w:szCs w:val="30"/>
        </w:rPr>
        <w:t>决策情况</w:t>
      </w:r>
      <w:bookmarkEnd w:id="72"/>
      <w:bookmarkEnd w:id="73"/>
      <w:bookmarkEnd w:id="74"/>
    </w:p>
    <w:p>
      <w:pPr>
        <w:suppressAutoHyphens/>
        <w:wordWrap/>
        <w:adjustRightInd w:val="0"/>
        <w:snapToGrid w:val="0"/>
        <w:spacing w:before="0" w:beforeLines="-2147483648" w:after="0" w:afterLines="-2147483648" w:line="360" w:lineRule="auto"/>
        <w:ind w:firstLine="640" w:firstLineChars="200"/>
        <w:outlineLvl w:val="2"/>
        <w:rPr>
          <w:rFonts w:hint="eastAsia" w:ascii="仿宋_GB2312" w:hAnsi="Times New Roman" w:eastAsia="仿宋_GB2312" w:cs="Times New Roman"/>
          <w:sz w:val="32"/>
          <w:szCs w:val="32"/>
        </w:rPr>
      </w:pPr>
      <w:r>
        <w:rPr>
          <w:rFonts w:hint="eastAsia" w:ascii="仿宋_GB2312" w:hAnsi="Times New Roman" w:eastAsia="仿宋_GB2312" w:cs="Times New Roman"/>
          <w:sz w:val="32"/>
          <w:szCs w:val="32"/>
        </w:rPr>
        <w:t>1.项目立项</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（1）立项依据充分性</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项目立项主要依据《中华人民共和国安全生产法》《北京市安全生产条例》《关于加快推进韧性城市建设的指导意见》《北京市“十四五”时期安全生产规划》《北京市安全生产风险管理实施指南（试行）》（京安办发〔2021〕15号）《北京市城市安全风险评估三年工作方案（2022年-2024年）》（京应急办发〔2022〕10号）等文件，与申报部门“建立本市重大安全生产风险监测预警和评估论证机制，承担自然灾害综合监测预警工作，组织开展自然灾害综合风险与减灾能力调查评估”职责相关，项目现实需求明确，立项依据较充分。</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（2）立项程序规范性</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lang w:eastAsia="zh-CN"/>
        </w:rPr>
      </w:pPr>
      <w:r>
        <w:rPr>
          <w:rFonts w:hint="eastAsia" w:ascii="仿宋_GB2312" w:hAnsi="Malgun Gothic" w:eastAsia="仿宋_GB2312" w:cs="Malgun Gothic"/>
          <w:sz w:val="32"/>
          <w:szCs w:val="32"/>
        </w:rPr>
        <w:t>项目根据北京市应急管理局内设机构及职能分工，具体工作由减灾处组织实施。项目立项阶段，减灾处在充分调研、科学测算的工作基础上，研究、确定了项目初步内容和预算。项目立项经过预算评审、专家可行性论证、事前绩效评估后，形成项目申报书、绩效目标表、预算明细等预算申报材料，经财政“二上二下”申报、审核、批复程序后正式立项，项目立项程序较规范。但评价发现，项目单位需求论证工作尚有不足，项目申报书中需求调查与需求分析阐述不够充分。</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2.绩效目标</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（1）绩效目标合理性</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项目单位根据2023年度工作任务、总体实施计划，设定了年度目标，绩效目标与实际工作内容密切相关，但作为跨年项目，</w:t>
      </w:r>
      <w:r>
        <w:rPr>
          <w:rFonts w:hint="eastAsia" w:ascii="仿宋_GB2312" w:hAnsi="Malgun Gothic" w:eastAsia="仿宋_GB2312" w:cs="Malgun Gothic"/>
          <w:sz w:val="32"/>
          <w:szCs w:val="32"/>
          <w:lang w:val="en-US" w:eastAsia="zh-CN"/>
        </w:rPr>
        <w:t>绩效</w:t>
      </w:r>
      <w:r>
        <w:rPr>
          <w:rFonts w:hint="eastAsia" w:ascii="仿宋_GB2312" w:hAnsi="Malgun Gothic" w:eastAsia="仿宋_GB2312" w:cs="Malgun Gothic"/>
          <w:sz w:val="32"/>
          <w:szCs w:val="32"/>
        </w:rPr>
        <w:t>目标内容的年度边界不够清晰，预期产出效益和效果描述有待进一步完善</w:t>
      </w:r>
      <w:r>
        <w:rPr>
          <w:rFonts w:hint="eastAsia" w:ascii="仿宋_GB2312" w:hAnsi="Malgun Gothic" w:eastAsia="仿宋_GB2312" w:cs="Malgun Gothic"/>
          <w:sz w:val="32"/>
          <w:szCs w:val="32"/>
          <w:lang w:eastAsia="zh-CN"/>
        </w:rPr>
        <w:t>。</w:t>
      </w:r>
      <w:r>
        <w:rPr>
          <w:rFonts w:hint="eastAsia" w:ascii="仿宋_GB2312" w:hAnsi="Malgun Gothic" w:eastAsia="仿宋_GB2312" w:cs="Malgun Gothic"/>
          <w:sz w:val="32"/>
          <w:szCs w:val="32"/>
          <w:lang w:val="en-US" w:eastAsia="zh-CN"/>
        </w:rPr>
        <w:t>例如时效指标“2024年3月底前，完成2024年第1季度重点行业领域安全风险分析研判及对策建议”这条应该是整体指标内容，不应放到本年指标里面，本年度不会实现这条指标内容，也不应该匹配本年指标权重。</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（2）绩效指标明确性</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lang w:eastAsia="zh-CN"/>
        </w:rPr>
      </w:pPr>
      <w:r>
        <w:rPr>
          <w:rFonts w:hint="eastAsia" w:ascii="仿宋_GB2312" w:hAnsi="Malgun Gothic" w:eastAsia="仿宋_GB2312" w:cs="Malgun Gothic"/>
          <w:sz w:val="32"/>
          <w:szCs w:val="32"/>
        </w:rPr>
        <w:t>项目单位在年度绩效目标的基础上，从产出数量、质量、时效、成本、效益及服务对象满意度多个维度对绩效目标进行了分解。但指标设置的科学性仍需进一步提升：部分指标可考核性不强，例如：质量指标“城市安全风险评估数据服务要满足市、区（管委会）、街乡三级政府和市、区两级行业部门以及社会单位等不同用户对城市安全风险管理有关数据的不同需求，包括帐户管理、数据填报、风险分析、风险等级模型计算、事故案例库完善、数据统计、查询、对接、更新、标准化等相关需求，风险地图和可视化产品要能体现出对大数据的挖掘与应用，单项通过专家评审验收。”等，较难量化，影响后期效益完成程序的评判。成本指标不</w:t>
      </w:r>
      <w:r>
        <w:rPr>
          <w:rFonts w:hint="eastAsia" w:ascii="仿宋_GB2312" w:hAnsi="Malgun Gothic" w:eastAsia="仿宋_GB2312" w:cs="Malgun Gothic"/>
          <w:sz w:val="32"/>
          <w:szCs w:val="32"/>
          <w:lang w:val="en-US" w:eastAsia="zh-CN"/>
        </w:rPr>
        <w:t>够</w:t>
      </w:r>
      <w:r>
        <w:rPr>
          <w:rFonts w:hint="eastAsia" w:ascii="仿宋_GB2312" w:hAnsi="Malgun Gothic" w:eastAsia="仿宋_GB2312" w:cs="Malgun Gothic"/>
          <w:sz w:val="32"/>
          <w:szCs w:val="32"/>
        </w:rPr>
        <w:t>细化，不利于成本控制</w:t>
      </w:r>
      <w:r>
        <w:rPr>
          <w:rFonts w:hint="eastAsia" w:ascii="仿宋_GB2312" w:hAnsi="Malgun Gothic" w:eastAsia="仿宋_GB2312" w:cs="Malgun Gothic"/>
          <w:sz w:val="32"/>
          <w:szCs w:val="32"/>
          <w:lang w:eastAsia="zh-CN"/>
        </w:rPr>
        <w:t>。</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3.资金投入</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（1）预算编制科学性</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项目预算经预算评审，预算测算标准基本明确，资金额度与项目年度目标相适应。评价</w:t>
      </w:r>
      <w:r>
        <w:rPr>
          <w:rFonts w:hint="eastAsia" w:ascii="仿宋_GB2312" w:hAnsi="Malgun Gothic" w:eastAsia="仿宋_GB2312" w:cs="Malgun Gothic"/>
          <w:sz w:val="32"/>
          <w:szCs w:val="32"/>
          <w:lang w:val="en-US" w:eastAsia="zh-CN"/>
        </w:rPr>
        <w:t>认为</w:t>
      </w:r>
      <w:r>
        <w:rPr>
          <w:rFonts w:hint="eastAsia" w:ascii="仿宋_GB2312" w:hAnsi="Malgun Gothic" w:eastAsia="仿宋_GB2312" w:cs="Malgun Gothic"/>
          <w:sz w:val="32"/>
          <w:szCs w:val="32"/>
        </w:rPr>
        <w:t>，项目总体预算金额571.934万元，</w:t>
      </w:r>
      <w:r>
        <w:rPr>
          <w:rFonts w:hint="eastAsia" w:ascii="仿宋_GB2312" w:hAnsi="Malgun Gothic" w:eastAsia="仿宋_GB2312" w:cs="Malgun Gothic"/>
          <w:sz w:val="32"/>
          <w:szCs w:val="32"/>
          <w:lang w:val="en-US" w:eastAsia="zh-CN"/>
        </w:rPr>
        <w:t>测算内容较为</w:t>
      </w:r>
      <w:r>
        <w:rPr>
          <w:rFonts w:hint="eastAsia" w:ascii="仿宋_GB2312" w:hAnsi="Malgun Gothic" w:eastAsia="仿宋_GB2312" w:cs="Malgun Gothic"/>
          <w:sz w:val="32"/>
          <w:szCs w:val="32"/>
        </w:rPr>
        <w:t>完整性、</w:t>
      </w:r>
      <w:r>
        <w:rPr>
          <w:rFonts w:hint="eastAsia" w:ascii="仿宋_GB2312" w:hAnsi="Malgun Gothic" w:eastAsia="仿宋_GB2312" w:cs="Malgun Gothic"/>
          <w:sz w:val="32"/>
          <w:szCs w:val="32"/>
          <w:lang w:val="en-US" w:eastAsia="zh-CN"/>
        </w:rPr>
        <w:t>测算金额</w:t>
      </w:r>
      <w:r>
        <w:rPr>
          <w:rFonts w:hint="eastAsia" w:ascii="仿宋_GB2312" w:hAnsi="Malgun Gothic" w:eastAsia="仿宋_GB2312" w:cs="Malgun Gothic"/>
          <w:sz w:val="32"/>
          <w:szCs w:val="32"/>
        </w:rPr>
        <w:t>科学</w:t>
      </w:r>
      <w:r>
        <w:rPr>
          <w:rFonts w:hint="eastAsia" w:ascii="仿宋_GB2312" w:hAnsi="Malgun Gothic" w:eastAsia="仿宋_GB2312" w:cs="Malgun Gothic"/>
          <w:sz w:val="32"/>
          <w:szCs w:val="32"/>
          <w:lang w:val="en-US" w:eastAsia="zh-CN"/>
        </w:rPr>
        <w:t>合理</w:t>
      </w:r>
      <w:r>
        <w:rPr>
          <w:rFonts w:hint="eastAsia" w:ascii="仿宋_GB2312" w:hAnsi="Malgun Gothic" w:eastAsia="仿宋_GB2312" w:cs="Malgun Gothic"/>
          <w:sz w:val="32"/>
          <w:szCs w:val="32"/>
        </w:rPr>
        <w:t>。</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（2）资金分配合理性</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项目内容包括每季度对重点行业领域安全风险形势和受自然灾害因素影响风险进行分、对社会单位安全风险评估数据质量进行线上核查等八项内容。项目预算金额为571.934万元，其中：每季度对重点行业领域安全风险形势和受自然灾害因素影响风险进行分析研判，提出对策建议，预算金额47.92万元，占比8.38%；对社会单位安全风险评估数据质量进行线上核查，预算金额127.31万元，占比22.26%；对社会单位安全风险评估工作质量进行现场核查预算金额119.88万元，占比20.96%；编制全市安全风险评估数据汇总分析报告预算金额67.93万元，占比11.88%；编制北京市重点行业领域安全风险白皮书预算金额50.43万元，占比8.82%；城市安全风险评估数据处理服务预算金额98.4万元，占比17.2%；对相关市级部门和各区风险评估工作进行技术指导预算金额54.984万元，占比9.61%；修订地方标准《生产经营单位安全生产风险评估规范》预算金额5.08万元，占比0.89%。项目资金能够按照项目各项工作内容进行分配，资金分配较合理。</w:t>
      </w:r>
    </w:p>
    <w:p>
      <w:pPr>
        <w:wordWrap/>
        <w:adjustRightInd w:val="0"/>
        <w:snapToGrid w:val="0"/>
        <w:spacing w:before="0" w:beforeLines="-2147483648" w:after="0" w:afterLines="-2147483648" w:line="360" w:lineRule="auto"/>
        <w:ind w:firstLine="640" w:firstLineChars="200"/>
        <w:outlineLvl w:val="1"/>
        <w:rPr>
          <w:rFonts w:hint="eastAsia" w:ascii="Times New Roman" w:hAnsi="Times New Roman" w:eastAsia="楷体_GB2312" w:cs="Times New Roman"/>
          <w:sz w:val="32"/>
          <w:szCs w:val="30"/>
        </w:rPr>
      </w:pPr>
      <w:bookmarkStart w:id="75" w:name="_Toc336506963"/>
      <w:bookmarkStart w:id="76" w:name="_Toc6787"/>
      <w:bookmarkStart w:id="77" w:name="_Toc336506898"/>
      <w:bookmarkStart w:id="78" w:name="_Toc10692"/>
      <w:bookmarkStart w:id="79" w:name="_Toc9564"/>
      <w:bookmarkStart w:id="80" w:name="_Toc32667"/>
      <w:bookmarkStart w:id="81" w:name="_Toc10256"/>
      <w:r>
        <w:rPr>
          <w:rFonts w:hint="eastAsia" w:ascii="Times New Roman" w:hAnsi="Times New Roman" w:eastAsia="楷体_GB2312" w:cs="Times New Roman"/>
          <w:sz w:val="32"/>
          <w:szCs w:val="30"/>
        </w:rPr>
        <w:t>（二）项目</w:t>
      </w:r>
      <w:bookmarkEnd w:id="75"/>
      <w:bookmarkEnd w:id="76"/>
      <w:bookmarkEnd w:id="77"/>
      <w:bookmarkEnd w:id="78"/>
      <w:r>
        <w:rPr>
          <w:rFonts w:hint="eastAsia" w:ascii="Times New Roman" w:hAnsi="Times New Roman" w:eastAsia="楷体_GB2312" w:cs="Times New Roman"/>
          <w:sz w:val="32"/>
          <w:szCs w:val="30"/>
        </w:rPr>
        <w:t>过程情况</w:t>
      </w:r>
      <w:bookmarkEnd w:id="79"/>
      <w:bookmarkEnd w:id="80"/>
      <w:bookmarkEnd w:id="81"/>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1.资金管理</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（1）资金到位率</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项目总预算金额571.934万元，其中2023年项目预算资金547.974万元，2024年预算资金23.96万元</w:t>
      </w:r>
      <w:r>
        <w:rPr>
          <w:rFonts w:hint="eastAsia" w:ascii="仿宋_GB2312" w:hAnsi="Malgun Gothic" w:eastAsia="仿宋_GB2312" w:cs="Malgun Gothic"/>
          <w:sz w:val="32"/>
          <w:szCs w:val="32"/>
          <w:lang w:eastAsia="zh-CN"/>
        </w:rPr>
        <w:t>，</w:t>
      </w:r>
      <w:r>
        <w:rPr>
          <w:rFonts w:hint="eastAsia" w:ascii="仿宋_GB2312" w:hAnsi="Malgun Gothic" w:eastAsia="仿宋_GB2312" w:cs="Malgun Gothic"/>
          <w:sz w:val="32"/>
          <w:szCs w:val="32"/>
        </w:rPr>
        <w:t>项目资金及时、足额到位。</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（2）预算执行率</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截至评价日，支出委托业务费经费566.42万元，支出其他支出5.08万元，预算执行率100%。该项目为跨年项目，2023年6月向项目单位拨付首付款410.655万元、2023年11月2023年11月份向项目承担单位拨付第二笔款136.885万元，2024年4月28日，通过应急管理局项目管理委员验收后，支付剩余尾款23.96万。</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（3）资金使用合规性</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项目实施期间，减灾处遵循了《北京市应急管理局采购工作管理办法（试行）》、《北京市应急管理局大额资金项目管理办法（试行）》、《北京市应急管理局项目验收管理办法（试行）》等管理制度的相关规定，对项目进行了专款专用、独立核算。项目资金拨付具有较为完整的审批程序和手续，资金使用与合同规定用途相符，未发现虚列、超标准开支的情况。项目支出明细与合同支付条款、付款票据相符，资金使用合规。</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2.</w:t>
      </w:r>
      <w:bookmarkStart w:id="82" w:name="_Toc336506899"/>
      <w:bookmarkStart w:id="83" w:name="_Toc336506964"/>
      <w:r>
        <w:rPr>
          <w:rFonts w:hint="eastAsia" w:ascii="仿宋_GB2312" w:hAnsi="Malgun Gothic" w:eastAsia="仿宋_GB2312" w:cs="Malgun Gothic"/>
          <w:sz w:val="32"/>
          <w:szCs w:val="32"/>
        </w:rPr>
        <w:t>组织实施</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（1）管理制度健全性</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财务管理制度方面。为规范财务管理活动，加强经费保障和财务管理，减灾处遵循了《北京市应急管理局采购工作管理办法（试行）》、《北京市应急管理局大额资金项目管理办法（试行）》、《北京市应急管理局项目验收管理办法（试行）》等规范，对经费支出范围、支出标准和支出程序做出了明确的规定，且规范了采购管理工作和项目验收管理工作，财务管理制度较为健全。业务管理制度方面。减灾处遵循了《北京市应急管理局项目验收管理办法（试行）》等规章制度，保障项目顺利实施。整体上，项目财务和业务管理制度较为健全。</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（2）制度执行有效性</w:t>
      </w:r>
    </w:p>
    <w:p>
      <w:pPr>
        <w:wordWrap w:val="0"/>
        <w:adjustRightInd w:val="0"/>
        <w:snapToGrid w:val="0"/>
        <w:spacing w:before="0" w:beforeLines="-2147483648" w:after="0" w:afterLines="-2147483648" w:line="360" w:lineRule="auto"/>
        <w:ind w:firstLine="561" w:firstLineChars="0"/>
        <w:rPr>
          <w:rFonts w:hint="default" w:ascii="仿宋_GB2312" w:hAnsi="Malgun Gothic" w:eastAsia="仿宋_GB2312" w:cs="Malgun Gothic"/>
          <w:sz w:val="32"/>
          <w:szCs w:val="32"/>
          <w:lang w:val="en-US"/>
        </w:rPr>
      </w:pPr>
      <w:r>
        <w:rPr>
          <w:rFonts w:hint="eastAsia" w:ascii="仿宋_GB2312" w:hAnsi="Malgun Gothic" w:eastAsia="仿宋_GB2312" w:cs="Malgun Gothic"/>
          <w:sz w:val="32"/>
          <w:szCs w:val="32"/>
        </w:rPr>
        <w:t>项目执行过程中，项目承办单位主要负责领导和统筹协调城市安全风险评估工作服务相关工作。2023年3月，项目单位通过北京市政府购买服务平台，发布城市安全风险评估工作服务公开招标公告，通过公开招标、专家评标方式从4家投标单位中选择。</w:t>
      </w:r>
      <w:r>
        <w:rPr>
          <w:rFonts w:hint="eastAsia" w:ascii="仿宋_GB2312" w:hAnsi="Malgun Gothic" w:eastAsia="仿宋_GB2312" w:cs="Malgun Gothic"/>
          <w:sz w:val="32"/>
          <w:szCs w:val="32"/>
          <w:lang w:val="en-US" w:eastAsia="zh-CN"/>
        </w:rPr>
        <w:t>项目制定了较为详细的项目实施方案，方案中有明确的工作时间安排、人员部署等关键要素。</w:t>
      </w:r>
      <w:r>
        <w:rPr>
          <w:rFonts w:hint="eastAsia" w:ascii="仿宋_GB2312" w:hAnsi="Malgun Gothic" w:eastAsia="仿宋_GB2312" w:cs="Malgun Gothic"/>
          <w:sz w:val="32"/>
          <w:szCs w:val="32"/>
        </w:rPr>
        <w:t>但评价发现，项目执行过程存在一定不足，</w:t>
      </w:r>
      <w:r>
        <w:rPr>
          <w:rFonts w:hint="eastAsia" w:ascii="仿宋_GB2312" w:hAnsi="Malgun Gothic" w:eastAsia="仿宋_GB2312" w:cs="Malgun Gothic"/>
          <w:sz w:val="32"/>
          <w:szCs w:val="32"/>
          <w:lang w:val="en-US" w:eastAsia="zh-CN"/>
        </w:rPr>
        <w:t>一是</w:t>
      </w:r>
      <w:r>
        <w:rPr>
          <w:rFonts w:hint="eastAsia" w:ascii="仿宋_GB2312" w:hAnsi="Malgun Gothic" w:eastAsia="仿宋_GB2312" w:cs="Malgun Gothic"/>
          <w:sz w:val="32"/>
          <w:szCs w:val="32"/>
        </w:rPr>
        <w:t>项目实施方案</w:t>
      </w:r>
      <w:r>
        <w:rPr>
          <w:rFonts w:hint="eastAsia" w:ascii="仿宋_GB2312" w:hAnsi="Malgun Gothic" w:eastAsia="仿宋_GB2312" w:cs="Malgun Gothic"/>
          <w:sz w:val="32"/>
          <w:szCs w:val="32"/>
          <w:lang w:val="en-US" w:eastAsia="zh-CN"/>
        </w:rPr>
        <w:t>中</w:t>
      </w:r>
      <w:r>
        <w:rPr>
          <w:rFonts w:hint="eastAsia" w:ascii="仿宋_GB2312" w:hAnsi="Malgun Gothic" w:eastAsia="仿宋_GB2312" w:cs="Malgun Gothic"/>
          <w:sz w:val="32"/>
          <w:szCs w:val="32"/>
        </w:rPr>
        <w:t>项目管理部门的人员资质情况不够明确。</w:t>
      </w:r>
      <w:r>
        <w:rPr>
          <w:rFonts w:hint="eastAsia" w:ascii="仿宋_GB2312" w:hAnsi="Malgun Gothic" w:eastAsia="仿宋_GB2312" w:cs="Malgun Gothic"/>
          <w:sz w:val="32"/>
          <w:szCs w:val="32"/>
          <w:lang w:val="en-US" w:eastAsia="zh-CN"/>
        </w:rPr>
        <w:t>二是缺少明确的项目管理制度。</w:t>
      </w:r>
    </w:p>
    <w:p>
      <w:pPr>
        <w:wordWrap/>
        <w:adjustRightInd w:val="0"/>
        <w:snapToGrid w:val="0"/>
        <w:spacing w:before="0" w:beforeLines="-2147483648" w:after="0" w:afterLines="-2147483648" w:line="360" w:lineRule="auto"/>
        <w:ind w:firstLine="640" w:firstLineChars="200"/>
        <w:outlineLvl w:val="1"/>
        <w:rPr>
          <w:rFonts w:hint="eastAsia" w:ascii="Times New Roman" w:hAnsi="Times New Roman" w:eastAsia="楷体_GB2312" w:cs="Times New Roman"/>
          <w:sz w:val="32"/>
          <w:szCs w:val="30"/>
        </w:rPr>
      </w:pPr>
      <w:bookmarkStart w:id="84" w:name="_Toc5747"/>
      <w:bookmarkStart w:id="85" w:name="_Toc21535"/>
      <w:bookmarkStart w:id="86" w:name="_Toc30212"/>
      <w:bookmarkStart w:id="87" w:name="_Toc32160"/>
      <w:bookmarkStart w:id="88" w:name="_Toc26024"/>
      <w:r>
        <w:rPr>
          <w:rFonts w:hint="eastAsia" w:ascii="Times New Roman" w:hAnsi="Times New Roman" w:eastAsia="楷体_GB2312" w:cs="Times New Roman"/>
          <w:sz w:val="32"/>
          <w:szCs w:val="30"/>
        </w:rPr>
        <w:t>（三）项目产出</w:t>
      </w:r>
      <w:bookmarkEnd w:id="82"/>
      <w:bookmarkEnd w:id="83"/>
      <w:bookmarkEnd w:id="84"/>
      <w:bookmarkEnd w:id="85"/>
      <w:r>
        <w:rPr>
          <w:rFonts w:hint="eastAsia" w:ascii="Times New Roman" w:hAnsi="Times New Roman" w:eastAsia="楷体_GB2312" w:cs="Times New Roman"/>
          <w:sz w:val="32"/>
          <w:szCs w:val="30"/>
        </w:rPr>
        <w:t>情况</w:t>
      </w:r>
      <w:bookmarkEnd w:id="86"/>
      <w:bookmarkEnd w:id="87"/>
      <w:bookmarkEnd w:id="88"/>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1.产出数量</w:t>
      </w:r>
    </w:p>
    <w:p>
      <w:pPr>
        <w:wordWrap w:val="0"/>
        <w:adjustRightInd w:val="0"/>
        <w:snapToGrid w:val="0"/>
        <w:spacing w:before="0" w:beforeLines="-2147483648" w:after="0" w:afterLines="-2147483648" w:line="360" w:lineRule="auto"/>
        <w:ind w:firstLine="561" w:firstLineChars="0"/>
        <w:rPr>
          <w:rFonts w:cs="仿宋_GB2312"/>
          <w:color w:val="auto"/>
          <w:sz w:val="32"/>
          <w:szCs w:val="28"/>
        </w:rPr>
      </w:pPr>
      <w:r>
        <w:rPr>
          <w:rFonts w:hint="eastAsia" w:ascii="仿宋_GB2312" w:hAnsi="Malgun Gothic" w:eastAsia="仿宋_GB2312" w:cs="Malgun Gothic"/>
          <w:sz w:val="32"/>
          <w:szCs w:val="32"/>
        </w:rPr>
        <w:t>项目产出数量完成情况总体较好，按照圆满完成了预期工作内容。项目主要内容及关键指标完成情况如表4所示。</w:t>
      </w:r>
    </w:p>
    <w:p>
      <w:pPr>
        <w:suppressAutoHyphens/>
        <w:wordWrap/>
        <w:adjustRightInd w:val="0"/>
        <w:snapToGrid w:val="0"/>
        <w:spacing w:line="360" w:lineRule="auto"/>
        <w:ind w:firstLine="560" w:firstLineChars="200"/>
        <w:jc w:val="center"/>
        <w:rPr>
          <w:rFonts w:ascii="黑体" w:hAnsi="黑体" w:eastAsia="黑体" w:cs="仿宋_GB2312"/>
          <w:color w:val="auto"/>
          <w:sz w:val="28"/>
          <w:szCs w:val="28"/>
        </w:rPr>
      </w:pPr>
      <w:r>
        <w:rPr>
          <w:rFonts w:hint="eastAsia" w:ascii="黑体" w:hAnsi="黑体" w:eastAsia="黑体" w:cs="仿宋_GB2312"/>
          <w:color w:val="auto"/>
          <w:sz w:val="28"/>
          <w:szCs w:val="28"/>
        </w:rPr>
        <w:t>表4：项目产出数量完成情况</w:t>
      </w:r>
    </w:p>
    <w:tbl>
      <w:tblPr>
        <w:tblStyle w:val="46"/>
        <w:tblW w:w="472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72"/>
        <w:gridCol w:w="4197"/>
        <w:gridCol w:w="1746"/>
        <w:gridCol w:w="143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646" w:hRule="atLeast"/>
          <w:tblHeader/>
          <w:jc w:val="center"/>
        </w:trPr>
        <w:tc>
          <w:tcPr>
            <w:tcW w:w="417" w:type="pct"/>
            <w:shd w:val="clear" w:color="auto" w:fill="auto"/>
            <w:vAlign w:val="center"/>
          </w:tcPr>
          <w:p>
            <w:pPr>
              <w:pStyle w:val="73"/>
              <w:suppressAutoHyphens/>
              <w:wordWrap/>
              <w:adjustRightInd w:val="0"/>
              <w:snapToGrid w:val="0"/>
              <w:spacing w:line="240" w:lineRule="auto"/>
              <w:ind w:firstLine="0" w:firstLineChars="0"/>
              <w:jc w:val="center"/>
              <w:rPr>
                <w:rFonts w:ascii="宋体" w:hAnsi="宋体" w:eastAsia="宋体"/>
                <w:color w:val="auto"/>
                <w:sz w:val="20"/>
                <w:szCs w:val="20"/>
              </w:rPr>
            </w:pPr>
            <w:r>
              <w:rPr>
                <w:rFonts w:hint="eastAsia" w:ascii="宋体" w:hAnsi="宋体" w:eastAsia="宋体" w:cs="宋体"/>
                <w:b/>
                <w:bCs/>
                <w:color w:val="auto"/>
                <w:kern w:val="0"/>
                <w:sz w:val="20"/>
                <w:szCs w:val="20"/>
              </w:rPr>
              <w:t>序号</w:t>
            </w:r>
          </w:p>
        </w:tc>
        <w:tc>
          <w:tcPr>
            <w:tcW w:w="2606" w:type="pct"/>
            <w:shd w:val="clear" w:color="auto" w:fill="auto"/>
            <w:vAlign w:val="center"/>
          </w:tcPr>
          <w:p>
            <w:pPr>
              <w:pStyle w:val="73"/>
              <w:suppressAutoHyphens/>
              <w:wordWrap/>
              <w:adjustRightInd w:val="0"/>
              <w:snapToGrid w:val="0"/>
              <w:spacing w:line="240" w:lineRule="auto"/>
              <w:ind w:firstLine="0" w:firstLineChars="0"/>
              <w:jc w:val="center"/>
              <w:rPr>
                <w:rFonts w:ascii="宋体" w:hAnsi="宋体" w:eastAsia="宋体"/>
                <w:color w:val="auto"/>
                <w:sz w:val="20"/>
                <w:szCs w:val="20"/>
              </w:rPr>
            </w:pPr>
            <w:r>
              <w:rPr>
                <w:rFonts w:hint="eastAsia" w:ascii="宋体" w:hAnsi="宋体" w:eastAsia="宋体" w:cs="宋体"/>
                <w:b/>
                <w:bCs/>
                <w:color w:val="auto"/>
                <w:kern w:val="0"/>
                <w:sz w:val="20"/>
                <w:szCs w:val="20"/>
              </w:rPr>
              <w:t>项目内容</w:t>
            </w:r>
          </w:p>
        </w:tc>
        <w:tc>
          <w:tcPr>
            <w:tcW w:w="1084" w:type="pct"/>
            <w:shd w:val="clear" w:color="auto" w:fill="auto"/>
            <w:vAlign w:val="center"/>
          </w:tcPr>
          <w:p>
            <w:pPr>
              <w:pStyle w:val="73"/>
              <w:suppressAutoHyphens/>
              <w:wordWrap/>
              <w:adjustRightInd w:val="0"/>
              <w:snapToGrid w:val="0"/>
              <w:spacing w:line="240" w:lineRule="auto"/>
              <w:ind w:firstLine="0" w:firstLineChars="0"/>
              <w:jc w:val="center"/>
              <w:rPr>
                <w:rFonts w:ascii="宋体" w:hAnsi="宋体" w:eastAsia="宋体" w:cs="宋体"/>
                <w:b/>
                <w:bCs/>
                <w:color w:val="auto"/>
                <w:kern w:val="0"/>
                <w:sz w:val="20"/>
                <w:szCs w:val="20"/>
              </w:rPr>
            </w:pPr>
            <w:r>
              <w:rPr>
                <w:rFonts w:hint="eastAsia" w:ascii="宋体" w:hAnsi="宋体" w:eastAsia="宋体" w:cs="宋体"/>
                <w:b/>
                <w:bCs/>
                <w:color w:val="auto"/>
                <w:kern w:val="0"/>
                <w:sz w:val="20"/>
                <w:szCs w:val="20"/>
              </w:rPr>
              <w:t>项目计划</w:t>
            </w:r>
          </w:p>
          <w:p>
            <w:pPr>
              <w:pStyle w:val="73"/>
              <w:suppressAutoHyphens/>
              <w:wordWrap/>
              <w:adjustRightInd w:val="0"/>
              <w:snapToGrid w:val="0"/>
              <w:spacing w:line="240" w:lineRule="auto"/>
              <w:ind w:firstLine="0" w:firstLineChars="0"/>
              <w:jc w:val="center"/>
              <w:rPr>
                <w:rFonts w:ascii="宋体" w:hAnsi="宋体" w:eastAsia="宋体"/>
                <w:b/>
                <w:bCs/>
                <w:color w:val="auto"/>
                <w:sz w:val="20"/>
                <w:szCs w:val="20"/>
              </w:rPr>
            </w:pPr>
            <w:r>
              <w:rPr>
                <w:rFonts w:hint="eastAsia" w:ascii="宋体" w:hAnsi="宋体" w:eastAsia="宋体" w:cs="宋体"/>
                <w:b/>
                <w:bCs/>
                <w:color w:val="auto"/>
                <w:kern w:val="0"/>
                <w:sz w:val="20"/>
                <w:szCs w:val="20"/>
              </w:rPr>
              <w:t>产出数量</w:t>
            </w:r>
          </w:p>
        </w:tc>
        <w:tc>
          <w:tcPr>
            <w:tcW w:w="891" w:type="pct"/>
            <w:shd w:val="clear" w:color="auto" w:fill="auto"/>
            <w:vAlign w:val="center"/>
          </w:tcPr>
          <w:p>
            <w:pPr>
              <w:pStyle w:val="73"/>
              <w:suppressAutoHyphens/>
              <w:wordWrap/>
              <w:adjustRightInd w:val="0"/>
              <w:snapToGrid w:val="0"/>
              <w:spacing w:line="240" w:lineRule="auto"/>
              <w:ind w:firstLine="0" w:firstLineChars="0"/>
              <w:jc w:val="center"/>
              <w:rPr>
                <w:rFonts w:ascii="宋体" w:hAnsi="宋体" w:eastAsia="宋体" w:cs="宋体"/>
                <w:b/>
                <w:bCs/>
                <w:color w:val="auto"/>
                <w:kern w:val="0"/>
                <w:sz w:val="20"/>
                <w:szCs w:val="20"/>
              </w:rPr>
            </w:pPr>
            <w:r>
              <w:rPr>
                <w:rFonts w:hint="eastAsia" w:ascii="宋体" w:hAnsi="宋体" w:eastAsia="宋体" w:cs="宋体"/>
                <w:b/>
                <w:bCs/>
                <w:color w:val="auto"/>
                <w:kern w:val="0"/>
                <w:sz w:val="20"/>
                <w:szCs w:val="20"/>
              </w:rPr>
              <w:t>项目完成数量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986" w:hRule="atLeast"/>
          <w:jc w:val="center"/>
        </w:trPr>
        <w:tc>
          <w:tcPr>
            <w:tcW w:w="417" w:type="pct"/>
            <w:shd w:val="clear" w:color="auto" w:fill="auto"/>
            <w:vAlign w:val="center"/>
          </w:tcPr>
          <w:p>
            <w:pPr>
              <w:pStyle w:val="73"/>
              <w:suppressAutoHyphens/>
              <w:wordWrap/>
              <w:adjustRightInd w:val="0"/>
              <w:snapToGrid w:val="0"/>
              <w:spacing w:line="240" w:lineRule="auto"/>
              <w:ind w:firstLine="0" w:firstLineChars="0"/>
              <w:jc w:val="center"/>
              <w:rPr>
                <w:rFonts w:ascii="宋体" w:hAnsi="宋体" w:eastAsia="宋体"/>
                <w:color w:val="auto"/>
                <w:sz w:val="20"/>
                <w:szCs w:val="20"/>
              </w:rPr>
            </w:pPr>
            <w:r>
              <w:rPr>
                <w:rFonts w:hint="eastAsia" w:ascii="宋体" w:hAnsi="宋体" w:eastAsia="宋体"/>
                <w:color w:val="auto"/>
                <w:sz w:val="20"/>
                <w:szCs w:val="20"/>
              </w:rPr>
              <w:t>1</w:t>
            </w:r>
          </w:p>
        </w:tc>
        <w:tc>
          <w:tcPr>
            <w:tcW w:w="2606"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在2023年第2季度、第3季度和第4季度，以及2024年第1季度，分别对下一季度重点行业领域安全风险形势和受自然灾害因素影响风险进行分析研判，提出对策建议，形成《重点行业领域安全风险分析研判及对策建议报告</w:t>
            </w:r>
          </w:p>
        </w:tc>
        <w:tc>
          <w:tcPr>
            <w:tcW w:w="1084"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每季度1期（共4份）</w:t>
            </w:r>
          </w:p>
        </w:tc>
        <w:tc>
          <w:tcPr>
            <w:tcW w:w="891"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每季度1期（共4份）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1455" w:hRule="atLeast"/>
          <w:jc w:val="center"/>
        </w:trPr>
        <w:tc>
          <w:tcPr>
            <w:tcW w:w="417" w:type="pct"/>
            <w:shd w:val="clear" w:color="auto" w:fill="auto"/>
            <w:vAlign w:val="center"/>
          </w:tcPr>
          <w:p>
            <w:pPr>
              <w:pStyle w:val="73"/>
              <w:suppressAutoHyphens/>
              <w:wordWrap/>
              <w:adjustRightInd w:val="0"/>
              <w:snapToGrid w:val="0"/>
              <w:spacing w:line="240" w:lineRule="auto"/>
              <w:ind w:firstLine="0" w:firstLineChars="0"/>
              <w:jc w:val="center"/>
              <w:rPr>
                <w:rFonts w:ascii="宋体" w:hAnsi="宋体" w:eastAsia="宋体"/>
                <w:color w:val="auto"/>
                <w:sz w:val="20"/>
                <w:szCs w:val="20"/>
              </w:rPr>
            </w:pPr>
            <w:r>
              <w:rPr>
                <w:rFonts w:hint="eastAsia" w:ascii="宋体" w:hAnsi="宋体" w:eastAsia="宋体"/>
                <w:color w:val="auto"/>
                <w:sz w:val="20"/>
                <w:szCs w:val="20"/>
              </w:rPr>
              <w:t>2</w:t>
            </w:r>
          </w:p>
        </w:tc>
        <w:tc>
          <w:tcPr>
            <w:tcW w:w="2606"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对2015家（合同数2000家）非小微社会单位和1777家（合同数1700家）小微社会单位安全风险评估数据质量进行了线上核查，《编制安全风险评估数据线上核查报告》</w:t>
            </w:r>
          </w:p>
        </w:tc>
        <w:tc>
          <w:tcPr>
            <w:tcW w:w="1084"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1份</w:t>
            </w:r>
          </w:p>
        </w:tc>
        <w:tc>
          <w:tcPr>
            <w:tcW w:w="891"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1份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1304" w:hRule="atLeast"/>
          <w:jc w:val="center"/>
        </w:trPr>
        <w:tc>
          <w:tcPr>
            <w:tcW w:w="417" w:type="pct"/>
            <w:shd w:val="clear" w:color="auto" w:fill="auto"/>
            <w:vAlign w:val="center"/>
          </w:tcPr>
          <w:p>
            <w:pPr>
              <w:pStyle w:val="73"/>
              <w:suppressAutoHyphens/>
              <w:wordWrap/>
              <w:adjustRightInd w:val="0"/>
              <w:snapToGrid w:val="0"/>
              <w:spacing w:line="240" w:lineRule="auto"/>
              <w:ind w:firstLine="0" w:firstLineChars="0"/>
              <w:jc w:val="center"/>
              <w:rPr>
                <w:rFonts w:ascii="宋体" w:hAnsi="宋体" w:eastAsia="宋体"/>
                <w:color w:val="auto"/>
                <w:sz w:val="20"/>
                <w:szCs w:val="20"/>
              </w:rPr>
            </w:pPr>
            <w:r>
              <w:rPr>
                <w:rFonts w:hint="eastAsia" w:ascii="宋体" w:hAnsi="宋体" w:eastAsia="宋体"/>
                <w:color w:val="auto"/>
                <w:sz w:val="20"/>
                <w:szCs w:val="20"/>
              </w:rPr>
              <w:t>3</w:t>
            </w:r>
          </w:p>
        </w:tc>
        <w:tc>
          <w:tcPr>
            <w:tcW w:w="2606"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对203家（合同数200家）社会单位安全风险评估工作质量进行现场核查，《编制安全风险评估工作质量现场核查报告》１份</w:t>
            </w:r>
          </w:p>
        </w:tc>
        <w:tc>
          <w:tcPr>
            <w:tcW w:w="1084"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1份</w:t>
            </w:r>
          </w:p>
        </w:tc>
        <w:tc>
          <w:tcPr>
            <w:tcW w:w="891"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1份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778" w:hRule="atLeast"/>
          <w:jc w:val="center"/>
        </w:trPr>
        <w:tc>
          <w:tcPr>
            <w:tcW w:w="417" w:type="pct"/>
            <w:shd w:val="clear" w:color="auto" w:fill="auto"/>
            <w:vAlign w:val="center"/>
          </w:tcPr>
          <w:p>
            <w:pPr>
              <w:pStyle w:val="73"/>
              <w:suppressAutoHyphens/>
              <w:wordWrap/>
              <w:adjustRightInd w:val="0"/>
              <w:snapToGrid w:val="0"/>
              <w:spacing w:line="240" w:lineRule="auto"/>
              <w:ind w:firstLine="0" w:firstLineChars="0"/>
              <w:jc w:val="center"/>
              <w:rPr>
                <w:rFonts w:ascii="宋体" w:hAnsi="宋体" w:eastAsia="宋体"/>
                <w:color w:val="auto"/>
                <w:sz w:val="20"/>
                <w:szCs w:val="20"/>
              </w:rPr>
            </w:pPr>
            <w:r>
              <w:rPr>
                <w:rFonts w:hint="eastAsia" w:ascii="宋体" w:hAnsi="宋体" w:eastAsia="宋体"/>
                <w:color w:val="auto"/>
                <w:sz w:val="20"/>
                <w:szCs w:val="20"/>
              </w:rPr>
              <w:t>4</w:t>
            </w:r>
          </w:p>
        </w:tc>
        <w:tc>
          <w:tcPr>
            <w:tcW w:w="2606"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编制《全市重点行业领域安全风险评估数据汇总分析报告》１份</w:t>
            </w:r>
          </w:p>
        </w:tc>
        <w:tc>
          <w:tcPr>
            <w:tcW w:w="1084"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1份</w:t>
            </w:r>
          </w:p>
        </w:tc>
        <w:tc>
          <w:tcPr>
            <w:tcW w:w="891"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1份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778" w:hRule="atLeast"/>
          <w:jc w:val="center"/>
        </w:trPr>
        <w:tc>
          <w:tcPr>
            <w:tcW w:w="417" w:type="pct"/>
            <w:shd w:val="clear" w:color="auto" w:fill="auto"/>
            <w:vAlign w:val="center"/>
          </w:tcPr>
          <w:p>
            <w:pPr>
              <w:pStyle w:val="73"/>
              <w:suppressAutoHyphens/>
              <w:wordWrap/>
              <w:adjustRightInd w:val="0"/>
              <w:snapToGrid w:val="0"/>
              <w:spacing w:line="240" w:lineRule="auto"/>
              <w:ind w:firstLine="0" w:firstLineChars="0"/>
              <w:jc w:val="center"/>
              <w:rPr>
                <w:rFonts w:ascii="宋体" w:hAnsi="宋体" w:eastAsia="宋体"/>
                <w:color w:val="auto"/>
                <w:sz w:val="20"/>
                <w:szCs w:val="20"/>
              </w:rPr>
            </w:pPr>
            <w:r>
              <w:rPr>
                <w:rFonts w:hint="eastAsia" w:ascii="宋体" w:hAnsi="宋体" w:eastAsia="宋体"/>
                <w:color w:val="auto"/>
                <w:sz w:val="20"/>
                <w:szCs w:val="20"/>
              </w:rPr>
              <w:t>5</w:t>
            </w:r>
          </w:p>
        </w:tc>
        <w:tc>
          <w:tcPr>
            <w:tcW w:w="2606"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编制《北京市重点行业领域安全风险白皮书》1份</w:t>
            </w:r>
          </w:p>
        </w:tc>
        <w:tc>
          <w:tcPr>
            <w:tcW w:w="1084"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1份</w:t>
            </w:r>
          </w:p>
        </w:tc>
        <w:tc>
          <w:tcPr>
            <w:tcW w:w="891"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1份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778" w:hRule="atLeast"/>
          <w:jc w:val="center"/>
        </w:trPr>
        <w:tc>
          <w:tcPr>
            <w:tcW w:w="417" w:type="pct"/>
            <w:shd w:val="clear" w:color="auto" w:fill="auto"/>
            <w:vAlign w:val="center"/>
          </w:tcPr>
          <w:p>
            <w:pPr>
              <w:pStyle w:val="73"/>
              <w:suppressAutoHyphens/>
              <w:wordWrap/>
              <w:adjustRightInd w:val="0"/>
              <w:snapToGrid w:val="0"/>
              <w:spacing w:line="240" w:lineRule="auto"/>
              <w:ind w:firstLine="0" w:firstLineChars="0"/>
              <w:jc w:val="center"/>
              <w:rPr>
                <w:rFonts w:ascii="宋体" w:hAnsi="宋体" w:eastAsia="宋体"/>
                <w:color w:val="auto"/>
                <w:sz w:val="20"/>
                <w:szCs w:val="20"/>
              </w:rPr>
            </w:pPr>
            <w:r>
              <w:rPr>
                <w:rFonts w:hint="eastAsia" w:ascii="宋体" w:hAnsi="宋体" w:eastAsia="宋体"/>
                <w:color w:val="auto"/>
                <w:sz w:val="20"/>
                <w:szCs w:val="20"/>
              </w:rPr>
              <w:t>6</w:t>
            </w:r>
          </w:p>
        </w:tc>
        <w:tc>
          <w:tcPr>
            <w:tcW w:w="2606"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完成2023年城市安全风险评估数据处理服务，编制《城市安全风险评估数据处理服务报告》1份</w:t>
            </w:r>
          </w:p>
        </w:tc>
        <w:tc>
          <w:tcPr>
            <w:tcW w:w="1084"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1份</w:t>
            </w:r>
          </w:p>
        </w:tc>
        <w:tc>
          <w:tcPr>
            <w:tcW w:w="891"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1份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778" w:hRule="atLeast"/>
          <w:jc w:val="center"/>
        </w:trPr>
        <w:tc>
          <w:tcPr>
            <w:tcW w:w="417" w:type="pct"/>
            <w:shd w:val="clear" w:color="auto" w:fill="auto"/>
            <w:vAlign w:val="center"/>
          </w:tcPr>
          <w:p>
            <w:pPr>
              <w:pStyle w:val="73"/>
              <w:suppressAutoHyphens/>
              <w:wordWrap/>
              <w:adjustRightInd w:val="0"/>
              <w:snapToGrid w:val="0"/>
              <w:spacing w:line="240" w:lineRule="auto"/>
              <w:ind w:firstLine="0" w:firstLineChars="0"/>
              <w:jc w:val="center"/>
              <w:rPr>
                <w:rFonts w:ascii="宋体" w:hAnsi="宋体" w:eastAsia="宋体"/>
                <w:color w:val="auto"/>
                <w:sz w:val="20"/>
                <w:szCs w:val="20"/>
              </w:rPr>
            </w:pPr>
            <w:r>
              <w:rPr>
                <w:rFonts w:hint="eastAsia" w:ascii="宋体" w:hAnsi="宋体" w:eastAsia="宋体"/>
                <w:color w:val="auto"/>
                <w:sz w:val="20"/>
                <w:szCs w:val="20"/>
              </w:rPr>
              <w:t>7</w:t>
            </w:r>
          </w:p>
        </w:tc>
        <w:tc>
          <w:tcPr>
            <w:tcW w:w="2606"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完成21个市级行业部门、16个区、经济技术开发区管委会、30余家大型企业和20余家第三方技术服务机构等单位进行了风险评估工作技术指导，形成《对相关市级部门和各区风险评估工作进行技术指导相关过程性资料》１套</w:t>
            </w:r>
          </w:p>
        </w:tc>
        <w:tc>
          <w:tcPr>
            <w:tcW w:w="1084"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29个部门，材料1套</w:t>
            </w:r>
          </w:p>
        </w:tc>
        <w:tc>
          <w:tcPr>
            <w:tcW w:w="891"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38个部门，材料1套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778" w:hRule="atLeast"/>
          <w:jc w:val="center"/>
        </w:trPr>
        <w:tc>
          <w:tcPr>
            <w:tcW w:w="417" w:type="pct"/>
            <w:shd w:val="clear" w:color="auto" w:fill="auto"/>
            <w:vAlign w:val="center"/>
          </w:tcPr>
          <w:p>
            <w:pPr>
              <w:pStyle w:val="73"/>
              <w:suppressAutoHyphens/>
              <w:wordWrap/>
              <w:adjustRightInd w:val="0"/>
              <w:snapToGrid w:val="0"/>
              <w:spacing w:line="240" w:lineRule="auto"/>
              <w:ind w:firstLine="0" w:firstLineChars="0"/>
              <w:jc w:val="center"/>
              <w:rPr>
                <w:rFonts w:ascii="宋体" w:hAnsi="宋体" w:eastAsia="宋体"/>
                <w:color w:val="auto"/>
                <w:sz w:val="20"/>
                <w:szCs w:val="20"/>
              </w:rPr>
            </w:pPr>
            <w:r>
              <w:rPr>
                <w:rFonts w:hint="eastAsia" w:ascii="宋体" w:hAnsi="宋体" w:eastAsia="宋体"/>
                <w:color w:val="auto"/>
                <w:sz w:val="20"/>
                <w:szCs w:val="20"/>
              </w:rPr>
              <w:t>8</w:t>
            </w:r>
          </w:p>
        </w:tc>
        <w:tc>
          <w:tcPr>
            <w:tcW w:w="2606"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形成地方标准《生产经营单位安全生产风险评估与管控规范》（送审稿）1份，编制起草说明1份</w:t>
            </w:r>
          </w:p>
        </w:tc>
        <w:tc>
          <w:tcPr>
            <w:tcW w:w="1084"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1份</w:t>
            </w:r>
          </w:p>
        </w:tc>
        <w:tc>
          <w:tcPr>
            <w:tcW w:w="891" w:type="pct"/>
            <w:shd w:val="clear" w:color="auto" w:fill="auto"/>
            <w:vAlign w:val="center"/>
          </w:tcPr>
          <w:p>
            <w:pPr>
              <w:pStyle w:val="41"/>
              <w:widowControl/>
              <w:jc w:val="center"/>
              <w:rPr>
                <w:rFonts w:ascii="仿宋" w:hAnsi="仿宋" w:eastAsia="仿宋" w:cs="仿宋"/>
                <w:color w:val="auto"/>
                <w:sz w:val="20"/>
                <w:szCs w:val="20"/>
              </w:rPr>
            </w:pPr>
            <w:r>
              <w:rPr>
                <w:rFonts w:hint="eastAsia" w:ascii="仿宋" w:hAnsi="仿宋" w:eastAsia="仿宋" w:cs="仿宋"/>
                <w:color w:val="auto"/>
                <w:sz w:val="20"/>
                <w:szCs w:val="20"/>
              </w:rPr>
              <w:t>1份</w:t>
            </w:r>
          </w:p>
        </w:tc>
      </w:tr>
    </w:tbl>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2.产出质量</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1）每季度对重点行业领域安全风险形势和受自然灾害因素影响风险进行分析研判，提出对策建议。应用重点行业领域城市安全风险、生产安全事故统计、突发事件接报等数据，编制完成4个季度报告。报告研判分析了每季度周期内事故共性和特性规律、重点行业领域安全风险演化和突变趋势，以及重大活动、重要时节和重点时段的安全风险，并提出了重大安全风险、重点区域风险自主防控和联防联控对策建议，报告内容合理、数据准确，为北京市风险管理工作提供支撑、保障作用。</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2）对社会单位安全风险评估数据质量进行线上核查。在总结历年工作经验的基础上，编制了《风险评估数据质量线上核查打分标准》，对14个重点行业领域的2015家非小微社会单位和1777家小微社会单位安全风险数据进行线上核查，编制形成了《安全风险评估数据线上核查报告》。报告对安全风险等相关数据质量进行了多维度统计分析，并对存在的共性问题进行提炼，提出对策建议措施。</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3）对社会单位安全风险评估工作质量进行现场核查。编制了《安全风险评估工作质量现场核查表》，完成了203家非小微社会单位安全风险评估工作质量现场核查，针对安全风险辨识的全面性、风险等级的准确性、管控措施的有效性和落实情况、风险评估报告编制的规范性等进行核查，编制形成了《安全风险评估工作质量现场核查报告》，对存在的问题进行梳理汇总，提出问题整改措施建议，对提高北京市城市安全风险评估数据质量有很好的促进作用。</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4）编制全市重点行业领域安全风险评估数据汇总分析报告。对重点行业领域安全风险数据、应急资源调查数据、社会单位风险评估诊断分级等数据进行了汇总分析，编制形成了《全市重点行业领域安全风险评估数据汇总分析报告》，报告内容丰富，数据详实，符合《北京市公共安全风险管理办法》（京应急委发〔2021〕2号）《北京市安全生产风险管理实施指南》（京安办发〔2021〕15号）等要求。</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5）编制北京市重点行业领域安全风险白皮书。基于历年来风险评估工作成果，通过详细梳理重点行业领域安全风险评估经验做法和工作成效，深度分析重点行业领域重点部位、重点环节存在的主要安全风险，编制了《北京市重点行业领域安全风险白皮书》，能为市、区两级政府把握安全风险特点规律和发展趋势，预防和应对生产安全事故，以及行业内外了解首都安全风险评估工作提供参考。</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6）城市安全风险评估数据处理服务。对重点行业领域社会单位安全风险等数据进行了处理、交换、管理、统计分析、可视化转换，实现了一单位一码，一领域一汇总，一区域一指数，绘制了“红、橙、黄、蓝”四色等级安全风险电子地图和应急资源分布图，编制了不同维度数据统计图等城市安全风险可视化产品。满足市、区、街乡三级政府和市、区两级行业部门以及社会单位等不同用户对城市安全风险评估工作有关数据需求。</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7）对相关市级部门和各区风险评估工作进行技术指导。对21个市级行业部门、16个区、经济技术开发区管委会、30余家大型企业和20余家第三方技术服务机构等单位进行了风险评估工作技术指导，编制了城市安全风险评估业务指导手册、培训课件、工作视频和工作指引等，综合运用线上、线下、集中、一对一等方式，及时解答不同用户在城市安全风险评估工作中遇到的疑难问题，进一步提升了各单位安全风险评估的工作能力。</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8）修订地方标准《生产经营单位安全生产风险评估规范》（DB11/T1478-2017）。结合北京市安全风险评估工作的实际，充分吸纳企业一线、各层级部门和相关省市的先进做法和意见建议，编制了《生产经营单位安全生产风险评估与管控规范》（标准修订过程中，名称进行了更改），对安全风险评估工作的流程、评估内容等进行了完善，对开展风险评估的方法标准、辨识清单、报告编制等内容进行了优化，提出了风险分级管控的要求，实现了风险评估由静态向动态转变，以及由风险源普查向风险分级管控转变，更符合相关法律法规和标准规范的最新要求，使技术理论与工作实践进行了更有效的结合，内容明确、条文清晰，语言规范，具备较强的适用性和可操作性。</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项目实施过程中，市应急局分别于2023年11月21日和2024年4月11日组织召开了2次专家会，对上述8项工作进行了评审，同意项目通过评审，并出具了分项验收通过专家评审意见，2024年4月28日，市应急局组织专家对项目进行了验收，对项目总体评分93.8分，并通过了市应急局项目管理委员会验收。项目整体完成质量较好。</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3.产出时效</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项目服务期为2023年5月14日-2024年4月30日，在2023年11月21日，依据合同约定完成第一次专家评审工作，第一阶段性工作内容通过专家评审，2024年4月11日完成第二次专家评审工作，第二阶段性工作内容通过专家评审。2024年4月28日，组织召开了专家验收会，对项目整体完成情况进行专家终验，并出具了大额重点项目专家验收意见，项目阶段性完成时效较好。</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4.产出成本</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项目实施过程中，项目单位严格按照相关财务管理制度，确保各项支出严格按照预算执行，项目整体支出控制在预算范围内。</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评价认为，项目产出内容明确，产出完成情况均符合预期目标，完成情况较为理想，但质量指标产出内容量化性不足。</w:t>
      </w:r>
    </w:p>
    <w:p>
      <w:pPr>
        <w:wordWrap/>
        <w:adjustRightInd w:val="0"/>
        <w:snapToGrid w:val="0"/>
        <w:spacing w:before="0" w:beforeLines="-2147483648" w:after="0" w:afterLines="-2147483648" w:line="360" w:lineRule="auto"/>
        <w:ind w:firstLine="640" w:firstLineChars="200"/>
        <w:outlineLvl w:val="1"/>
        <w:rPr>
          <w:rFonts w:hint="eastAsia" w:ascii="Times New Roman" w:hAnsi="Times New Roman" w:eastAsia="楷体_GB2312" w:cs="Times New Roman"/>
          <w:sz w:val="32"/>
          <w:szCs w:val="30"/>
        </w:rPr>
      </w:pPr>
      <w:bookmarkStart w:id="89" w:name="_Toc7613"/>
      <w:bookmarkStart w:id="90" w:name="_Toc13835"/>
      <w:bookmarkStart w:id="91" w:name="_Toc8470"/>
      <w:r>
        <w:rPr>
          <w:rFonts w:hint="eastAsia" w:ascii="Times New Roman" w:hAnsi="Times New Roman" w:eastAsia="楷体_GB2312" w:cs="Times New Roman"/>
          <w:sz w:val="32"/>
          <w:szCs w:val="30"/>
        </w:rPr>
        <w:t>（四）项目效益情况</w:t>
      </w:r>
      <w:bookmarkEnd w:id="89"/>
      <w:bookmarkEnd w:id="90"/>
      <w:bookmarkEnd w:id="91"/>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1.实施效益</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项目实施效益较显著。主要体现在：</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b/>
          <w:bCs/>
          <w:sz w:val="32"/>
          <w:szCs w:val="32"/>
        </w:rPr>
      </w:pPr>
      <w:r>
        <w:rPr>
          <w:rFonts w:hint="eastAsia" w:ascii="仿宋_GB2312" w:hAnsi="Malgun Gothic" w:eastAsia="仿宋_GB2312" w:cs="Malgun Gothic"/>
          <w:b/>
          <w:bCs/>
          <w:sz w:val="32"/>
          <w:szCs w:val="32"/>
        </w:rPr>
        <w:t>一是建立了较为完善的安全风险评估的标准规范体系。</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通过项目实施，进一步健全了全市安全风险评估的标准规范体系，形成了“1个管理办法、1项工作指南、3个地方标准、16个评估规范、101份辨识清单”为主要标志的城市安全风险评估标准体系，2023年新增标准清单16份。</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b/>
          <w:bCs/>
          <w:sz w:val="32"/>
          <w:szCs w:val="32"/>
        </w:rPr>
      </w:pPr>
      <w:r>
        <w:rPr>
          <w:rFonts w:hint="eastAsia" w:ascii="仿宋_GB2312" w:hAnsi="Malgun Gothic" w:eastAsia="仿宋_GB2312" w:cs="Malgun Gothic"/>
          <w:b/>
          <w:bCs/>
          <w:sz w:val="32"/>
          <w:szCs w:val="32"/>
        </w:rPr>
        <w:t>二是推动了10个行业领域风险评估工作的提质增效。</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通过项目实施，修订了线上现场核查标准，强化质量引领，有力大幅北京市城市安全风险评估数据质量，规范了企业安全风险管理工作，线上核查合格率为68.6%，现场检查合格率为64.5%，通过整改，合格率均提高到了90%以上。相关市级部门和各区举一反三，积极整改，并参照相关核查检查标准，组织本行业、本区域20000余家企业的风险评估进行了核查，进一步提高了安全风险评估数据质量，规范了企业安全风险管理工作，推动各单位落实风险管理责任。</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b/>
          <w:bCs/>
          <w:sz w:val="32"/>
          <w:szCs w:val="32"/>
        </w:rPr>
      </w:pPr>
      <w:r>
        <w:rPr>
          <w:rFonts w:hint="eastAsia" w:ascii="仿宋_GB2312" w:hAnsi="Malgun Gothic" w:eastAsia="仿宋_GB2312" w:cs="Malgun Gothic"/>
          <w:b/>
          <w:bCs/>
          <w:sz w:val="32"/>
          <w:szCs w:val="32"/>
        </w:rPr>
        <w:t>三是提升了安全风险评估的动态更新率。</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通过项目实施， 2023年，全市非小微社会单位平均季度更新率达到了93.9%（比上一年度提升了2个百分点），小微社会单位年度更新率98.85%（比上一年度提升了3个百分点），月度平均审核率为99.78%，并将相关指标纳入了安全生产考核，除个别区第三季度非小微社会单位未达到92%的指标外，各区都达到了考核指标要求。</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b/>
          <w:bCs/>
          <w:sz w:val="32"/>
          <w:szCs w:val="32"/>
        </w:rPr>
      </w:pPr>
      <w:r>
        <w:rPr>
          <w:rFonts w:hint="eastAsia" w:ascii="仿宋_GB2312" w:hAnsi="Malgun Gothic" w:eastAsia="仿宋_GB2312" w:cs="Malgun Gothic"/>
          <w:b/>
          <w:bCs/>
          <w:sz w:val="32"/>
          <w:szCs w:val="32"/>
        </w:rPr>
        <w:t>四是拓展了安全风险评估行业领域拓展。</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运用既有城市安全风险评估工作模式，结合行业特点，将工作范围拓展到新增的教育、医疗卫生、养老、物业等4个行业领域，截至目前，新增4个行业领域共有8829家社会单位完成了风险评估工作。预计2024年，年底完成新增4个行业领域全部在账社会单位的风险评估工作。</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b/>
          <w:bCs/>
          <w:sz w:val="32"/>
          <w:szCs w:val="32"/>
        </w:rPr>
      </w:pPr>
      <w:r>
        <w:rPr>
          <w:rFonts w:hint="eastAsia" w:ascii="仿宋_GB2312" w:hAnsi="Malgun Gothic" w:eastAsia="仿宋_GB2312" w:cs="Malgun Gothic"/>
          <w:b/>
          <w:bCs/>
          <w:sz w:val="32"/>
          <w:szCs w:val="32"/>
        </w:rPr>
        <w:t>五是提升了全市安全风险防控意识。</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针对安全风险评估工作，各部门累计开展培训300余场次，培训指导15000余人次，发放培训材料22000余册，全市累计100万人次参与城市安全风险评估工作，有力提升全社会风险防控意识。</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2.满意度</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2023年9月-12月期间，组织开展了相关满意度调查工作。调查的方式为网络问卷，调查对象为政府部门和社会单位，收回政府部门有效问卷118份、社会单位有效问卷250份；从结果分析来看，受访对象对安全风险评估工作指导、数据服务、工作组织管理等指标的满意度均在90%以上。</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评价认为，项目实施产生了较显著的社会效益，全市重点行业领域风险管理意识、理念、能力、水平得到大幅提升。同时应注重进一步收集、完善项目效益支撑材料。</w:t>
      </w:r>
    </w:p>
    <w:p>
      <w:pPr>
        <w:wordWrap/>
        <w:adjustRightInd w:val="0"/>
        <w:snapToGrid w:val="0"/>
        <w:spacing w:before="0" w:beforeLines="-2147483648" w:after="0" w:afterLines="-2147483648" w:line="360" w:lineRule="auto"/>
        <w:ind w:firstLine="640" w:firstLineChars="200"/>
        <w:outlineLvl w:val="0"/>
        <w:rPr>
          <w:rFonts w:hint="eastAsia" w:ascii="Times New Roman" w:hAnsi="Times New Roman" w:eastAsia="黑体" w:cs="Times New Roman"/>
          <w:sz w:val="32"/>
          <w:szCs w:val="30"/>
        </w:rPr>
      </w:pPr>
      <w:bookmarkStart w:id="92" w:name="_Toc336506966"/>
      <w:bookmarkStart w:id="93" w:name="_Toc31178"/>
      <w:bookmarkStart w:id="94" w:name="_Toc336506901"/>
      <w:bookmarkStart w:id="95" w:name="_Toc8255"/>
      <w:bookmarkStart w:id="96" w:name="_Toc22559"/>
      <w:bookmarkStart w:id="97" w:name="_Toc17137"/>
      <w:bookmarkStart w:id="98" w:name="_Toc12608"/>
      <w:r>
        <w:rPr>
          <w:rFonts w:hint="eastAsia" w:ascii="Times New Roman" w:hAnsi="Times New Roman" w:eastAsia="黑体" w:cs="Times New Roman"/>
          <w:sz w:val="32"/>
          <w:szCs w:val="30"/>
        </w:rPr>
        <w:t>五、</w:t>
      </w:r>
      <w:bookmarkEnd w:id="92"/>
      <w:bookmarkEnd w:id="93"/>
      <w:bookmarkEnd w:id="94"/>
      <w:bookmarkEnd w:id="95"/>
      <w:r>
        <w:rPr>
          <w:rFonts w:hint="eastAsia" w:ascii="Times New Roman" w:hAnsi="Times New Roman" w:eastAsia="黑体" w:cs="Times New Roman"/>
          <w:sz w:val="32"/>
          <w:szCs w:val="30"/>
        </w:rPr>
        <w:t>主要的经验及做法、存在的问题及原因分析</w:t>
      </w:r>
      <w:bookmarkEnd w:id="96"/>
      <w:bookmarkEnd w:id="97"/>
      <w:bookmarkEnd w:id="98"/>
    </w:p>
    <w:p>
      <w:pPr>
        <w:wordWrap/>
        <w:adjustRightInd w:val="0"/>
        <w:snapToGrid w:val="0"/>
        <w:spacing w:before="0" w:beforeLines="-2147483648" w:after="0" w:afterLines="-2147483648" w:line="360" w:lineRule="auto"/>
        <w:ind w:firstLine="640" w:firstLineChars="200"/>
        <w:outlineLvl w:val="1"/>
        <w:rPr>
          <w:rFonts w:hint="eastAsia" w:ascii="Times New Roman" w:hAnsi="Times New Roman" w:eastAsia="楷体_GB2312" w:cs="Times New Roman"/>
          <w:sz w:val="32"/>
          <w:szCs w:val="30"/>
        </w:rPr>
      </w:pPr>
      <w:bookmarkStart w:id="99" w:name="_Toc3739"/>
      <w:bookmarkStart w:id="100" w:name="_Toc3937"/>
      <w:bookmarkStart w:id="101" w:name="_Toc10135"/>
      <w:bookmarkStart w:id="102" w:name="_Toc12209"/>
      <w:bookmarkStart w:id="103" w:name="_Toc336506904"/>
      <w:bookmarkStart w:id="104" w:name="_Toc336506969"/>
      <w:bookmarkStart w:id="105" w:name="_Toc15308"/>
      <w:r>
        <w:rPr>
          <w:rFonts w:hint="eastAsia" w:ascii="Times New Roman" w:hAnsi="Times New Roman" w:eastAsia="楷体_GB2312" w:cs="Times New Roman"/>
          <w:sz w:val="32"/>
          <w:szCs w:val="30"/>
        </w:rPr>
        <w:t>（一）主要经验及做法</w:t>
      </w:r>
      <w:bookmarkEnd w:id="99"/>
      <w:bookmarkEnd w:id="100"/>
      <w:bookmarkEnd w:id="101"/>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充分认识项目管理对于实现项目目标的重要意义。项目管理工作贯穿项目实施始终，与项目实施同谋划、同部署、同落实，并在项目组织实施过程中与申报的绩效目标经常对标对表，确保项目完成之时绩效目标同步实现。</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一是抓统筹、重实效。按照项目实施方案的要求，持续做好相关的部署协调、工作安排、调研指导等统筹性工作。</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二是抓采购、早启动。2023年年初，主动与局财务处、法制处积极对接协调，认真准备项目招标所需材料，迅速启动项目招标工作，确定项目技术技术服务机构，并完成合同签订，尽快启动项目实施。</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三是抓计划、跟进度。根据工作进度要求，明确各重要时间节点的总体工作进度，每周制定本周工作计划，按照工作计划开展相关研究，每两周对项目开展情况进行认真总结。</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四是抓例会、保质量。建立定期例会机制，每两周至少召开一次工作例会，听取工作进展汇报，提出相关意见建议，适时要求相关领域专家参会，强化过程质量管控，确保项目在实施过程中不偏离预期目标。</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五是抓警示、保廉洁。加强项目管理人员警示教育和项目审计典型案例学习，有效避免了廉政风险和其他项目审计问题的重复出现。</w:t>
      </w:r>
    </w:p>
    <w:p>
      <w:pPr>
        <w:wordWrap/>
        <w:adjustRightInd w:val="0"/>
        <w:snapToGrid w:val="0"/>
        <w:spacing w:before="0" w:beforeLines="-2147483648" w:after="0" w:afterLines="-2147483648" w:line="360" w:lineRule="auto"/>
        <w:ind w:firstLine="640" w:firstLineChars="200"/>
        <w:outlineLvl w:val="1"/>
        <w:rPr>
          <w:rFonts w:hint="eastAsia" w:ascii="Times New Roman" w:hAnsi="Times New Roman" w:eastAsia="楷体_GB2312" w:cs="Times New Roman"/>
          <w:sz w:val="32"/>
          <w:szCs w:val="30"/>
        </w:rPr>
      </w:pPr>
      <w:bookmarkStart w:id="106" w:name="_Toc17285"/>
      <w:bookmarkStart w:id="107" w:name="_Toc22047"/>
      <w:bookmarkStart w:id="108" w:name="_Toc1841"/>
      <w:r>
        <w:rPr>
          <w:rFonts w:hint="eastAsia" w:ascii="Times New Roman" w:hAnsi="Times New Roman" w:eastAsia="楷体_GB2312" w:cs="Times New Roman"/>
          <w:sz w:val="32"/>
          <w:szCs w:val="30"/>
        </w:rPr>
        <w:t>（二）存在的主要问题及原因分析</w:t>
      </w:r>
      <w:bookmarkEnd w:id="106"/>
      <w:bookmarkEnd w:id="107"/>
      <w:bookmarkEnd w:id="108"/>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1.项目绩效目标管理有待加强</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绩效目标设置尚有不足，作为跨年项目，目标内容的年度边界不够清晰，预期产出效益和效果描述有待进一步完善。绩效指标设置不够细化、量化，如，产出质量指标为定性描述，可考量性不足。</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2.项目整体申报逻辑性有待提升</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该项目工作内容较多，申报目标较为分散，各项工作内容从项目整体立意角度的联系不够紧密，凝练度不高，总体目标中各项工作内容预期实现效益效果体现不明显。</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3.项目管理机制有待提升。</w:t>
      </w:r>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项目实施方案</w:t>
      </w:r>
      <w:r>
        <w:rPr>
          <w:rFonts w:hint="eastAsia" w:ascii="仿宋_GB2312" w:hAnsi="Malgun Gothic" w:eastAsia="仿宋_GB2312" w:cs="Malgun Gothic"/>
          <w:sz w:val="32"/>
          <w:szCs w:val="32"/>
          <w:lang w:val="en-US" w:eastAsia="zh-CN"/>
        </w:rPr>
        <w:t>有待完善</w:t>
      </w:r>
      <w:r>
        <w:rPr>
          <w:rFonts w:hint="eastAsia" w:ascii="仿宋_GB2312" w:hAnsi="Malgun Gothic" w:eastAsia="仿宋_GB2312" w:cs="Malgun Gothic"/>
          <w:sz w:val="32"/>
          <w:szCs w:val="32"/>
        </w:rPr>
        <w:t>，</w:t>
      </w:r>
      <w:r>
        <w:rPr>
          <w:rFonts w:hint="eastAsia" w:ascii="仿宋_GB2312" w:hAnsi="Malgun Gothic" w:eastAsia="仿宋_GB2312" w:cs="Malgun Gothic"/>
          <w:sz w:val="32"/>
          <w:szCs w:val="32"/>
          <w:lang w:val="en-US" w:eastAsia="zh-CN"/>
        </w:rPr>
        <w:t>没有明确项目实施方案中</w:t>
      </w:r>
      <w:r>
        <w:rPr>
          <w:rFonts w:hint="eastAsia" w:ascii="仿宋_GB2312" w:hAnsi="Malgun Gothic" w:eastAsia="仿宋_GB2312" w:cs="Malgun Gothic"/>
          <w:sz w:val="32"/>
          <w:szCs w:val="32"/>
        </w:rPr>
        <w:t>项目管理部门的人员资质情况；二是没有明确</w:t>
      </w:r>
      <w:r>
        <w:rPr>
          <w:rFonts w:hint="eastAsia" w:ascii="仿宋_GB2312" w:hAnsi="Malgun Gothic" w:eastAsia="仿宋_GB2312" w:cs="Malgun Gothic"/>
          <w:sz w:val="32"/>
          <w:szCs w:val="32"/>
          <w:lang w:eastAsia="zh-CN"/>
        </w:rPr>
        <w:t>的</w:t>
      </w:r>
      <w:r>
        <w:rPr>
          <w:rFonts w:hint="eastAsia" w:ascii="仿宋_GB2312" w:hAnsi="Malgun Gothic" w:eastAsia="仿宋_GB2312" w:cs="Malgun Gothic"/>
          <w:sz w:val="32"/>
          <w:szCs w:val="32"/>
          <w:lang w:val="en-US" w:eastAsia="zh-CN"/>
        </w:rPr>
        <w:t>项目管理制度</w:t>
      </w:r>
      <w:r>
        <w:rPr>
          <w:rFonts w:hint="eastAsia" w:ascii="仿宋_GB2312" w:hAnsi="Malgun Gothic" w:eastAsia="仿宋_GB2312" w:cs="Malgun Gothic"/>
          <w:sz w:val="32"/>
          <w:szCs w:val="32"/>
        </w:rPr>
        <w:t>。</w:t>
      </w:r>
    </w:p>
    <w:p>
      <w:pPr>
        <w:wordWrap/>
        <w:adjustRightInd w:val="0"/>
        <w:snapToGrid w:val="0"/>
        <w:spacing w:line="360" w:lineRule="auto"/>
        <w:ind w:firstLine="640" w:firstLineChars="200"/>
        <w:outlineLvl w:val="0"/>
        <w:rPr>
          <w:rFonts w:ascii="Times New Roman" w:eastAsia="黑体"/>
          <w:color w:val="auto"/>
          <w:sz w:val="32"/>
        </w:rPr>
      </w:pPr>
      <w:bookmarkStart w:id="109" w:name="_Toc1403"/>
      <w:bookmarkStart w:id="110" w:name="_Toc3696"/>
      <w:bookmarkStart w:id="111" w:name="_Toc5269"/>
      <w:r>
        <w:rPr>
          <w:rFonts w:hint="eastAsia" w:ascii="Times New Roman" w:eastAsia="黑体"/>
          <w:color w:val="auto"/>
          <w:sz w:val="32"/>
        </w:rPr>
        <w:t>六、有关建议</w:t>
      </w:r>
      <w:bookmarkEnd w:id="109"/>
      <w:bookmarkEnd w:id="110"/>
      <w:bookmarkEnd w:id="111"/>
    </w:p>
    <w:p>
      <w:pPr>
        <w:wordWrap/>
        <w:adjustRightInd w:val="0"/>
        <w:snapToGrid w:val="0"/>
        <w:spacing w:line="360" w:lineRule="auto"/>
        <w:ind w:firstLine="640" w:firstLineChars="200"/>
        <w:outlineLvl w:val="1"/>
        <w:rPr>
          <w:rFonts w:ascii="Times New Roman" w:eastAsia="楷体_GB2312"/>
          <w:color w:val="auto"/>
          <w:sz w:val="32"/>
        </w:rPr>
      </w:pPr>
      <w:bookmarkStart w:id="112" w:name="_Toc22654"/>
      <w:bookmarkStart w:id="113" w:name="_Toc5471"/>
      <w:bookmarkStart w:id="114" w:name="_Toc19358"/>
      <w:r>
        <w:rPr>
          <w:rFonts w:ascii="Times New Roman" w:eastAsia="楷体_GB2312"/>
          <w:color w:val="auto"/>
          <w:sz w:val="32"/>
        </w:rPr>
        <w:t>（</w:t>
      </w:r>
      <w:r>
        <w:rPr>
          <w:rFonts w:hint="eastAsia" w:ascii="Times New Roman" w:eastAsia="楷体_GB2312"/>
          <w:color w:val="auto"/>
          <w:sz w:val="32"/>
        </w:rPr>
        <w:t>一</w:t>
      </w:r>
      <w:r>
        <w:rPr>
          <w:rFonts w:ascii="Times New Roman" w:eastAsia="楷体_GB2312"/>
          <w:color w:val="auto"/>
          <w:sz w:val="32"/>
        </w:rPr>
        <w:t>）</w:t>
      </w:r>
      <w:r>
        <w:rPr>
          <w:rFonts w:hint="eastAsia" w:ascii="Times New Roman" w:eastAsia="楷体_GB2312"/>
          <w:color w:val="auto"/>
          <w:sz w:val="32"/>
        </w:rPr>
        <w:t>完善绩效目标及指标设置</w:t>
      </w:r>
      <w:bookmarkEnd w:id="112"/>
      <w:bookmarkEnd w:id="113"/>
      <w:bookmarkEnd w:id="114"/>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建议项目单位优化绩效目标及指标设置，明确项目年度边界，完善项目产出效益和效果描述。绩效指标进一步细化、量化，确保产出质量指标具备可考量性，与总体目标呼应；充分体现项目必要性和合理性。</w:t>
      </w:r>
    </w:p>
    <w:p>
      <w:pPr>
        <w:wordWrap/>
        <w:adjustRightInd w:val="0"/>
        <w:snapToGrid w:val="0"/>
        <w:spacing w:before="0" w:beforeLines="-2147483648" w:after="0" w:afterLines="-2147483648" w:line="360" w:lineRule="auto"/>
        <w:ind w:firstLine="640" w:firstLineChars="200"/>
        <w:outlineLvl w:val="1"/>
        <w:rPr>
          <w:rFonts w:hint="eastAsia" w:ascii="Times New Roman" w:hAnsi="Times New Roman" w:eastAsia="楷体_GB2312" w:cs="Times New Roman"/>
          <w:sz w:val="32"/>
          <w:szCs w:val="30"/>
        </w:rPr>
      </w:pPr>
      <w:bookmarkStart w:id="115" w:name="_Toc9488"/>
      <w:bookmarkStart w:id="116" w:name="_Toc4052"/>
      <w:bookmarkStart w:id="117" w:name="_Toc15548"/>
      <w:r>
        <w:rPr>
          <w:rFonts w:hint="eastAsia" w:ascii="Times New Roman" w:hAnsi="Times New Roman" w:eastAsia="楷体_GB2312" w:cs="Times New Roman"/>
          <w:sz w:val="32"/>
          <w:szCs w:val="30"/>
        </w:rPr>
        <w:t>（二）提升项目整体申报逻辑</w:t>
      </w:r>
      <w:bookmarkEnd w:id="115"/>
      <w:bookmarkEnd w:id="116"/>
      <w:bookmarkEnd w:id="117"/>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建议项目单位完善项目顶层设计，在项目总体目标中明确各项工作内容及预期效益效果。在项目整体设计环节充分考虑各项工作内容之间的链接关系，让多内容项目形成业务闭环，确保财政资金使用效益。</w:t>
      </w:r>
    </w:p>
    <w:p>
      <w:pPr>
        <w:wordWrap/>
        <w:adjustRightInd w:val="0"/>
        <w:snapToGrid w:val="0"/>
        <w:spacing w:before="0" w:beforeLines="-2147483648" w:after="0" w:afterLines="-2147483648" w:line="360" w:lineRule="auto"/>
        <w:ind w:firstLine="640" w:firstLineChars="200"/>
        <w:outlineLvl w:val="1"/>
        <w:rPr>
          <w:rFonts w:hint="eastAsia" w:ascii="Times New Roman" w:hAnsi="Times New Roman" w:eastAsia="楷体_GB2312" w:cs="Times New Roman"/>
          <w:sz w:val="32"/>
          <w:szCs w:val="30"/>
        </w:rPr>
      </w:pPr>
      <w:bookmarkStart w:id="118" w:name="_Toc32149"/>
      <w:bookmarkStart w:id="119" w:name="_Toc12912"/>
      <w:bookmarkStart w:id="120" w:name="_Toc28345"/>
      <w:r>
        <w:rPr>
          <w:rFonts w:hint="eastAsia" w:ascii="Times New Roman" w:hAnsi="Times New Roman" w:eastAsia="楷体_GB2312" w:cs="Times New Roman"/>
          <w:sz w:val="32"/>
          <w:szCs w:val="30"/>
        </w:rPr>
        <w:t>（三）提升项目管理机制</w:t>
      </w:r>
      <w:bookmarkEnd w:id="118"/>
      <w:bookmarkEnd w:id="119"/>
      <w:bookmarkEnd w:id="120"/>
    </w:p>
    <w:p>
      <w:pPr>
        <w:wordWrap w:val="0"/>
        <w:adjustRightInd w:val="0"/>
        <w:snapToGrid w:val="0"/>
        <w:spacing w:before="0" w:beforeLines="-2147483648" w:after="0" w:afterLines="-2147483648" w:line="360" w:lineRule="auto"/>
        <w:ind w:firstLine="561" w:firstLineChars="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建议提高项目过程管理的精细化水平，完善项目管理办法，强化项目管理制度执行的落实。进一步完善项目实施方案，明确</w:t>
      </w:r>
      <w:r>
        <w:rPr>
          <w:rFonts w:hint="eastAsia" w:ascii="仿宋_GB2312" w:hAnsi="Malgun Gothic" w:eastAsia="仿宋_GB2312" w:cs="Malgun Gothic"/>
          <w:sz w:val="32"/>
          <w:szCs w:val="32"/>
          <w:lang w:val="en-US" w:eastAsia="zh-CN"/>
        </w:rPr>
        <w:t>项目实施方案中</w:t>
      </w:r>
      <w:r>
        <w:rPr>
          <w:rFonts w:hint="eastAsia" w:ascii="仿宋_GB2312" w:hAnsi="Malgun Gothic" w:eastAsia="仿宋_GB2312" w:cs="Malgun Gothic"/>
          <w:sz w:val="32"/>
          <w:szCs w:val="32"/>
        </w:rPr>
        <w:t>项目管理部门的人员资质情况，加强对项目过程的监督控制，提升项目管理效果，为项目后续管理和实施提供参考依据，增强项目实施的可持续性。</w:t>
      </w:r>
    </w:p>
    <w:bookmarkEnd w:id="102"/>
    <w:bookmarkEnd w:id="103"/>
    <w:bookmarkEnd w:id="104"/>
    <w:bookmarkEnd w:id="105"/>
    <w:p>
      <w:pPr>
        <w:wordWrap/>
        <w:adjustRightInd w:val="0"/>
        <w:snapToGrid w:val="0"/>
        <w:spacing w:line="360" w:lineRule="auto"/>
        <w:ind w:firstLine="640" w:firstLineChars="200"/>
        <w:outlineLvl w:val="0"/>
        <w:rPr>
          <w:rFonts w:ascii="Times New Roman" w:eastAsia="黑体"/>
          <w:color w:val="auto"/>
          <w:sz w:val="32"/>
        </w:rPr>
      </w:pPr>
      <w:bookmarkStart w:id="121" w:name="_Toc15882"/>
      <w:bookmarkStart w:id="122" w:name="_Toc15189"/>
      <w:bookmarkStart w:id="123" w:name="_Toc6392"/>
      <w:bookmarkStart w:id="124" w:name="_Toc23835"/>
      <w:bookmarkStart w:id="125" w:name="_Toc8005"/>
      <w:bookmarkStart w:id="126" w:name="_Toc336506912"/>
      <w:bookmarkStart w:id="127" w:name="_Toc336506978"/>
      <w:r>
        <w:rPr>
          <w:rFonts w:hint="eastAsia" w:ascii="Times New Roman" w:eastAsia="黑体"/>
          <w:color w:val="auto"/>
          <w:sz w:val="32"/>
        </w:rPr>
        <w:t>七、其他需要说明的问题</w:t>
      </w:r>
      <w:bookmarkEnd w:id="121"/>
      <w:bookmarkEnd w:id="122"/>
      <w:bookmarkEnd w:id="123"/>
    </w:p>
    <w:p>
      <w:pPr>
        <w:wordWrap/>
        <w:adjustRightInd w:val="0"/>
        <w:snapToGrid w:val="0"/>
        <w:spacing w:line="360" w:lineRule="auto"/>
        <w:ind w:firstLine="640" w:firstLineChars="200"/>
        <w:rPr>
          <w:rFonts w:hAnsi="仿宋_GB2312" w:cs="仿宋_GB2312"/>
          <w:color w:val="auto"/>
          <w:sz w:val="32"/>
          <w:szCs w:val="32"/>
        </w:rPr>
      </w:pPr>
      <w:bookmarkStart w:id="128" w:name="_Toc68983614"/>
      <w:bookmarkStart w:id="129" w:name="_Toc68983528"/>
      <w:r>
        <w:rPr>
          <w:rFonts w:hint="eastAsia" w:hAnsi="仿宋_GB2312" w:cs="仿宋_GB2312"/>
          <w:color w:val="auto"/>
          <w:sz w:val="32"/>
          <w:szCs w:val="32"/>
        </w:rPr>
        <w:t>无。</w:t>
      </w:r>
      <w:bookmarkEnd w:id="128"/>
      <w:bookmarkEnd w:id="129"/>
    </w:p>
    <w:p>
      <w:pPr>
        <w:wordWrap/>
        <w:adjustRightInd w:val="0"/>
        <w:snapToGrid w:val="0"/>
        <w:spacing w:line="360" w:lineRule="auto"/>
        <w:ind w:firstLine="640" w:firstLineChars="200"/>
        <w:outlineLvl w:val="0"/>
        <w:rPr>
          <w:rFonts w:ascii="Times New Roman" w:eastAsia="黑体"/>
          <w:color w:val="auto"/>
          <w:sz w:val="32"/>
        </w:rPr>
      </w:pPr>
      <w:bookmarkStart w:id="130" w:name="_Toc21290"/>
      <w:bookmarkStart w:id="131" w:name="_Toc20623"/>
      <w:bookmarkStart w:id="132" w:name="_Toc28744"/>
      <w:r>
        <w:rPr>
          <w:rFonts w:hint="eastAsia" w:ascii="Times New Roman" w:eastAsia="黑体"/>
          <w:color w:val="auto"/>
          <w:sz w:val="32"/>
        </w:rPr>
        <w:t>八、附件</w:t>
      </w:r>
      <w:bookmarkEnd w:id="124"/>
      <w:bookmarkEnd w:id="125"/>
      <w:bookmarkEnd w:id="126"/>
      <w:bookmarkEnd w:id="127"/>
      <w:bookmarkEnd w:id="130"/>
      <w:bookmarkEnd w:id="131"/>
      <w:bookmarkEnd w:id="132"/>
    </w:p>
    <w:p>
      <w:pPr>
        <w:wordWrap w:val="0"/>
        <w:adjustRightInd w:val="0"/>
        <w:snapToGrid w:val="0"/>
        <w:spacing w:before="0" w:beforeLines="-2147483648" w:after="0" w:afterLines="-2147483648" w:line="360" w:lineRule="auto"/>
        <w:ind w:firstLine="561" w:firstLineChars="0"/>
        <w:outlineLvl w:val="0"/>
        <w:rPr>
          <w:rFonts w:hint="eastAsia" w:ascii="仿宋_GB2312" w:hAnsi="Malgun Gothic" w:eastAsia="仿宋_GB2312" w:cs="Malgun Gothic"/>
          <w:sz w:val="32"/>
          <w:szCs w:val="32"/>
        </w:rPr>
      </w:pPr>
      <w:bookmarkStart w:id="133" w:name="_Toc25629"/>
      <w:r>
        <w:rPr>
          <w:rFonts w:hint="eastAsia" w:ascii="仿宋_GB2312" w:hAnsi="Malgun Gothic" w:eastAsia="仿宋_GB2312" w:cs="Malgun Gothic"/>
          <w:sz w:val="32"/>
          <w:szCs w:val="32"/>
        </w:rPr>
        <w:t>附件1：项目绩效评价指标体系及打分情况表</w:t>
      </w:r>
      <w:bookmarkEnd w:id="133"/>
    </w:p>
    <w:p>
      <w:pPr>
        <w:wordWrap w:val="0"/>
        <w:adjustRightInd w:val="0"/>
        <w:snapToGrid w:val="0"/>
        <w:spacing w:before="0" w:beforeLines="-2147483648" w:after="0" w:afterLines="-2147483648" w:line="360" w:lineRule="auto"/>
        <w:ind w:firstLine="561" w:firstLineChars="0"/>
        <w:outlineLvl w:val="0"/>
        <w:rPr>
          <w:rFonts w:hint="eastAsia" w:ascii="仿宋_GB2312" w:hAnsi="Malgun Gothic" w:eastAsia="仿宋_GB2312" w:cs="Malgun Gothic"/>
          <w:sz w:val="32"/>
          <w:szCs w:val="32"/>
        </w:rPr>
      </w:pPr>
      <w:bookmarkStart w:id="134" w:name="_Toc26495"/>
      <w:r>
        <w:rPr>
          <w:rFonts w:hint="eastAsia" w:ascii="仿宋_GB2312" w:hAnsi="Malgun Gothic" w:eastAsia="仿宋_GB2312" w:cs="Malgun Gothic"/>
          <w:sz w:val="32"/>
          <w:szCs w:val="32"/>
        </w:rPr>
        <w:t>附件2：专家及评价工作组情况表</w:t>
      </w:r>
      <w:bookmarkEnd w:id="134"/>
    </w:p>
    <w:p>
      <w:pPr>
        <w:wordWrap w:val="0"/>
        <w:adjustRightInd w:val="0"/>
        <w:snapToGrid w:val="0"/>
        <w:spacing w:before="0" w:beforeLines="-2147483648" w:after="0" w:afterLines="-2147483648" w:line="360" w:lineRule="auto"/>
        <w:ind w:firstLine="561" w:firstLineChars="0"/>
        <w:outlineLvl w:val="0"/>
        <w:rPr>
          <w:rFonts w:hint="eastAsia" w:ascii="仿宋_GB2312" w:hAnsi="Malgun Gothic" w:eastAsia="仿宋_GB2312" w:cs="Malgun Gothic"/>
          <w:sz w:val="32"/>
          <w:szCs w:val="32"/>
        </w:rPr>
      </w:pPr>
      <w:bookmarkStart w:id="135" w:name="_Toc7208"/>
      <w:r>
        <w:rPr>
          <w:rFonts w:hint="eastAsia" w:ascii="仿宋_GB2312" w:hAnsi="Malgun Gothic" w:eastAsia="仿宋_GB2312" w:cs="Malgun Gothic"/>
          <w:sz w:val="32"/>
          <w:szCs w:val="32"/>
        </w:rPr>
        <w:t>附件3：评价专家意见汇总书</w:t>
      </w:r>
      <w:bookmarkEnd w:id="135"/>
    </w:p>
    <w:p>
      <w:pPr>
        <w:suppressAutoHyphens/>
        <w:wordWrap/>
        <w:adjustRightInd w:val="0"/>
        <w:snapToGrid w:val="0"/>
        <w:spacing w:line="360" w:lineRule="auto"/>
        <w:jc w:val="right"/>
        <w:rPr>
          <w:rFonts w:cs="仿宋_GB2312"/>
          <w:color w:val="auto"/>
          <w:sz w:val="32"/>
          <w:szCs w:val="32"/>
        </w:rPr>
      </w:pPr>
    </w:p>
    <w:p>
      <w:pPr>
        <w:suppressAutoHyphens/>
        <w:wordWrap/>
        <w:adjustRightInd w:val="0"/>
        <w:snapToGrid w:val="0"/>
        <w:spacing w:line="360" w:lineRule="auto"/>
        <w:jc w:val="right"/>
        <w:rPr>
          <w:rFonts w:cs="仿宋_GB2312"/>
          <w:color w:val="auto"/>
          <w:sz w:val="32"/>
          <w:szCs w:val="32"/>
        </w:rPr>
      </w:pPr>
    </w:p>
    <w:p>
      <w:pPr>
        <w:suppressAutoHyphens/>
        <w:wordWrap w:val="0"/>
        <w:adjustRightInd w:val="0"/>
        <w:snapToGrid w:val="0"/>
        <w:spacing w:before="0" w:beforeLines="-2147483648" w:after="0" w:afterLines="-2147483648" w:line="360" w:lineRule="auto"/>
        <w:ind w:firstLine="561" w:firstLineChars="0"/>
        <w:jc w:val="right"/>
        <w:outlineLvl w:val="0"/>
        <w:rPr>
          <w:rFonts w:hint="eastAsia" w:ascii="仿宋_GB2312" w:hAnsi="Malgun Gothic" w:eastAsia="仿宋_GB2312" w:cs="Malgun Gothic"/>
          <w:color w:val="auto"/>
          <w:sz w:val="32"/>
          <w:szCs w:val="32"/>
        </w:rPr>
      </w:pPr>
      <w:r>
        <w:rPr>
          <w:rFonts w:hint="eastAsia" w:ascii="仿宋_GB2312" w:hAnsi="Malgun Gothic" w:eastAsia="仿宋_GB2312" w:cs="Malgun Gothic"/>
          <w:color w:val="auto"/>
          <w:sz w:val="32"/>
          <w:szCs w:val="32"/>
        </w:rPr>
        <w:t>北京恒诚永信会计师事务所（普通合伙）</w:t>
      </w:r>
    </w:p>
    <w:p>
      <w:pPr>
        <w:suppressAutoHyphens/>
        <w:wordWrap w:val="0"/>
        <w:adjustRightInd w:val="0"/>
        <w:snapToGrid w:val="0"/>
        <w:spacing w:before="0" w:beforeLines="-2147483648" w:after="0" w:afterLines="-2147483648" w:line="360" w:lineRule="auto"/>
        <w:ind w:firstLine="561" w:firstLineChars="0"/>
        <w:jc w:val="right"/>
        <w:outlineLvl w:val="0"/>
        <w:rPr>
          <w:rFonts w:hint="eastAsia" w:ascii="仿宋_GB2312" w:hAnsi="Malgun Gothic" w:eastAsia="仿宋_GB2312" w:cs="Malgun Gothic"/>
          <w:color w:val="auto"/>
          <w:sz w:val="32"/>
          <w:szCs w:val="32"/>
        </w:rPr>
      </w:pPr>
      <w:r>
        <w:rPr>
          <w:rFonts w:hint="eastAsia" w:ascii="仿宋_GB2312" w:hAnsi="Malgun Gothic" w:eastAsia="仿宋_GB2312" w:cs="Malgun Gothic"/>
          <w:iCs w:val="0"/>
          <w:color w:val="auto"/>
          <w:sz w:val="32"/>
          <w:szCs w:val="32"/>
        </w:rPr>
        <w:t>2024年5月17日</w:t>
      </w:r>
    </w:p>
    <w:p>
      <w:pPr>
        <w:wordWrap/>
        <w:adjustRightInd w:val="0"/>
        <w:snapToGrid w:val="0"/>
        <w:spacing w:line="360" w:lineRule="auto"/>
        <w:rPr>
          <w:rFonts w:cs="仿宋_GB2312"/>
          <w:color w:val="auto"/>
          <w:sz w:val="32"/>
          <w:szCs w:val="32"/>
        </w:rPr>
      </w:pPr>
    </w:p>
    <w:p>
      <w:pPr>
        <w:wordWrap/>
        <w:adjustRightInd w:val="0"/>
        <w:snapToGrid w:val="0"/>
        <w:spacing w:line="360" w:lineRule="auto"/>
        <w:rPr>
          <w:rFonts w:cs="仿宋_GB2312"/>
          <w:color w:val="auto"/>
          <w:sz w:val="32"/>
          <w:szCs w:val="32"/>
        </w:rPr>
      </w:pPr>
    </w:p>
    <w:p>
      <w:pPr>
        <w:wordWrap/>
        <w:adjustRightInd w:val="0"/>
        <w:snapToGrid w:val="0"/>
        <w:spacing w:line="360" w:lineRule="auto"/>
        <w:rPr>
          <w:rFonts w:cs="仿宋_GB2312"/>
          <w:color w:val="auto"/>
          <w:sz w:val="32"/>
          <w:szCs w:val="32"/>
        </w:rPr>
      </w:pPr>
    </w:p>
    <w:p>
      <w:pPr>
        <w:wordWrap/>
        <w:adjustRightInd w:val="0"/>
        <w:snapToGrid w:val="0"/>
        <w:spacing w:line="360" w:lineRule="auto"/>
        <w:rPr>
          <w:rFonts w:cs="仿宋_GB2312"/>
          <w:color w:val="auto"/>
          <w:sz w:val="32"/>
          <w:szCs w:val="32"/>
        </w:rPr>
      </w:pPr>
    </w:p>
    <w:p>
      <w:pPr>
        <w:wordWrap/>
        <w:adjustRightInd w:val="0"/>
        <w:snapToGrid w:val="0"/>
        <w:spacing w:line="360" w:lineRule="auto"/>
        <w:rPr>
          <w:rFonts w:cs="仿宋_GB2312"/>
          <w:color w:val="auto"/>
          <w:sz w:val="32"/>
          <w:szCs w:val="32"/>
        </w:rPr>
      </w:pPr>
    </w:p>
    <w:p>
      <w:pPr>
        <w:wordWrap/>
        <w:adjustRightInd w:val="0"/>
        <w:snapToGrid w:val="0"/>
        <w:spacing w:line="360" w:lineRule="auto"/>
        <w:rPr>
          <w:rFonts w:cs="仿宋_GB2312"/>
          <w:color w:val="auto"/>
          <w:sz w:val="32"/>
          <w:szCs w:val="32"/>
        </w:rPr>
      </w:pPr>
    </w:p>
    <w:p>
      <w:pPr>
        <w:wordWrap/>
        <w:adjustRightInd w:val="0"/>
        <w:snapToGrid w:val="0"/>
        <w:spacing w:line="360" w:lineRule="auto"/>
        <w:rPr>
          <w:rFonts w:cs="仿宋_GB2312"/>
          <w:color w:val="auto"/>
          <w:sz w:val="32"/>
          <w:szCs w:val="32"/>
        </w:rPr>
      </w:pPr>
    </w:p>
    <w:p>
      <w:pPr>
        <w:wordWrap/>
        <w:adjustRightInd w:val="0"/>
        <w:snapToGrid w:val="0"/>
        <w:spacing w:line="360" w:lineRule="auto"/>
        <w:rPr>
          <w:rFonts w:cs="仿宋_GB2312"/>
          <w:color w:val="auto"/>
          <w:sz w:val="32"/>
          <w:szCs w:val="32"/>
        </w:rPr>
      </w:pPr>
    </w:p>
    <w:p>
      <w:pPr>
        <w:wordWrap/>
        <w:adjustRightInd w:val="0"/>
        <w:snapToGrid w:val="0"/>
        <w:spacing w:line="360" w:lineRule="auto"/>
        <w:rPr>
          <w:rFonts w:cs="仿宋_GB2312"/>
          <w:color w:val="auto"/>
          <w:sz w:val="32"/>
          <w:szCs w:val="32"/>
        </w:rPr>
      </w:pPr>
    </w:p>
    <w:p>
      <w:pPr>
        <w:wordWrap/>
        <w:adjustRightInd w:val="0"/>
        <w:snapToGrid w:val="0"/>
        <w:spacing w:line="360" w:lineRule="auto"/>
        <w:rPr>
          <w:rFonts w:cs="仿宋_GB2312"/>
          <w:color w:val="auto"/>
          <w:sz w:val="32"/>
          <w:szCs w:val="32"/>
        </w:rPr>
      </w:pPr>
    </w:p>
    <w:p>
      <w:pPr>
        <w:wordWrap w:val="0"/>
        <w:adjustRightInd w:val="0"/>
        <w:snapToGrid w:val="0"/>
        <w:spacing w:before="0" w:beforeLines="-2147483648" w:after="0" w:afterLines="-2147483648" w:line="360" w:lineRule="auto"/>
        <w:ind w:left="0" w:leftChars="0" w:firstLine="0" w:firstLineChars="0"/>
        <w:outlineLvl w:val="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附件1：项目绩效评价指标体系及打分情况表</w:t>
      </w:r>
    </w:p>
    <w:p>
      <w:pPr>
        <w:wordWrap/>
        <w:adjustRightInd w:val="0"/>
        <w:snapToGrid w:val="0"/>
        <w:spacing w:line="360" w:lineRule="auto"/>
        <w:rPr>
          <w:rFonts w:hint="eastAsia" w:eastAsia="汉仪典雅体简" w:cs="仿宋_GB2312"/>
          <w:color w:val="auto"/>
          <w:sz w:val="32"/>
          <w:szCs w:val="32"/>
          <w:lang w:eastAsia="zh-CN"/>
        </w:rPr>
      </w:pPr>
      <w:r>
        <w:rPr>
          <w:rFonts w:hint="eastAsia" w:eastAsia="汉仪典雅体简" w:cs="仿宋_GB2312"/>
          <w:color w:val="auto"/>
          <w:sz w:val="32"/>
          <w:szCs w:val="32"/>
          <w:lang w:eastAsia="zh-CN"/>
        </w:rPr>
        <w:drawing>
          <wp:inline distT="0" distB="0" distL="114300" distR="114300">
            <wp:extent cx="5273040" cy="7637780"/>
            <wp:effectExtent l="0" t="0" r="10160" b="7620"/>
            <wp:docPr id="5" name="图片 5" descr="附件1：-绩效评价专家评分表和意见书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附件1：-绩效评价专家评分表和意见书_00"/>
                    <pic:cNvPicPr>
                      <a:picLocks noChangeAspect="1"/>
                    </pic:cNvPicPr>
                  </pic:nvPicPr>
                  <pic:blipFill>
                    <a:blip r:embed="rId11"/>
                    <a:stretch>
                      <a:fillRect/>
                    </a:stretch>
                  </pic:blipFill>
                  <pic:spPr>
                    <a:xfrm>
                      <a:off x="0" y="0"/>
                      <a:ext cx="5273040" cy="7637780"/>
                    </a:xfrm>
                    <a:prstGeom prst="rect">
                      <a:avLst/>
                    </a:prstGeom>
                  </pic:spPr>
                </pic:pic>
              </a:graphicData>
            </a:graphic>
          </wp:inline>
        </w:drawing>
      </w:r>
      <w:r>
        <w:rPr>
          <w:rFonts w:hint="eastAsia" w:eastAsia="汉仪典雅体简" w:cs="仿宋_GB2312"/>
          <w:color w:val="auto"/>
          <w:sz w:val="32"/>
          <w:szCs w:val="32"/>
          <w:lang w:eastAsia="zh-CN"/>
        </w:rPr>
        <w:drawing>
          <wp:inline distT="0" distB="0" distL="114300" distR="114300">
            <wp:extent cx="5273040" cy="7961630"/>
            <wp:effectExtent l="0" t="0" r="10160" b="1270"/>
            <wp:docPr id="4" name="图片 4" descr="附件1：-绩效评价专家评分表和意见书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附件1：-绩效评价专家评分表和意见书_01"/>
                    <pic:cNvPicPr>
                      <a:picLocks noChangeAspect="1"/>
                    </pic:cNvPicPr>
                  </pic:nvPicPr>
                  <pic:blipFill>
                    <a:blip r:embed="rId12"/>
                    <a:stretch>
                      <a:fillRect/>
                    </a:stretch>
                  </pic:blipFill>
                  <pic:spPr>
                    <a:xfrm>
                      <a:off x="0" y="0"/>
                      <a:ext cx="5273040" cy="7961630"/>
                    </a:xfrm>
                    <a:prstGeom prst="rect">
                      <a:avLst/>
                    </a:prstGeom>
                  </pic:spPr>
                </pic:pic>
              </a:graphicData>
            </a:graphic>
          </wp:inline>
        </w:drawing>
      </w:r>
      <w:r>
        <w:rPr>
          <w:rFonts w:hint="eastAsia" w:eastAsia="汉仪典雅体简" w:cs="仿宋_GB2312"/>
          <w:color w:val="auto"/>
          <w:sz w:val="32"/>
          <w:szCs w:val="32"/>
          <w:lang w:eastAsia="zh-CN"/>
        </w:rPr>
        <w:drawing>
          <wp:inline distT="0" distB="0" distL="114300" distR="114300">
            <wp:extent cx="5273040" cy="8464550"/>
            <wp:effectExtent l="0" t="0" r="10160" b="6350"/>
            <wp:docPr id="3" name="图片 3" descr="附件1：-绩效评价专家评分表和意见书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附件1：-绩效评价专家评分表和意见书_02"/>
                    <pic:cNvPicPr>
                      <a:picLocks noChangeAspect="1"/>
                    </pic:cNvPicPr>
                  </pic:nvPicPr>
                  <pic:blipFill>
                    <a:blip r:embed="rId13"/>
                    <a:stretch>
                      <a:fillRect/>
                    </a:stretch>
                  </pic:blipFill>
                  <pic:spPr>
                    <a:xfrm>
                      <a:off x="0" y="0"/>
                      <a:ext cx="5273040" cy="8464550"/>
                    </a:xfrm>
                    <a:prstGeom prst="rect">
                      <a:avLst/>
                    </a:prstGeom>
                  </pic:spPr>
                </pic:pic>
              </a:graphicData>
            </a:graphic>
          </wp:inline>
        </w:drawing>
      </w:r>
      <w:r>
        <w:rPr>
          <w:rFonts w:hint="eastAsia" w:eastAsia="汉仪典雅体简" w:cs="仿宋_GB2312"/>
          <w:color w:val="auto"/>
          <w:sz w:val="32"/>
          <w:szCs w:val="32"/>
          <w:lang w:eastAsia="zh-CN"/>
        </w:rPr>
        <w:drawing>
          <wp:inline distT="0" distB="0" distL="114300" distR="114300">
            <wp:extent cx="5273040" cy="8628380"/>
            <wp:effectExtent l="0" t="0" r="10160" b="7620"/>
            <wp:docPr id="2" name="图片 2" descr="附件1：-绩效评价专家评分表和意见书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附件1：-绩效评价专家评分表和意见书_03"/>
                    <pic:cNvPicPr>
                      <a:picLocks noChangeAspect="1"/>
                    </pic:cNvPicPr>
                  </pic:nvPicPr>
                  <pic:blipFill>
                    <a:blip r:embed="rId14"/>
                    <a:stretch>
                      <a:fillRect/>
                    </a:stretch>
                  </pic:blipFill>
                  <pic:spPr>
                    <a:xfrm>
                      <a:off x="0" y="0"/>
                      <a:ext cx="5273040" cy="8628380"/>
                    </a:xfrm>
                    <a:prstGeom prst="rect">
                      <a:avLst/>
                    </a:prstGeom>
                  </pic:spPr>
                </pic:pic>
              </a:graphicData>
            </a:graphic>
          </wp:inline>
        </w:drawing>
      </w:r>
      <w:r>
        <w:rPr>
          <w:rFonts w:hint="eastAsia" w:eastAsia="汉仪典雅体简" w:cs="仿宋_GB2312"/>
          <w:color w:val="auto"/>
          <w:sz w:val="32"/>
          <w:szCs w:val="32"/>
          <w:lang w:eastAsia="zh-CN"/>
        </w:rPr>
        <w:drawing>
          <wp:inline distT="0" distB="0" distL="114300" distR="114300">
            <wp:extent cx="5273040" cy="8590915"/>
            <wp:effectExtent l="0" t="0" r="10160" b="6985"/>
            <wp:docPr id="1" name="图片 1" descr="附件1：-绩效评价专家评分表和意见书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附件1：-绩效评价专家评分表和意见书_04"/>
                    <pic:cNvPicPr>
                      <a:picLocks noChangeAspect="1"/>
                    </pic:cNvPicPr>
                  </pic:nvPicPr>
                  <pic:blipFill>
                    <a:blip r:embed="rId15"/>
                    <a:stretch>
                      <a:fillRect/>
                    </a:stretch>
                  </pic:blipFill>
                  <pic:spPr>
                    <a:xfrm>
                      <a:off x="0" y="0"/>
                      <a:ext cx="5273040" cy="8590915"/>
                    </a:xfrm>
                    <a:prstGeom prst="rect">
                      <a:avLst/>
                    </a:prstGeom>
                  </pic:spPr>
                </pic:pic>
              </a:graphicData>
            </a:graphic>
          </wp:inline>
        </w:drawing>
      </w:r>
    </w:p>
    <w:p>
      <w:pPr>
        <w:wordWrap w:val="0"/>
        <w:adjustRightInd w:val="0"/>
        <w:snapToGrid w:val="0"/>
        <w:spacing w:before="0" w:beforeLines="-2147483648" w:after="0" w:afterLines="-2147483648" w:line="360" w:lineRule="auto"/>
        <w:ind w:firstLine="561" w:firstLineChars="0"/>
        <w:outlineLvl w:val="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附件2：专家及评价工作组情况表</w:t>
      </w:r>
    </w:p>
    <w:p>
      <w:pPr>
        <w:wordWrap/>
        <w:adjustRightInd w:val="0"/>
        <w:snapToGrid w:val="0"/>
        <w:spacing w:line="360" w:lineRule="auto"/>
        <w:rPr>
          <w:rFonts w:hint="eastAsia" w:eastAsia="汉仪典雅体简" w:cs="仿宋_GB2312"/>
          <w:color w:val="auto"/>
          <w:sz w:val="32"/>
          <w:szCs w:val="32"/>
          <w:lang w:eastAsia="zh-CN"/>
        </w:rPr>
      </w:pPr>
      <w:r>
        <w:rPr>
          <w:rFonts w:hint="eastAsia" w:eastAsia="汉仪典雅体简" w:cs="仿宋_GB2312"/>
          <w:color w:val="auto"/>
          <w:sz w:val="32"/>
          <w:szCs w:val="32"/>
          <w:lang w:eastAsia="zh-CN"/>
        </w:rPr>
        <w:drawing>
          <wp:inline distT="0" distB="0" distL="114300" distR="114300">
            <wp:extent cx="5273040" cy="7459980"/>
            <wp:effectExtent l="0" t="0" r="10160" b="7620"/>
            <wp:docPr id="7" name="图片 7" descr="附件2：北京市项目支出绩效评价专家组及工作组情况表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附件2：北京市项目支出绩效评价专家组及工作组情况表_00"/>
                    <pic:cNvPicPr>
                      <a:picLocks noChangeAspect="1"/>
                    </pic:cNvPicPr>
                  </pic:nvPicPr>
                  <pic:blipFill>
                    <a:blip r:embed="rId16"/>
                    <a:stretch>
                      <a:fillRect/>
                    </a:stretch>
                  </pic:blipFill>
                  <pic:spPr>
                    <a:xfrm>
                      <a:off x="0" y="0"/>
                      <a:ext cx="5273040" cy="7459980"/>
                    </a:xfrm>
                    <a:prstGeom prst="rect">
                      <a:avLst/>
                    </a:prstGeom>
                  </pic:spPr>
                </pic:pic>
              </a:graphicData>
            </a:graphic>
          </wp:inline>
        </w:drawing>
      </w:r>
    </w:p>
    <w:p>
      <w:pPr>
        <w:wordWrap w:val="0"/>
        <w:adjustRightInd w:val="0"/>
        <w:snapToGrid w:val="0"/>
        <w:spacing w:before="0" w:beforeLines="-2147483648" w:after="0" w:afterLines="-2147483648" w:line="360" w:lineRule="auto"/>
        <w:ind w:firstLine="561" w:firstLineChars="0"/>
        <w:outlineLvl w:val="0"/>
        <w:rPr>
          <w:rFonts w:hint="eastAsia" w:ascii="仿宋_GB2312" w:hAnsi="Malgun Gothic" w:eastAsia="仿宋_GB2312" w:cs="Malgun Gothic"/>
          <w:sz w:val="32"/>
          <w:szCs w:val="32"/>
        </w:rPr>
      </w:pPr>
      <w:r>
        <w:rPr>
          <w:rFonts w:hint="eastAsia" w:ascii="仿宋_GB2312" w:hAnsi="Malgun Gothic" w:eastAsia="仿宋_GB2312" w:cs="Malgun Gothic"/>
          <w:sz w:val="32"/>
          <w:szCs w:val="32"/>
        </w:rPr>
        <w:t>附件3：评价专家意见汇总书</w:t>
      </w:r>
    </w:p>
    <w:p>
      <w:pPr>
        <w:wordWrap/>
        <w:adjustRightInd w:val="0"/>
        <w:snapToGrid w:val="0"/>
        <w:spacing w:line="360" w:lineRule="auto"/>
        <w:rPr>
          <w:rFonts w:hint="eastAsia" w:eastAsia="汉仪典雅体简" w:cs="仿宋_GB2312"/>
          <w:color w:val="auto"/>
          <w:sz w:val="32"/>
          <w:szCs w:val="32"/>
          <w:lang w:eastAsia="zh-CN"/>
        </w:rPr>
      </w:pPr>
      <w:r>
        <w:rPr>
          <w:rFonts w:hint="eastAsia" w:eastAsia="汉仪典雅体简" w:cs="仿宋_GB2312"/>
          <w:color w:val="auto"/>
          <w:sz w:val="32"/>
          <w:szCs w:val="32"/>
          <w:lang w:eastAsia="zh-CN"/>
        </w:rPr>
        <w:drawing>
          <wp:inline distT="0" distB="0" distL="114300" distR="114300">
            <wp:extent cx="5273040" cy="7459980"/>
            <wp:effectExtent l="0" t="0" r="10160" b="7620"/>
            <wp:docPr id="11" name="图片 11" descr="附件3：专家意见汇总书-均分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附件3：专家意见汇总书-均分_00"/>
                    <pic:cNvPicPr>
                      <a:picLocks noChangeAspect="1"/>
                    </pic:cNvPicPr>
                  </pic:nvPicPr>
                  <pic:blipFill>
                    <a:blip r:embed="rId17"/>
                    <a:stretch>
                      <a:fillRect/>
                    </a:stretch>
                  </pic:blipFill>
                  <pic:spPr>
                    <a:xfrm>
                      <a:off x="0" y="0"/>
                      <a:ext cx="5273040" cy="7459980"/>
                    </a:xfrm>
                    <a:prstGeom prst="rect">
                      <a:avLst/>
                    </a:prstGeom>
                  </pic:spPr>
                </pic:pic>
              </a:graphicData>
            </a:graphic>
          </wp:inline>
        </w:drawing>
      </w:r>
      <w:r>
        <w:rPr>
          <w:rFonts w:hint="eastAsia" w:eastAsia="汉仪典雅体简" w:cs="仿宋_GB2312"/>
          <w:color w:val="auto"/>
          <w:sz w:val="32"/>
          <w:szCs w:val="32"/>
          <w:lang w:eastAsia="zh-CN"/>
        </w:rPr>
        <w:drawing>
          <wp:inline distT="0" distB="0" distL="114300" distR="114300">
            <wp:extent cx="5273040" cy="7459980"/>
            <wp:effectExtent l="0" t="0" r="10160" b="7620"/>
            <wp:docPr id="10" name="图片 10" descr="附件3：专家意见汇总书-均分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附件3：专家意见汇总书-均分_01"/>
                    <pic:cNvPicPr>
                      <a:picLocks noChangeAspect="1"/>
                    </pic:cNvPicPr>
                  </pic:nvPicPr>
                  <pic:blipFill>
                    <a:blip r:embed="rId18"/>
                    <a:stretch>
                      <a:fillRect/>
                    </a:stretch>
                  </pic:blipFill>
                  <pic:spPr>
                    <a:xfrm>
                      <a:off x="0" y="0"/>
                      <a:ext cx="5273040" cy="7459980"/>
                    </a:xfrm>
                    <a:prstGeom prst="rect">
                      <a:avLst/>
                    </a:prstGeom>
                  </pic:spPr>
                </pic:pic>
              </a:graphicData>
            </a:graphic>
          </wp:inline>
        </w:drawing>
      </w:r>
      <w:r>
        <w:rPr>
          <w:rFonts w:hint="eastAsia" w:eastAsia="汉仪典雅体简" w:cs="仿宋_GB2312"/>
          <w:color w:val="auto"/>
          <w:sz w:val="32"/>
          <w:szCs w:val="32"/>
          <w:lang w:eastAsia="zh-CN"/>
        </w:rPr>
        <w:drawing>
          <wp:inline distT="0" distB="0" distL="114300" distR="114300">
            <wp:extent cx="5273040" cy="7459980"/>
            <wp:effectExtent l="0" t="0" r="10160" b="7620"/>
            <wp:docPr id="9" name="图片 9" descr="附件3：专家意见汇总书-均分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附件3：专家意见汇总书-均分_02"/>
                    <pic:cNvPicPr>
                      <a:picLocks noChangeAspect="1"/>
                    </pic:cNvPicPr>
                  </pic:nvPicPr>
                  <pic:blipFill>
                    <a:blip r:embed="rId19"/>
                    <a:stretch>
                      <a:fillRect/>
                    </a:stretch>
                  </pic:blipFill>
                  <pic:spPr>
                    <a:xfrm>
                      <a:off x="0" y="0"/>
                      <a:ext cx="5273040" cy="7459980"/>
                    </a:xfrm>
                    <a:prstGeom prst="rect">
                      <a:avLst/>
                    </a:prstGeom>
                  </pic:spPr>
                </pic:pic>
              </a:graphicData>
            </a:graphic>
          </wp:inline>
        </w:drawing>
      </w:r>
      <w:bookmarkStart w:id="136" w:name="_GoBack"/>
      <w:r>
        <w:rPr>
          <w:rFonts w:hint="eastAsia" w:eastAsia="汉仪典雅体简" w:cs="仿宋_GB2312"/>
          <w:color w:val="auto"/>
          <w:sz w:val="32"/>
          <w:szCs w:val="32"/>
          <w:lang w:eastAsia="zh-CN"/>
        </w:rPr>
        <w:drawing>
          <wp:inline distT="0" distB="0" distL="114300" distR="114300">
            <wp:extent cx="5273040" cy="7459980"/>
            <wp:effectExtent l="0" t="0" r="10160" b="7620"/>
            <wp:docPr id="8" name="图片 8" descr="附件3：专家意见汇总书-均分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附件3：专家意见汇总书-均分_03"/>
                    <pic:cNvPicPr>
                      <a:picLocks noChangeAspect="1"/>
                    </pic:cNvPicPr>
                  </pic:nvPicPr>
                  <pic:blipFill>
                    <a:blip r:embed="rId20"/>
                    <a:stretch>
                      <a:fillRect/>
                    </a:stretch>
                  </pic:blipFill>
                  <pic:spPr>
                    <a:xfrm>
                      <a:off x="0" y="0"/>
                      <a:ext cx="5273040" cy="7459980"/>
                    </a:xfrm>
                    <a:prstGeom prst="rect">
                      <a:avLst/>
                    </a:prstGeom>
                  </pic:spPr>
                </pic:pic>
              </a:graphicData>
            </a:graphic>
          </wp:inline>
        </w:drawing>
      </w:r>
      <w:bookmarkEnd w:id="136"/>
    </w:p>
    <w:sectPr>
      <w:footerReference r:id="rId9" w:type="default"/>
      <w:pgSz w:w="11906" w:h="16838"/>
      <w:pgMar w:top="1440" w:right="1797" w:bottom="1440" w:left="1797" w:header="851" w:footer="1418" w:gutter="0"/>
      <w:pgNumType w:start="1"/>
      <w:cols w:space="720" w:num="1"/>
      <w:docGrid w:type="lines" w:linePitch="411"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40"/>
      </w:pPr>
      <w:r>
        <w:separator/>
      </w:r>
    </w:p>
  </w:endnote>
  <w:endnote w:type="continuationSeparator" w:id="1">
    <w:p>
      <w:pPr>
        <w:spacing w:line="240" w:lineRule="auto"/>
        <w:ind w:firstLine="4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873CCB02-6896-42C7-BC12-462FE101D3B8}"/>
  </w:font>
  <w:font w:name="Courier New">
    <w:panose1 w:val="02070309020205020404"/>
    <w:charset w:val="01"/>
    <w:family w:val="modern"/>
    <w:pitch w:val="default"/>
    <w:sig w:usb0="E0002EFF" w:usb1="C0007843" w:usb2="00000009" w:usb3="00000000" w:csb0="400001FF" w:csb1="FFFF0000"/>
    <w:embedRegular r:id="rId2" w:fontKey="{0A080BE3-B570-4FAF-AF1A-DDE13AFA189C}"/>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汉仪典雅体简">
    <w:panose1 w:val="00020600040101010101"/>
    <w:charset w:val="86"/>
    <w:family w:val="auto"/>
    <w:pitch w:val="default"/>
    <w:sig w:usb0="A00002BF" w:usb1="18EF7CFA" w:usb2="00000016" w:usb3="00000000" w:csb0="00040000" w:csb1="00000000"/>
    <w:embedRegular r:id="rId3" w:fontKey="{5AE2D4D9-CC6F-4660-99A4-364A95EF6D01}"/>
  </w:font>
  <w:font w:name="汉仪正圆 55简">
    <w:panose1 w:val="00020600040101010101"/>
    <w:charset w:val="86"/>
    <w:family w:val="auto"/>
    <w:pitch w:val="default"/>
    <w:sig w:usb0="A00002BF" w:usb1="0ACF7CFA" w:usb2="00000016" w:usb3="00000000" w:csb0="0004009F" w:csb1="00000000"/>
  </w:font>
  <w:font w:name="MiSans">
    <w:altName w:val="宋体"/>
    <w:panose1 w:val="00000500000000000000"/>
    <w:charset w:val="86"/>
    <w:family w:val="auto"/>
    <w:pitch w:val="default"/>
    <w:sig w:usb0="00000000" w:usb1="00000000" w:usb2="00000016" w:usb3="00000000" w:csb0="00040001" w:csb1="00000000"/>
  </w:font>
  <w:font w:name="等线">
    <w:panose1 w:val="02010600030101010101"/>
    <w:charset w:val="86"/>
    <w:family w:val="auto"/>
    <w:pitch w:val="default"/>
    <w:sig w:usb0="A00002BF" w:usb1="38CF7CFA" w:usb2="00000016" w:usb3="00000000" w:csb0="0004000F" w:csb1="00000000"/>
  </w:font>
  <w:font w:name="楷体_GB2312">
    <w:altName w:val="楷体"/>
    <w:panose1 w:val="02010609030101010101"/>
    <w:charset w:val="86"/>
    <w:family w:val="modern"/>
    <w:pitch w:val="default"/>
    <w:sig w:usb0="00000000" w:usb1="00000000" w:usb2="00000010" w:usb3="00000000" w:csb0="00040000" w:csb1="00000000"/>
    <w:embedRegular r:id="rId4" w:fontKey="{FCFBBDD2-AC67-4A8F-81E5-061EABBE171B}"/>
  </w:font>
  <w:font w:name="楷体">
    <w:panose1 w:val="02010609060101010101"/>
    <w:charset w:val="86"/>
    <w:family w:val="modern"/>
    <w:pitch w:val="default"/>
    <w:sig w:usb0="800002BF" w:usb1="38CF7CFA" w:usb2="00000016" w:usb3="00000000" w:csb0="00040001" w:csb1="00000000"/>
    <w:embedRegular r:id="rId5" w:fontKey="{5609AC3C-AE4B-4DD6-88F0-FB0BBBBF7218}"/>
  </w:font>
  <w:font w:name="仿宋_GB2312">
    <w:panose1 w:val="02010609030101010101"/>
    <w:charset w:val="86"/>
    <w:family w:val="modern"/>
    <w:pitch w:val="default"/>
    <w:sig w:usb0="00000001" w:usb1="080E0000" w:usb2="00000000" w:usb3="00000000" w:csb0="00040000" w:csb1="00000000"/>
    <w:embedRegular r:id="rId6" w:fontKey="{9D30EF8C-3219-4FCE-8306-436AA922F345}"/>
  </w:font>
  <w:font w:name="Malgun Gothic">
    <w:panose1 w:val="020B0503020000020004"/>
    <w:charset w:val="81"/>
    <w:family w:val="swiss"/>
    <w:pitch w:val="default"/>
    <w:sig w:usb0="9000002F" w:usb1="29D77CFB" w:usb2="00000012" w:usb3="00000000" w:csb0="00080001" w:csb1="00000000"/>
    <w:embedRegular r:id="rId7" w:fontKey="{04C39B87-76D4-4E4C-80A5-67B4B9FEB557}"/>
  </w:font>
  <w:font w:name="华文中宋">
    <w:panose1 w:val="02010600040101010101"/>
    <w:charset w:val="86"/>
    <w:family w:val="auto"/>
    <w:pitch w:val="default"/>
    <w:sig w:usb0="00000287" w:usb1="080F0000" w:usb2="00000000" w:usb3="00000000" w:csb0="0004009F" w:csb1="DFD70000"/>
    <w:embedRegular r:id="rId8" w:fontKey="{F95AB37F-B417-4D3E-A984-F6288AD9D886}"/>
  </w:font>
  <w:font w:name="方正仿宋_GB2312">
    <w:panose1 w:val="02000000000000000000"/>
    <w:charset w:val="86"/>
    <w:family w:val="auto"/>
    <w:pitch w:val="default"/>
    <w:sig w:usb0="A00002BF" w:usb1="184F6CFA" w:usb2="00000012" w:usb3="00000000" w:csb0="00040001" w:csb1="00000000"/>
    <w:embedRegular r:id="rId9" w:fontKey="{BFBDAB8D-247E-4FD0-A4E4-F7B75C24E3CA}"/>
  </w:font>
  <w:font w:name="仿宋">
    <w:panose1 w:val="02010609060101010101"/>
    <w:charset w:val="86"/>
    <w:family w:val="modern"/>
    <w:pitch w:val="default"/>
    <w:sig w:usb0="800002BF" w:usb1="38CF7CFA" w:usb2="00000016" w:usb3="00000000" w:csb0="00040001" w:csb1="00000000"/>
    <w:embedRegular r:id="rId10" w:fontKey="{262F2359-47EA-4B69-9523-4D05C1E42FE6}"/>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tabs>
        <w:tab w:val="clear" w:pos="4153"/>
        <w:tab w:val="clear" w:pos="8306"/>
      </w:tabs>
      <w:suppressAutoHyphens/>
      <w:wordWrap/>
      <w:adjustRightInd w:val="0"/>
      <w:jc w:val="both"/>
      <w:rPr>
        <w:rFonts w:ascii="Times New Roman" w:hAnsi="Times New Roman"/>
        <w:color w:val="000000"/>
        <w:kern w:val="2"/>
        <w:sz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framePr w:wrap="around" w:vAnchor="text" w:hAnchor="margin" w:xAlign="center" w:y="1"/>
      <w:rPr>
        <w:rStyle w:val="51"/>
      </w:rPr>
    </w:pPr>
    <w:r>
      <w:fldChar w:fldCharType="begin"/>
    </w:r>
    <w:r>
      <w:rPr>
        <w:rStyle w:val="51"/>
      </w:rPr>
      <w:instrText xml:space="preserve"> PAGE </w:instrText>
    </w:r>
    <w:r>
      <w:fldChar w:fldCharType="end"/>
    </w:r>
  </w:p>
  <w:p>
    <w:pPr>
      <w:pStyle w:val="3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framePr w:wrap="around" w:vAnchor="text" w:hAnchor="margin" w:xAlign="center" w:y="1"/>
      <w:jc w:val="center"/>
      <w:rPr>
        <w:rStyle w:val="51"/>
        <w:rFonts w:ascii="宋体" w:hAnsi="宋体"/>
        <w:color w:val="000000"/>
        <w:kern w:val="2"/>
        <w:sz w:val="28"/>
      </w:rPr>
    </w:pPr>
    <w:r>
      <w:rPr>
        <w:rFonts w:ascii="宋体" w:hAnsi="宋体"/>
        <w:color w:val="000000"/>
        <w:kern w:val="2"/>
        <w:sz w:val="28"/>
      </w:rPr>
      <w:fldChar w:fldCharType="begin"/>
    </w:r>
    <w:r>
      <w:rPr>
        <w:rStyle w:val="51"/>
        <w:rFonts w:ascii="宋体" w:hAnsi="宋体"/>
        <w:color w:val="000000"/>
        <w:kern w:val="2"/>
        <w:sz w:val="28"/>
      </w:rPr>
      <w:instrText xml:space="preserve"> PAGE </w:instrText>
    </w:r>
    <w:r>
      <w:rPr>
        <w:rFonts w:ascii="宋体" w:hAnsi="宋体"/>
        <w:color w:val="000000"/>
        <w:kern w:val="2"/>
        <w:sz w:val="28"/>
      </w:rPr>
      <w:fldChar w:fldCharType="separate"/>
    </w:r>
    <w:r>
      <w:rPr>
        <w:rStyle w:val="51"/>
        <w:rFonts w:ascii="Times New Roman" w:hAnsi="宋体"/>
        <w:color w:val="000000"/>
        <w:kern w:val="2"/>
        <w:sz w:val="28"/>
      </w:rPr>
      <w:t>2</w:t>
    </w:r>
    <w:r>
      <w:rPr>
        <w:rFonts w:ascii="宋体" w:hAnsi="宋体"/>
        <w:color w:val="000000"/>
        <w:kern w:val="2"/>
        <w:sz w:val="28"/>
      </w:rPr>
      <w:fldChar w:fldCharType="end"/>
    </w:r>
  </w:p>
  <w:p>
    <w:pPr>
      <w:pStyle w:val="32"/>
      <w:tabs>
        <w:tab w:val="clear" w:pos="4153"/>
        <w:tab w:val="clear" w:pos="8306"/>
      </w:tabs>
      <w:suppressAutoHyphens/>
      <w:wordWrap/>
      <w:adjustRightInd w:val="0"/>
      <w:jc w:val="center"/>
      <w:rPr>
        <w:rFonts w:ascii="宋体" w:hAnsi="宋体"/>
        <w:color w:val="000000"/>
        <w:kern w:val="2"/>
        <w:sz w:val="2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framePr w:wrap="around" w:vAnchor="text" w:hAnchor="margin" w:xAlign="center" w:y="1"/>
      <w:jc w:val="center"/>
      <w:rPr>
        <w:rStyle w:val="51"/>
        <w:rFonts w:ascii="宋体" w:hAnsi="宋体"/>
        <w:color w:val="000000"/>
        <w:kern w:val="2"/>
        <w:sz w:val="28"/>
      </w:rPr>
    </w:pPr>
    <w:r>
      <w:rPr>
        <w:rFonts w:ascii="宋体" w:hAnsi="宋体"/>
        <w:color w:val="000000"/>
        <w:kern w:val="2"/>
        <w:sz w:val="28"/>
      </w:rPr>
      <w:fldChar w:fldCharType="begin"/>
    </w:r>
    <w:r>
      <w:rPr>
        <w:rStyle w:val="51"/>
        <w:rFonts w:ascii="宋体" w:hAnsi="宋体"/>
        <w:color w:val="000000"/>
        <w:kern w:val="2"/>
        <w:sz w:val="28"/>
      </w:rPr>
      <w:instrText xml:space="preserve"> PAGE </w:instrText>
    </w:r>
    <w:r>
      <w:rPr>
        <w:rFonts w:ascii="宋体" w:hAnsi="宋体"/>
        <w:color w:val="000000"/>
        <w:kern w:val="2"/>
        <w:sz w:val="28"/>
      </w:rPr>
      <w:fldChar w:fldCharType="separate"/>
    </w:r>
    <w:r>
      <w:rPr>
        <w:rStyle w:val="51"/>
        <w:rFonts w:ascii="宋体" w:hAnsi="宋体"/>
        <w:color w:val="000000"/>
        <w:kern w:val="2"/>
        <w:sz w:val="28"/>
      </w:rPr>
      <w:t>22</w:t>
    </w:r>
    <w:r>
      <w:rPr>
        <w:rFonts w:ascii="宋体" w:hAnsi="宋体"/>
        <w:color w:val="000000"/>
        <w:kern w:val="2"/>
        <w:sz w:val="28"/>
      </w:rPr>
      <w:fldChar w:fldCharType="end"/>
    </w:r>
  </w:p>
  <w:p>
    <w:pPr>
      <w:pStyle w:val="32"/>
      <w:tabs>
        <w:tab w:val="clear" w:pos="4153"/>
        <w:tab w:val="clear" w:pos="8306"/>
      </w:tabs>
      <w:suppressAutoHyphens/>
      <w:wordWrap/>
      <w:adjustRightInd w:val="0"/>
      <w:jc w:val="center"/>
      <w:rPr>
        <w:rFonts w:ascii="宋体" w:hAnsi="宋体"/>
        <w:color w:val="000000"/>
        <w:kern w:val="2"/>
        <w:sz w:val="2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88" w:lineRule="auto"/>
        <w:ind w:firstLine="440"/>
      </w:pPr>
      <w:r>
        <w:separator/>
      </w:r>
    </w:p>
  </w:footnote>
  <w:footnote w:type="continuationSeparator" w:id="1">
    <w:p>
      <w:pPr>
        <w:spacing w:before="0" w:after="0" w:line="288" w:lineRule="auto"/>
        <w:ind w:firstLine="4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3"/>
      <w:pBdr>
        <w:bottom w:val="none" w:color="auto" w:sz="0" w:space="0"/>
      </w:pBdr>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9878220"/>
    <w:multiLevelType w:val="singleLevel"/>
    <w:tmpl w:val="19878220"/>
    <w:lvl w:ilvl="0" w:tentative="0">
      <w:start w:val="1"/>
      <w:numFmt w:val="bullet"/>
      <w:pStyle w:val="22"/>
      <w:lvlText w:val=""/>
      <w:lvlJc w:val="left"/>
      <w:pPr>
        <w:ind w:left="420" w:leftChars="0" w:hanging="420" w:firstLineChars="0"/>
      </w:pPr>
      <w:rPr>
        <w:rFonts w:hint="default" w:ascii="Wingdings" w:hAnsi="Wingdings" w:cs="Wingdings"/>
      </w:rPr>
    </w:lvl>
  </w:abstractNum>
  <w:abstractNum w:abstractNumId="1">
    <w:nsid w:val="27DA31D8"/>
    <w:multiLevelType w:val="singleLevel"/>
    <w:tmpl w:val="27DA31D8"/>
    <w:lvl w:ilvl="0" w:tentative="0">
      <w:start w:val="1"/>
      <w:numFmt w:val="bullet"/>
      <w:pStyle w:val="27"/>
      <w:lvlText w:val="§"/>
      <w:lvlJc w:val="left"/>
      <w:pPr>
        <w:ind w:left="2180" w:hanging="420"/>
      </w:pPr>
      <w:rPr>
        <w:rFonts w:hint="default" w:ascii="Wingdings" w:hAnsi="Wingdings" w:cs="Wingdings"/>
      </w:rPr>
    </w:lvl>
  </w:abstractNum>
  <w:abstractNum w:abstractNumId="2">
    <w:nsid w:val="2B6BC85F"/>
    <w:multiLevelType w:val="singleLevel"/>
    <w:tmpl w:val="2B6BC85F"/>
    <w:lvl w:ilvl="0" w:tentative="0">
      <w:start w:val="1"/>
      <w:numFmt w:val="bullet"/>
      <w:pStyle w:val="15"/>
      <w:lvlText w:val="Ë"/>
      <w:lvlJc w:val="left"/>
      <w:pPr>
        <w:ind w:left="420" w:leftChars="0" w:hanging="420" w:firstLineChars="0"/>
      </w:pPr>
      <w:rPr>
        <w:rFonts w:hint="default" w:ascii="Wingdings" w:hAnsi="Wingdings" w:cs="Wingdings"/>
      </w:rPr>
    </w:lvl>
  </w:abstractNum>
  <w:abstractNum w:abstractNumId="3">
    <w:nsid w:val="4799A2B3"/>
    <w:multiLevelType w:val="singleLevel"/>
    <w:tmpl w:val="4799A2B3"/>
    <w:lvl w:ilvl="0" w:tentative="0">
      <w:start w:val="1"/>
      <w:numFmt w:val="bullet"/>
      <w:pStyle w:val="12"/>
      <w:lvlText w:val="§"/>
      <w:lvlJc w:val="left"/>
      <w:pPr>
        <w:ind w:left="1740" w:hanging="420"/>
      </w:pPr>
      <w:rPr>
        <w:rFonts w:hint="default" w:ascii="Wingdings" w:hAnsi="Wingdings" w:cs="Wingdings"/>
      </w:rPr>
    </w:lvl>
  </w:abstractNum>
  <w:abstractNum w:abstractNumId="4">
    <w:nsid w:val="57823601"/>
    <w:multiLevelType w:val="multilevel"/>
    <w:tmpl w:val="57823601"/>
    <w:lvl w:ilvl="0" w:tentative="0">
      <w:start w:val="1"/>
      <w:numFmt w:val="bullet"/>
      <w:lvlText w:val=""/>
      <w:lvlJc w:val="left"/>
      <w:pPr>
        <w:ind w:left="567" w:leftChars="0" w:hanging="567" w:firstLineChars="0"/>
      </w:pPr>
      <w:rPr>
        <w:rFonts w:hint="default" w:ascii="Wingdings" w:hAnsi="Wingdings" w:cs="Wingdings"/>
      </w:rPr>
    </w:lvl>
    <w:lvl w:ilvl="1" w:tentative="0">
      <w:start w:val="1"/>
      <w:numFmt w:val="bullet"/>
      <w:pStyle w:val="3"/>
      <w:lvlText w:val=""/>
      <w:lvlJc w:val="left"/>
      <w:pPr>
        <w:tabs>
          <w:tab w:val="left" w:pos="0"/>
        </w:tabs>
        <w:ind w:left="0" w:leftChars="0" w:firstLine="0" w:firstLineChars="0"/>
      </w:pPr>
      <w:rPr>
        <w:rFonts w:hint="default" w:ascii="Wingdings" w:hAnsi="Wingdings" w:eastAsia="MiSans" w:cs="Wingdings"/>
      </w:rPr>
    </w:lvl>
    <w:lvl w:ilvl="2" w:tentative="0">
      <w:start w:val="1"/>
      <w:numFmt w:val="bullet"/>
      <w:lvlText w:val=""/>
      <w:lvlJc w:val="left"/>
      <w:pPr>
        <w:tabs>
          <w:tab w:val="left" w:pos="0"/>
        </w:tabs>
        <w:ind w:left="0" w:leftChars="0" w:firstLine="0" w:firstLineChars="0"/>
      </w:pPr>
      <w:rPr>
        <w:rFonts w:hint="default" w:ascii="Wingdings" w:hAnsi="Wingdings" w:cs="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5">
    <w:nsid w:val="6BCCAF35"/>
    <w:multiLevelType w:val="singleLevel"/>
    <w:tmpl w:val="6BCCAF35"/>
    <w:lvl w:ilvl="0" w:tentative="0">
      <w:start w:val="1"/>
      <w:numFmt w:val="bullet"/>
      <w:pStyle w:val="18"/>
      <w:lvlText w:val="³"/>
      <w:lvlJc w:val="left"/>
      <w:pPr>
        <w:ind w:left="420" w:leftChars="0" w:hanging="420" w:firstLineChars="0"/>
      </w:pPr>
      <w:rPr>
        <w:rFonts w:hint="default" w:ascii="Wingdings" w:hAnsi="Wingdings" w:cs="Wingdings"/>
      </w:rPr>
    </w:lvl>
  </w:abstractNum>
  <w:abstractNum w:abstractNumId="6">
    <w:nsid w:val="76F8B844"/>
    <w:multiLevelType w:val="multilevel"/>
    <w:tmpl w:val="76F8B844"/>
    <w:lvl w:ilvl="0" w:tentative="0">
      <w:start w:val="1"/>
      <w:numFmt w:val="bullet"/>
      <w:lvlText w:val=""/>
      <w:lvlJc w:val="left"/>
      <w:pPr>
        <w:ind w:left="420" w:hanging="420"/>
      </w:pPr>
      <w:rPr>
        <w:rFonts w:hint="default" w:ascii="Wingdings" w:hAnsi="Wingdings" w:cs="Wingdings"/>
      </w:rPr>
    </w:lvl>
    <w:lvl w:ilvl="1" w:tentative="0">
      <w:start w:val="1"/>
      <w:numFmt w:val="bullet"/>
      <w:lvlText w:val=""/>
      <w:lvlJc w:val="left"/>
      <w:pPr>
        <w:tabs>
          <w:tab w:val="left" w:pos="567"/>
        </w:tabs>
        <w:ind w:left="567" w:leftChars="0" w:hanging="567" w:firstLineChars="0"/>
      </w:pPr>
      <w:rPr>
        <w:rFonts w:hint="default" w:ascii="Wingdings" w:hAnsi="Wingdings" w:cs="Wingdings"/>
      </w:rPr>
    </w:lvl>
    <w:lvl w:ilvl="2" w:tentative="0">
      <w:start w:val="1"/>
      <w:numFmt w:val="bullet"/>
      <w:pStyle w:val="4"/>
      <w:lvlText w:val=""/>
      <w:lvlJc w:val="left"/>
      <w:pPr>
        <w:tabs>
          <w:tab w:val="left" w:pos="0"/>
        </w:tabs>
        <w:ind w:left="0" w:leftChars="0" w:firstLine="0" w:firstLineChars="0"/>
      </w:pPr>
      <w:rPr>
        <w:rFonts w:hint="default" w:ascii="Wingdings" w:hAnsi="Wingdings" w:cs="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num w:numId="1">
    <w:abstractNumId w:val="4"/>
  </w:num>
  <w:num w:numId="2">
    <w:abstractNumId w:val="6"/>
  </w:num>
  <w:num w:numId="3">
    <w:abstractNumId w:val="3"/>
  </w:num>
  <w:num w:numId="4">
    <w:abstractNumId w:val="2"/>
  </w:num>
  <w:num w:numId="5">
    <w:abstractNumId w:val="5"/>
  </w:num>
  <w:num w:numId="6">
    <w:abstractNumId w:val="0"/>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nforcement="0"/>
  <w:defaultTabStop w:val="420"/>
  <w:drawingGridHorizontalSpacing w:val="150"/>
  <w:drawingGridVerticalSpacing w:val="411"/>
  <w:noPunctuationKerning w:val="1"/>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ljYzUzMWQ4OWI0YzBkYjYzMDRhZTY5ZjZkYmFmYTgifQ=="/>
  </w:docVars>
  <w:rsids>
    <w:rsidRoot w:val="00172A27"/>
    <w:rsid w:val="00000822"/>
    <w:rsid w:val="000012AD"/>
    <w:rsid w:val="000024E5"/>
    <w:rsid w:val="000031B1"/>
    <w:rsid w:val="000035E2"/>
    <w:rsid w:val="00005BB5"/>
    <w:rsid w:val="00006672"/>
    <w:rsid w:val="00006920"/>
    <w:rsid w:val="00006CC3"/>
    <w:rsid w:val="00011380"/>
    <w:rsid w:val="00012F42"/>
    <w:rsid w:val="000133E6"/>
    <w:rsid w:val="00015194"/>
    <w:rsid w:val="00016AB1"/>
    <w:rsid w:val="00017DA4"/>
    <w:rsid w:val="00020509"/>
    <w:rsid w:val="0002112D"/>
    <w:rsid w:val="00021A91"/>
    <w:rsid w:val="00022B19"/>
    <w:rsid w:val="00023526"/>
    <w:rsid w:val="000241A0"/>
    <w:rsid w:val="0002578D"/>
    <w:rsid w:val="000322E9"/>
    <w:rsid w:val="000334B3"/>
    <w:rsid w:val="0003470B"/>
    <w:rsid w:val="000350F0"/>
    <w:rsid w:val="000371DE"/>
    <w:rsid w:val="00037A29"/>
    <w:rsid w:val="00040426"/>
    <w:rsid w:val="00040612"/>
    <w:rsid w:val="00042405"/>
    <w:rsid w:val="000428E5"/>
    <w:rsid w:val="00043329"/>
    <w:rsid w:val="000433EE"/>
    <w:rsid w:val="000479F6"/>
    <w:rsid w:val="0005025D"/>
    <w:rsid w:val="00051B9D"/>
    <w:rsid w:val="00053840"/>
    <w:rsid w:val="000549D7"/>
    <w:rsid w:val="000576AC"/>
    <w:rsid w:val="00062244"/>
    <w:rsid w:val="00062603"/>
    <w:rsid w:val="00063130"/>
    <w:rsid w:val="0006443E"/>
    <w:rsid w:val="00065E41"/>
    <w:rsid w:val="00066DF0"/>
    <w:rsid w:val="0006707C"/>
    <w:rsid w:val="000675FF"/>
    <w:rsid w:val="00071AEE"/>
    <w:rsid w:val="0007249B"/>
    <w:rsid w:val="00075090"/>
    <w:rsid w:val="000753A9"/>
    <w:rsid w:val="000755AF"/>
    <w:rsid w:val="00075650"/>
    <w:rsid w:val="00075F33"/>
    <w:rsid w:val="00081530"/>
    <w:rsid w:val="00082324"/>
    <w:rsid w:val="00084C55"/>
    <w:rsid w:val="00084F42"/>
    <w:rsid w:val="00085EF5"/>
    <w:rsid w:val="00086403"/>
    <w:rsid w:val="000923AD"/>
    <w:rsid w:val="00092B35"/>
    <w:rsid w:val="000942F7"/>
    <w:rsid w:val="0009455A"/>
    <w:rsid w:val="00094B57"/>
    <w:rsid w:val="00095C71"/>
    <w:rsid w:val="000A08D8"/>
    <w:rsid w:val="000A0C4A"/>
    <w:rsid w:val="000A234C"/>
    <w:rsid w:val="000A4215"/>
    <w:rsid w:val="000A758C"/>
    <w:rsid w:val="000B026E"/>
    <w:rsid w:val="000B1298"/>
    <w:rsid w:val="000B1D1F"/>
    <w:rsid w:val="000B3375"/>
    <w:rsid w:val="000B36E6"/>
    <w:rsid w:val="000B38B9"/>
    <w:rsid w:val="000B64B8"/>
    <w:rsid w:val="000B6845"/>
    <w:rsid w:val="000B68BA"/>
    <w:rsid w:val="000B6F6C"/>
    <w:rsid w:val="000B7083"/>
    <w:rsid w:val="000B7266"/>
    <w:rsid w:val="000C0A17"/>
    <w:rsid w:val="000C0B15"/>
    <w:rsid w:val="000C0C5A"/>
    <w:rsid w:val="000C27AC"/>
    <w:rsid w:val="000C2865"/>
    <w:rsid w:val="000C2C30"/>
    <w:rsid w:val="000C3497"/>
    <w:rsid w:val="000C5372"/>
    <w:rsid w:val="000C6EDA"/>
    <w:rsid w:val="000C7A16"/>
    <w:rsid w:val="000C7A9A"/>
    <w:rsid w:val="000D14E0"/>
    <w:rsid w:val="000D2AFD"/>
    <w:rsid w:val="000D38EC"/>
    <w:rsid w:val="000D3CCC"/>
    <w:rsid w:val="000D416E"/>
    <w:rsid w:val="000D6C98"/>
    <w:rsid w:val="000E0244"/>
    <w:rsid w:val="000E2543"/>
    <w:rsid w:val="000E3F31"/>
    <w:rsid w:val="000E5FA7"/>
    <w:rsid w:val="000E66DA"/>
    <w:rsid w:val="000F0DD5"/>
    <w:rsid w:val="000F1CCC"/>
    <w:rsid w:val="000F321B"/>
    <w:rsid w:val="000F37A5"/>
    <w:rsid w:val="000F4C30"/>
    <w:rsid w:val="000F6815"/>
    <w:rsid w:val="00100D35"/>
    <w:rsid w:val="0010295C"/>
    <w:rsid w:val="00102B3F"/>
    <w:rsid w:val="00107CEC"/>
    <w:rsid w:val="0011371F"/>
    <w:rsid w:val="001147FD"/>
    <w:rsid w:val="00117437"/>
    <w:rsid w:val="00121E46"/>
    <w:rsid w:val="00122A2B"/>
    <w:rsid w:val="00122DC8"/>
    <w:rsid w:val="00123339"/>
    <w:rsid w:val="001255BE"/>
    <w:rsid w:val="0012760B"/>
    <w:rsid w:val="00130DA6"/>
    <w:rsid w:val="001323EC"/>
    <w:rsid w:val="00132849"/>
    <w:rsid w:val="0013513C"/>
    <w:rsid w:val="001357A4"/>
    <w:rsid w:val="00136479"/>
    <w:rsid w:val="00137338"/>
    <w:rsid w:val="0013742C"/>
    <w:rsid w:val="001409EC"/>
    <w:rsid w:val="00140D52"/>
    <w:rsid w:val="0014220B"/>
    <w:rsid w:val="001422A9"/>
    <w:rsid w:val="001422C6"/>
    <w:rsid w:val="001425D0"/>
    <w:rsid w:val="001477AF"/>
    <w:rsid w:val="001528A7"/>
    <w:rsid w:val="001530F4"/>
    <w:rsid w:val="00155273"/>
    <w:rsid w:val="001568DA"/>
    <w:rsid w:val="00160E01"/>
    <w:rsid w:val="0016202E"/>
    <w:rsid w:val="00162E10"/>
    <w:rsid w:val="00163B53"/>
    <w:rsid w:val="00163C1A"/>
    <w:rsid w:val="0016450F"/>
    <w:rsid w:val="00165196"/>
    <w:rsid w:val="001661A6"/>
    <w:rsid w:val="001664F7"/>
    <w:rsid w:val="00172A27"/>
    <w:rsid w:val="00172B16"/>
    <w:rsid w:val="001735A6"/>
    <w:rsid w:val="0017667E"/>
    <w:rsid w:val="00177004"/>
    <w:rsid w:val="00177978"/>
    <w:rsid w:val="00180812"/>
    <w:rsid w:val="00180A2A"/>
    <w:rsid w:val="001812EC"/>
    <w:rsid w:val="0018165D"/>
    <w:rsid w:val="00182C7B"/>
    <w:rsid w:val="00184C24"/>
    <w:rsid w:val="00185564"/>
    <w:rsid w:val="00185C39"/>
    <w:rsid w:val="00185D4B"/>
    <w:rsid w:val="001870F2"/>
    <w:rsid w:val="00191474"/>
    <w:rsid w:val="00195161"/>
    <w:rsid w:val="00195817"/>
    <w:rsid w:val="001960B9"/>
    <w:rsid w:val="00197E38"/>
    <w:rsid w:val="001A004E"/>
    <w:rsid w:val="001A1532"/>
    <w:rsid w:val="001A1718"/>
    <w:rsid w:val="001A21F8"/>
    <w:rsid w:val="001A37BC"/>
    <w:rsid w:val="001A4110"/>
    <w:rsid w:val="001A4E8D"/>
    <w:rsid w:val="001A53FC"/>
    <w:rsid w:val="001A593B"/>
    <w:rsid w:val="001A63D1"/>
    <w:rsid w:val="001B08C7"/>
    <w:rsid w:val="001B0A5C"/>
    <w:rsid w:val="001B14F6"/>
    <w:rsid w:val="001B1512"/>
    <w:rsid w:val="001B177E"/>
    <w:rsid w:val="001B28E2"/>
    <w:rsid w:val="001B2D50"/>
    <w:rsid w:val="001B7DE1"/>
    <w:rsid w:val="001C07A9"/>
    <w:rsid w:val="001C1DE2"/>
    <w:rsid w:val="001C2CFE"/>
    <w:rsid w:val="001C319B"/>
    <w:rsid w:val="001C5F2B"/>
    <w:rsid w:val="001C6710"/>
    <w:rsid w:val="001C6FB9"/>
    <w:rsid w:val="001C7B0A"/>
    <w:rsid w:val="001D1275"/>
    <w:rsid w:val="001D2624"/>
    <w:rsid w:val="001D2DE6"/>
    <w:rsid w:val="001D364C"/>
    <w:rsid w:val="001D3CD8"/>
    <w:rsid w:val="001D3CEB"/>
    <w:rsid w:val="001D44E3"/>
    <w:rsid w:val="001D4C97"/>
    <w:rsid w:val="001D5BA3"/>
    <w:rsid w:val="001D5DA1"/>
    <w:rsid w:val="001D64C3"/>
    <w:rsid w:val="001D6C7F"/>
    <w:rsid w:val="001E139B"/>
    <w:rsid w:val="001E1701"/>
    <w:rsid w:val="001E2AB1"/>
    <w:rsid w:val="001E3025"/>
    <w:rsid w:val="001E45D0"/>
    <w:rsid w:val="001E693B"/>
    <w:rsid w:val="001E7575"/>
    <w:rsid w:val="001F0465"/>
    <w:rsid w:val="001F17AA"/>
    <w:rsid w:val="001F270F"/>
    <w:rsid w:val="001F2D03"/>
    <w:rsid w:val="001F2F49"/>
    <w:rsid w:val="001F33EB"/>
    <w:rsid w:val="001F3606"/>
    <w:rsid w:val="001F41D7"/>
    <w:rsid w:val="001F432D"/>
    <w:rsid w:val="001F52A8"/>
    <w:rsid w:val="001F58BE"/>
    <w:rsid w:val="001F5932"/>
    <w:rsid w:val="001F5B54"/>
    <w:rsid w:val="001F670C"/>
    <w:rsid w:val="001F7A86"/>
    <w:rsid w:val="002002BA"/>
    <w:rsid w:val="00200A3A"/>
    <w:rsid w:val="002019C3"/>
    <w:rsid w:val="00201C48"/>
    <w:rsid w:val="00201CE6"/>
    <w:rsid w:val="0020394E"/>
    <w:rsid w:val="00204682"/>
    <w:rsid w:val="002057DF"/>
    <w:rsid w:val="00206188"/>
    <w:rsid w:val="0020655F"/>
    <w:rsid w:val="00207420"/>
    <w:rsid w:val="00207DBB"/>
    <w:rsid w:val="00211515"/>
    <w:rsid w:val="002115B3"/>
    <w:rsid w:val="0021370F"/>
    <w:rsid w:val="00215011"/>
    <w:rsid w:val="00215C11"/>
    <w:rsid w:val="00215D33"/>
    <w:rsid w:val="00215FDB"/>
    <w:rsid w:val="002177AC"/>
    <w:rsid w:val="00217810"/>
    <w:rsid w:val="00217EF5"/>
    <w:rsid w:val="002211E8"/>
    <w:rsid w:val="00221A2B"/>
    <w:rsid w:val="00221BAA"/>
    <w:rsid w:val="002224B4"/>
    <w:rsid w:val="00223503"/>
    <w:rsid w:val="002236E7"/>
    <w:rsid w:val="00223A67"/>
    <w:rsid w:val="002241DD"/>
    <w:rsid w:val="00225118"/>
    <w:rsid w:val="00227272"/>
    <w:rsid w:val="00230CE7"/>
    <w:rsid w:val="002314DA"/>
    <w:rsid w:val="00231BB0"/>
    <w:rsid w:val="00234E7B"/>
    <w:rsid w:val="00235891"/>
    <w:rsid w:val="002377E4"/>
    <w:rsid w:val="002426A6"/>
    <w:rsid w:val="00242A88"/>
    <w:rsid w:val="00244AFD"/>
    <w:rsid w:val="00244CB0"/>
    <w:rsid w:val="00247B23"/>
    <w:rsid w:val="00247BAE"/>
    <w:rsid w:val="002503AD"/>
    <w:rsid w:val="002503C3"/>
    <w:rsid w:val="00253700"/>
    <w:rsid w:val="00254027"/>
    <w:rsid w:val="00254FDC"/>
    <w:rsid w:val="00256DE2"/>
    <w:rsid w:val="00256E3B"/>
    <w:rsid w:val="0025726C"/>
    <w:rsid w:val="0026011B"/>
    <w:rsid w:val="00260FA6"/>
    <w:rsid w:val="0026196B"/>
    <w:rsid w:val="00262A8E"/>
    <w:rsid w:val="00263E80"/>
    <w:rsid w:val="002658A5"/>
    <w:rsid w:val="00267085"/>
    <w:rsid w:val="0026746E"/>
    <w:rsid w:val="00267E5E"/>
    <w:rsid w:val="00270252"/>
    <w:rsid w:val="00271F74"/>
    <w:rsid w:val="002722F5"/>
    <w:rsid w:val="002727C8"/>
    <w:rsid w:val="002727FA"/>
    <w:rsid w:val="0027468A"/>
    <w:rsid w:val="00274778"/>
    <w:rsid w:val="00274A26"/>
    <w:rsid w:val="00275454"/>
    <w:rsid w:val="002772FA"/>
    <w:rsid w:val="00277A4E"/>
    <w:rsid w:val="0028124C"/>
    <w:rsid w:val="00282591"/>
    <w:rsid w:val="00283262"/>
    <w:rsid w:val="0028368A"/>
    <w:rsid w:val="0028373F"/>
    <w:rsid w:val="002938BC"/>
    <w:rsid w:val="0029401F"/>
    <w:rsid w:val="00294A21"/>
    <w:rsid w:val="002A0A26"/>
    <w:rsid w:val="002A234B"/>
    <w:rsid w:val="002A45DB"/>
    <w:rsid w:val="002A4919"/>
    <w:rsid w:val="002A4B91"/>
    <w:rsid w:val="002A601D"/>
    <w:rsid w:val="002A6065"/>
    <w:rsid w:val="002A629F"/>
    <w:rsid w:val="002A63A3"/>
    <w:rsid w:val="002A7982"/>
    <w:rsid w:val="002A7A07"/>
    <w:rsid w:val="002B192B"/>
    <w:rsid w:val="002B2C9A"/>
    <w:rsid w:val="002B41AF"/>
    <w:rsid w:val="002B4A60"/>
    <w:rsid w:val="002B4B67"/>
    <w:rsid w:val="002B5205"/>
    <w:rsid w:val="002B597E"/>
    <w:rsid w:val="002C1080"/>
    <w:rsid w:val="002C3FB7"/>
    <w:rsid w:val="002C7502"/>
    <w:rsid w:val="002D0DC1"/>
    <w:rsid w:val="002D22F6"/>
    <w:rsid w:val="002D3C84"/>
    <w:rsid w:val="002D4A01"/>
    <w:rsid w:val="002D4B84"/>
    <w:rsid w:val="002D7EB6"/>
    <w:rsid w:val="002D7EB9"/>
    <w:rsid w:val="002E0B13"/>
    <w:rsid w:val="002E1D17"/>
    <w:rsid w:val="002E389A"/>
    <w:rsid w:val="002E5022"/>
    <w:rsid w:val="002E65E9"/>
    <w:rsid w:val="002E66CD"/>
    <w:rsid w:val="002E690A"/>
    <w:rsid w:val="002E698C"/>
    <w:rsid w:val="002E6E70"/>
    <w:rsid w:val="002E7653"/>
    <w:rsid w:val="002E7E55"/>
    <w:rsid w:val="002F1E60"/>
    <w:rsid w:val="002F2F96"/>
    <w:rsid w:val="002F3B8B"/>
    <w:rsid w:val="002F4861"/>
    <w:rsid w:val="002F49ED"/>
    <w:rsid w:val="002F6CEC"/>
    <w:rsid w:val="00300899"/>
    <w:rsid w:val="00302507"/>
    <w:rsid w:val="0030301B"/>
    <w:rsid w:val="00303B5B"/>
    <w:rsid w:val="003041AD"/>
    <w:rsid w:val="0030560F"/>
    <w:rsid w:val="003121AA"/>
    <w:rsid w:val="003133AD"/>
    <w:rsid w:val="003136B6"/>
    <w:rsid w:val="00313827"/>
    <w:rsid w:val="00314E6F"/>
    <w:rsid w:val="003161EE"/>
    <w:rsid w:val="003178DB"/>
    <w:rsid w:val="0032089A"/>
    <w:rsid w:val="003220CE"/>
    <w:rsid w:val="00324F76"/>
    <w:rsid w:val="003252A0"/>
    <w:rsid w:val="00326836"/>
    <w:rsid w:val="003300AE"/>
    <w:rsid w:val="003342A6"/>
    <w:rsid w:val="00335722"/>
    <w:rsid w:val="003364FC"/>
    <w:rsid w:val="003377CE"/>
    <w:rsid w:val="00340D5E"/>
    <w:rsid w:val="00341CD0"/>
    <w:rsid w:val="003422EA"/>
    <w:rsid w:val="00342431"/>
    <w:rsid w:val="00351355"/>
    <w:rsid w:val="00354740"/>
    <w:rsid w:val="00354B24"/>
    <w:rsid w:val="00355795"/>
    <w:rsid w:val="00357DF5"/>
    <w:rsid w:val="0036103F"/>
    <w:rsid w:val="00365D7B"/>
    <w:rsid w:val="003670C2"/>
    <w:rsid w:val="00367231"/>
    <w:rsid w:val="003709B8"/>
    <w:rsid w:val="003723DA"/>
    <w:rsid w:val="00375AC2"/>
    <w:rsid w:val="00376154"/>
    <w:rsid w:val="00377524"/>
    <w:rsid w:val="003775A8"/>
    <w:rsid w:val="003809C9"/>
    <w:rsid w:val="00380D24"/>
    <w:rsid w:val="00381052"/>
    <w:rsid w:val="00383628"/>
    <w:rsid w:val="003836C4"/>
    <w:rsid w:val="003848E2"/>
    <w:rsid w:val="0038598B"/>
    <w:rsid w:val="0038610A"/>
    <w:rsid w:val="00387371"/>
    <w:rsid w:val="00390B02"/>
    <w:rsid w:val="00391446"/>
    <w:rsid w:val="0039252E"/>
    <w:rsid w:val="00392E32"/>
    <w:rsid w:val="003937A0"/>
    <w:rsid w:val="003947B3"/>
    <w:rsid w:val="00395F71"/>
    <w:rsid w:val="003971C9"/>
    <w:rsid w:val="003A064D"/>
    <w:rsid w:val="003A2AC6"/>
    <w:rsid w:val="003A3732"/>
    <w:rsid w:val="003A4ACD"/>
    <w:rsid w:val="003A50A3"/>
    <w:rsid w:val="003A56D4"/>
    <w:rsid w:val="003A66AF"/>
    <w:rsid w:val="003A7269"/>
    <w:rsid w:val="003A72E6"/>
    <w:rsid w:val="003A7DAF"/>
    <w:rsid w:val="003A7EEA"/>
    <w:rsid w:val="003B03DB"/>
    <w:rsid w:val="003B15F5"/>
    <w:rsid w:val="003B215E"/>
    <w:rsid w:val="003B4590"/>
    <w:rsid w:val="003B5618"/>
    <w:rsid w:val="003B57AE"/>
    <w:rsid w:val="003B57F1"/>
    <w:rsid w:val="003C330E"/>
    <w:rsid w:val="003C717D"/>
    <w:rsid w:val="003D05F6"/>
    <w:rsid w:val="003D1214"/>
    <w:rsid w:val="003D21D3"/>
    <w:rsid w:val="003D2EFE"/>
    <w:rsid w:val="003D46E8"/>
    <w:rsid w:val="003E2D85"/>
    <w:rsid w:val="003E666A"/>
    <w:rsid w:val="003F09CD"/>
    <w:rsid w:val="003F10A0"/>
    <w:rsid w:val="003F4452"/>
    <w:rsid w:val="003F5DE3"/>
    <w:rsid w:val="003F76BB"/>
    <w:rsid w:val="003F7E06"/>
    <w:rsid w:val="0040027F"/>
    <w:rsid w:val="004004F8"/>
    <w:rsid w:val="00400938"/>
    <w:rsid w:val="00401279"/>
    <w:rsid w:val="004014DA"/>
    <w:rsid w:val="00401A4C"/>
    <w:rsid w:val="0040252F"/>
    <w:rsid w:val="00402C1B"/>
    <w:rsid w:val="00407482"/>
    <w:rsid w:val="00407C35"/>
    <w:rsid w:val="004100D0"/>
    <w:rsid w:val="00410146"/>
    <w:rsid w:val="00410A73"/>
    <w:rsid w:val="004125A0"/>
    <w:rsid w:val="00414E65"/>
    <w:rsid w:val="004158E1"/>
    <w:rsid w:val="00420ACD"/>
    <w:rsid w:val="00423E1B"/>
    <w:rsid w:val="00424E54"/>
    <w:rsid w:val="0042501F"/>
    <w:rsid w:val="00427F8C"/>
    <w:rsid w:val="00430991"/>
    <w:rsid w:val="00431EA0"/>
    <w:rsid w:val="0043212A"/>
    <w:rsid w:val="00433F2D"/>
    <w:rsid w:val="0043499B"/>
    <w:rsid w:val="00434C23"/>
    <w:rsid w:val="00436A91"/>
    <w:rsid w:val="00441C41"/>
    <w:rsid w:val="0044203B"/>
    <w:rsid w:val="00444D75"/>
    <w:rsid w:val="00445C5A"/>
    <w:rsid w:val="004479DD"/>
    <w:rsid w:val="0045100A"/>
    <w:rsid w:val="00454A50"/>
    <w:rsid w:val="00455964"/>
    <w:rsid w:val="00455B4B"/>
    <w:rsid w:val="00460212"/>
    <w:rsid w:val="004603A3"/>
    <w:rsid w:val="00460739"/>
    <w:rsid w:val="00462A0B"/>
    <w:rsid w:val="00463160"/>
    <w:rsid w:val="004638C8"/>
    <w:rsid w:val="00463B44"/>
    <w:rsid w:val="0046412F"/>
    <w:rsid w:val="00464EC2"/>
    <w:rsid w:val="00464F1E"/>
    <w:rsid w:val="00465710"/>
    <w:rsid w:val="004670EA"/>
    <w:rsid w:val="00471C03"/>
    <w:rsid w:val="0047650D"/>
    <w:rsid w:val="00477CA3"/>
    <w:rsid w:val="00477DB0"/>
    <w:rsid w:val="00480F1F"/>
    <w:rsid w:val="00481181"/>
    <w:rsid w:val="00482D40"/>
    <w:rsid w:val="00482D6F"/>
    <w:rsid w:val="00483A3E"/>
    <w:rsid w:val="00485DCF"/>
    <w:rsid w:val="0048766E"/>
    <w:rsid w:val="00487C57"/>
    <w:rsid w:val="00487DED"/>
    <w:rsid w:val="0049045A"/>
    <w:rsid w:val="00490CE4"/>
    <w:rsid w:val="00494627"/>
    <w:rsid w:val="0049781B"/>
    <w:rsid w:val="00497BC5"/>
    <w:rsid w:val="00497C09"/>
    <w:rsid w:val="004A0421"/>
    <w:rsid w:val="004A0DA9"/>
    <w:rsid w:val="004A271F"/>
    <w:rsid w:val="004A38CB"/>
    <w:rsid w:val="004A64F5"/>
    <w:rsid w:val="004A798B"/>
    <w:rsid w:val="004B063D"/>
    <w:rsid w:val="004B1C37"/>
    <w:rsid w:val="004B2154"/>
    <w:rsid w:val="004B2979"/>
    <w:rsid w:val="004B6354"/>
    <w:rsid w:val="004B7848"/>
    <w:rsid w:val="004C091B"/>
    <w:rsid w:val="004C3CD8"/>
    <w:rsid w:val="004C56AF"/>
    <w:rsid w:val="004C6202"/>
    <w:rsid w:val="004C65A1"/>
    <w:rsid w:val="004C65AB"/>
    <w:rsid w:val="004D1545"/>
    <w:rsid w:val="004D238D"/>
    <w:rsid w:val="004D4D3B"/>
    <w:rsid w:val="004D5E06"/>
    <w:rsid w:val="004E1569"/>
    <w:rsid w:val="004E174D"/>
    <w:rsid w:val="004E1F7B"/>
    <w:rsid w:val="004E2B9D"/>
    <w:rsid w:val="004E40CE"/>
    <w:rsid w:val="004E6228"/>
    <w:rsid w:val="004E68FB"/>
    <w:rsid w:val="004E79E1"/>
    <w:rsid w:val="004E7A5F"/>
    <w:rsid w:val="004F107F"/>
    <w:rsid w:val="004F6671"/>
    <w:rsid w:val="0050026B"/>
    <w:rsid w:val="00501329"/>
    <w:rsid w:val="005022A1"/>
    <w:rsid w:val="005023AE"/>
    <w:rsid w:val="00502566"/>
    <w:rsid w:val="00503CF8"/>
    <w:rsid w:val="00507604"/>
    <w:rsid w:val="00507D21"/>
    <w:rsid w:val="00507D69"/>
    <w:rsid w:val="00513C23"/>
    <w:rsid w:val="00515F4E"/>
    <w:rsid w:val="005175A8"/>
    <w:rsid w:val="00517C23"/>
    <w:rsid w:val="00520A64"/>
    <w:rsid w:val="00520E16"/>
    <w:rsid w:val="005234FF"/>
    <w:rsid w:val="00523F15"/>
    <w:rsid w:val="00524343"/>
    <w:rsid w:val="00526952"/>
    <w:rsid w:val="00532641"/>
    <w:rsid w:val="00533A82"/>
    <w:rsid w:val="005375B9"/>
    <w:rsid w:val="00537C33"/>
    <w:rsid w:val="00542C96"/>
    <w:rsid w:val="0054631C"/>
    <w:rsid w:val="005467C3"/>
    <w:rsid w:val="00550382"/>
    <w:rsid w:val="00550E6F"/>
    <w:rsid w:val="0055538A"/>
    <w:rsid w:val="005553D7"/>
    <w:rsid w:val="00555BCD"/>
    <w:rsid w:val="00555E44"/>
    <w:rsid w:val="00556CB1"/>
    <w:rsid w:val="00560A1C"/>
    <w:rsid w:val="005616FD"/>
    <w:rsid w:val="00563218"/>
    <w:rsid w:val="00563B4E"/>
    <w:rsid w:val="00564ECB"/>
    <w:rsid w:val="00572A9B"/>
    <w:rsid w:val="00572D29"/>
    <w:rsid w:val="00576987"/>
    <w:rsid w:val="00576AA5"/>
    <w:rsid w:val="00576D5B"/>
    <w:rsid w:val="00577122"/>
    <w:rsid w:val="005802E4"/>
    <w:rsid w:val="00580BE9"/>
    <w:rsid w:val="00581AB8"/>
    <w:rsid w:val="00583A61"/>
    <w:rsid w:val="00585A7D"/>
    <w:rsid w:val="005870D5"/>
    <w:rsid w:val="00590386"/>
    <w:rsid w:val="005913AE"/>
    <w:rsid w:val="00591555"/>
    <w:rsid w:val="0059324B"/>
    <w:rsid w:val="0059378E"/>
    <w:rsid w:val="005943FE"/>
    <w:rsid w:val="0059533C"/>
    <w:rsid w:val="00595BCF"/>
    <w:rsid w:val="00597E8A"/>
    <w:rsid w:val="005A1748"/>
    <w:rsid w:val="005A27E8"/>
    <w:rsid w:val="005A2C6B"/>
    <w:rsid w:val="005A3783"/>
    <w:rsid w:val="005A380C"/>
    <w:rsid w:val="005A566D"/>
    <w:rsid w:val="005A6CED"/>
    <w:rsid w:val="005A79C3"/>
    <w:rsid w:val="005A7B12"/>
    <w:rsid w:val="005B1EFD"/>
    <w:rsid w:val="005B521A"/>
    <w:rsid w:val="005B662C"/>
    <w:rsid w:val="005B6FD8"/>
    <w:rsid w:val="005C022F"/>
    <w:rsid w:val="005C0864"/>
    <w:rsid w:val="005C12C3"/>
    <w:rsid w:val="005C316C"/>
    <w:rsid w:val="005C43EA"/>
    <w:rsid w:val="005C4739"/>
    <w:rsid w:val="005C4F7A"/>
    <w:rsid w:val="005C63F3"/>
    <w:rsid w:val="005C6CD5"/>
    <w:rsid w:val="005D02D3"/>
    <w:rsid w:val="005D0C9B"/>
    <w:rsid w:val="005D3DA8"/>
    <w:rsid w:val="005D7436"/>
    <w:rsid w:val="005D7D1E"/>
    <w:rsid w:val="005E004F"/>
    <w:rsid w:val="005E0CF2"/>
    <w:rsid w:val="005E237E"/>
    <w:rsid w:val="005E4055"/>
    <w:rsid w:val="005E57B3"/>
    <w:rsid w:val="005E5847"/>
    <w:rsid w:val="005E63F8"/>
    <w:rsid w:val="005E7555"/>
    <w:rsid w:val="005E7E7C"/>
    <w:rsid w:val="005F0394"/>
    <w:rsid w:val="005F08D8"/>
    <w:rsid w:val="005F1A93"/>
    <w:rsid w:val="005F1B0F"/>
    <w:rsid w:val="005F3009"/>
    <w:rsid w:val="005F389D"/>
    <w:rsid w:val="005F3F40"/>
    <w:rsid w:val="005F4ED0"/>
    <w:rsid w:val="005F502C"/>
    <w:rsid w:val="005F657C"/>
    <w:rsid w:val="006052CB"/>
    <w:rsid w:val="006064C6"/>
    <w:rsid w:val="006074F7"/>
    <w:rsid w:val="006104CA"/>
    <w:rsid w:val="00610C4F"/>
    <w:rsid w:val="00611B49"/>
    <w:rsid w:val="00611C5D"/>
    <w:rsid w:val="00613892"/>
    <w:rsid w:val="00614AF3"/>
    <w:rsid w:val="00614B2B"/>
    <w:rsid w:val="00615D11"/>
    <w:rsid w:val="0061685D"/>
    <w:rsid w:val="00620803"/>
    <w:rsid w:val="00630342"/>
    <w:rsid w:val="00632188"/>
    <w:rsid w:val="00633B66"/>
    <w:rsid w:val="00633F47"/>
    <w:rsid w:val="006346CB"/>
    <w:rsid w:val="006362D7"/>
    <w:rsid w:val="00636454"/>
    <w:rsid w:val="00637B41"/>
    <w:rsid w:val="006401AD"/>
    <w:rsid w:val="006436CD"/>
    <w:rsid w:val="00643C9C"/>
    <w:rsid w:val="0064471E"/>
    <w:rsid w:val="00645F4B"/>
    <w:rsid w:val="00646BBD"/>
    <w:rsid w:val="00646D5E"/>
    <w:rsid w:val="00647C0F"/>
    <w:rsid w:val="00651140"/>
    <w:rsid w:val="0065449A"/>
    <w:rsid w:val="00654CE0"/>
    <w:rsid w:val="00657D98"/>
    <w:rsid w:val="006602D1"/>
    <w:rsid w:val="006615A2"/>
    <w:rsid w:val="006645E1"/>
    <w:rsid w:val="0066574E"/>
    <w:rsid w:val="00667564"/>
    <w:rsid w:val="00667E23"/>
    <w:rsid w:val="00670897"/>
    <w:rsid w:val="00671006"/>
    <w:rsid w:val="00672051"/>
    <w:rsid w:val="00672CBD"/>
    <w:rsid w:val="006770E7"/>
    <w:rsid w:val="00680057"/>
    <w:rsid w:val="00680FEF"/>
    <w:rsid w:val="0068215A"/>
    <w:rsid w:val="00683603"/>
    <w:rsid w:val="006844A1"/>
    <w:rsid w:val="006848B8"/>
    <w:rsid w:val="006850B0"/>
    <w:rsid w:val="00686373"/>
    <w:rsid w:val="0068700D"/>
    <w:rsid w:val="006919B3"/>
    <w:rsid w:val="00695C6B"/>
    <w:rsid w:val="0069624D"/>
    <w:rsid w:val="006977A6"/>
    <w:rsid w:val="00697A94"/>
    <w:rsid w:val="006A0D4E"/>
    <w:rsid w:val="006A107A"/>
    <w:rsid w:val="006A2E24"/>
    <w:rsid w:val="006A3154"/>
    <w:rsid w:val="006A4D8B"/>
    <w:rsid w:val="006A5023"/>
    <w:rsid w:val="006A6EC3"/>
    <w:rsid w:val="006B0608"/>
    <w:rsid w:val="006B0AB2"/>
    <w:rsid w:val="006B157A"/>
    <w:rsid w:val="006B29D9"/>
    <w:rsid w:val="006B3DFC"/>
    <w:rsid w:val="006B4295"/>
    <w:rsid w:val="006B4B3D"/>
    <w:rsid w:val="006B5599"/>
    <w:rsid w:val="006B5DDF"/>
    <w:rsid w:val="006B64FB"/>
    <w:rsid w:val="006C1FEF"/>
    <w:rsid w:val="006C3A08"/>
    <w:rsid w:val="006C5568"/>
    <w:rsid w:val="006C6D30"/>
    <w:rsid w:val="006C7306"/>
    <w:rsid w:val="006D05AE"/>
    <w:rsid w:val="006D220E"/>
    <w:rsid w:val="006D3BB3"/>
    <w:rsid w:val="006D49AC"/>
    <w:rsid w:val="006D53DC"/>
    <w:rsid w:val="006E0739"/>
    <w:rsid w:val="006E1216"/>
    <w:rsid w:val="006E324F"/>
    <w:rsid w:val="006E389A"/>
    <w:rsid w:val="006E4A51"/>
    <w:rsid w:val="006F0A0B"/>
    <w:rsid w:val="006F0DF1"/>
    <w:rsid w:val="006F1740"/>
    <w:rsid w:val="006F1E07"/>
    <w:rsid w:val="006F26B9"/>
    <w:rsid w:val="006F718F"/>
    <w:rsid w:val="006F71D9"/>
    <w:rsid w:val="006F75C8"/>
    <w:rsid w:val="006F78CD"/>
    <w:rsid w:val="00701635"/>
    <w:rsid w:val="00701FC1"/>
    <w:rsid w:val="00702F2D"/>
    <w:rsid w:val="00703ED4"/>
    <w:rsid w:val="00704674"/>
    <w:rsid w:val="00705266"/>
    <w:rsid w:val="00706C13"/>
    <w:rsid w:val="007139F8"/>
    <w:rsid w:val="007145E8"/>
    <w:rsid w:val="007151DA"/>
    <w:rsid w:val="00717A6B"/>
    <w:rsid w:val="00721601"/>
    <w:rsid w:val="00722DD6"/>
    <w:rsid w:val="00723840"/>
    <w:rsid w:val="00723DD8"/>
    <w:rsid w:val="007251A5"/>
    <w:rsid w:val="007308B1"/>
    <w:rsid w:val="007311D6"/>
    <w:rsid w:val="00731E03"/>
    <w:rsid w:val="00731F51"/>
    <w:rsid w:val="00732502"/>
    <w:rsid w:val="007330FE"/>
    <w:rsid w:val="0073584C"/>
    <w:rsid w:val="00736355"/>
    <w:rsid w:val="00736AF5"/>
    <w:rsid w:val="00740495"/>
    <w:rsid w:val="007434E1"/>
    <w:rsid w:val="00743860"/>
    <w:rsid w:val="00746376"/>
    <w:rsid w:val="00750032"/>
    <w:rsid w:val="0075015A"/>
    <w:rsid w:val="00750B72"/>
    <w:rsid w:val="007512EA"/>
    <w:rsid w:val="00756A81"/>
    <w:rsid w:val="00757CC1"/>
    <w:rsid w:val="00760438"/>
    <w:rsid w:val="00760B8F"/>
    <w:rsid w:val="00762092"/>
    <w:rsid w:val="00762122"/>
    <w:rsid w:val="00762D4E"/>
    <w:rsid w:val="007633CE"/>
    <w:rsid w:val="00763F66"/>
    <w:rsid w:val="007640A2"/>
    <w:rsid w:val="007641C8"/>
    <w:rsid w:val="00764E36"/>
    <w:rsid w:val="00765A2F"/>
    <w:rsid w:val="00765B42"/>
    <w:rsid w:val="00766DA7"/>
    <w:rsid w:val="007677AF"/>
    <w:rsid w:val="00767B32"/>
    <w:rsid w:val="00770F6C"/>
    <w:rsid w:val="00771C9A"/>
    <w:rsid w:val="00773547"/>
    <w:rsid w:val="00775784"/>
    <w:rsid w:val="007768BB"/>
    <w:rsid w:val="007775D2"/>
    <w:rsid w:val="007817F3"/>
    <w:rsid w:val="00781AB4"/>
    <w:rsid w:val="00782330"/>
    <w:rsid w:val="00782C32"/>
    <w:rsid w:val="0078334F"/>
    <w:rsid w:val="007838BE"/>
    <w:rsid w:val="007844B1"/>
    <w:rsid w:val="007845E1"/>
    <w:rsid w:val="007863BF"/>
    <w:rsid w:val="007863C1"/>
    <w:rsid w:val="00787CA8"/>
    <w:rsid w:val="00793975"/>
    <w:rsid w:val="007939D2"/>
    <w:rsid w:val="00793CA4"/>
    <w:rsid w:val="007943AC"/>
    <w:rsid w:val="007948BB"/>
    <w:rsid w:val="007950CE"/>
    <w:rsid w:val="007953FD"/>
    <w:rsid w:val="0079547E"/>
    <w:rsid w:val="007A0159"/>
    <w:rsid w:val="007A2143"/>
    <w:rsid w:val="007A21BD"/>
    <w:rsid w:val="007A2A2D"/>
    <w:rsid w:val="007A3B4E"/>
    <w:rsid w:val="007A3B75"/>
    <w:rsid w:val="007A4137"/>
    <w:rsid w:val="007A5A52"/>
    <w:rsid w:val="007A611A"/>
    <w:rsid w:val="007A7185"/>
    <w:rsid w:val="007A757D"/>
    <w:rsid w:val="007A7D68"/>
    <w:rsid w:val="007B040F"/>
    <w:rsid w:val="007B0914"/>
    <w:rsid w:val="007B0CC3"/>
    <w:rsid w:val="007B0E4A"/>
    <w:rsid w:val="007B1D63"/>
    <w:rsid w:val="007B2264"/>
    <w:rsid w:val="007B6FE3"/>
    <w:rsid w:val="007B7370"/>
    <w:rsid w:val="007C06E9"/>
    <w:rsid w:val="007C0ADF"/>
    <w:rsid w:val="007C0B76"/>
    <w:rsid w:val="007C0C72"/>
    <w:rsid w:val="007C1F1E"/>
    <w:rsid w:val="007C23F5"/>
    <w:rsid w:val="007C618E"/>
    <w:rsid w:val="007C7058"/>
    <w:rsid w:val="007D02FE"/>
    <w:rsid w:val="007D177B"/>
    <w:rsid w:val="007D6518"/>
    <w:rsid w:val="007D70C3"/>
    <w:rsid w:val="007D70F5"/>
    <w:rsid w:val="007D720C"/>
    <w:rsid w:val="007E1A0C"/>
    <w:rsid w:val="007E29EB"/>
    <w:rsid w:val="007E3AE9"/>
    <w:rsid w:val="007E3BDA"/>
    <w:rsid w:val="007E3D34"/>
    <w:rsid w:val="007E5185"/>
    <w:rsid w:val="007E55F0"/>
    <w:rsid w:val="007E5CF8"/>
    <w:rsid w:val="007E6431"/>
    <w:rsid w:val="007F0109"/>
    <w:rsid w:val="007F22B6"/>
    <w:rsid w:val="007F24E2"/>
    <w:rsid w:val="007F6865"/>
    <w:rsid w:val="007F7EA5"/>
    <w:rsid w:val="0080073B"/>
    <w:rsid w:val="00800DCE"/>
    <w:rsid w:val="00801407"/>
    <w:rsid w:val="00801DC0"/>
    <w:rsid w:val="008020F7"/>
    <w:rsid w:val="008029B5"/>
    <w:rsid w:val="00802C18"/>
    <w:rsid w:val="0080485D"/>
    <w:rsid w:val="008050CF"/>
    <w:rsid w:val="0080781F"/>
    <w:rsid w:val="0081403C"/>
    <w:rsid w:val="00814712"/>
    <w:rsid w:val="00816AC4"/>
    <w:rsid w:val="00820065"/>
    <w:rsid w:val="008200BC"/>
    <w:rsid w:val="00822257"/>
    <w:rsid w:val="00822442"/>
    <w:rsid w:val="008226CA"/>
    <w:rsid w:val="00826D65"/>
    <w:rsid w:val="00830C02"/>
    <w:rsid w:val="008317BA"/>
    <w:rsid w:val="0083225D"/>
    <w:rsid w:val="00832CCE"/>
    <w:rsid w:val="00834D11"/>
    <w:rsid w:val="00837AF4"/>
    <w:rsid w:val="008422CB"/>
    <w:rsid w:val="008447CF"/>
    <w:rsid w:val="00845010"/>
    <w:rsid w:val="00850E67"/>
    <w:rsid w:val="008518C2"/>
    <w:rsid w:val="008543B3"/>
    <w:rsid w:val="00854AF5"/>
    <w:rsid w:val="00854EC7"/>
    <w:rsid w:val="00855D3A"/>
    <w:rsid w:val="008565C5"/>
    <w:rsid w:val="008568EF"/>
    <w:rsid w:val="0086060B"/>
    <w:rsid w:val="00860877"/>
    <w:rsid w:val="008621BB"/>
    <w:rsid w:val="00863284"/>
    <w:rsid w:val="00867E0B"/>
    <w:rsid w:val="008718F2"/>
    <w:rsid w:val="008745A9"/>
    <w:rsid w:val="00875CDE"/>
    <w:rsid w:val="008760F7"/>
    <w:rsid w:val="00876582"/>
    <w:rsid w:val="0087745A"/>
    <w:rsid w:val="00880472"/>
    <w:rsid w:val="008805E1"/>
    <w:rsid w:val="00880A77"/>
    <w:rsid w:val="00880ADA"/>
    <w:rsid w:val="0088119D"/>
    <w:rsid w:val="00882EA3"/>
    <w:rsid w:val="00883292"/>
    <w:rsid w:val="008836A7"/>
    <w:rsid w:val="008860BB"/>
    <w:rsid w:val="00886B47"/>
    <w:rsid w:val="00890D1C"/>
    <w:rsid w:val="008923A5"/>
    <w:rsid w:val="00892CEE"/>
    <w:rsid w:val="00895276"/>
    <w:rsid w:val="00897DAE"/>
    <w:rsid w:val="008A05B2"/>
    <w:rsid w:val="008A1E46"/>
    <w:rsid w:val="008A360A"/>
    <w:rsid w:val="008A36A1"/>
    <w:rsid w:val="008A484A"/>
    <w:rsid w:val="008A4919"/>
    <w:rsid w:val="008A546D"/>
    <w:rsid w:val="008A7011"/>
    <w:rsid w:val="008A796A"/>
    <w:rsid w:val="008A7D44"/>
    <w:rsid w:val="008B26FB"/>
    <w:rsid w:val="008B40FE"/>
    <w:rsid w:val="008B4995"/>
    <w:rsid w:val="008C0467"/>
    <w:rsid w:val="008C0B22"/>
    <w:rsid w:val="008C1DD0"/>
    <w:rsid w:val="008C1EA8"/>
    <w:rsid w:val="008C2B3F"/>
    <w:rsid w:val="008C589E"/>
    <w:rsid w:val="008C73AA"/>
    <w:rsid w:val="008D0BCD"/>
    <w:rsid w:val="008D247C"/>
    <w:rsid w:val="008D3417"/>
    <w:rsid w:val="008D4212"/>
    <w:rsid w:val="008D6056"/>
    <w:rsid w:val="008D6B61"/>
    <w:rsid w:val="008D6E01"/>
    <w:rsid w:val="008E05F1"/>
    <w:rsid w:val="008E30D3"/>
    <w:rsid w:val="008E30E2"/>
    <w:rsid w:val="008E523A"/>
    <w:rsid w:val="008E684D"/>
    <w:rsid w:val="008E7C60"/>
    <w:rsid w:val="008F1062"/>
    <w:rsid w:val="008F2270"/>
    <w:rsid w:val="008F2ADE"/>
    <w:rsid w:val="008F2FE5"/>
    <w:rsid w:val="008F35B0"/>
    <w:rsid w:val="008F5705"/>
    <w:rsid w:val="008F5E31"/>
    <w:rsid w:val="008F7BD7"/>
    <w:rsid w:val="009007A3"/>
    <w:rsid w:val="0090118E"/>
    <w:rsid w:val="0090124B"/>
    <w:rsid w:val="0090777E"/>
    <w:rsid w:val="00910D14"/>
    <w:rsid w:val="00913DB0"/>
    <w:rsid w:val="00914AFF"/>
    <w:rsid w:val="00917571"/>
    <w:rsid w:val="00924D4D"/>
    <w:rsid w:val="00926129"/>
    <w:rsid w:val="00926225"/>
    <w:rsid w:val="0092646D"/>
    <w:rsid w:val="00926C17"/>
    <w:rsid w:val="00930951"/>
    <w:rsid w:val="00930BB1"/>
    <w:rsid w:val="00933980"/>
    <w:rsid w:val="00933FCB"/>
    <w:rsid w:val="009354CB"/>
    <w:rsid w:val="009362CD"/>
    <w:rsid w:val="00940EFB"/>
    <w:rsid w:val="00941904"/>
    <w:rsid w:val="00941AA1"/>
    <w:rsid w:val="009423B2"/>
    <w:rsid w:val="009429B9"/>
    <w:rsid w:val="0094309A"/>
    <w:rsid w:val="009453D5"/>
    <w:rsid w:val="0094552A"/>
    <w:rsid w:val="00945931"/>
    <w:rsid w:val="0094649C"/>
    <w:rsid w:val="00947F5F"/>
    <w:rsid w:val="00950DEC"/>
    <w:rsid w:val="009533F7"/>
    <w:rsid w:val="00953A3B"/>
    <w:rsid w:val="00953EAD"/>
    <w:rsid w:val="009540C9"/>
    <w:rsid w:val="00954BA1"/>
    <w:rsid w:val="00955611"/>
    <w:rsid w:val="00956001"/>
    <w:rsid w:val="009570F6"/>
    <w:rsid w:val="009618D7"/>
    <w:rsid w:val="00962047"/>
    <w:rsid w:val="00963118"/>
    <w:rsid w:val="00963FFA"/>
    <w:rsid w:val="00964633"/>
    <w:rsid w:val="00965523"/>
    <w:rsid w:val="00965BDC"/>
    <w:rsid w:val="00965DFD"/>
    <w:rsid w:val="00966866"/>
    <w:rsid w:val="00967042"/>
    <w:rsid w:val="00970797"/>
    <w:rsid w:val="0097093B"/>
    <w:rsid w:val="00970AFD"/>
    <w:rsid w:val="0097150D"/>
    <w:rsid w:val="00971597"/>
    <w:rsid w:val="00971B1C"/>
    <w:rsid w:val="009775C1"/>
    <w:rsid w:val="00977985"/>
    <w:rsid w:val="009809CD"/>
    <w:rsid w:val="009814B5"/>
    <w:rsid w:val="00983E47"/>
    <w:rsid w:val="00983F30"/>
    <w:rsid w:val="0098545E"/>
    <w:rsid w:val="00986D13"/>
    <w:rsid w:val="009871D4"/>
    <w:rsid w:val="00987B86"/>
    <w:rsid w:val="00990008"/>
    <w:rsid w:val="00990012"/>
    <w:rsid w:val="009913C3"/>
    <w:rsid w:val="00991718"/>
    <w:rsid w:val="00991721"/>
    <w:rsid w:val="00991A74"/>
    <w:rsid w:val="00991C4A"/>
    <w:rsid w:val="00994983"/>
    <w:rsid w:val="009953A4"/>
    <w:rsid w:val="0099629B"/>
    <w:rsid w:val="009969EB"/>
    <w:rsid w:val="00997175"/>
    <w:rsid w:val="009A0A99"/>
    <w:rsid w:val="009A1956"/>
    <w:rsid w:val="009A7B30"/>
    <w:rsid w:val="009B04FA"/>
    <w:rsid w:val="009B0E6E"/>
    <w:rsid w:val="009B117A"/>
    <w:rsid w:val="009B171A"/>
    <w:rsid w:val="009B312F"/>
    <w:rsid w:val="009B64B3"/>
    <w:rsid w:val="009B7A4C"/>
    <w:rsid w:val="009C135F"/>
    <w:rsid w:val="009C13FE"/>
    <w:rsid w:val="009C1420"/>
    <w:rsid w:val="009C1537"/>
    <w:rsid w:val="009C2216"/>
    <w:rsid w:val="009C2466"/>
    <w:rsid w:val="009C2467"/>
    <w:rsid w:val="009C3693"/>
    <w:rsid w:val="009C398A"/>
    <w:rsid w:val="009C3C21"/>
    <w:rsid w:val="009C6F88"/>
    <w:rsid w:val="009C76EE"/>
    <w:rsid w:val="009C7F94"/>
    <w:rsid w:val="009D1C18"/>
    <w:rsid w:val="009D282E"/>
    <w:rsid w:val="009D2E6A"/>
    <w:rsid w:val="009D383B"/>
    <w:rsid w:val="009D40DC"/>
    <w:rsid w:val="009D513C"/>
    <w:rsid w:val="009D74E9"/>
    <w:rsid w:val="009E0A20"/>
    <w:rsid w:val="009E379D"/>
    <w:rsid w:val="009E4A87"/>
    <w:rsid w:val="009E566C"/>
    <w:rsid w:val="009E59AE"/>
    <w:rsid w:val="009E5DA1"/>
    <w:rsid w:val="009F1197"/>
    <w:rsid w:val="009F1E82"/>
    <w:rsid w:val="009F385B"/>
    <w:rsid w:val="009F4E0F"/>
    <w:rsid w:val="009F6836"/>
    <w:rsid w:val="009F6DA2"/>
    <w:rsid w:val="00A00221"/>
    <w:rsid w:val="00A00848"/>
    <w:rsid w:val="00A0153D"/>
    <w:rsid w:val="00A02D2D"/>
    <w:rsid w:val="00A02F72"/>
    <w:rsid w:val="00A0351A"/>
    <w:rsid w:val="00A03DB4"/>
    <w:rsid w:val="00A04520"/>
    <w:rsid w:val="00A04FB0"/>
    <w:rsid w:val="00A05958"/>
    <w:rsid w:val="00A079D8"/>
    <w:rsid w:val="00A122EF"/>
    <w:rsid w:val="00A1285C"/>
    <w:rsid w:val="00A12E17"/>
    <w:rsid w:val="00A13BB3"/>
    <w:rsid w:val="00A13D79"/>
    <w:rsid w:val="00A16FD0"/>
    <w:rsid w:val="00A20835"/>
    <w:rsid w:val="00A2180C"/>
    <w:rsid w:val="00A24380"/>
    <w:rsid w:val="00A24E77"/>
    <w:rsid w:val="00A31D85"/>
    <w:rsid w:val="00A32719"/>
    <w:rsid w:val="00A33910"/>
    <w:rsid w:val="00A34743"/>
    <w:rsid w:val="00A34891"/>
    <w:rsid w:val="00A351DD"/>
    <w:rsid w:val="00A353F5"/>
    <w:rsid w:val="00A400EC"/>
    <w:rsid w:val="00A408B5"/>
    <w:rsid w:val="00A459EC"/>
    <w:rsid w:val="00A45C39"/>
    <w:rsid w:val="00A47D45"/>
    <w:rsid w:val="00A50F46"/>
    <w:rsid w:val="00A532E6"/>
    <w:rsid w:val="00A56CDF"/>
    <w:rsid w:val="00A640BD"/>
    <w:rsid w:val="00A64629"/>
    <w:rsid w:val="00A72AAF"/>
    <w:rsid w:val="00A7644D"/>
    <w:rsid w:val="00A81617"/>
    <w:rsid w:val="00A81C48"/>
    <w:rsid w:val="00A81F3B"/>
    <w:rsid w:val="00A82D7F"/>
    <w:rsid w:val="00A8300A"/>
    <w:rsid w:val="00A84A28"/>
    <w:rsid w:val="00A85D1B"/>
    <w:rsid w:val="00A87611"/>
    <w:rsid w:val="00A91895"/>
    <w:rsid w:val="00A92AC7"/>
    <w:rsid w:val="00A92EF7"/>
    <w:rsid w:val="00A93A89"/>
    <w:rsid w:val="00A970F4"/>
    <w:rsid w:val="00A973EF"/>
    <w:rsid w:val="00AA14D8"/>
    <w:rsid w:val="00AA3744"/>
    <w:rsid w:val="00AA3796"/>
    <w:rsid w:val="00AA3FEF"/>
    <w:rsid w:val="00AA4CF5"/>
    <w:rsid w:val="00AB1A9A"/>
    <w:rsid w:val="00AB1FE4"/>
    <w:rsid w:val="00AB370C"/>
    <w:rsid w:val="00AB7561"/>
    <w:rsid w:val="00AC4E87"/>
    <w:rsid w:val="00AC53F3"/>
    <w:rsid w:val="00AC60DD"/>
    <w:rsid w:val="00AC6256"/>
    <w:rsid w:val="00AC70DB"/>
    <w:rsid w:val="00AC7652"/>
    <w:rsid w:val="00AC7D4C"/>
    <w:rsid w:val="00AC7EB3"/>
    <w:rsid w:val="00AD01A2"/>
    <w:rsid w:val="00AD0EF8"/>
    <w:rsid w:val="00AD468D"/>
    <w:rsid w:val="00AD4FAB"/>
    <w:rsid w:val="00AD65D9"/>
    <w:rsid w:val="00AD6DCF"/>
    <w:rsid w:val="00AD7AF8"/>
    <w:rsid w:val="00AE033B"/>
    <w:rsid w:val="00AE1A8D"/>
    <w:rsid w:val="00AE2A97"/>
    <w:rsid w:val="00AE3E76"/>
    <w:rsid w:val="00AE5409"/>
    <w:rsid w:val="00AE5952"/>
    <w:rsid w:val="00AE63C4"/>
    <w:rsid w:val="00AE7B80"/>
    <w:rsid w:val="00AE7F61"/>
    <w:rsid w:val="00AF0915"/>
    <w:rsid w:val="00AF0C28"/>
    <w:rsid w:val="00AF21EC"/>
    <w:rsid w:val="00AF4363"/>
    <w:rsid w:val="00AF51E6"/>
    <w:rsid w:val="00AF5953"/>
    <w:rsid w:val="00AF628C"/>
    <w:rsid w:val="00AF6FFA"/>
    <w:rsid w:val="00AF7FC6"/>
    <w:rsid w:val="00B00C33"/>
    <w:rsid w:val="00B00CE2"/>
    <w:rsid w:val="00B02183"/>
    <w:rsid w:val="00B02209"/>
    <w:rsid w:val="00B0496C"/>
    <w:rsid w:val="00B05CF2"/>
    <w:rsid w:val="00B11D0E"/>
    <w:rsid w:val="00B1502C"/>
    <w:rsid w:val="00B1634E"/>
    <w:rsid w:val="00B163E9"/>
    <w:rsid w:val="00B16DB1"/>
    <w:rsid w:val="00B16F19"/>
    <w:rsid w:val="00B1700F"/>
    <w:rsid w:val="00B17E35"/>
    <w:rsid w:val="00B2267D"/>
    <w:rsid w:val="00B23201"/>
    <w:rsid w:val="00B25BB2"/>
    <w:rsid w:val="00B267D7"/>
    <w:rsid w:val="00B26FFA"/>
    <w:rsid w:val="00B2743E"/>
    <w:rsid w:val="00B276EC"/>
    <w:rsid w:val="00B36496"/>
    <w:rsid w:val="00B36EF2"/>
    <w:rsid w:val="00B37BE3"/>
    <w:rsid w:val="00B44C94"/>
    <w:rsid w:val="00B4599C"/>
    <w:rsid w:val="00B46E6A"/>
    <w:rsid w:val="00B50656"/>
    <w:rsid w:val="00B52EB9"/>
    <w:rsid w:val="00B53DA0"/>
    <w:rsid w:val="00B53F2A"/>
    <w:rsid w:val="00B53F3E"/>
    <w:rsid w:val="00B550F9"/>
    <w:rsid w:val="00B557A4"/>
    <w:rsid w:val="00B55B47"/>
    <w:rsid w:val="00B56929"/>
    <w:rsid w:val="00B616E3"/>
    <w:rsid w:val="00B618AD"/>
    <w:rsid w:val="00B6281D"/>
    <w:rsid w:val="00B62AF0"/>
    <w:rsid w:val="00B63232"/>
    <w:rsid w:val="00B65F76"/>
    <w:rsid w:val="00B6665B"/>
    <w:rsid w:val="00B67D06"/>
    <w:rsid w:val="00B70B3F"/>
    <w:rsid w:val="00B72314"/>
    <w:rsid w:val="00B730C5"/>
    <w:rsid w:val="00B73DB1"/>
    <w:rsid w:val="00B74032"/>
    <w:rsid w:val="00B752BD"/>
    <w:rsid w:val="00B75E35"/>
    <w:rsid w:val="00B77888"/>
    <w:rsid w:val="00B805B9"/>
    <w:rsid w:val="00B82E03"/>
    <w:rsid w:val="00B83AC3"/>
    <w:rsid w:val="00B83C8E"/>
    <w:rsid w:val="00B846C1"/>
    <w:rsid w:val="00B8779C"/>
    <w:rsid w:val="00B878AE"/>
    <w:rsid w:val="00B9021F"/>
    <w:rsid w:val="00B908E2"/>
    <w:rsid w:val="00B91EB5"/>
    <w:rsid w:val="00B926FB"/>
    <w:rsid w:val="00B96763"/>
    <w:rsid w:val="00B967EA"/>
    <w:rsid w:val="00B96A0B"/>
    <w:rsid w:val="00B97836"/>
    <w:rsid w:val="00B97C24"/>
    <w:rsid w:val="00BA029A"/>
    <w:rsid w:val="00BA083B"/>
    <w:rsid w:val="00BA1D80"/>
    <w:rsid w:val="00BA26C8"/>
    <w:rsid w:val="00BA403F"/>
    <w:rsid w:val="00BA79FE"/>
    <w:rsid w:val="00BB2F07"/>
    <w:rsid w:val="00BB3A98"/>
    <w:rsid w:val="00BB47B4"/>
    <w:rsid w:val="00BB6198"/>
    <w:rsid w:val="00BB6B6A"/>
    <w:rsid w:val="00BB6CEB"/>
    <w:rsid w:val="00BB743B"/>
    <w:rsid w:val="00BC38BC"/>
    <w:rsid w:val="00BC5232"/>
    <w:rsid w:val="00BC592A"/>
    <w:rsid w:val="00BC5FE7"/>
    <w:rsid w:val="00BC79F5"/>
    <w:rsid w:val="00BD2385"/>
    <w:rsid w:val="00BD4CA8"/>
    <w:rsid w:val="00BD5E9B"/>
    <w:rsid w:val="00BD5F29"/>
    <w:rsid w:val="00BD60BE"/>
    <w:rsid w:val="00BD6EAD"/>
    <w:rsid w:val="00BD75F9"/>
    <w:rsid w:val="00BE04AD"/>
    <w:rsid w:val="00BE48F7"/>
    <w:rsid w:val="00BE53AE"/>
    <w:rsid w:val="00BE541B"/>
    <w:rsid w:val="00BE678F"/>
    <w:rsid w:val="00BF1D02"/>
    <w:rsid w:val="00BF2DCE"/>
    <w:rsid w:val="00BF415B"/>
    <w:rsid w:val="00BF64F6"/>
    <w:rsid w:val="00BF741A"/>
    <w:rsid w:val="00BF7E9E"/>
    <w:rsid w:val="00C006ED"/>
    <w:rsid w:val="00C014FF"/>
    <w:rsid w:val="00C01892"/>
    <w:rsid w:val="00C018A2"/>
    <w:rsid w:val="00C039FE"/>
    <w:rsid w:val="00C03F70"/>
    <w:rsid w:val="00C042AF"/>
    <w:rsid w:val="00C048E7"/>
    <w:rsid w:val="00C07256"/>
    <w:rsid w:val="00C07D1E"/>
    <w:rsid w:val="00C1100C"/>
    <w:rsid w:val="00C12E45"/>
    <w:rsid w:val="00C16F4E"/>
    <w:rsid w:val="00C1727D"/>
    <w:rsid w:val="00C20525"/>
    <w:rsid w:val="00C21AC2"/>
    <w:rsid w:val="00C21BB6"/>
    <w:rsid w:val="00C22033"/>
    <w:rsid w:val="00C2238F"/>
    <w:rsid w:val="00C228B4"/>
    <w:rsid w:val="00C22D1D"/>
    <w:rsid w:val="00C23830"/>
    <w:rsid w:val="00C23B43"/>
    <w:rsid w:val="00C23BA8"/>
    <w:rsid w:val="00C27926"/>
    <w:rsid w:val="00C3093B"/>
    <w:rsid w:val="00C32821"/>
    <w:rsid w:val="00C4051B"/>
    <w:rsid w:val="00C43B12"/>
    <w:rsid w:val="00C45648"/>
    <w:rsid w:val="00C508D9"/>
    <w:rsid w:val="00C52907"/>
    <w:rsid w:val="00C52FD8"/>
    <w:rsid w:val="00C53B96"/>
    <w:rsid w:val="00C54294"/>
    <w:rsid w:val="00C55100"/>
    <w:rsid w:val="00C56293"/>
    <w:rsid w:val="00C56AAC"/>
    <w:rsid w:val="00C57F1E"/>
    <w:rsid w:val="00C60C7C"/>
    <w:rsid w:val="00C6265A"/>
    <w:rsid w:val="00C62F6F"/>
    <w:rsid w:val="00C7066E"/>
    <w:rsid w:val="00C71CEF"/>
    <w:rsid w:val="00C74735"/>
    <w:rsid w:val="00C758CF"/>
    <w:rsid w:val="00C809D2"/>
    <w:rsid w:val="00C80B69"/>
    <w:rsid w:val="00C82A35"/>
    <w:rsid w:val="00C8317C"/>
    <w:rsid w:val="00C846D7"/>
    <w:rsid w:val="00C848FA"/>
    <w:rsid w:val="00C85046"/>
    <w:rsid w:val="00C85AF2"/>
    <w:rsid w:val="00C86F6D"/>
    <w:rsid w:val="00C90204"/>
    <w:rsid w:val="00C90D87"/>
    <w:rsid w:val="00C913E6"/>
    <w:rsid w:val="00C93151"/>
    <w:rsid w:val="00C95919"/>
    <w:rsid w:val="00C96C27"/>
    <w:rsid w:val="00C97376"/>
    <w:rsid w:val="00CA01AA"/>
    <w:rsid w:val="00CA01C3"/>
    <w:rsid w:val="00CA5073"/>
    <w:rsid w:val="00CA542A"/>
    <w:rsid w:val="00CA74D8"/>
    <w:rsid w:val="00CB0E00"/>
    <w:rsid w:val="00CB132D"/>
    <w:rsid w:val="00CB159D"/>
    <w:rsid w:val="00CB3BB5"/>
    <w:rsid w:val="00CB5B9F"/>
    <w:rsid w:val="00CB5EFE"/>
    <w:rsid w:val="00CC018B"/>
    <w:rsid w:val="00CC09C3"/>
    <w:rsid w:val="00CC0B2E"/>
    <w:rsid w:val="00CC0F4B"/>
    <w:rsid w:val="00CC148E"/>
    <w:rsid w:val="00CC1981"/>
    <w:rsid w:val="00CC25EA"/>
    <w:rsid w:val="00CC673D"/>
    <w:rsid w:val="00CC6943"/>
    <w:rsid w:val="00CC7563"/>
    <w:rsid w:val="00CD18C8"/>
    <w:rsid w:val="00CD57B5"/>
    <w:rsid w:val="00CD592C"/>
    <w:rsid w:val="00CD7036"/>
    <w:rsid w:val="00CD704E"/>
    <w:rsid w:val="00CE23D3"/>
    <w:rsid w:val="00CE2DC0"/>
    <w:rsid w:val="00CE3071"/>
    <w:rsid w:val="00CE3171"/>
    <w:rsid w:val="00CE4814"/>
    <w:rsid w:val="00CE49EC"/>
    <w:rsid w:val="00CE5463"/>
    <w:rsid w:val="00CE5DD7"/>
    <w:rsid w:val="00CF0819"/>
    <w:rsid w:val="00CF38B7"/>
    <w:rsid w:val="00CF4770"/>
    <w:rsid w:val="00CF647A"/>
    <w:rsid w:val="00CF6EB6"/>
    <w:rsid w:val="00CF71E3"/>
    <w:rsid w:val="00CF74A6"/>
    <w:rsid w:val="00CF7A51"/>
    <w:rsid w:val="00CF7C73"/>
    <w:rsid w:val="00CF7E21"/>
    <w:rsid w:val="00D0112C"/>
    <w:rsid w:val="00D0191A"/>
    <w:rsid w:val="00D01E8E"/>
    <w:rsid w:val="00D0372E"/>
    <w:rsid w:val="00D05AA9"/>
    <w:rsid w:val="00D061BB"/>
    <w:rsid w:val="00D10970"/>
    <w:rsid w:val="00D1187A"/>
    <w:rsid w:val="00D1323D"/>
    <w:rsid w:val="00D135F8"/>
    <w:rsid w:val="00D139FA"/>
    <w:rsid w:val="00D13A48"/>
    <w:rsid w:val="00D13F78"/>
    <w:rsid w:val="00D1425B"/>
    <w:rsid w:val="00D153EE"/>
    <w:rsid w:val="00D16755"/>
    <w:rsid w:val="00D2104C"/>
    <w:rsid w:val="00D22F09"/>
    <w:rsid w:val="00D2407B"/>
    <w:rsid w:val="00D249ED"/>
    <w:rsid w:val="00D26E52"/>
    <w:rsid w:val="00D276CC"/>
    <w:rsid w:val="00D27703"/>
    <w:rsid w:val="00D304C5"/>
    <w:rsid w:val="00D30DE0"/>
    <w:rsid w:val="00D33984"/>
    <w:rsid w:val="00D340D4"/>
    <w:rsid w:val="00D35830"/>
    <w:rsid w:val="00D41CE9"/>
    <w:rsid w:val="00D45065"/>
    <w:rsid w:val="00D46D97"/>
    <w:rsid w:val="00D4744A"/>
    <w:rsid w:val="00D474C8"/>
    <w:rsid w:val="00D5006A"/>
    <w:rsid w:val="00D50577"/>
    <w:rsid w:val="00D5112F"/>
    <w:rsid w:val="00D52F5F"/>
    <w:rsid w:val="00D53E65"/>
    <w:rsid w:val="00D5498F"/>
    <w:rsid w:val="00D54DBF"/>
    <w:rsid w:val="00D5518A"/>
    <w:rsid w:val="00D55841"/>
    <w:rsid w:val="00D55D61"/>
    <w:rsid w:val="00D56138"/>
    <w:rsid w:val="00D60772"/>
    <w:rsid w:val="00D60AFA"/>
    <w:rsid w:val="00D61FBD"/>
    <w:rsid w:val="00D621FF"/>
    <w:rsid w:val="00D62F57"/>
    <w:rsid w:val="00D62F78"/>
    <w:rsid w:val="00D647E4"/>
    <w:rsid w:val="00D659DE"/>
    <w:rsid w:val="00D66AC5"/>
    <w:rsid w:val="00D707C9"/>
    <w:rsid w:val="00D708A5"/>
    <w:rsid w:val="00D741F5"/>
    <w:rsid w:val="00D74F98"/>
    <w:rsid w:val="00D75CA2"/>
    <w:rsid w:val="00D774B5"/>
    <w:rsid w:val="00D82E33"/>
    <w:rsid w:val="00D82F5C"/>
    <w:rsid w:val="00D8319B"/>
    <w:rsid w:val="00D83E3D"/>
    <w:rsid w:val="00D84502"/>
    <w:rsid w:val="00D8463F"/>
    <w:rsid w:val="00D84DCC"/>
    <w:rsid w:val="00D85C75"/>
    <w:rsid w:val="00D87AC2"/>
    <w:rsid w:val="00D9190B"/>
    <w:rsid w:val="00D946A1"/>
    <w:rsid w:val="00D947C7"/>
    <w:rsid w:val="00D948A8"/>
    <w:rsid w:val="00D966D6"/>
    <w:rsid w:val="00D971D9"/>
    <w:rsid w:val="00D97DE2"/>
    <w:rsid w:val="00DA05A2"/>
    <w:rsid w:val="00DA1E01"/>
    <w:rsid w:val="00DA2545"/>
    <w:rsid w:val="00DA37A7"/>
    <w:rsid w:val="00DA3A52"/>
    <w:rsid w:val="00DA48E3"/>
    <w:rsid w:val="00DA4F40"/>
    <w:rsid w:val="00DA6FF7"/>
    <w:rsid w:val="00DB0945"/>
    <w:rsid w:val="00DB20BB"/>
    <w:rsid w:val="00DB350E"/>
    <w:rsid w:val="00DB3D18"/>
    <w:rsid w:val="00DB48DF"/>
    <w:rsid w:val="00DB5EE1"/>
    <w:rsid w:val="00DC0864"/>
    <w:rsid w:val="00DC1157"/>
    <w:rsid w:val="00DC40C7"/>
    <w:rsid w:val="00DC43A8"/>
    <w:rsid w:val="00DC49BA"/>
    <w:rsid w:val="00DC4CEF"/>
    <w:rsid w:val="00DC4F99"/>
    <w:rsid w:val="00DC5BDD"/>
    <w:rsid w:val="00DC654D"/>
    <w:rsid w:val="00DC6D42"/>
    <w:rsid w:val="00DD0B08"/>
    <w:rsid w:val="00DD0C5A"/>
    <w:rsid w:val="00DD1BF9"/>
    <w:rsid w:val="00DD23CA"/>
    <w:rsid w:val="00DD2536"/>
    <w:rsid w:val="00DD31D6"/>
    <w:rsid w:val="00DD3898"/>
    <w:rsid w:val="00DD3D7E"/>
    <w:rsid w:val="00DD68EC"/>
    <w:rsid w:val="00DD75B9"/>
    <w:rsid w:val="00DE24E3"/>
    <w:rsid w:val="00DE4939"/>
    <w:rsid w:val="00DE50D6"/>
    <w:rsid w:val="00DE68EA"/>
    <w:rsid w:val="00DE690E"/>
    <w:rsid w:val="00DE712B"/>
    <w:rsid w:val="00DF3CC3"/>
    <w:rsid w:val="00DF414D"/>
    <w:rsid w:val="00DF719D"/>
    <w:rsid w:val="00DF7878"/>
    <w:rsid w:val="00E0162B"/>
    <w:rsid w:val="00E02E4A"/>
    <w:rsid w:val="00E03E10"/>
    <w:rsid w:val="00E06CC4"/>
    <w:rsid w:val="00E07D11"/>
    <w:rsid w:val="00E10410"/>
    <w:rsid w:val="00E13503"/>
    <w:rsid w:val="00E14379"/>
    <w:rsid w:val="00E14594"/>
    <w:rsid w:val="00E14E90"/>
    <w:rsid w:val="00E14F89"/>
    <w:rsid w:val="00E15235"/>
    <w:rsid w:val="00E161B8"/>
    <w:rsid w:val="00E16621"/>
    <w:rsid w:val="00E1750F"/>
    <w:rsid w:val="00E20D71"/>
    <w:rsid w:val="00E22FFE"/>
    <w:rsid w:val="00E23E67"/>
    <w:rsid w:val="00E261A9"/>
    <w:rsid w:val="00E2645F"/>
    <w:rsid w:val="00E27040"/>
    <w:rsid w:val="00E2727D"/>
    <w:rsid w:val="00E27467"/>
    <w:rsid w:val="00E32625"/>
    <w:rsid w:val="00E339E1"/>
    <w:rsid w:val="00E3499B"/>
    <w:rsid w:val="00E35F53"/>
    <w:rsid w:val="00E36ED3"/>
    <w:rsid w:val="00E4003B"/>
    <w:rsid w:val="00E43032"/>
    <w:rsid w:val="00E451C8"/>
    <w:rsid w:val="00E4565E"/>
    <w:rsid w:val="00E457F4"/>
    <w:rsid w:val="00E46EED"/>
    <w:rsid w:val="00E4778F"/>
    <w:rsid w:val="00E50BF0"/>
    <w:rsid w:val="00E51406"/>
    <w:rsid w:val="00E57FC5"/>
    <w:rsid w:val="00E60640"/>
    <w:rsid w:val="00E64579"/>
    <w:rsid w:val="00E64C27"/>
    <w:rsid w:val="00E64C8B"/>
    <w:rsid w:val="00E64D63"/>
    <w:rsid w:val="00E64F09"/>
    <w:rsid w:val="00E664EE"/>
    <w:rsid w:val="00E70DF4"/>
    <w:rsid w:val="00E71CE7"/>
    <w:rsid w:val="00E71FBB"/>
    <w:rsid w:val="00E73CE1"/>
    <w:rsid w:val="00E74545"/>
    <w:rsid w:val="00E75AD0"/>
    <w:rsid w:val="00E75AF6"/>
    <w:rsid w:val="00E7630A"/>
    <w:rsid w:val="00E77AB1"/>
    <w:rsid w:val="00E77D33"/>
    <w:rsid w:val="00E81E21"/>
    <w:rsid w:val="00E826C4"/>
    <w:rsid w:val="00E829B0"/>
    <w:rsid w:val="00E83FFB"/>
    <w:rsid w:val="00E85252"/>
    <w:rsid w:val="00E85769"/>
    <w:rsid w:val="00E85B74"/>
    <w:rsid w:val="00E8620C"/>
    <w:rsid w:val="00E86912"/>
    <w:rsid w:val="00E86ADD"/>
    <w:rsid w:val="00E86F43"/>
    <w:rsid w:val="00E87663"/>
    <w:rsid w:val="00E90D8A"/>
    <w:rsid w:val="00E90E02"/>
    <w:rsid w:val="00E90E56"/>
    <w:rsid w:val="00E90EB9"/>
    <w:rsid w:val="00E920C5"/>
    <w:rsid w:val="00E94433"/>
    <w:rsid w:val="00E94C72"/>
    <w:rsid w:val="00E96B04"/>
    <w:rsid w:val="00EA0189"/>
    <w:rsid w:val="00EA04D1"/>
    <w:rsid w:val="00EA09B2"/>
    <w:rsid w:val="00EA21AB"/>
    <w:rsid w:val="00EA330A"/>
    <w:rsid w:val="00EA39F3"/>
    <w:rsid w:val="00EA5E8D"/>
    <w:rsid w:val="00EA69EC"/>
    <w:rsid w:val="00EA7DC9"/>
    <w:rsid w:val="00EB3FAA"/>
    <w:rsid w:val="00EB5543"/>
    <w:rsid w:val="00EC0BA8"/>
    <w:rsid w:val="00EC16E6"/>
    <w:rsid w:val="00EC1A92"/>
    <w:rsid w:val="00EC2CC4"/>
    <w:rsid w:val="00EC48A6"/>
    <w:rsid w:val="00EC4E74"/>
    <w:rsid w:val="00EC4F21"/>
    <w:rsid w:val="00EC522A"/>
    <w:rsid w:val="00EC5500"/>
    <w:rsid w:val="00EC60F4"/>
    <w:rsid w:val="00ED1AE3"/>
    <w:rsid w:val="00ED3BF3"/>
    <w:rsid w:val="00ED3D43"/>
    <w:rsid w:val="00ED4522"/>
    <w:rsid w:val="00ED4C1C"/>
    <w:rsid w:val="00ED5F37"/>
    <w:rsid w:val="00ED64C9"/>
    <w:rsid w:val="00ED7B4D"/>
    <w:rsid w:val="00ED7B5C"/>
    <w:rsid w:val="00EE0A12"/>
    <w:rsid w:val="00EE35A7"/>
    <w:rsid w:val="00EE38BC"/>
    <w:rsid w:val="00EE4956"/>
    <w:rsid w:val="00EE6C4A"/>
    <w:rsid w:val="00EE7751"/>
    <w:rsid w:val="00EE78EC"/>
    <w:rsid w:val="00EF17D6"/>
    <w:rsid w:val="00EF2837"/>
    <w:rsid w:val="00EF6751"/>
    <w:rsid w:val="00F00966"/>
    <w:rsid w:val="00F012A2"/>
    <w:rsid w:val="00F0272E"/>
    <w:rsid w:val="00F028C1"/>
    <w:rsid w:val="00F03F6F"/>
    <w:rsid w:val="00F06129"/>
    <w:rsid w:val="00F0614E"/>
    <w:rsid w:val="00F12732"/>
    <w:rsid w:val="00F133D0"/>
    <w:rsid w:val="00F1624B"/>
    <w:rsid w:val="00F212D2"/>
    <w:rsid w:val="00F2217F"/>
    <w:rsid w:val="00F22F89"/>
    <w:rsid w:val="00F24BB9"/>
    <w:rsid w:val="00F24E96"/>
    <w:rsid w:val="00F25D9D"/>
    <w:rsid w:val="00F264EB"/>
    <w:rsid w:val="00F31321"/>
    <w:rsid w:val="00F338DF"/>
    <w:rsid w:val="00F34171"/>
    <w:rsid w:val="00F344BB"/>
    <w:rsid w:val="00F36314"/>
    <w:rsid w:val="00F3646C"/>
    <w:rsid w:val="00F37483"/>
    <w:rsid w:val="00F4078C"/>
    <w:rsid w:val="00F40A05"/>
    <w:rsid w:val="00F4338A"/>
    <w:rsid w:val="00F434D0"/>
    <w:rsid w:val="00F45D6B"/>
    <w:rsid w:val="00F46CDD"/>
    <w:rsid w:val="00F5120E"/>
    <w:rsid w:val="00F53998"/>
    <w:rsid w:val="00F53A6F"/>
    <w:rsid w:val="00F55997"/>
    <w:rsid w:val="00F56462"/>
    <w:rsid w:val="00F57135"/>
    <w:rsid w:val="00F60091"/>
    <w:rsid w:val="00F60138"/>
    <w:rsid w:val="00F60189"/>
    <w:rsid w:val="00F60578"/>
    <w:rsid w:val="00F60A78"/>
    <w:rsid w:val="00F61916"/>
    <w:rsid w:val="00F62313"/>
    <w:rsid w:val="00F66E0F"/>
    <w:rsid w:val="00F7026E"/>
    <w:rsid w:val="00F704F4"/>
    <w:rsid w:val="00F71279"/>
    <w:rsid w:val="00F71C9E"/>
    <w:rsid w:val="00F71DCD"/>
    <w:rsid w:val="00F728BD"/>
    <w:rsid w:val="00F7332E"/>
    <w:rsid w:val="00F762BA"/>
    <w:rsid w:val="00F774BF"/>
    <w:rsid w:val="00F8004F"/>
    <w:rsid w:val="00F8047E"/>
    <w:rsid w:val="00F80E69"/>
    <w:rsid w:val="00F8148C"/>
    <w:rsid w:val="00F83603"/>
    <w:rsid w:val="00F83E9E"/>
    <w:rsid w:val="00F85208"/>
    <w:rsid w:val="00F85D9B"/>
    <w:rsid w:val="00F866AD"/>
    <w:rsid w:val="00F874D2"/>
    <w:rsid w:val="00F903F1"/>
    <w:rsid w:val="00F9090E"/>
    <w:rsid w:val="00F912EF"/>
    <w:rsid w:val="00F93C35"/>
    <w:rsid w:val="00F93DA9"/>
    <w:rsid w:val="00F94C75"/>
    <w:rsid w:val="00F95344"/>
    <w:rsid w:val="00F95D5D"/>
    <w:rsid w:val="00F96806"/>
    <w:rsid w:val="00FA1656"/>
    <w:rsid w:val="00FA1AEA"/>
    <w:rsid w:val="00FA4821"/>
    <w:rsid w:val="00FA6D91"/>
    <w:rsid w:val="00FB023D"/>
    <w:rsid w:val="00FB1367"/>
    <w:rsid w:val="00FB1F8F"/>
    <w:rsid w:val="00FB3CBA"/>
    <w:rsid w:val="00FB4629"/>
    <w:rsid w:val="00FB5620"/>
    <w:rsid w:val="00FB56D3"/>
    <w:rsid w:val="00FB59CE"/>
    <w:rsid w:val="00FB7C4B"/>
    <w:rsid w:val="00FC0511"/>
    <w:rsid w:val="00FC18C2"/>
    <w:rsid w:val="00FC2B43"/>
    <w:rsid w:val="00FC332E"/>
    <w:rsid w:val="00FC34FA"/>
    <w:rsid w:val="00FC3C41"/>
    <w:rsid w:val="00FC3CA5"/>
    <w:rsid w:val="00FC53AB"/>
    <w:rsid w:val="00FC6FC1"/>
    <w:rsid w:val="00FC733E"/>
    <w:rsid w:val="00FD0EA3"/>
    <w:rsid w:val="00FD1F16"/>
    <w:rsid w:val="00FD2CED"/>
    <w:rsid w:val="00FD35A9"/>
    <w:rsid w:val="00FD426A"/>
    <w:rsid w:val="00FD4688"/>
    <w:rsid w:val="00FD663C"/>
    <w:rsid w:val="00FD6B5D"/>
    <w:rsid w:val="00FD75A0"/>
    <w:rsid w:val="00FE0343"/>
    <w:rsid w:val="00FE4F3B"/>
    <w:rsid w:val="00FE6A8E"/>
    <w:rsid w:val="00FE7652"/>
    <w:rsid w:val="00FE7857"/>
    <w:rsid w:val="00FF07DF"/>
    <w:rsid w:val="00FF084D"/>
    <w:rsid w:val="00FF3031"/>
    <w:rsid w:val="00FF4F53"/>
    <w:rsid w:val="00FF5602"/>
    <w:rsid w:val="01306367"/>
    <w:rsid w:val="02237124"/>
    <w:rsid w:val="029D276D"/>
    <w:rsid w:val="02BA19C4"/>
    <w:rsid w:val="02C82D67"/>
    <w:rsid w:val="02E579C6"/>
    <w:rsid w:val="03447122"/>
    <w:rsid w:val="03A11EF8"/>
    <w:rsid w:val="03DF3CD6"/>
    <w:rsid w:val="04140FFD"/>
    <w:rsid w:val="045B13BE"/>
    <w:rsid w:val="04AB20A6"/>
    <w:rsid w:val="04C766DD"/>
    <w:rsid w:val="04F722F6"/>
    <w:rsid w:val="050E7E7C"/>
    <w:rsid w:val="05A519EE"/>
    <w:rsid w:val="05AE208A"/>
    <w:rsid w:val="05B277A3"/>
    <w:rsid w:val="06313F5C"/>
    <w:rsid w:val="063971CF"/>
    <w:rsid w:val="063D2D62"/>
    <w:rsid w:val="064A393C"/>
    <w:rsid w:val="064E47FC"/>
    <w:rsid w:val="068D7149"/>
    <w:rsid w:val="06DA794D"/>
    <w:rsid w:val="073101ED"/>
    <w:rsid w:val="077D162B"/>
    <w:rsid w:val="07BB10D6"/>
    <w:rsid w:val="090542F2"/>
    <w:rsid w:val="09BD2733"/>
    <w:rsid w:val="09FB3B7B"/>
    <w:rsid w:val="0A115DC0"/>
    <w:rsid w:val="0A63049C"/>
    <w:rsid w:val="0A86447A"/>
    <w:rsid w:val="0BA648FA"/>
    <w:rsid w:val="0C0F426A"/>
    <w:rsid w:val="0CB60574"/>
    <w:rsid w:val="0D105892"/>
    <w:rsid w:val="0D430C2F"/>
    <w:rsid w:val="0D842602"/>
    <w:rsid w:val="0DF02A00"/>
    <w:rsid w:val="0E045E38"/>
    <w:rsid w:val="0E7A7DA7"/>
    <w:rsid w:val="0E9368F7"/>
    <w:rsid w:val="0EA86473"/>
    <w:rsid w:val="0ED85595"/>
    <w:rsid w:val="0F3B49E2"/>
    <w:rsid w:val="0FB23C64"/>
    <w:rsid w:val="0FE0118C"/>
    <w:rsid w:val="108C10D9"/>
    <w:rsid w:val="11DF2B76"/>
    <w:rsid w:val="12032DD9"/>
    <w:rsid w:val="13061B24"/>
    <w:rsid w:val="1306639B"/>
    <w:rsid w:val="131617F3"/>
    <w:rsid w:val="13434E3C"/>
    <w:rsid w:val="135C3C57"/>
    <w:rsid w:val="13703B2C"/>
    <w:rsid w:val="147244EC"/>
    <w:rsid w:val="14B435FC"/>
    <w:rsid w:val="1521078E"/>
    <w:rsid w:val="156D041F"/>
    <w:rsid w:val="15A8667B"/>
    <w:rsid w:val="15BA2117"/>
    <w:rsid w:val="16AB3F2B"/>
    <w:rsid w:val="16ED0E65"/>
    <w:rsid w:val="17685F01"/>
    <w:rsid w:val="17705106"/>
    <w:rsid w:val="1816536B"/>
    <w:rsid w:val="190937C0"/>
    <w:rsid w:val="197D483D"/>
    <w:rsid w:val="19BE0C6C"/>
    <w:rsid w:val="19C41601"/>
    <w:rsid w:val="1AC64115"/>
    <w:rsid w:val="1B436316"/>
    <w:rsid w:val="1BA37AC4"/>
    <w:rsid w:val="1BB15325"/>
    <w:rsid w:val="1BF80445"/>
    <w:rsid w:val="1C0C3421"/>
    <w:rsid w:val="1C2603D9"/>
    <w:rsid w:val="1C316012"/>
    <w:rsid w:val="1D126E42"/>
    <w:rsid w:val="1DDA1072"/>
    <w:rsid w:val="1DE27018"/>
    <w:rsid w:val="1DFB3FB2"/>
    <w:rsid w:val="1E4D40F2"/>
    <w:rsid w:val="1E9D7D06"/>
    <w:rsid w:val="1EEA0F08"/>
    <w:rsid w:val="1F0E1C07"/>
    <w:rsid w:val="1F21072D"/>
    <w:rsid w:val="202002D0"/>
    <w:rsid w:val="205C7A73"/>
    <w:rsid w:val="20653333"/>
    <w:rsid w:val="20784036"/>
    <w:rsid w:val="207F423B"/>
    <w:rsid w:val="21AF1129"/>
    <w:rsid w:val="22281445"/>
    <w:rsid w:val="226F274D"/>
    <w:rsid w:val="229B0C31"/>
    <w:rsid w:val="23112E5C"/>
    <w:rsid w:val="23732872"/>
    <w:rsid w:val="23831719"/>
    <w:rsid w:val="23DF6CE1"/>
    <w:rsid w:val="249538BA"/>
    <w:rsid w:val="25747195"/>
    <w:rsid w:val="263A01D4"/>
    <w:rsid w:val="26A8159B"/>
    <w:rsid w:val="26B70FFE"/>
    <w:rsid w:val="26DE7AF4"/>
    <w:rsid w:val="26FF128F"/>
    <w:rsid w:val="27104E14"/>
    <w:rsid w:val="271D653A"/>
    <w:rsid w:val="27224812"/>
    <w:rsid w:val="278166C4"/>
    <w:rsid w:val="27D61BCC"/>
    <w:rsid w:val="27FB5893"/>
    <w:rsid w:val="2805090D"/>
    <w:rsid w:val="284268C1"/>
    <w:rsid w:val="284F446E"/>
    <w:rsid w:val="28665E9B"/>
    <w:rsid w:val="28CE7E4A"/>
    <w:rsid w:val="28D2427C"/>
    <w:rsid w:val="28FB3534"/>
    <w:rsid w:val="28FE607C"/>
    <w:rsid w:val="2905317B"/>
    <w:rsid w:val="29214533"/>
    <w:rsid w:val="29455AE8"/>
    <w:rsid w:val="29806B5F"/>
    <w:rsid w:val="29AE32DA"/>
    <w:rsid w:val="29D87E5E"/>
    <w:rsid w:val="29ED592F"/>
    <w:rsid w:val="2A372E37"/>
    <w:rsid w:val="2A83218B"/>
    <w:rsid w:val="2AC0623F"/>
    <w:rsid w:val="2ADA73E7"/>
    <w:rsid w:val="2AE46B3B"/>
    <w:rsid w:val="2B0712EB"/>
    <w:rsid w:val="2B423B01"/>
    <w:rsid w:val="2B9D273E"/>
    <w:rsid w:val="2BB07519"/>
    <w:rsid w:val="2C8D0F42"/>
    <w:rsid w:val="2D0C565F"/>
    <w:rsid w:val="2D1E3393"/>
    <w:rsid w:val="2D372F35"/>
    <w:rsid w:val="2D4051A2"/>
    <w:rsid w:val="2D5C3CBE"/>
    <w:rsid w:val="2DBB17FA"/>
    <w:rsid w:val="2E68700D"/>
    <w:rsid w:val="2F0A6B1C"/>
    <w:rsid w:val="2F870F85"/>
    <w:rsid w:val="2FB21075"/>
    <w:rsid w:val="2FF97FAA"/>
    <w:rsid w:val="30564722"/>
    <w:rsid w:val="30867383"/>
    <w:rsid w:val="30F01483"/>
    <w:rsid w:val="317452E4"/>
    <w:rsid w:val="31EA1873"/>
    <w:rsid w:val="31FA4489"/>
    <w:rsid w:val="322214BD"/>
    <w:rsid w:val="33120651"/>
    <w:rsid w:val="339B29C2"/>
    <w:rsid w:val="341F2E8B"/>
    <w:rsid w:val="34211234"/>
    <w:rsid w:val="34516875"/>
    <w:rsid w:val="3488639D"/>
    <w:rsid w:val="34960EC5"/>
    <w:rsid w:val="34E56FD0"/>
    <w:rsid w:val="36B42068"/>
    <w:rsid w:val="36DB6198"/>
    <w:rsid w:val="36EB2B59"/>
    <w:rsid w:val="38206506"/>
    <w:rsid w:val="38226671"/>
    <w:rsid w:val="38250E44"/>
    <w:rsid w:val="3840291A"/>
    <w:rsid w:val="38AE27BC"/>
    <w:rsid w:val="38EF0C5E"/>
    <w:rsid w:val="390C0B34"/>
    <w:rsid w:val="39BD511B"/>
    <w:rsid w:val="3A457899"/>
    <w:rsid w:val="3AA53E2F"/>
    <w:rsid w:val="3AD971E4"/>
    <w:rsid w:val="3BDF1D94"/>
    <w:rsid w:val="3BE90D36"/>
    <w:rsid w:val="3BED209B"/>
    <w:rsid w:val="3C3F07A2"/>
    <w:rsid w:val="3C93088D"/>
    <w:rsid w:val="3CEB68BC"/>
    <w:rsid w:val="3DCC145E"/>
    <w:rsid w:val="3DE22558"/>
    <w:rsid w:val="3EA34680"/>
    <w:rsid w:val="3EAD7D6F"/>
    <w:rsid w:val="3EBB19FE"/>
    <w:rsid w:val="3ECEB0B8"/>
    <w:rsid w:val="3EE95804"/>
    <w:rsid w:val="3F3B745B"/>
    <w:rsid w:val="3F5A1C43"/>
    <w:rsid w:val="3F6264CD"/>
    <w:rsid w:val="3F776BF7"/>
    <w:rsid w:val="3F886D6A"/>
    <w:rsid w:val="3FE130F3"/>
    <w:rsid w:val="3FF16A1B"/>
    <w:rsid w:val="406E7CF6"/>
    <w:rsid w:val="410E4085"/>
    <w:rsid w:val="41301568"/>
    <w:rsid w:val="415D2BB5"/>
    <w:rsid w:val="418E1B72"/>
    <w:rsid w:val="41A335F1"/>
    <w:rsid w:val="41FD55DA"/>
    <w:rsid w:val="42772602"/>
    <w:rsid w:val="42A95E47"/>
    <w:rsid w:val="43493A69"/>
    <w:rsid w:val="437F0461"/>
    <w:rsid w:val="438043EC"/>
    <w:rsid w:val="43AA5D07"/>
    <w:rsid w:val="446A5A09"/>
    <w:rsid w:val="448E21C0"/>
    <w:rsid w:val="449E1A9B"/>
    <w:rsid w:val="44C304A5"/>
    <w:rsid w:val="458E24A6"/>
    <w:rsid w:val="45FB193F"/>
    <w:rsid w:val="471274C2"/>
    <w:rsid w:val="47AA4569"/>
    <w:rsid w:val="480438C9"/>
    <w:rsid w:val="484B6E80"/>
    <w:rsid w:val="48F04CB5"/>
    <w:rsid w:val="49212F86"/>
    <w:rsid w:val="4932384E"/>
    <w:rsid w:val="49904C5B"/>
    <w:rsid w:val="49BE3E20"/>
    <w:rsid w:val="49D83142"/>
    <w:rsid w:val="49E11CBA"/>
    <w:rsid w:val="49F315B5"/>
    <w:rsid w:val="4A4174DD"/>
    <w:rsid w:val="4A476247"/>
    <w:rsid w:val="4A620A3D"/>
    <w:rsid w:val="4AAB5F19"/>
    <w:rsid w:val="4B913914"/>
    <w:rsid w:val="4BAA7928"/>
    <w:rsid w:val="4BBE40F9"/>
    <w:rsid w:val="4C132A30"/>
    <w:rsid w:val="4C4A5927"/>
    <w:rsid w:val="4D0A4153"/>
    <w:rsid w:val="4D793352"/>
    <w:rsid w:val="4DA375AA"/>
    <w:rsid w:val="4E661E01"/>
    <w:rsid w:val="4E690288"/>
    <w:rsid w:val="4F56356A"/>
    <w:rsid w:val="4F86735F"/>
    <w:rsid w:val="4F8A168A"/>
    <w:rsid w:val="4FEE4105"/>
    <w:rsid w:val="4FFBDFF4"/>
    <w:rsid w:val="514B3DF9"/>
    <w:rsid w:val="51B94B1B"/>
    <w:rsid w:val="52006413"/>
    <w:rsid w:val="52E3400F"/>
    <w:rsid w:val="52F35E36"/>
    <w:rsid w:val="52F871B5"/>
    <w:rsid w:val="533A7BFB"/>
    <w:rsid w:val="53B97B4F"/>
    <w:rsid w:val="540041D6"/>
    <w:rsid w:val="55097645"/>
    <w:rsid w:val="559C1705"/>
    <w:rsid w:val="55C82F84"/>
    <w:rsid w:val="56136AF8"/>
    <w:rsid w:val="56397A26"/>
    <w:rsid w:val="56B60BBD"/>
    <w:rsid w:val="56E71677"/>
    <w:rsid w:val="57F32536"/>
    <w:rsid w:val="57F63E04"/>
    <w:rsid w:val="58CD74BE"/>
    <w:rsid w:val="592C3EED"/>
    <w:rsid w:val="595D3AF5"/>
    <w:rsid w:val="59CE1503"/>
    <w:rsid w:val="5A3A44BD"/>
    <w:rsid w:val="5A51034D"/>
    <w:rsid w:val="5AD800D9"/>
    <w:rsid w:val="5B4628AC"/>
    <w:rsid w:val="5B884824"/>
    <w:rsid w:val="5BFB2694"/>
    <w:rsid w:val="5C401F83"/>
    <w:rsid w:val="5CA36449"/>
    <w:rsid w:val="5CB811C4"/>
    <w:rsid w:val="5D602400"/>
    <w:rsid w:val="5DA13F66"/>
    <w:rsid w:val="5DD9A7B5"/>
    <w:rsid w:val="5DEE2225"/>
    <w:rsid w:val="5DFA8112"/>
    <w:rsid w:val="5E4841DE"/>
    <w:rsid w:val="5E9710AF"/>
    <w:rsid w:val="5F424F99"/>
    <w:rsid w:val="5F5F87D8"/>
    <w:rsid w:val="5F811E7D"/>
    <w:rsid w:val="5FA7FF7D"/>
    <w:rsid w:val="5FE94681"/>
    <w:rsid w:val="600B12DB"/>
    <w:rsid w:val="603049E7"/>
    <w:rsid w:val="60311B3C"/>
    <w:rsid w:val="60430FB9"/>
    <w:rsid w:val="606E3D1A"/>
    <w:rsid w:val="60C06D43"/>
    <w:rsid w:val="60D142EA"/>
    <w:rsid w:val="61097901"/>
    <w:rsid w:val="613A1697"/>
    <w:rsid w:val="61945CE8"/>
    <w:rsid w:val="61A807BB"/>
    <w:rsid w:val="61DB708B"/>
    <w:rsid w:val="61DC2FEB"/>
    <w:rsid w:val="626961B3"/>
    <w:rsid w:val="632A4E20"/>
    <w:rsid w:val="63660521"/>
    <w:rsid w:val="6406235A"/>
    <w:rsid w:val="64591CAA"/>
    <w:rsid w:val="645D7753"/>
    <w:rsid w:val="64663FA6"/>
    <w:rsid w:val="65822BED"/>
    <w:rsid w:val="65B07538"/>
    <w:rsid w:val="65C642C2"/>
    <w:rsid w:val="661314F3"/>
    <w:rsid w:val="66195C22"/>
    <w:rsid w:val="662A3E44"/>
    <w:rsid w:val="663766D9"/>
    <w:rsid w:val="664E37D9"/>
    <w:rsid w:val="666645F0"/>
    <w:rsid w:val="667B564F"/>
    <w:rsid w:val="66C73808"/>
    <w:rsid w:val="66FB4EC3"/>
    <w:rsid w:val="67C41D25"/>
    <w:rsid w:val="67F30A95"/>
    <w:rsid w:val="68687E98"/>
    <w:rsid w:val="68881A78"/>
    <w:rsid w:val="68CB0DD6"/>
    <w:rsid w:val="68FF56AB"/>
    <w:rsid w:val="69583CF5"/>
    <w:rsid w:val="698E6A9A"/>
    <w:rsid w:val="69ED07EE"/>
    <w:rsid w:val="69EE130A"/>
    <w:rsid w:val="6A91144F"/>
    <w:rsid w:val="6B703EDA"/>
    <w:rsid w:val="6BA865A6"/>
    <w:rsid w:val="6BE57E8C"/>
    <w:rsid w:val="6C96661A"/>
    <w:rsid w:val="6C9708CF"/>
    <w:rsid w:val="6CAC17A2"/>
    <w:rsid w:val="6CE566C7"/>
    <w:rsid w:val="6DE556CE"/>
    <w:rsid w:val="6E522749"/>
    <w:rsid w:val="6F1331CE"/>
    <w:rsid w:val="6FB500E6"/>
    <w:rsid w:val="7031657C"/>
    <w:rsid w:val="70D803EA"/>
    <w:rsid w:val="71067EFC"/>
    <w:rsid w:val="72613E2E"/>
    <w:rsid w:val="72A64F6C"/>
    <w:rsid w:val="72F25778"/>
    <w:rsid w:val="72F4602F"/>
    <w:rsid w:val="72FB2FB8"/>
    <w:rsid w:val="730152FA"/>
    <w:rsid w:val="73380D60"/>
    <w:rsid w:val="73514C72"/>
    <w:rsid w:val="73ED259F"/>
    <w:rsid w:val="74184AC5"/>
    <w:rsid w:val="741A2521"/>
    <w:rsid w:val="741A605D"/>
    <w:rsid w:val="74A85DBB"/>
    <w:rsid w:val="74B17A6A"/>
    <w:rsid w:val="74DE36F1"/>
    <w:rsid w:val="752F02A1"/>
    <w:rsid w:val="75616F1B"/>
    <w:rsid w:val="75CF6A79"/>
    <w:rsid w:val="75FA66DA"/>
    <w:rsid w:val="7628701A"/>
    <w:rsid w:val="76414469"/>
    <w:rsid w:val="76766F47"/>
    <w:rsid w:val="7685092A"/>
    <w:rsid w:val="768E6903"/>
    <w:rsid w:val="775677CF"/>
    <w:rsid w:val="77870F02"/>
    <w:rsid w:val="77891CD7"/>
    <w:rsid w:val="77B78902"/>
    <w:rsid w:val="77C520CC"/>
    <w:rsid w:val="781E5903"/>
    <w:rsid w:val="784B6D46"/>
    <w:rsid w:val="797107A1"/>
    <w:rsid w:val="79831AC8"/>
    <w:rsid w:val="79E314BF"/>
    <w:rsid w:val="7A6B368C"/>
    <w:rsid w:val="7A6F2CB1"/>
    <w:rsid w:val="7AA02E65"/>
    <w:rsid w:val="7AA06B2B"/>
    <w:rsid w:val="7AA265D3"/>
    <w:rsid w:val="7B2E4781"/>
    <w:rsid w:val="7B674ADF"/>
    <w:rsid w:val="7C077BC4"/>
    <w:rsid w:val="7C117FE0"/>
    <w:rsid w:val="7E2149F0"/>
    <w:rsid w:val="7E2C19FD"/>
    <w:rsid w:val="7E3F6FF9"/>
    <w:rsid w:val="7E6904D1"/>
    <w:rsid w:val="7EAF59BE"/>
    <w:rsid w:val="7ED21CFE"/>
    <w:rsid w:val="7ED67CE2"/>
    <w:rsid w:val="7ED82026"/>
    <w:rsid w:val="7F0317E3"/>
    <w:rsid w:val="7F324788"/>
    <w:rsid w:val="7F3A3FBC"/>
    <w:rsid w:val="7F4C4562"/>
    <w:rsid w:val="7F6F5AC5"/>
    <w:rsid w:val="7FB7CA43"/>
    <w:rsid w:val="7FC65B97"/>
    <w:rsid w:val="9BB46760"/>
    <w:rsid w:val="9DBFF794"/>
    <w:rsid w:val="9F690AA2"/>
    <w:rsid w:val="C7DFC0A1"/>
    <w:rsid w:val="CFBFA216"/>
    <w:rsid w:val="CFF7D981"/>
    <w:rsid w:val="DFF02E17"/>
    <w:rsid w:val="EDFF2E81"/>
    <w:rsid w:val="F3D41D5A"/>
    <w:rsid w:val="F3FF0B5C"/>
    <w:rsid w:val="F4D9A9BB"/>
    <w:rsid w:val="FAF771ED"/>
    <w:rsid w:val="FE7E14D5"/>
    <w:rsid w:val="FE7FD539"/>
    <w:rsid w:val="FF715310"/>
    <w:rsid w:val="FFDDEF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qFormat="1" w:unhideWhenUsed="0" w:uiPriority="0" w:semiHidden="0" w:name="toc 2"/>
    <w:lsdException w:qFormat="1" w:unhideWhenUsed="0" w:uiPriority="0"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99" w:name="index heading"/>
    <w:lsdException w:qFormat="1" w:uiPriority="0" w:semiHidden="0" w:name="caption"/>
    <w:lsdException w:uiPriority="99" w:name="table of figures"/>
    <w:lsdException w:uiPriority="99" w:name="envelope address"/>
    <w:lsdException w:qFormat="1" w:unhideWhenUsed="0" w:uiPriority="0" w:semiHidden="0" w:name="envelope return"/>
    <w:lsdException w:qFormat="1" w:unhideWhenUsed="0" w:uiPriority="0" w:semiHidden="0" w:name="footnote reference"/>
    <w:lsdException w:qFormat="1" w:unhideWhenUsed="0" w:uiPriority="0" w:semiHidden="0" w:name="annotation reference"/>
    <w:lsdException w:uiPriority="99"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qFormat="1" w:unhideWhenUsed="0" w:uiPriority="0" w:semiHidden="0" w:name="Body Text First Indent"/>
    <w:lsdException w:qFormat="1" w:unhideWhenUsed="0" w:uiPriority="0" w:semiHidden="0"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adjustRightInd w:val="0"/>
      <w:snapToGrid w:val="0"/>
      <w:spacing w:before="50" w:beforeLines="50" w:after="50" w:afterLines="50" w:line="288" w:lineRule="auto"/>
      <w:ind w:firstLine="440" w:firstLineChars="200"/>
      <w:jc w:val="both"/>
    </w:pPr>
    <w:rPr>
      <w:rFonts w:ascii="汉仪典雅体简" w:hAnsi="汉仪典雅体简" w:eastAsia="汉仪典雅体简" w:cstheme="minorBidi"/>
      <w:kern w:val="2"/>
      <w:sz w:val="22"/>
      <w:szCs w:val="22"/>
      <w:lang w:val="en-US" w:eastAsia="zh-CN" w:bidi="ar-SA"/>
    </w:rPr>
  </w:style>
  <w:style w:type="paragraph" w:styleId="2">
    <w:name w:val="heading 1"/>
    <w:next w:val="1"/>
    <w:link w:val="58"/>
    <w:autoRedefine/>
    <w:qFormat/>
    <w:uiPriority w:val="9"/>
    <w:pPr>
      <w:keepNext/>
      <w:keepLines/>
      <w:numPr>
        <w:ilvl w:val="0"/>
        <w:numId w:val="0"/>
      </w:numPr>
      <w:pBdr>
        <w:top w:val="none" w:color="auto" w:sz="0" w:space="1"/>
        <w:left w:val="single" w:color="ED7721" w:sz="48" w:space="1"/>
        <w:bottom w:val="none" w:color="79B6F5" w:sz="0" w:space="1"/>
        <w:right w:val="none" w:color="auto" w:sz="0" w:space="4"/>
      </w:pBdr>
      <w:shd w:val="clear" w:color="A9BFF7" w:fill="FDE7D8"/>
      <w:adjustRightInd w:val="0"/>
      <w:snapToGrid w:val="0"/>
      <w:spacing w:before="100" w:beforeLines="100" w:line="240" w:lineRule="auto"/>
      <w:ind w:left="0" w:leftChars="0" w:firstLine="454" w:firstLineChars="0"/>
      <w:jc w:val="left"/>
      <w:outlineLvl w:val="0"/>
    </w:pPr>
    <w:rPr>
      <w:rFonts w:ascii="汉仪正圆 55简" w:hAnsi="汉仪正圆 55简" w:eastAsia="汉仪正圆 55简" w:cstheme="minorBidi"/>
      <w:b/>
      <w:color w:val="EC6D18"/>
      <w:kern w:val="44"/>
      <w:sz w:val="36"/>
      <w:szCs w:val="36"/>
      <w:lang w:val="en-US" w:eastAsia="zh-CN" w:bidi="ar-SA"/>
    </w:rPr>
  </w:style>
  <w:style w:type="paragraph" w:styleId="3">
    <w:name w:val="heading 2"/>
    <w:next w:val="1"/>
    <w:link w:val="57"/>
    <w:autoRedefine/>
    <w:unhideWhenUsed/>
    <w:qFormat/>
    <w:uiPriority w:val="9"/>
    <w:pPr>
      <w:numPr>
        <w:ilvl w:val="1"/>
        <w:numId w:val="1"/>
      </w:numPr>
      <w:adjustRightInd w:val="0"/>
      <w:snapToGrid w:val="0"/>
      <w:spacing w:before="100" w:beforeLines="100" w:line="288" w:lineRule="auto"/>
      <w:ind w:left="454" w:hanging="454"/>
      <w:outlineLvl w:val="1"/>
    </w:pPr>
    <w:rPr>
      <w:rFonts w:ascii="汉仪正圆 55简" w:hAnsi="汉仪正圆 55简" w:eastAsia="汉仪正圆 55简" w:cstheme="minorBidi"/>
      <w:b/>
      <w:bCs/>
      <w:color w:val="EC6D18"/>
      <w:kern w:val="2"/>
      <w:sz w:val="36"/>
      <w:szCs w:val="36"/>
      <w:lang w:val="en-US" w:eastAsia="zh-CN" w:bidi="ar-SA"/>
    </w:rPr>
  </w:style>
  <w:style w:type="paragraph" w:styleId="4">
    <w:name w:val="heading 3"/>
    <w:next w:val="1"/>
    <w:autoRedefine/>
    <w:unhideWhenUsed/>
    <w:qFormat/>
    <w:uiPriority w:val="9"/>
    <w:pPr>
      <w:numPr>
        <w:ilvl w:val="2"/>
        <w:numId w:val="2"/>
      </w:numPr>
      <w:tabs>
        <w:tab w:val="clear" w:pos="0"/>
      </w:tabs>
      <w:adjustRightInd w:val="0"/>
      <w:snapToGrid w:val="0"/>
      <w:spacing w:before="100" w:beforeLines="100" w:line="288" w:lineRule="auto"/>
      <w:ind w:left="454" w:hanging="454"/>
      <w:outlineLvl w:val="2"/>
    </w:pPr>
    <w:rPr>
      <w:rFonts w:ascii="汉仪正圆 55简" w:hAnsi="汉仪正圆 55简" w:eastAsia="汉仪正圆 55简" w:cstheme="minorBidi"/>
      <w:b/>
      <w:bCs/>
      <w:color w:val="333333"/>
      <w:kern w:val="2"/>
      <w:sz w:val="32"/>
      <w:szCs w:val="32"/>
      <w:lang w:val="en-US" w:eastAsia="zh-CN" w:bidi="ar-SA"/>
    </w:rPr>
  </w:style>
  <w:style w:type="paragraph" w:styleId="5">
    <w:name w:val="heading 4"/>
    <w:next w:val="1"/>
    <w:autoRedefine/>
    <w:unhideWhenUsed/>
    <w:qFormat/>
    <w:uiPriority w:val="9"/>
    <w:pPr>
      <w:numPr>
        <w:ilvl w:val="3"/>
        <w:numId w:val="0"/>
      </w:numPr>
      <w:adjustRightInd w:val="0"/>
      <w:snapToGrid w:val="0"/>
      <w:spacing w:before="100" w:beforeLines="100" w:line="288" w:lineRule="auto"/>
      <w:ind w:left="454" w:firstLine="0"/>
      <w:outlineLvl w:val="3"/>
    </w:pPr>
    <w:rPr>
      <w:rFonts w:ascii="汉仪正圆 55简" w:hAnsi="汉仪正圆 55简" w:eastAsia="汉仪正圆 55简" w:cstheme="minorBidi"/>
      <w:b/>
      <w:bCs/>
      <w:color w:val="333333"/>
      <w:sz w:val="28"/>
      <w:szCs w:val="28"/>
      <w:lang w:val="en-US" w:eastAsia="zh-CN" w:bidi="ar-SA"/>
    </w:rPr>
  </w:style>
  <w:style w:type="paragraph" w:styleId="6">
    <w:name w:val="heading 5"/>
    <w:next w:val="1"/>
    <w:autoRedefine/>
    <w:unhideWhenUsed/>
    <w:qFormat/>
    <w:uiPriority w:val="9"/>
    <w:pPr>
      <w:snapToGrid w:val="0"/>
      <w:spacing w:before="100" w:beforeLines="100" w:line="288" w:lineRule="auto"/>
      <w:ind w:left="440" w:hanging="440"/>
      <w:outlineLvl w:val="4"/>
    </w:pPr>
    <w:rPr>
      <w:rFonts w:ascii="汉仪正圆 55简" w:hAnsi="汉仪正圆 55简" w:eastAsia="汉仪正圆 55简" w:cstheme="minorBidi"/>
      <w:b/>
      <w:bCs/>
      <w:color w:val="333333"/>
      <w:sz w:val="24"/>
      <w:szCs w:val="24"/>
      <w:lang w:val="en-US" w:eastAsia="zh-CN" w:bidi="ar-SA"/>
    </w:rPr>
  </w:style>
  <w:style w:type="paragraph" w:styleId="7">
    <w:name w:val="heading 6"/>
    <w:next w:val="1"/>
    <w:autoRedefine/>
    <w:unhideWhenUsed/>
    <w:qFormat/>
    <w:uiPriority w:val="0"/>
    <w:pPr>
      <w:snapToGrid w:val="0"/>
      <w:spacing w:before="100" w:beforeLines="100" w:line="288" w:lineRule="auto"/>
      <w:ind w:left="440" w:hanging="440"/>
      <w:outlineLvl w:val="5"/>
    </w:pPr>
    <w:rPr>
      <w:rFonts w:ascii="汉仪正圆 55简" w:hAnsi="汉仪正圆 55简" w:eastAsia="汉仪正圆 55简" w:cstheme="minorBidi"/>
      <w:b/>
      <w:bCs/>
      <w:color w:val="333333"/>
      <w:sz w:val="24"/>
      <w:szCs w:val="24"/>
      <w:lang w:val="en-US" w:eastAsia="zh-CN" w:bidi="ar-SA"/>
    </w:rPr>
  </w:style>
  <w:style w:type="paragraph" w:styleId="8">
    <w:name w:val="heading 7"/>
    <w:next w:val="1"/>
    <w:autoRedefine/>
    <w:unhideWhenUsed/>
    <w:qFormat/>
    <w:uiPriority w:val="0"/>
    <w:pPr>
      <w:tabs>
        <w:tab w:val="left" w:pos="4800"/>
      </w:tabs>
      <w:snapToGrid w:val="0"/>
      <w:spacing w:before="100" w:beforeLines="100" w:line="288" w:lineRule="auto"/>
      <w:ind w:left="440" w:hanging="440"/>
      <w:outlineLvl w:val="6"/>
    </w:pPr>
    <w:rPr>
      <w:rFonts w:ascii="汉仪正圆 55简" w:hAnsi="汉仪正圆 55简" w:eastAsia="汉仪正圆 55简" w:cstheme="minorBidi"/>
      <w:b/>
      <w:bCs/>
      <w:color w:val="333333"/>
      <w:sz w:val="24"/>
      <w:szCs w:val="24"/>
      <w:lang w:val="en-US" w:eastAsia="zh-CN" w:bidi="ar-SA"/>
    </w:rPr>
  </w:style>
  <w:style w:type="paragraph" w:styleId="9">
    <w:name w:val="heading 8"/>
    <w:next w:val="1"/>
    <w:autoRedefine/>
    <w:unhideWhenUsed/>
    <w:qFormat/>
    <w:uiPriority w:val="0"/>
    <w:pPr>
      <w:snapToGrid w:val="0"/>
      <w:spacing w:before="100" w:beforeLines="100" w:line="288" w:lineRule="auto"/>
      <w:ind w:left="440" w:hanging="440"/>
      <w:outlineLvl w:val="7"/>
    </w:pPr>
    <w:rPr>
      <w:rFonts w:ascii="汉仪正圆 55简" w:hAnsi="汉仪正圆 55简" w:eastAsia="汉仪正圆 55简" w:cstheme="majorBidi"/>
      <w:b/>
      <w:bCs/>
      <w:color w:val="333333"/>
      <w:sz w:val="24"/>
      <w:szCs w:val="24"/>
      <w:lang w:val="en-US" w:eastAsia="zh-CN" w:bidi="ar-SA"/>
    </w:rPr>
  </w:style>
  <w:style w:type="paragraph" w:styleId="10">
    <w:name w:val="heading 9"/>
    <w:next w:val="1"/>
    <w:autoRedefine/>
    <w:unhideWhenUsed/>
    <w:qFormat/>
    <w:uiPriority w:val="0"/>
    <w:pPr>
      <w:snapToGrid w:val="0"/>
      <w:spacing w:before="100" w:beforeLines="100" w:line="288" w:lineRule="auto"/>
      <w:ind w:left="440" w:hanging="440"/>
      <w:outlineLvl w:val="8"/>
    </w:pPr>
    <w:rPr>
      <w:rFonts w:ascii="汉仪正圆 55简" w:hAnsi="汉仪正圆 55简" w:eastAsia="汉仪正圆 55简" w:cstheme="majorBidi"/>
      <w:b/>
      <w:bCs/>
      <w:color w:val="333333"/>
      <w:sz w:val="24"/>
      <w:szCs w:val="24"/>
      <w:lang w:val="en-US" w:eastAsia="zh-CN" w:bidi="ar-SA"/>
    </w:rPr>
  </w:style>
  <w:style w:type="character" w:default="1" w:styleId="48">
    <w:name w:val="Default Paragraph Font"/>
    <w:autoRedefine/>
    <w:semiHidden/>
    <w:unhideWhenUsed/>
    <w:qFormat/>
    <w:uiPriority w:val="1"/>
  </w:style>
  <w:style w:type="table" w:default="1" w:styleId="46">
    <w:name w:val="Normal Table"/>
    <w:autoRedefin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ind w:left="1800"/>
      <w:jc w:val="left"/>
    </w:pPr>
    <w:rPr>
      <w:rFonts w:ascii="等线" w:eastAsia="等线"/>
      <w:sz w:val="18"/>
      <w:szCs w:val="18"/>
    </w:rPr>
  </w:style>
  <w:style w:type="paragraph" w:styleId="12">
    <w:name w:val="List Bullet 4"/>
    <w:basedOn w:val="1"/>
    <w:autoRedefine/>
    <w:qFormat/>
    <w:uiPriority w:val="0"/>
    <w:pPr>
      <w:numPr>
        <w:ilvl w:val="0"/>
        <w:numId w:val="3"/>
      </w:numPr>
      <w:ind w:firstLineChars="0"/>
    </w:pPr>
  </w:style>
  <w:style w:type="paragraph" w:styleId="13">
    <w:name w:val="Normal Indent"/>
    <w:basedOn w:val="1"/>
    <w:next w:val="1"/>
    <w:autoRedefine/>
    <w:qFormat/>
    <w:uiPriority w:val="0"/>
    <w:pPr>
      <w:ind w:firstLine="420"/>
    </w:pPr>
    <w:rPr>
      <w:rFonts w:ascii="Times New Roman" w:eastAsia="宋体"/>
      <w:szCs w:val="20"/>
    </w:rPr>
  </w:style>
  <w:style w:type="paragraph" w:styleId="14">
    <w:name w:val="caption"/>
    <w:basedOn w:val="1"/>
    <w:next w:val="1"/>
    <w:autoRedefine/>
    <w:unhideWhenUsed/>
    <w:qFormat/>
    <w:uiPriority w:val="0"/>
    <w:pPr>
      <w:ind w:firstLine="0" w:firstLineChars="0"/>
    </w:pPr>
    <w:rPr>
      <w:rFonts w:ascii="汉仪典雅体简" w:hAnsi="汉仪典雅体简"/>
      <w:sz w:val="20"/>
      <w:szCs w:val="20"/>
    </w:rPr>
  </w:style>
  <w:style w:type="paragraph" w:styleId="15">
    <w:name w:val="List Bullet"/>
    <w:basedOn w:val="1"/>
    <w:autoRedefine/>
    <w:qFormat/>
    <w:uiPriority w:val="0"/>
    <w:pPr>
      <w:numPr>
        <w:ilvl w:val="0"/>
        <w:numId w:val="4"/>
      </w:numPr>
      <w:ind w:left="454" w:hanging="454" w:firstLineChars="0"/>
    </w:pPr>
  </w:style>
  <w:style w:type="paragraph" w:styleId="16">
    <w:name w:val="Document Map"/>
    <w:basedOn w:val="1"/>
    <w:link w:val="59"/>
    <w:autoRedefine/>
    <w:qFormat/>
    <w:uiPriority w:val="0"/>
    <w:pPr>
      <w:shd w:val="clear" w:color="auto" w:fill="000080"/>
    </w:pPr>
  </w:style>
  <w:style w:type="paragraph" w:styleId="17">
    <w:name w:val="annotation text"/>
    <w:basedOn w:val="1"/>
    <w:link w:val="60"/>
    <w:autoRedefine/>
    <w:qFormat/>
    <w:uiPriority w:val="0"/>
    <w:pPr>
      <w:ind w:firstLine="0" w:firstLineChars="0"/>
      <w:jc w:val="left"/>
    </w:pPr>
  </w:style>
  <w:style w:type="paragraph" w:styleId="18">
    <w:name w:val="List Bullet 3"/>
    <w:basedOn w:val="1"/>
    <w:autoRedefine/>
    <w:qFormat/>
    <w:uiPriority w:val="0"/>
    <w:pPr>
      <w:numPr>
        <w:ilvl w:val="0"/>
        <w:numId w:val="5"/>
      </w:numPr>
      <w:ind w:left="1270" w:firstLineChars="0"/>
    </w:pPr>
  </w:style>
  <w:style w:type="paragraph" w:styleId="19">
    <w:name w:val="Body Text"/>
    <w:basedOn w:val="1"/>
    <w:autoRedefine/>
    <w:qFormat/>
    <w:uiPriority w:val="0"/>
    <w:pPr>
      <w:spacing w:after="50" w:afterLines="50" w:afterAutospacing="0"/>
    </w:pPr>
  </w:style>
  <w:style w:type="paragraph" w:styleId="20">
    <w:name w:val="Body Text Indent"/>
    <w:basedOn w:val="1"/>
    <w:next w:val="21"/>
    <w:autoRedefine/>
    <w:qFormat/>
    <w:uiPriority w:val="0"/>
    <w:pPr>
      <w:ind w:firstLine="570"/>
    </w:pPr>
    <w:rPr>
      <w:rFonts w:ascii="宋体" w:hAnsi="宋体"/>
      <w:sz w:val="28"/>
    </w:rPr>
  </w:style>
  <w:style w:type="paragraph" w:styleId="21">
    <w:name w:val="envelope return"/>
    <w:basedOn w:val="1"/>
    <w:autoRedefine/>
    <w:qFormat/>
    <w:uiPriority w:val="0"/>
    <w:pPr>
      <w:snapToGrid w:val="0"/>
    </w:pPr>
    <w:rPr>
      <w:rFonts w:ascii="Arial" w:hAnsi="Arial"/>
    </w:rPr>
  </w:style>
  <w:style w:type="paragraph" w:styleId="22">
    <w:name w:val="List Bullet 2"/>
    <w:basedOn w:val="1"/>
    <w:autoRedefine/>
    <w:qFormat/>
    <w:uiPriority w:val="0"/>
    <w:pPr>
      <w:numPr>
        <w:ilvl w:val="0"/>
        <w:numId w:val="6"/>
      </w:numPr>
      <w:ind w:left="839" w:firstLineChars="0"/>
    </w:pPr>
  </w:style>
  <w:style w:type="paragraph" w:styleId="23">
    <w:name w:val="toc 5"/>
    <w:basedOn w:val="1"/>
    <w:next w:val="1"/>
    <w:autoRedefine/>
    <w:unhideWhenUsed/>
    <w:qFormat/>
    <w:uiPriority w:val="39"/>
    <w:pPr>
      <w:ind w:left="1200"/>
      <w:jc w:val="left"/>
    </w:pPr>
    <w:rPr>
      <w:rFonts w:ascii="等线" w:eastAsia="等线"/>
      <w:sz w:val="18"/>
      <w:szCs w:val="18"/>
    </w:rPr>
  </w:style>
  <w:style w:type="paragraph" w:styleId="24">
    <w:name w:val="toc 3"/>
    <w:basedOn w:val="25"/>
    <w:next w:val="1"/>
    <w:autoRedefine/>
    <w:qFormat/>
    <w:uiPriority w:val="0"/>
    <w:pPr>
      <w:tabs>
        <w:tab w:val="right" w:leader="dot" w:pos="8306"/>
      </w:tabs>
    </w:pPr>
  </w:style>
  <w:style w:type="paragraph" w:styleId="25">
    <w:name w:val="toc 2"/>
    <w:basedOn w:val="26"/>
    <w:next w:val="1"/>
    <w:autoRedefine/>
    <w:qFormat/>
    <w:uiPriority w:val="0"/>
    <w:pPr>
      <w:tabs>
        <w:tab w:val="right" w:leader="dot" w:pos="8306"/>
      </w:tabs>
    </w:pPr>
  </w:style>
  <w:style w:type="paragraph" w:styleId="26">
    <w:name w:val="toc 1"/>
    <w:basedOn w:val="1"/>
    <w:next w:val="1"/>
    <w:autoRedefine/>
    <w:qFormat/>
    <w:uiPriority w:val="0"/>
    <w:pPr>
      <w:tabs>
        <w:tab w:val="right" w:leader="dot" w:pos="8306"/>
      </w:tabs>
    </w:pPr>
    <w:rPr>
      <w:rFonts w:ascii="汉仪正圆 55简" w:hAnsi="汉仪正圆 55简" w:eastAsia="汉仪正圆 55简" w:cs="汉仪正圆 55简"/>
    </w:rPr>
  </w:style>
  <w:style w:type="paragraph" w:styleId="27">
    <w:name w:val="List Bullet 5"/>
    <w:basedOn w:val="1"/>
    <w:autoRedefine/>
    <w:qFormat/>
    <w:uiPriority w:val="0"/>
    <w:pPr>
      <w:numPr>
        <w:ilvl w:val="0"/>
        <w:numId w:val="7"/>
      </w:numPr>
      <w:ind w:firstLineChars="0"/>
    </w:pPr>
  </w:style>
  <w:style w:type="paragraph" w:styleId="28">
    <w:name w:val="toc 8"/>
    <w:basedOn w:val="1"/>
    <w:next w:val="1"/>
    <w:autoRedefine/>
    <w:unhideWhenUsed/>
    <w:qFormat/>
    <w:uiPriority w:val="39"/>
    <w:pPr>
      <w:ind w:left="2100"/>
      <w:jc w:val="left"/>
    </w:pPr>
    <w:rPr>
      <w:rFonts w:ascii="等线" w:eastAsia="等线"/>
      <w:sz w:val="18"/>
      <w:szCs w:val="18"/>
    </w:rPr>
  </w:style>
  <w:style w:type="paragraph" w:styleId="29">
    <w:name w:val="Body Text Indent 2"/>
    <w:basedOn w:val="1"/>
    <w:link w:val="61"/>
    <w:autoRedefine/>
    <w:qFormat/>
    <w:uiPriority w:val="0"/>
    <w:pPr>
      <w:spacing w:after="120" w:line="480" w:lineRule="auto"/>
      <w:ind w:left="420" w:leftChars="200"/>
    </w:pPr>
    <w:rPr>
      <w:rFonts w:eastAsia="宋体"/>
      <w:kern w:val="0"/>
      <w:sz w:val="24"/>
      <w:szCs w:val="24"/>
    </w:rPr>
  </w:style>
  <w:style w:type="paragraph" w:styleId="30">
    <w:name w:val="endnote text"/>
    <w:basedOn w:val="1"/>
    <w:autoRedefine/>
    <w:qFormat/>
    <w:uiPriority w:val="0"/>
    <w:pPr>
      <w:ind w:firstLine="0" w:firstLineChars="0"/>
      <w:jc w:val="left"/>
    </w:pPr>
  </w:style>
  <w:style w:type="paragraph" w:styleId="31">
    <w:name w:val="Balloon Text"/>
    <w:basedOn w:val="1"/>
    <w:link w:val="62"/>
    <w:autoRedefine/>
    <w:qFormat/>
    <w:uiPriority w:val="0"/>
    <w:pPr>
      <w:ind w:firstLine="0" w:firstLineChars="0"/>
    </w:pPr>
    <w:rPr>
      <w:sz w:val="18"/>
      <w:szCs w:val="18"/>
    </w:rPr>
  </w:style>
  <w:style w:type="paragraph" w:styleId="32">
    <w:name w:val="footer"/>
    <w:basedOn w:val="1"/>
    <w:link w:val="63"/>
    <w:autoRedefine/>
    <w:qFormat/>
    <w:uiPriority w:val="0"/>
    <w:pPr>
      <w:tabs>
        <w:tab w:val="center" w:pos="4153"/>
        <w:tab w:val="right" w:pos="8306"/>
      </w:tabs>
      <w:ind w:firstLine="0" w:firstLineChars="0"/>
      <w:jc w:val="center"/>
    </w:pPr>
    <w:rPr>
      <w:sz w:val="18"/>
      <w:szCs w:val="18"/>
    </w:rPr>
  </w:style>
  <w:style w:type="paragraph" w:styleId="33">
    <w:name w:val="header"/>
    <w:basedOn w:val="1"/>
    <w:link w:val="64"/>
    <w:autoRedefine/>
    <w:qFormat/>
    <w:uiPriority w:val="0"/>
    <w:pPr>
      <w:pBdr>
        <w:top w:val="none" w:color="auto" w:sz="0" w:space="1"/>
        <w:left w:val="none" w:color="auto" w:sz="0" w:space="4"/>
        <w:bottom w:val="none" w:color="auto" w:sz="0" w:space="1"/>
        <w:right w:val="none" w:color="auto" w:sz="0" w:space="4"/>
      </w:pBdr>
      <w:tabs>
        <w:tab w:val="center" w:pos="4153"/>
        <w:tab w:val="right" w:pos="8306"/>
      </w:tabs>
      <w:ind w:firstLine="0" w:firstLineChars="0"/>
      <w:jc w:val="center"/>
    </w:pPr>
    <w:rPr>
      <w:sz w:val="18"/>
      <w:szCs w:val="18"/>
    </w:rPr>
  </w:style>
  <w:style w:type="paragraph" w:styleId="34">
    <w:name w:val="toc 4"/>
    <w:basedOn w:val="1"/>
    <w:next w:val="1"/>
    <w:autoRedefine/>
    <w:unhideWhenUsed/>
    <w:qFormat/>
    <w:uiPriority w:val="39"/>
    <w:pPr>
      <w:ind w:left="900"/>
      <w:jc w:val="left"/>
    </w:pPr>
    <w:rPr>
      <w:rFonts w:ascii="等线" w:eastAsia="等线"/>
      <w:sz w:val="18"/>
      <w:szCs w:val="18"/>
    </w:rPr>
  </w:style>
  <w:style w:type="paragraph" w:styleId="35">
    <w:name w:val="Subtitle"/>
    <w:link w:val="65"/>
    <w:autoRedefine/>
    <w:qFormat/>
    <w:uiPriority w:val="0"/>
    <w:pPr>
      <w:spacing w:beforeLines="0" w:beforeAutospacing="0" w:afterLines="0" w:afterAutospacing="0" w:line="240" w:lineRule="auto"/>
      <w:jc w:val="center"/>
      <w:outlineLvl w:val="0"/>
    </w:pPr>
    <w:rPr>
      <w:rFonts w:ascii="汉仪正圆 55简" w:hAnsi="汉仪正圆 55简" w:eastAsia="汉仪正圆 55简" w:cstheme="minorBidi"/>
      <w:b/>
      <w:color w:val="333333"/>
      <w:kern w:val="28"/>
      <w:sz w:val="48"/>
      <w:szCs w:val="48"/>
    </w:rPr>
  </w:style>
  <w:style w:type="paragraph" w:styleId="36">
    <w:name w:val="footnote text"/>
    <w:basedOn w:val="1"/>
    <w:link w:val="66"/>
    <w:autoRedefine/>
    <w:qFormat/>
    <w:uiPriority w:val="0"/>
    <w:pPr>
      <w:ind w:firstLine="0" w:firstLineChars="0"/>
      <w:jc w:val="left"/>
    </w:pPr>
    <w:rPr>
      <w:sz w:val="18"/>
      <w:szCs w:val="18"/>
    </w:rPr>
  </w:style>
  <w:style w:type="paragraph" w:styleId="37">
    <w:name w:val="toc 6"/>
    <w:basedOn w:val="1"/>
    <w:next w:val="1"/>
    <w:autoRedefine/>
    <w:unhideWhenUsed/>
    <w:qFormat/>
    <w:uiPriority w:val="39"/>
    <w:pPr>
      <w:ind w:left="1500"/>
      <w:jc w:val="left"/>
    </w:pPr>
    <w:rPr>
      <w:rFonts w:ascii="等线" w:eastAsia="等线"/>
      <w:sz w:val="18"/>
      <w:szCs w:val="18"/>
    </w:rPr>
  </w:style>
  <w:style w:type="paragraph" w:styleId="38">
    <w:name w:val="Body Text Indent 3"/>
    <w:basedOn w:val="1"/>
    <w:autoRedefine/>
    <w:qFormat/>
    <w:uiPriority w:val="0"/>
    <w:pPr>
      <w:adjustRightInd w:val="0"/>
      <w:snapToGrid w:val="0"/>
      <w:spacing w:line="360" w:lineRule="auto"/>
      <w:ind w:firstLine="480" w:firstLineChars="200"/>
    </w:pPr>
    <w:rPr>
      <w:rFonts w:ascii="楷体_GB2312" w:eastAsia="楷体_GB2312"/>
      <w:color w:val="FF0000"/>
      <w:sz w:val="24"/>
      <w:szCs w:val="24"/>
    </w:rPr>
  </w:style>
  <w:style w:type="paragraph" w:styleId="39">
    <w:name w:val="toc 9"/>
    <w:basedOn w:val="1"/>
    <w:next w:val="1"/>
    <w:autoRedefine/>
    <w:unhideWhenUsed/>
    <w:qFormat/>
    <w:uiPriority w:val="39"/>
    <w:pPr>
      <w:ind w:left="2400"/>
      <w:jc w:val="left"/>
    </w:pPr>
    <w:rPr>
      <w:rFonts w:ascii="等线" w:eastAsia="等线"/>
      <w:sz w:val="18"/>
      <w:szCs w:val="18"/>
    </w:rPr>
  </w:style>
  <w:style w:type="paragraph" w:styleId="40">
    <w:name w:val="Body Text 2"/>
    <w:basedOn w:val="1"/>
    <w:autoRedefine/>
    <w:qFormat/>
    <w:uiPriority w:val="0"/>
    <w:pPr>
      <w:spacing w:after="120" w:line="480" w:lineRule="auto"/>
    </w:pPr>
  </w:style>
  <w:style w:type="paragraph" w:styleId="41">
    <w:name w:val="Normal (Web)"/>
    <w:basedOn w:val="1"/>
    <w:autoRedefine/>
    <w:unhideWhenUsed/>
    <w:qFormat/>
    <w:uiPriority w:val="99"/>
    <w:pPr>
      <w:spacing w:before="100" w:beforeAutospacing="1" w:after="100" w:afterAutospacing="1"/>
      <w:jc w:val="left"/>
    </w:pPr>
    <w:rPr>
      <w:kern w:val="0"/>
      <w:sz w:val="24"/>
    </w:rPr>
  </w:style>
  <w:style w:type="paragraph" w:styleId="42">
    <w:name w:val="Title"/>
    <w:autoRedefine/>
    <w:qFormat/>
    <w:uiPriority w:val="10"/>
    <w:pPr>
      <w:pBdr>
        <w:top w:val="none" w:color="B61414" w:sz="0" w:space="1"/>
        <w:left w:val="none" w:color="EDD9B4" w:sz="0" w:space="4"/>
        <w:bottom w:val="double" w:color="ED7721" w:sz="18" w:space="1"/>
        <w:right w:val="none" w:color="EDD9B4" w:sz="0" w:space="4"/>
      </w:pBdr>
      <w:shd w:val="clear"/>
      <w:spacing w:before="0" w:beforeLines="0" w:after="0" w:afterLines="0" w:line="240" w:lineRule="auto"/>
      <w:ind w:firstLine="0" w:firstLineChars="0"/>
      <w:jc w:val="center"/>
      <w:outlineLvl w:val="0"/>
    </w:pPr>
    <w:rPr>
      <w:rFonts w:ascii="汉仪正圆 55简" w:hAnsi="汉仪正圆 55简" w:eastAsia="汉仪正圆 55简" w:cs="Times New Roman"/>
      <w:b/>
      <w:color w:val="EC6D18"/>
      <w:sz w:val="72"/>
      <w:szCs w:val="72"/>
    </w:rPr>
  </w:style>
  <w:style w:type="paragraph" w:styleId="43">
    <w:name w:val="annotation subject"/>
    <w:basedOn w:val="17"/>
    <w:next w:val="17"/>
    <w:link w:val="67"/>
    <w:autoRedefine/>
    <w:qFormat/>
    <w:uiPriority w:val="0"/>
    <w:rPr>
      <w:b/>
    </w:rPr>
  </w:style>
  <w:style w:type="paragraph" w:styleId="44">
    <w:name w:val="Body Text First Indent"/>
    <w:basedOn w:val="19"/>
    <w:next w:val="45"/>
    <w:autoRedefine/>
    <w:qFormat/>
    <w:uiPriority w:val="0"/>
    <w:pPr>
      <w:spacing w:line="500" w:lineRule="exact"/>
      <w:ind w:firstLine="320" w:firstLineChars="100"/>
    </w:pPr>
    <w:rPr>
      <w:rFonts w:ascii="Times New Roman" w:hAnsi="Times New Roman" w:eastAsia="楷体"/>
    </w:rPr>
  </w:style>
  <w:style w:type="paragraph" w:styleId="45">
    <w:name w:val="Body Text First Indent 2"/>
    <w:basedOn w:val="20"/>
    <w:autoRedefine/>
    <w:qFormat/>
    <w:uiPriority w:val="0"/>
    <w:pPr>
      <w:autoSpaceDE w:val="0"/>
      <w:autoSpaceDN w:val="0"/>
      <w:adjustRightInd w:val="0"/>
      <w:spacing w:after="120"/>
      <w:ind w:left="420" w:leftChars="200" w:firstLine="420" w:firstLineChars="200"/>
    </w:pPr>
    <w:rPr>
      <w:rFonts w:ascii="Times New Roman" w:hAnsi="Times New Roman"/>
      <w:sz w:val="20"/>
      <w:szCs w:val="20"/>
    </w:rPr>
  </w:style>
  <w:style w:type="table" w:styleId="47">
    <w:name w:val="Table Grid"/>
    <w:basedOn w:val="46"/>
    <w:autoRedefine/>
    <w:qFormat/>
    <w:uiPriority w:val="0"/>
    <w:pPr>
      <w:widowControl w:val="0"/>
      <w:jc w:val="both"/>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49">
    <w:name w:val="Strong"/>
    <w:basedOn w:val="48"/>
    <w:autoRedefine/>
    <w:qFormat/>
    <w:uiPriority w:val="22"/>
    <w:rPr>
      <w:rFonts w:ascii="汉仪典雅体简" w:hAnsi="汉仪典雅体简" w:eastAsia="汉仪典雅体简"/>
      <w:b/>
      <w:bCs/>
      <w:color w:val="auto"/>
      <w:sz w:val="24"/>
      <w:szCs w:val="21"/>
      <w:u w:val="none"/>
    </w:rPr>
  </w:style>
  <w:style w:type="character" w:styleId="50">
    <w:name w:val="endnote reference"/>
    <w:basedOn w:val="48"/>
    <w:autoRedefine/>
    <w:qFormat/>
    <w:uiPriority w:val="0"/>
    <w:rPr>
      <w:vertAlign w:val="superscript"/>
    </w:rPr>
  </w:style>
  <w:style w:type="character" w:styleId="51">
    <w:name w:val="page number"/>
    <w:basedOn w:val="48"/>
    <w:autoRedefine/>
    <w:qFormat/>
    <w:uiPriority w:val="0"/>
    <w:rPr>
      <w:rFonts w:ascii="汉仪典雅体简" w:hAnsi="汉仪典雅体简" w:eastAsia="汉仪典雅体简"/>
      <w:color w:val="7F7F7F" w:themeColor="background1" w:themeShade="80"/>
    </w:rPr>
  </w:style>
  <w:style w:type="character" w:styleId="52">
    <w:name w:val="FollowedHyperlink"/>
    <w:basedOn w:val="48"/>
    <w:autoRedefine/>
    <w:qFormat/>
    <w:uiPriority w:val="0"/>
    <w:rPr>
      <w:color w:val="800080"/>
      <w:u w:val="single"/>
    </w:rPr>
  </w:style>
  <w:style w:type="character" w:styleId="53">
    <w:name w:val="Emphasis"/>
    <w:basedOn w:val="48"/>
    <w:autoRedefine/>
    <w:qFormat/>
    <w:uiPriority w:val="20"/>
    <w:rPr>
      <w:rFonts w:ascii="汉仪典雅体简" w:hAnsi="汉仪典雅体简" w:eastAsia="汉仪典雅体简"/>
      <w:b/>
      <w:bCs/>
      <w:color w:val="C00000"/>
      <w:sz w:val="24"/>
      <w:szCs w:val="24"/>
    </w:rPr>
  </w:style>
  <w:style w:type="character" w:styleId="54">
    <w:name w:val="Hyperlink"/>
    <w:basedOn w:val="48"/>
    <w:autoRedefine/>
    <w:qFormat/>
    <w:uiPriority w:val="0"/>
    <w:rPr>
      <w:color w:val="0000FF"/>
      <w:u w:val="single"/>
    </w:rPr>
  </w:style>
  <w:style w:type="character" w:styleId="55">
    <w:name w:val="annotation reference"/>
    <w:basedOn w:val="48"/>
    <w:autoRedefine/>
    <w:qFormat/>
    <w:uiPriority w:val="0"/>
    <w:rPr>
      <w:rFonts w:ascii="汉仪典雅体简" w:hAnsi="汉仪典雅体简" w:eastAsia="汉仪典雅体简"/>
      <w:sz w:val="21"/>
      <w:szCs w:val="21"/>
    </w:rPr>
  </w:style>
  <w:style w:type="character" w:styleId="56">
    <w:name w:val="footnote reference"/>
    <w:basedOn w:val="48"/>
    <w:autoRedefine/>
    <w:qFormat/>
    <w:uiPriority w:val="0"/>
    <w:rPr>
      <w:vertAlign w:val="superscript"/>
    </w:rPr>
  </w:style>
  <w:style w:type="character" w:customStyle="1" w:styleId="57">
    <w:name w:val="标题 2 字符"/>
    <w:link w:val="3"/>
    <w:autoRedefine/>
    <w:qFormat/>
    <w:uiPriority w:val="0"/>
    <w:rPr>
      <w:rFonts w:ascii="汉仪正圆 55简" w:hAnsi="汉仪正圆 55简" w:eastAsia="汉仪正圆 55简" w:cstheme="minorBidi"/>
      <w:b/>
      <w:bCs/>
      <w:color w:val="EC6D18"/>
      <w:kern w:val="2"/>
      <w:sz w:val="36"/>
      <w:szCs w:val="36"/>
      <w:lang w:val="en-US" w:eastAsia="zh-CN" w:bidi="ar-SA"/>
    </w:rPr>
  </w:style>
  <w:style w:type="character" w:customStyle="1" w:styleId="58">
    <w:name w:val="标题 1 字符"/>
    <w:link w:val="2"/>
    <w:autoRedefine/>
    <w:qFormat/>
    <w:uiPriority w:val="0"/>
    <w:rPr>
      <w:rFonts w:ascii="汉仪正圆 55简" w:hAnsi="汉仪正圆 55简" w:eastAsia="汉仪正圆 55简" w:cstheme="minorBidi"/>
      <w:b/>
      <w:color w:val="EC6D18"/>
      <w:kern w:val="44"/>
      <w:sz w:val="36"/>
      <w:szCs w:val="36"/>
      <w:lang w:val="en-US" w:eastAsia="zh-CN" w:bidi="ar-SA"/>
    </w:rPr>
  </w:style>
  <w:style w:type="character" w:customStyle="1" w:styleId="59">
    <w:name w:val="文档结构图 字符"/>
    <w:link w:val="16"/>
    <w:autoRedefine/>
    <w:qFormat/>
    <w:uiPriority w:val="0"/>
    <w:rPr>
      <w:rFonts w:eastAsia="仿宋_GB2312"/>
      <w:kern w:val="2"/>
      <w:sz w:val="30"/>
      <w:szCs w:val="30"/>
      <w:lang w:val="en-US" w:eastAsia="zh-CN" w:bidi="ar-SA"/>
    </w:rPr>
  </w:style>
  <w:style w:type="character" w:customStyle="1" w:styleId="60">
    <w:name w:val="批注文字 字符"/>
    <w:link w:val="17"/>
    <w:autoRedefine/>
    <w:qFormat/>
    <w:uiPriority w:val="0"/>
  </w:style>
  <w:style w:type="character" w:customStyle="1" w:styleId="61">
    <w:name w:val="正文文本缩进 2 字符"/>
    <w:link w:val="29"/>
    <w:autoRedefine/>
    <w:qFormat/>
    <w:uiPriority w:val="0"/>
    <w:rPr>
      <w:rFonts w:eastAsia="宋体"/>
      <w:sz w:val="24"/>
      <w:szCs w:val="24"/>
      <w:lang w:val="en-US" w:eastAsia="zh-CN" w:bidi="ar-SA"/>
    </w:rPr>
  </w:style>
  <w:style w:type="character" w:customStyle="1" w:styleId="62">
    <w:name w:val="批注框文本 字符"/>
    <w:link w:val="31"/>
    <w:autoRedefine/>
    <w:qFormat/>
    <w:uiPriority w:val="0"/>
    <w:rPr>
      <w:sz w:val="18"/>
      <w:szCs w:val="18"/>
    </w:rPr>
  </w:style>
  <w:style w:type="character" w:customStyle="1" w:styleId="63">
    <w:name w:val="页脚 字符"/>
    <w:link w:val="32"/>
    <w:autoRedefine/>
    <w:qFormat/>
    <w:uiPriority w:val="0"/>
    <w:rPr>
      <w:sz w:val="18"/>
      <w:szCs w:val="18"/>
    </w:rPr>
  </w:style>
  <w:style w:type="character" w:customStyle="1" w:styleId="64">
    <w:name w:val="页眉 字符"/>
    <w:link w:val="33"/>
    <w:autoRedefine/>
    <w:qFormat/>
    <w:uiPriority w:val="0"/>
    <w:rPr>
      <w:sz w:val="18"/>
      <w:szCs w:val="18"/>
    </w:rPr>
  </w:style>
  <w:style w:type="character" w:customStyle="1" w:styleId="65">
    <w:name w:val="副标题 字符"/>
    <w:link w:val="35"/>
    <w:autoRedefine/>
    <w:qFormat/>
    <w:uiPriority w:val="0"/>
    <w:rPr>
      <w:rFonts w:ascii="汉仪正圆 55简" w:hAnsi="汉仪正圆 55简" w:eastAsia="汉仪正圆 55简" w:cstheme="minorBidi"/>
      <w:b/>
      <w:color w:val="333333"/>
      <w:kern w:val="28"/>
      <w:sz w:val="48"/>
      <w:szCs w:val="48"/>
    </w:rPr>
  </w:style>
  <w:style w:type="character" w:customStyle="1" w:styleId="66">
    <w:name w:val="脚注文本 字符"/>
    <w:link w:val="36"/>
    <w:autoRedefine/>
    <w:qFormat/>
    <w:uiPriority w:val="0"/>
    <w:rPr>
      <w:sz w:val="18"/>
      <w:szCs w:val="18"/>
    </w:rPr>
  </w:style>
  <w:style w:type="character" w:customStyle="1" w:styleId="67">
    <w:name w:val="批注主题 字符"/>
    <w:link w:val="43"/>
    <w:autoRedefine/>
    <w:qFormat/>
    <w:uiPriority w:val="0"/>
    <w:rPr>
      <w:b/>
    </w:rPr>
  </w:style>
  <w:style w:type="character" w:customStyle="1" w:styleId="68">
    <w:name w:val="15"/>
    <w:autoRedefine/>
    <w:qFormat/>
    <w:uiPriority w:val="0"/>
    <w:rPr>
      <w:rFonts w:hint="default" w:ascii="Calibri" w:hAnsi="Calibri" w:cs="Calibri"/>
    </w:rPr>
  </w:style>
  <w:style w:type="character" w:customStyle="1" w:styleId="69">
    <w:name w:val="font11"/>
    <w:autoRedefine/>
    <w:qFormat/>
    <w:uiPriority w:val="0"/>
    <w:rPr>
      <w:rFonts w:hint="default" w:ascii="Times New Roman" w:hAnsi="Times New Roman" w:cs="Times New Roman"/>
      <w:color w:val="000000"/>
      <w:sz w:val="20"/>
      <w:szCs w:val="20"/>
      <w:u w:val="none"/>
    </w:rPr>
  </w:style>
  <w:style w:type="character" w:customStyle="1" w:styleId="70">
    <w:name w:val="10"/>
    <w:autoRedefine/>
    <w:qFormat/>
    <w:uiPriority w:val="0"/>
    <w:rPr>
      <w:rFonts w:hint="default" w:ascii="Calibri" w:hAnsi="Calibri" w:cs="Calibri"/>
    </w:rPr>
  </w:style>
  <w:style w:type="character" w:customStyle="1" w:styleId="71">
    <w:name w:val="font21"/>
    <w:autoRedefine/>
    <w:qFormat/>
    <w:uiPriority w:val="0"/>
    <w:rPr>
      <w:rFonts w:hint="eastAsia" w:ascii="宋体" w:hAnsi="宋体" w:eastAsia="宋体" w:cs="宋体"/>
      <w:color w:val="000000"/>
      <w:sz w:val="20"/>
      <w:szCs w:val="20"/>
      <w:u w:val="none"/>
    </w:rPr>
  </w:style>
  <w:style w:type="paragraph" w:customStyle="1" w:styleId="72">
    <w:name w:val="修订1"/>
    <w:autoRedefine/>
    <w:semiHidden/>
    <w:qFormat/>
    <w:uiPriority w:val="99"/>
    <w:rPr>
      <w:rFonts w:ascii="Times New Roman" w:hAnsi="Times New Roman" w:eastAsia="仿宋_GB2312" w:cs="Times New Roman"/>
      <w:kern w:val="2"/>
      <w:sz w:val="30"/>
      <w:szCs w:val="30"/>
      <w:lang w:val="en-US" w:eastAsia="zh-CN" w:bidi="ar-SA"/>
    </w:rPr>
  </w:style>
  <w:style w:type="paragraph" w:customStyle="1" w:styleId="73">
    <w:name w:val="my正文"/>
    <w:basedOn w:val="1"/>
    <w:autoRedefine/>
    <w:qFormat/>
    <w:uiPriority w:val="0"/>
    <w:pPr>
      <w:spacing w:line="360" w:lineRule="auto"/>
      <w:ind w:firstLine="480" w:firstLineChars="200"/>
    </w:pPr>
    <w:rPr>
      <w:sz w:val="24"/>
    </w:rPr>
  </w:style>
  <w:style w:type="paragraph" w:customStyle="1" w:styleId="74">
    <w:name w:val="Char Char1 Char Char Char Char Char Char"/>
    <w:basedOn w:val="1"/>
    <w:autoRedefine/>
    <w:qFormat/>
    <w:uiPriority w:val="0"/>
    <w:pPr>
      <w:widowControl/>
      <w:spacing w:after="160" w:line="240" w:lineRule="exact"/>
      <w:jc w:val="left"/>
    </w:pPr>
    <w:rPr>
      <w:rFonts w:eastAsia="宋体"/>
      <w:sz w:val="21"/>
      <w:szCs w:val="24"/>
    </w:rPr>
  </w:style>
  <w:style w:type="paragraph" w:customStyle="1" w:styleId="75">
    <w:name w:val="Char"/>
    <w:basedOn w:val="1"/>
    <w:autoRedefine/>
    <w:qFormat/>
    <w:uiPriority w:val="0"/>
    <w:rPr>
      <w:rFonts w:eastAsia="宋体"/>
      <w:sz w:val="21"/>
      <w:szCs w:val="24"/>
    </w:rPr>
  </w:style>
  <w:style w:type="paragraph" w:customStyle="1" w:styleId="76">
    <w:name w:val="样式 样式 正文格式 + 首行缩进: 2 字符 + 自动设置1"/>
    <w:basedOn w:val="1"/>
    <w:autoRedefine/>
    <w:qFormat/>
    <w:uiPriority w:val="0"/>
    <w:pPr>
      <w:widowControl/>
      <w:spacing w:line="500" w:lineRule="atLeast"/>
      <w:ind w:firstLine="200" w:firstLineChars="200"/>
    </w:pPr>
    <w:rPr>
      <w:rFonts w:ascii="Times New Roman"/>
      <w:kern w:val="0"/>
      <w:sz w:val="28"/>
      <w:szCs w:val="28"/>
    </w:rPr>
  </w:style>
  <w:style w:type="paragraph" w:customStyle="1" w:styleId="77">
    <w:name w:val="p0"/>
    <w:basedOn w:val="1"/>
    <w:autoRedefine/>
    <w:qFormat/>
    <w:uiPriority w:val="0"/>
    <w:pPr>
      <w:widowControl/>
    </w:pPr>
    <w:rPr>
      <w:rFonts w:eastAsia="宋体"/>
      <w:kern w:val="0"/>
    </w:rPr>
  </w:style>
  <w:style w:type="paragraph" w:customStyle="1" w:styleId="78">
    <w:name w:val="标题 5（有编号）（绿盟科技）"/>
    <w:basedOn w:val="1"/>
    <w:next w:val="1"/>
    <w:autoRedefine/>
    <w:qFormat/>
    <w:uiPriority w:val="0"/>
    <w:pPr>
      <w:keepNext/>
      <w:keepLines/>
      <w:wordWrap/>
      <w:spacing w:before="280" w:after="156" w:line="377" w:lineRule="auto"/>
      <w:ind w:firstLine="200" w:firstLineChars="200"/>
      <w:outlineLvl w:val="4"/>
    </w:pPr>
    <w:rPr>
      <w:rFonts w:ascii="Arial" w:hAnsi="Arial" w:eastAsia="黑体"/>
      <w:b/>
      <w:sz w:val="24"/>
      <w:szCs w:val="28"/>
    </w:rPr>
  </w:style>
  <w:style w:type="paragraph" w:customStyle="1" w:styleId="79">
    <w:name w:val="Default"/>
    <w:autoRedefine/>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character" w:customStyle="1" w:styleId="80">
    <w:name w:val="批注文字 Char"/>
    <w:autoRedefine/>
    <w:qFormat/>
    <w:uiPriority w:val="0"/>
    <w:rPr>
      <w:rFonts w:eastAsia="仿宋_GB2312"/>
      <w:kern w:val="2"/>
      <w:sz w:val="30"/>
      <w:szCs w:val="24"/>
    </w:rPr>
  </w:style>
  <w:style w:type="paragraph" w:customStyle="1" w:styleId="81">
    <w:name w:val="修订2"/>
    <w:autoRedefine/>
    <w:hidden/>
    <w:semiHidden/>
    <w:qFormat/>
    <w:uiPriority w:val="99"/>
    <w:rPr>
      <w:rFonts w:ascii="仿宋_GB2312" w:hAnsi="Times New Roman" w:eastAsia="仿宋_GB2312" w:cs="Times New Roman"/>
      <w:kern w:val="2"/>
      <w:sz w:val="30"/>
      <w:szCs w:val="30"/>
      <w:lang w:val="en-US" w:eastAsia="zh-CN" w:bidi="ar-SA"/>
    </w:rPr>
  </w:style>
  <w:style w:type="paragraph" w:customStyle="1" w:styleId="82">
    <w:name w:val="Revision"/>
    <w:autoRedefine/>
    <w:hidden/>
    <w:unhideWhenUsed/>
    <w:qFormat/>
    <w:uiPriority w:val="99"/>
    <w:rPr>
      <w:rFonts w:ascii="仿宋_GB2312" w:hAnsi="Times New Roman" w:eastAsia="仿宋_GB2312" w:cs="Times New Roman"/>
      <w:kern w:val="2"/>
      <w:sz w:val="30"/>
      <w:szCs w:val="30"/>
      <w:lang w:val="en-US" w:eastAsia="zh-CN" w:bidi="ar-SA"/>
    </w:rPr>
  </w:style>
  <w:style w:type="character" w:customStyle="1" w:styleId="83">
    <w:name w:val="题注1"/>
    <w:basedOn w:val="48"/>
    <w:autoRedefine/>
    <w:qFormat/>
    <w:uiPriority w:val="0"/>
    <w:rPr>
      <w:rFonts w:hint="eastAsia" w:ascii="汉仪典雅体简" w:hAnsi="汉仪典雅体简"/>
      <w:lang w:val="en-US" w:eastAsia="zh-CN"/>
    </w:rPr>
  </w:style>
  <w:style w:type="paragraph" w:customStyle="1" w:styleId="84">
    <w:name w:val="文档说明标题"/>
    <w:next w:val="1"/>
    <w:autoRedefine/>
    <w:qFormat/>
    <w:uiPriority w:val="0"/>
    <w:pPr>
      <w:keepNext/>
      <w:keepLines/>
      <w:pBdr>
        <w:top w:val="none" w:color="auto" w:sz="0" w:space="1"/>
        <w:left w:val="none" w:color="B61414" w:sz="0" w:space="1"/>
        <w:bottom w:val="none" w:color="79B6F5" w:sz="0" w:space="1"/>
        <w:right w:val="none" w:color="auto" w:sz="0" w:space="4"/>
      </w:pBdr>
      <w:shd w:val="clear" w:color="A9BFF7"/>
      <w:spacing w:line="240" w:lineRule="auto"/>
      <w:ind w:firstLine="0" w:firstLineChars="0"/>
      <w:jc w:val="center"/>
      <w:outlineLvl w:val="0"/>
    </w:pPr>
    <w:rPr>
      <w:rFonts w:hint="eastAsia" w:ascii="汉仪正圆 55简" w:hAnsi="汉仪正圆 55简" w:eastAsia="汉仪正圆 55简" w:cstheme="minorBidi"/>
      <w:b/>
      <w:color w:val="333333"/>
      <w:kern w:val="44"/>
      <w:sz w:val="48"/>
      <w:szCs w:val="48"/>
    </w:rPr>
  </w:style>
  <w:style w:type="paragraph" w:customStyle="1" w:styleId="85">
    <w:name w:val="节标题"/>
    <w:next w:val="1"/>
    <w:autoRedefine/>
    <w:qFormat/>
    <w:uiPriority w:val="0"/>
    <w:pPr>
      <w:numPr>
        <w:ilvl w:val="1"/>
        <w:numId w:val="0"/>
      </w:numPr>
      <w:pBdr>
        <w:top w:val="none" w:color="auto" w:sz="0" w:space="1"/>
        <w:left w:val="none" w:color="auto" w:sz="0" w:space="4"/>
        <w:bottom w:val="none" w:color="auto" w:sz="0" w:space="1"/>
        <w:right w:val="none" w:color="auto" w:sz="0" w:space="4"/>
      </w:pBdr>
      <w:ind w:left="0" w:firstLine="0" w:firstLineChars="0"/>
      <w:jc w:val="center"/>
      <w:outlineLvl w:val="9"/>
    </w:pPr>
    <w:rPr>
      <w:rFonts w:hint="eastAsia" w:ascii="汉仪正圆 55简" w:hAnsi="汉仪正圆 55简" w:eastAsia="汉仪正圆 55简" w:cstheme="minorBidi"/>
      <w:b/>
      <w:bCs/>
      <w:color w:val="333333"/>
      <w:sz w:val="36"/>
      <w:szCs w:val="36"/>
    </w:rPr>
  </w:style>
  <w:style w:type="paragraph" w:customStyle="1" w:styleId="86">
    <w:name w:val="章标题"/>
    <w:next w:val="1"/>
    <w:autoRedefine/>
    <w:qFormat/>
    <w:uiPriority w:val="0"/>
    <w:pPr>
      <w:keepNext/>
      <w:keepLines/>
      <w:pBdr>
        <w:top w:val="none" w:color="auto" w:sz="0" w:space="1"/>
        <w:left w:val="none" w:color="B61414" w:sz="0" w:space="1"/>
        <w:bottom w:val="none" w:color="79B6F5" w:sz="0" w:space="1"/>
        <w:right w:val="none" w:color="auto" w:sz="0" w:space="4"/>
      </w:pBdr>
      <w:shd w:val="clear" w:color="A9BFF7"/>
      <w:spacing w:line="240" w:lineRule="auto"/>
      <w:ind w:firstLine="0" w:firstLineChars="0"/>
      <w:jc w:val="center"/>
      <w:outlineLvl w:val="0"/>
    </w:pPr>
    <w:rPr>
      <w:rFonts w:hint="eastAsia" w:ascii="汉仪正圆 55简" w:hAnsi="汉仪正圆 55简" w:eastAsia="汉仪正圆 55简" w:cstheme="minorBidi"/>
      <w:b/>
      <w:color w:val="333333"/>
      <w:kern w:val="44"/>
      <w:sz w:val="36"/>
      <w:szCs w:val="36"/>
    </w:rPr>
  </w:style>
  <w:style w:type="paragraph" w:customStyle="1" w:styleId="87">
    <w:name w:val="附录标题"/>
    <w:next w:val="1"/>
    <w:autoRedefine/>
    <w:qFormat/>
    <w:uiPriority w:val="0"/>
    <w:pPr>
      <w:keepNext/>
      <w:keepLines/>
      <w:pBdr>
        <w:top w:val="none" w:color="auto" w:sz="0" w:space="1"/>
        <w:left w:val="none" w:color="B61414" w:sz="0" w:space="1"/>
        <w:bottom w:val="none" w:color="79B6F5" w:sz="0" w:space="1"/>
        <w:right w:val="none" w:color="auto" w:sz="0" w:space="4"/>
      </w:pBdr>
      <w:shd w:val="clear" w:color="A9BFF7"/>
      <w:spacing w:line="240" w:lineRule="auto"/>
      <w:ind w:firstLine="0" w:firstLineChars="0"/>
      <w:jc w:val="center"/>
      <w:outlineLvl w:val="0"/>
    </w:pPr>
    <w:rPr>
      <w:rFonts w:hint="eastAsia" w:ascii="汉仪正圆 55简" w:hAnsi="汉仪正圆 55简" w:eastAsia="汉仪正圆 55简" w:cstheme="minorBidi"/>
      <w:b/>
      <w:color w:val="333333"/>
      <w:kern w:val="44"/>
      <w:sz w:val="36"/>
      <w:szCs w:val="36"/>
    </w:rPr>
  </w:style>
  <w:style w:type="character" w:customStyle="1" w:styleId="88">
    <w:name w:val="摘要"/>
    <w:basedOn w:val="48"/>
    <w:autoRedefine/>
    <w:qFormat/>
    <w:uiPriority w:val="0"/>
    <w:rPr>
      <w:rFonts w:hint="eastAsia" w:ascii="汉仪典雅体简" w:hAnsi="汉仪典雅体简"/>
      <w:b/>
      <w:lang w:val="en-US" w:eastAsia="zh-CN"/>
    </w:rPr>
  </w:style>
  <w:style w:type="character" w:customStyle="1" w:styleId="89">
    <w:name w:val="样式1"/>
    <w:basedOn w:val="48"/>
    <w:autoRedefine/>
    <w:qFormat/>
    <w:uiPriority w:val="0"/>
    <w:rPr>
      <w:rFonts w:hint="eastAsia" w:ascii="汉仪典雅体简" w:hAnsi="汉仪典雅体简"/>
      <w:lang w:val="en-US" w:eastAsia="zh-CN"/>
    </w:rPr>
  </w:style>
  <w:style w:type="character" w:customStyle="1" w:styleId="90">
    <w:name w:val="参考文献条目"/>
    <w:basedOn w:val="48"/>
    <w:autoRedefine/>
    <w:qFormat/>
    <w:uiPriority w:val="0"/>
    <w:rPr>
      <w:rFonts w:hint="eastAsia" w:ascii="汉仪典雅体简" w:hAnsi="汉仪典雅体简" w:eastAsia="汉仪典雅体简"/>
      <w:lang w:val="en-US" w:eastAsia="zh-CN"/>
    </w:rPr>
  </w:style>
  <w:style w:type="character" w:customStyle="1" w:styleId="91">
    <w:name w:val="关键词"/>
    <w:basedOn w:val="48"/>
    <w:autoRedefine/>
    <w:qFormat/>
    <w:uiPriority w:val="0"/>
    <w:rPr>
      <w:rFonts w:hint="eastAsia" w:ascii="汉仪典雅体简" w:hAnsi="汉仪典雅体简"/>
      <w:b/>
      <w:lang w:val="en-US" w:eastAsia="zh-CN"/>
    </w:rPr>
  </w:style>
  <w:style w:type="character" w:customStyle="1" w:styleId="92">
    <w:name w:val="着重标题"/>
    <w:basedOn w:val="48"/>
    <w:autoRedefine/>
    <w:qFormat/>
    <w:uiPriority w:val="0"/>
    <w:rPr>
      <w:rFonts w:hint="eastAsia" w:ascii="汉仪典雅体简" w:hAnsi="汉仪典雅体简"/>
      <w:lang w:val="en-US" w:eastAsia="zh-CN"/>
    </w:rPr>
  </w:style>
  <w:style w:type="paragraph" w:customStyle="1" w:styleId="93">
    <w:name w:val="目录标题"/>
    <w:autoRedefine/>
    <w:qFormat/>
    <w:uiPriority w:val="0"/>
    <w:pPr>
      <w:bidi w:val="0"/>
      <w:spacing w:before="0" w:beforeLines="0" w:after="0" w:afterLines="0" w:line="240" w:lineRule="auto"/>
      <w:ind w:firstLine="0" w:firstLineChars="0"/>
      <w:jc w:val="center"/>
    </w:pPr>
    <w:rPr>
      <w:rFonts w:ascii="汉仪正圆 55简" w:hAnsi="汉仪正圆 55简" w:eastAsia="汉仪正圆 55简" w:cs="汉仪正圆 55简"/>
      <w:sz w:val="24"/>
      <w:szCs w:val="21"/>
    </w:rPr>
  </w:style>
  <w:style w:type="paragraph" w:customStyle="1" w:styleId="94">
    <w:name w:val="WPSOffice手动目录 1"/>
    <w:uiPriority w:val="0"/>
    <w:pPr>
      <w:ind w:leftChars="0"/>
    </w:pPr>
    <w:rPr>
      <w:rFonts w:ascii="Times New Roman" w:hAnsi="Times New Roman" w:eastAsia="宋体" w:cs="Times New Roman"/>
      <w:sz w:val="20"/>
      <w:szCs w:val="20"/>
    </w:rPr>
  </w:style>
  <w:style w:type="paragraph" w:customStyle="1" w:styleId="95">
    <w:name w:val="WPSOffice手动目录 2"/>
    <w:qFormat/>
    <w:uiPriority w:val="0"/>
    <w:pPr>
      <w:ind w:leftChars="2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numbering" Target="numbering.xml"/><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0A9CC6-FED5-4CD2-9A2E-C29BE76D4524}">
  <ds:schemaRefs/>
</ds:datastoreItem>
</file>

<file path=docProps/app.xml><?xml version="1.0" encoding="utf-8"?>
<Properties xmlns="http://schemas.openxmlformats.org/officeDocument/2006/extended-properties" xmlns:vt="http://schemas.openxmlformats.org/officeDocument/2006/docPropsVTypes">
  <Template>Normal</Template>
  <Company>Sky123.Org</Company>
  <Pages>44</Pages>
  <Words>13636</Words>
  <Characters>14396</Characters>
  <Lines>114</Lines>
  <Paragraphs>32</Paragraphs>
  <TotalTime>1</TotalTime>
  <ScaleCrop>false</ScaleCrop>
  <LinksUpToDate>false</LinksUpToDate>
  <CharactersWithSpaces>14677</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2022-05-31T05:43:00Z</dcterms:created>
  <dc:creator>microsoft</dc:creator>
  <cp:lastModifiedBy>夏天</cp:lastModifiedBy>
  <cp:lastPrinted>2024-05-21T09:53:00Z</cp:lastPrinted>
  <dcterms:modified xsi:type="dcterms:W3CDTF">2024-05-22T05:19:25Z</dcterms:modified>
  <dc:title>北京市财政支出项目绩效评价报告</dc:title>
  <cp:revision>84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FC424542B4D445FF99446EC781517C40_13</vt:lpwstr>
  </property>
</Properties>
</file>