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CB2" w:rsidRDefault="009A1E21">
      <w:pPr>
        <w:spacing w:line="560" w:lineRule="exact"/>
        <w:jc w:val="center"/>
        <w:outlineLvl w:val="0"/>
        <w:rPr>
          <w:rFonts w:ascii="方正小标宋简体" w:eastAsia="方正小标宋简体"/>
          <w:sz w:val="36"/>
          <w:szCs w:val="36"/>
        </w:rPr>
      </w:pPr>
      <w:r>
        <w:rPr>
          <w:rFonts w:ascii="方正小标宋简体" w:eastAsia="方正小标宋简体" w:hint="eastAsia"/>
          <w:sz w:val="36"/>
          <w:szCs w:val="36"/>
        </w:rPr>
        <w:t>北京市东城区人民法院</w:t>
      </w:r>
    </w:p>
    <w:p w:rsidR="00894CB2" w:rsidRDefault="009A1E21">
      <w:pPr>
        <w:spacing w:line="560" w:lineRule="exact"/>
        <w:jc w:val="center"/>
        <w:outlineLvl w:val="0"/>
        <w:rPr>
          <w:rFonts w:ascii="方正小标宋简体" w:eastAsia="方正小标宋简体"/>
          <w:sz w:val="36"/>
          <w:szCs w:val="36"/>
        </w:rPr>
      </w:pPr>
      <w:r>
        <w:rPr>
          <w:rFonts w:ascii="方正小标宋简体" w:eastAsia="方正小标宋简体" w:hint="eastAsia"/>
          <w:sz w:val="36"/>
          <w:szCs w:val="36"/>
        </w:rPr>
        <w:t>部门整体绩效评价报告</w:t>
      </w:r>
    </w:p>
    <w:p w:rsidR="00894CB2" w:rsidRDefault="00894CB2">
      <w:pPr>
        <w:jc w:val="center"/>
        <w:rPr>
          <w:rFonts w:ascii="仿宋_GB2312"/>
          <w:szCs w:val="30"/>
        </w:rPr>
      </w:pPr>
    </w:p>
    <w:p w:rsidR="00894CB2" w:rsidRDefault="009A1E21">
      <w:pPr>
        <w:spacing w:line="60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894CB2" w:rsidRDefault="009A1E21">
      <w:pPr>
        <w:spacing w:line="600" w:lineRule="exact"/>
        <w:ind w:firstLineChars="200" w:firstLine="640"/>
        <w:outlineLvl w:val="1"/>
        <w:rPr>
          <w:rFonts w:ascii="楷体_GB2312" w:eastAsia="楷体_GB2312"/>
          <w:sz w:val="32"/>
          <w:szCs w:val="32"/>
        </w:rPr>
      </w:pPr>
      <w:r>
        <w:rPr>
          <w:rFonts w:ascii="楷体_GB2312" w:eastAsia="楷体_GB2312" w:hint="eastAsia"/>
          <w:sz w:val="32"/>
          <w:szCs w:val="32"/>
        </w:rPr>
        <w:t>（一）机构设置及职责工作任务情况</w:t>
      </w:r>
    </w:p>
    <w:p w:rsidR="00894CB2" w:rsidRDefault="009A1E21">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根据北京市东城区机构编制委员会东编办【2014】3号设立北京市东城区人民法院，内设13个部门。所属事业部门1</w:t>
      </w:r>
      <w:r w:rsidR="00A75202">
        <w:rPr>
          <w:rFonts w:ascii="仿宋_GB2312" w:eastAsia="仿宋_GB2312" w:hAnsi="宋体" w:cs="宋体" w:hint="eastAsia"/>
          <w:color w:val="000000"/>
          <w:kern w:val="0"/>
          <w:sz w:val="32"/>
          <w:szCs w:val="32"/>
        </w:rPr>
        <w:t>个：北京市东城区人民法院</w:t>
      </w:r>
      <w:r w:rsidR="00A75202" w:rsidRPr="00C664DA">
        <w:rPr>
          <w:rFonts w:ascii="仿宋_GB2312" w:eastAsia="仿宋_GB2312" w:hAnsi="宋体" w:cs="宋体" w:hint="eastAsia"/>
          <w:color w:val="000000"/>
          <w:kern w:val="0"/>
          <w:sz w:val="32"/>
          <w:szCs w:val="32"/>
        </w:rPr>
        <w:t>综合事务中心</w:t>
      </w:r>
      <w:r w:rsidRPr="00C664DA">
        <w:rPr>
          <w:rFonts w:ascii="仿宋_GB2312" w:eastAsia="仿宋_GB2312" w:hAnsi="宋体" w:cs="宋体" w:hint="eastAsia"/>
          <w:color w:val="000000"/>
          <w:kern w:val="0"/>
          <w:sz w:val="32"/>
          <w:szCs w:val="32"/>
        </w:rPr>
        <w:t>。</w:t>
      </w:r>
      <w:bookmarkStart w:id="0" w:name="_GoBack"/>
      <w:bookmarkEnd w:id="0"/>
    </w:p>
    <w:p w:rsidR="00894CB2" w:rsidRDefault="009A1E21">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部门设置：部门机构设置13个部门。业务部门为9个，分别为立案庭（诉讼服务中心）、刑事审判庭、民事审判一庭、民事审判二庭、民事审判三庭（知识产权审判庭）、行政审判庭、综合审判庭、执行局、天坛人民法庭；审判辅助部门2个：审判管理办公室（研究室）、司法警察大队；综合行政部门2个：综合办公室、政治部（机关党委机关纪委）。</w:t>
      </w:r>
    </w:p>
    <w:p w:rsidR="00894CB2" w:rsidRDefault="009A1E21">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部门职责：充分履行审判职能，深入落实和推进司法改革，着力加强纪律作风建设，各项工作不断发展进步,为首都和东城区的和谐稳定发展提供了有力司法保障。</w:t>
      </w:r>
      <w:r>
        <w:rPr>
          <w:rFonts w:ascii="仿宋_GB2312" w:eastAsia="仿宋_GB2312" w:hAnsi="宋体" w:cs="宋体" w:hint="eastAsia"/>
          <w:color w:val="000000"/>
          <w:kern w:val="0"/>
          <w:sz w:val="32"/>
          <w:szCs w:val="32"/>
        </w:rPr>
        <w:tab/>
      </w:r>
    </w:p>
    <w:p w:rsidR="00894CB2" w:rsidRDefault="009A1E21">
      <w:pPr>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部门工作任务：2010年6月28日，国务院正式批复了北京市政府关于调整首都功能核心区行政区划的请示。原东城区人民法院与原崇文区人民法院合并，成立新的北京市东城区人民法院。现有南、北两个办公区，北区位于北京市东城区交道口东大街1号，南区位于北京市东城区永外定安里10号。北京市东城区人民法院部门行政编制362人，实有人数338人；事业编制33人，实有人数30人；聘用人员（法院聘任书记员、聘用制司法警察、其他聘用人员）179人。</w:t>
      </w:r>
      <w:r>
        <w:rPr>
          <w:rFonts w:ascii="仿宋_GB2312" w:eastAsia="仿宋_GB2312" w:hAnsi="宋体" w:cs="宋体" w:hint="eastAsia"/>
          <w:color w:val="000000"/>
          <w:kern w:val="0"/>
          <w:sz w:val="32"/>
          <w:szCs w:val="32"/>
        </w:rPr>
        <w:lastRenderedPageBreak/>
        <w:t>主要受理辖区内一</w:t>
      </w:r>
      <w:r w:rsidRPr="00ED41F6">
        <w:rPr>
          <w:rFonts w:ascii="仿宋_GB2312" w:eastAsia="仿宋_GB2312" w:hAnsi="宋体" w:cs="宋体" w:hint="eastAsia"/>
          <w:color w:val="000000"/>
          <w:kern w:val="0"/>
          <w:sz w:val="32"/>
          <w:szCs w:val="32"/>
        </w:rPr>
        <w:t>审刑事、民事、商事、行政、知识产权和执行案件。2023年，我院收案47,148件，结案47,331件，</w:t>
      </w:r>
      <w:proofErr w:type="gramStart"/>
      <w:r w:rsidRPr="00ED41F6">
        <w:rPr>
          <w:rFonts w:ascii="仿宋_GB2312" w:eastAsia="仿宋_GB2312" w:hAnsi="宋体" w:cs="宋体" w:hint="eastAsia"/>
          <w:color w:val="000000"/>
          <w:kern w:val="0"/>
          <w:sz w:val="32"/>
          <w:szCs w:val="32"/>
        </w:rPr>
        <w:t>结收比</w:t>
      </w:r>
      <w:proofErr w:type="gramEnd"/>
      <w:r w:rsidRPr="00ED41F6">
        <w:rPr>
          <w:rFonts w:ascii="仿宋_GB2312" w:eastAsia="仿宋_GB2312" w:hAnsi="宋体" w:cs="宋体" w:hint="eastAsia"/>
          <w:color w:val="000000"/>
          <w:kern w:val="0"/>
          <w:sz w:val="32"/>
          <w:szCs w:val="32"/>
        </w:rPr>
        <w:t>100.39%，我院干警齐力</w:t>
      </w:r>
      <w:r w:rsidRPr="00ED41F6">
        <w:rPr>
          <w:rFonts w:ascii="仿宋_GB2312" w:eastAsia="仿宋_GB2312" w:hAnsi="仿宋_GB2312" w:cs="仿宋_GB2312" w:hint="eastAsia"/>
          <w:color w:val="000000"/>
          <w:kern w:val="0"/>
          <w:sz w:val="32"/>
          <w:szCs w:val="32"/>
        </w:rPr>
        <w:t>同心、求真务实，较好完成了全年工作任务，各项</w:t>
      </w:r>
      <w:r>
        <w:rPr>
          <w:rFonts w:ascii="仿宋_GB2312" w:eastAsia="仿宋_GB2312" w:hAnsi="仿宋_GB2312" w:cs="仿宋_GB2312" w:hint="eastAsia"/>
          <w:color w:val="000000"/>
          <w:kern w:val="0"/>
          <w:sz w:val="32"/>
          <w:szCs w:val="32"/>
        </w:rPr>
        <w:t>工作迎来新局面、取得新实效</w:t>
      </w:r>
      <w:r>
        <w:rPr>
          <w:rFonts w:ascii="仿宋_GB2312" w:eastAsia="仿宋_GB2312" w:hAnsi="宋体" w:cs="宋体" w:hint="eastAsia"/>
          <w:color w:val="000000"/>
          <w:kern w:val="0"/>
          <w:sz w:val="32"/>
          <w:szCs w:val="32"/>
        </w:rPr>
        <w:t>。</w:t>
      </w:r>
    </w:p>
    <w:p w:rsidR="00894CB2" w:rsidRDefault="009A1E21">
      <w:pPr>
        <w:spacing w:line="600" w:lineRule="exact"/>
        <w:ind w:firstLineChars="200" w:firstLine="640"/>
        <w:outlineLvl w:val="1"/>
        <w:rPr>
          <w:rFonts w:ascii="楷体_GB2312" w:eastAsia="楷体_GB2312"/>
          <w:sz w:val="32"/>
          <w:szCs w:val="32"/>
        </w:rPr>
      </w:pPr>
      <w:r>
        <w:rPr>
          <w:rFonts w:ascii="楷体_GB2312" w:eastAsia="楷体_GB2312" w:hint="eastAsia"/>
          <w:sz w:val="32"/>
          <w:szCs w:val="32"/>
        </w:rPr>
        <w:t>（二）部门整体绩效目标设立情况</w:t>
      </w:r>
    </w:p>
    <w:p w:rsidR="00894CB2" w:rsidRDefault="009A1E21">
      <w:pPr>
        <w:spacing w:line="52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1.总体目标</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我院在区委的领导下，在区人大及其常委会的监督和市高级法院的指导下，认真贯彻落实中央、市委及区委工作部署，忠实履行宪法法律赋予的职责，坚持服务大局、司法为民、公正司法。</w:t>
      </w:r>
    </w:p>
    <w:p w:rsidR="00894CB2" w:rsidRDefault="009A1E21">
      <w:pPr>
        <w:spacing w:line="52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2.具体目标</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（1）坚持立足司法职能和服务保障相结合，融入首都发展大局，全力保障首都安全稳定和高质量发展。</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（2）做好刑民行</w:t>
      </w:r>
      <w:proofErr w:type="gramStart"/>
      <w:r>
        <w:rPr>
          <w:rFonts w:ascii="仿宋_GB2312" w:eastAsia="仿宋_GB2312" w:hAnsi="宋体" w:cs="宋体" w:hint="eastAsia"/>
          <w:color w:val="000000"/>
          <w:kern w:val="0"/>
          <w:sz w:val="32"/>
          <w:szCs w:val="32"/>
        </w:rPr>
        <w:t>执各项</w:t>
      </w:r>
      <w:proofErr w:type="gramEnd"/>
      <w:r>
        <w:rPr>
          <w:rFonts w:ascii="仿宋_GB2312" w:eastAsia="仿宋_GB2312" w:hAnsi="宋体" w:cs="宋体" w:hint="eastAsia"/>
          <w:color w:val="000000"/>
          <w:kern w:val="0"/>
          <w:sz w:val="32"/>
          <w:szCs w:val="32"/>
        </w:rPr>
        <w:t>工作，全力提升审判质效，提升司法公信力。</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（3）回应人民群众新要求，以更多举措推进司法为民，确保司法更加亲民便民惠民。</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（4）坚定推进司法体制机制改革，不断提升司法质效和公信力。</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（5）以更严要求打造过硬政法队伍，强化党风廉政建设和司法能力建设，打造风清气正的法院队伍。</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（6）自觉接受各方监督，不断完善司法权力制约监督体系。</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一年来，在区委的领导、区人大及其常委会的监督和上级法院的指导下，我院坚持以习近平新时代中国特色社会主义思想为指导，将全面学习贯彻党的二十大精神作为首要政</w:t>
      </w:r>
      <w:r>
        <w:rPr>
          <w:rFonts w:ascii="仿宋_GB2312" w:eastAsia="仿宋_GB2312" w:hAnsi="宋体" w:cs="宋体" w:hint="eastAsia"/>
          <w:color w:val="000000"/>
          <w:kern w:val="0"/>
          <w:sz w:val="32"/>
          <w:szCs w:val="32"/>
        </w:rPr>
        <w:lastRenderedPageBreak/>
        <w:t>治任务，深入</w:t>
      </w:r>
      <w:proofErr w:type="gramStart"/>
      <w:r>
        <w:rPr>
          <w:rFonts w:ascii="仿宋_GB2312" w:eastAsia="仿宋_GB2312" w:hAnsi="宋体" w:cs="宋体" w:hint="eastAsia"/>
          <w:color w:val="000000"/>
          <w:kern w:val="0"/>
          <w:sz w:val="32"/>
          <w:szCs w:val="32"/>
        </w:rPr>
        <w:t>践行</w:t>
      </w:r>
      <w:proofErr w:type="gramEnd"/>
      <w:r>
        <w:rPr>
          <w:rFonts w:ascii="仿宋_GB2312" w:eastAsia="仿宋_GB2312" w:hAnsi="宋体" w:cs="宋体" w:hint="eastAsia"/>
          <w:color w:val="000000"/>
          <w:kern w:val="0"/>
          <w:sz w:val="32"/>
          <w:szCs w:val="32"/>
        </w:rPr>
        <w:t>习近平法治思想，围绕“讲政治、顾大局，促公正、提效率，重自律、强队伍”的基本工作要求，依法履行审判职责，为全面加速“崇文争先”、全力做实“六字文章”提供有力司法保障。</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我院从以下几个方面细化目标完成与实施：一、坚持立足司法职能和服务保障相结合，融入首都发展大局，全力保障首都安全稳定和高质量发展； 二、做好刑民行</w:t>
      </w:r>
      <w:proofErr w:type="gramStart"/>
      <w:r>
        <w:rPr>
          <w:rFonts w:ascii="仿宋_GB2312" w:eastAsia="仿宋_GB2312" w:hAnsi="宋体" w:cs="宋体" w:hint="eastAsia"/>
          <w:color w:val="000000"/>
          <w:kern w:val="0"/>
          <w:sz w:val="32"/>
          <w:szCs w:val="32"/>
        </w:rPr>
        <w:t>执各项</w:t>
      </w:r>
      <w:proofErr w:type="gramEnd"/>
      <w:r>
        <w:rPr>
          <w:rFonts w:ascii="仿宋_GB2312" w:eastAsia="仿宋_GB2312" w:hAnsi="宋体" w:cs="宋体" w:hint="eastAsia"/>
          <w:color w:val="000000"/>
          <w:kern w:val="0"/>
          <w:sz w:val="32"/>
          <w:szCs w:val="32"/>
        </w:rPr>
        <w:t>工作，全力提升审判质效，提升司法公信力； 三、回应人民群众新要求，以更多举措推进司法为民，确保司法更加亲民便民惠民； 四、坚定推进司法体制机制改革，不断提升司法质效和公信力； 五、以更严要求打造过硬政法队伍，强化党风廉政建设和司法能力建设，打造风清气正的法院队伍； 六、自觉接受各方监督，不断完善司法权力制约监督体系。</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严格按照年初预算进行部门整体支出。在支出过程中，能严格遵守各项规章制度。所有项目都详细制定了方案，严格按方案组织实施，并加强了监督。尤其是在专项经费支出上，我们能严格执行专项资金财务管理办法，专款专用，无截留、无挪用等现象。</w:t>
      </w:r>
    </w:p>
    <w:p w:rsidR="00894CB2" w:rsidRDefault="009A1E2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我院依据《北京市高级人民法院机关2023年度目标责任制考核实施细则》，统筹做好司法政务保障。高标准做好机要保密工作，防止失密、泄密风险；精细</w:t>
      </w:r>
      <w:proofErr w:type="gramStart"/>
      <w:r>
        <w:rPr>
          <w:rFonts w:ascii="仿宋_GB2312" w:eastAsia="仿宋_GB2312" w:hAnsi="宋体" w:cs="宋体" w:hint="eastAsia"/>
          <w:color w:val="000000"/>
          <w:kern w:val="0"/>
          <w:sz w:val="32"/>
          <w:szCs w:val="32"/>
        </w:rPr>
        <w:t>化开展</w:t>
      </w:r>
      <w:proofErr w:type="gramEnd"/>
      <w:r>
        <w:rPr>
          <w:rFonts w:ascii="仿宋_GB2312" w:eastAsia="仿宋_GB2312" w:hAnsi="宋体" w:cs="宋体" w:hint="eastAsia"/>
          <w:color w:val="000000"/>
          <w:kern w:val="0"/>
          <w:sz w:val="32"/>
          <w:szCs w:val="32"/>
        </w:rPr>
        <w:t>办文办会；不断完善代表委员联络工作，做好意见收集、工作整改、情况反馈和需求回应；稳妥做好人民陪审工作，持续推进深度参审；不断深化档案管理，避免因卷宗未及时归档引发工作风险；不断优化财务管理，将严控风险与优化流程相结合，为干警提供更优质高效服务。</w:t>
      </w:r>
    </w:p>
    <w:p w:rsidR="00894CB2" w:rsidRDefault="009A1E21">
      <w:pPr>
        <w:spacing w:line="60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Pr="00863933">
        <w:rPr>
          <w:rFonts w:ascii="仿宋_GB2312" w:eastAsia="仿宋_GB2312" w:hAnsi="宋体" w:cs="宋体"/>
          <w:color w:val="000000"/>
          <w:kern w:val="0"/>
          <w:sz w:val="32"/>
          <w:szCs w:val="32"/>
        </w:rPr>
        <w:t>23,508.63</w:t>
      </w:r>
      <w:r w:rsidRPr="00863933">
        <w:rPr>
          <w:rFonts w:ascii="仿宋_GB2312" w:eastAsia="仿宋_GB2312" w:hAnsi="宋体" w:cs="宋体" w:hint="eastAsia"/>
          <w:color w:val="000000"/>
          <w:kern w:val="0"/>
          <w:sz w:val="32"/>
          <w:szCs w:val="32"/>
        </w:rPr>
        <w:t>万元</w:t>
      </w:r>
      <w:r w:rsidRPr="00863933">
        <w:rPr>
          <w:rFonts w:ascii="仿宋_GB2312" w:eastAsia="仿宋_GB2312" w:hAnsi="宋体" w:cs="宋体"/>
          <w:color w:val="000000"/>
          <w:kern w:val="0"/>
          <w:sz w:val="32"/>
          <w:szCs w:val="32"/>
        </w:rPr>
        <w:t>，</w:t>
      </w:r>
      <w:r w:rsidRPr="00863933">
        <w:rPr>
          <w:rFonts w:ascii="仿宋_GB2312" w:eastAsia="仿宋_GB2312" w:hAnsi="宋体" w:cs="宋体" w:hint="eastAsia"/>
          <w:color w:val="000000"/>
          <w:kern w:val="0"/>
          <w:sz w:val="32"/>
          <w:szCs w:val="32"/>
        </w:rPr>
        <w:t>其中</w:t>
      </w:r>
      <w:r w:rsidRPr="00863933">
        <w:rPr>
          <w:rFonts w:ascii="仿宋_GB2312" w:eastAsia="仿宋_GB2312" w:hAnsi="宋体" w:cs="宋体"/>
          <w:color w:val="000000"/>
          <w:kern w:val="0"/>
          <w:sz w:val="32"/>
          <w:szCs w:val="32"/>
        </w:rPr>
        <w:t>，基本</w:t>
      </w:r>
      <w:r w:rsidRPr="00863933">
        <w:rPr>
          <w:rFonts w:ascii="仿宋_GB2312" w:eastAsia="仿宋_GB2312" w:hAnsi="宋体" w:cs="宋体" w:hint="eastAsia"/>
          <w:color w:val="000000"/>
          <w:kern w:val="0"/>
          <w:sz w:val="32"/>
          <w:szCs w:val="32"/>
        </w:rPr>
        <w:t>支出</w:t>
      </w:r>
      <w:r w:rsidRPr="00863933">
        <w:rPr>
          <w:rFonts w:ascii="仿宋_GB2312" w:eastAsia="仿宋_GB2312" w:hAnsi="宋体" w:cs="宋体"/>
          <w:color w:val="000000"/>
          <w:kern w:val="0"/>
          <w:sz w:val="32"/>
          <w:szCs w:val="32"/>
        </w:rPr>
        <w:t>预算数20,433.91万元，</w:t>
      </w:r>
      <w:r w:rsidRPr="00863933">
        <w:rPr>
          <w:rFonts w:ascii="仿宋_GB2312" w:eastAsia="仿宋_GB2312" w:hAnsi="宋体" w:cs="宋体" w:hint="eastAsia"/>
          <w:color w:val="000000"/>
          <w:kern w:val="0"/>
          <w:sz w:val="32"/>
          <w:szCs w:val="32"/>
        </w:rPr>
        <w:t>项目支出预算数</w:t>
      </w:r>
      <w:r w:rsidRPr="00863933">
        <w:rPr>
          <w:rFonts w:ascii="仿宋_GB2312" w:eastAsia="仿宋_GB2312" w:hAnsi="宋体" w:cs="宋体"/>
          <w:color w:val="000000"/>
          <w:kern w:val="0"/>
          <w:sz w:val="32"/>
          <w:szCs w:val="32"/>
        </w:rPr>
        <w:t>2,891.10万元，其他支出</w:t>
      </w:r>
      <w:r w:rsidRPr="00863933">
        <w:rPr>
          <w:rFonts w:ascii="仿宋_GB2312" w:eastAsia="仿宋_GB2312" w:hAnsi="宋体" w:cs="宋体" w:hint="eastAsia"/>
          <w:color w:val="000000"/>
          <w:kern w:val="0"/>
          <w:sz w:val="32"/>
          <w:szCs w:val="32"/>
        </w:rPr>
        <w:t>预算数</w:t>
      </w:r>
      <w:r w:rsidRPr="00863933">
        <w:rPr>
          <w:rFonts w:ascii="仿宋_GB2312" w:eastAsia="仿宋_GB2312" w:hAnsi="宋体" w:cs="宋体"/>
          <w:color w:val="000000"/>
          <w:kern w:val="0"/>
          <w:sz w:val="32"/>
          <w:szCs w:val="32"/>
        </w:rPr>
        <w:t>183.6</w:t>
      </w:r>
      <w:r w:rsidR="00D157CB" w:rsidRPr="00863933">
        <w:rPr>
          <w:rFonts w:ascii="仿宋_GB2312" w:eastAsia="仿宋_GB2312" w:hAnsi="宋体" w:cs="宋体" w:hint="eastAsia"/>
          <w:color w:val="000000"/>
          <w:kern w:val="0"/>
          <w:sz w:val="32"/>
          <w:szCs w:val="32"/>
        </w:rPr>
        <w:t>2</w:t>
      </w:r>
      <w:r w:rsidRPr="00863933">
        <w:rPr>
          <w:rFonts w:ascii="仿宋_GB2312" w:eastAsia="仿宋_GB2312" w:hAnsi="宋体" w:cs="宋体"/>
          <w:color w:val="000000"/>
          <w:kern w:val="0"/>
          <w:sz w:val="32"/>
          <w:szCs w:val="32"/>
        </w:rPr>
        <w:t>万元</w:t>
      </w:r>
      <w:r w:rsidRPr="00863933">
        <w:rPr>
          <w:rFonts w:ascii="仿宋_GB2312" w:eastAsia="仿宋_GB2312" w:hAnsi="宋体" w:cs="宋体" w:hint="eastAsia"/>
          <w:color w:val="000000"/>
          <w:kern w:val="0"/>
          <w:sz w:val="32"/>
          <w:szCs w:val="32"/>
        </w:rPr>
        <w:t>。</w:t>
      </w:r>
      <w:r w:rsidRPr="00863933">
        <w:rPr>
          <w:rFonts w:ascii="仿宋_GB2312" w:eastAsia="仿宋_GB2312" w:hAnsi="宋体" w:cs="宋体"/>
          <w:color w:val="000000"/>
          <w:kern w:val="0"/>
          <w:sz w:val="32"/>
          <w:szCs w:val="32"/>
        </w:rPr>
        <w:t>资金总体</w:t>
      </w:r>
      <w:r w:rsidRPr="00863933">
        <w:rPr>
          <w:rFonts w:ascii="仿宋_GB2312" w:eastAsia="仿宋_GB2312" w:hAnsi="宋体" w:cs="宋体" w:hint="eastAsia"/>
          <w:color w:val="000000"/>
          <w:kern w:val="0"/>
          <w:sz w:val="32"/>
          <w:szCs w:val="32"/>
        </w:rPr>
        <w:t>支出23,359.30</w:t>
      </w:r>
      <w:r w:rsidRPr="00863933">
        <w:rPr>
          <w:rFonts w:ascii="仿宋_GB2312" w:eastAsia="仿宋_GB2312" w:hAnsi="宋体" w:cs="宋体"/>
          <w:color w:val="000000"/>
          <w:kern w:val="0"/>
          <w:sz w:val="32"/>
          <w:szCs w:val="32"/>
        </w:rPr>
        <w:t>万元，其中，基本支出20,</w:t>
      </w:r>
      <w:r w:rsidRPr="00863933">
        <w:rPr>
          <w:rFonts w:ascii="仿宋_GB2312" w:eastAsia="仿宋_GB2312" w:hAnsi="宋体" w:cs="宋体" w:hint="eastAsia"/>
          <w:color w:val="000000"/>
          <w:kern w:val="0"/>
          <w:sz w:val="32"/>
          <w:szCs w:val="32"/>
        </w:rPr>
        <w:t>391.93</w:t>
      </w:r>
      <w:r w:rsidRPr="00863933">
        <w:rPr>
          <w:rFonts w:ascii="仿宋_GB2312" w:eastAsia="仿宋_GB2312" w:hAnsi="宋体" w:cs="宋体"/>
          <w:color w:val="000000"/>
          <w:kern w:val="0"/>
          <w:sz w:val="32"/>
          <w:szCs w:val="32"/>
        </w:rPr>
        <w:t>万元，项目</w:t>
      </w:r>
      <w:r w:rsidRPr="00863933">
        <w:rPr>
          <w:rFonts w:ascii="仿宋_GB2312" w:eastAsia="仿宋_GB2312" w:hAnsi="宋体" w:cs="宋体" w:hint="eastAsia"/>
          <w:color w:val="000000"/>
          <w:kern w:val="0"/>
          <w:sz w:val="32"/>
          <w:szCs w:val="32"/>
        </w:rPr>
        <w:t>支出</w:t>
      </w:r>
      <w:r w:rsidR="00C918E6" w:rsidRPr="00863933">
        <w:rPr>
          <w:rFonts w:ascii="仿宋_GB2312" w:eastAsia="仿宋_GB2312" w:hAnsi="宋体" w:cs="宋体"/>
          <w:color w:val="000000"/>
          <w:kern w:val="0"/>
          <w:sz w:val="32"/>
          <w:szCs w:val="32"/>
        </w:rPr>
        <w:t>2,793.53</w:t>
      </w:r>
      <w:r w:rsidRPr="00863933">
        <w:rPr>
          <w:rFonts w:ascii="仿宋_GB2312" w:eastAsia="仿宋_GB2312" w:hAnsi="宋体" w:cs="宋体"/>
          <w:color w:val="000000"/>
          <w:kern w:val="0"/>
          <w:sz w:val="32"/>
          <w:szCs w:val="32"/>
        </w:rPr>
        <w:t>万元，其他支出</w:t>
      </w:r>
      <w:r w:rsidR="00C918E6" w:rsidRPr="00863933">
        <w:rPr>
          <w:rFonts w:ascii="仿宋_GB2312" w:eastAsia="仿宋_GB2312" w:hAnsi="宋体" w:cs="宋体"/>
          <w:color w:val="000000"/>
          <w:kern w:val="0"/>
          <w:sz w:val="32"/>
          <w:szCs w:val="32"/>
        </w:rPr>
        <w:t>173.8</w:t>
      </w:r>
      <w:r w:rsidR="0066664C" w:rsidRPr="00863933">
        <w:rPr>
          <w:rFonts w:ascii="仿宋_GB2312" w:eastAsia="仿宋_GB2312" w:hAnsi="宋体" w:cs="宋体" w:hint="eastAsia"/>
          <w:color w:val="000000"/>
          <w:kern w:val="0"/>
          <w:sz w:val="32"/>
          <w:szCs w:val="32"/>
        </w:rPr>
        <w:t>4</w:t>
      </w:r>
      <w:r w:rsidR="00C918E6" w:rsidRPr="00863933">
        <w:rPr>
          <w:rFonts w:ascii="仿宋_GB2312" w:eastAsia="仿宋_GB2312" w:hAnsi="宋体" w:cs="宋体" w:hint="eastAsia"/>
          <w:color w:val="000000"/>
          <w:kern w:val="0"/>
          <w:sz w:val="32"/>
          <w:szCs w:val="32"/>
        </w:rPr>
        <w:t>万元</w:t>
      </w:r>
      <w:r w:rsidRPr="00863933">
        <w:rPr>
          <w:rFonts w:ascii="仿宋_GB2312" w:eastAsia="仿宋_GB2312" w:hAnsi="宋体" w:cs="宋体"/>
          <w:color w:val="000000"/>
          <w:kern w:val="0"/>
          <w:sz w:val="32"/>
          <w:szCs w:val="32"/>
        </w:rPr>
        <w:t>。</w:t>
      </w:r>
      <w:r w:rsidRPr="00863933">
        <w:rPr>
          <w:rFonts w:ascii="仿宋_GB2312" w:eastAsia="仿宋_GB2312" w:hAnsi="宋体" w:cs="宋体" w:hint="eastAsia"/>
          <w:color w:val="000000"/>
          <w:kern w:val="0"/>
          <w:sz w:val="32"/>
          <w:szCs w:val="32"/>
        </w:rPr>
        <w:t>预算</w:t>
      </w:r>
      <w:r w:rsidRPr="00863933">
        <w:rPr>
          <w:rFonts w:ascii="仿宋_GB2312" w:eastAsia="仿宋_GB2312" w:hAnsi="宋体" w:cs="宋体"/>
          <w:color w:val="000000"/>
          <w:kern w:val="0"/>
          <w:sz w:val="32"/>
          <w:szCs w:val="32"/>
        </w:rPr>
        <w:t>执行率为</w:t>
      </w:r>
      <w:r w:rsidRPr="00863933">
        <w:rPr>
          <w:rFonts w:ascii="仿宋_GB2312" w:eastAsia="仿宋_GB2312" w:hAnsi="宋体" w:cs="宋体" w:hint="eastAsia"/>
          <w:color w:val="000000"/>
          <w:kern w:val="0"/>
          <w:sz w:val="32"/>
          <w:szCs w:val="32"/>
        </w:rPr>
        <w:t>99.36</w:t>
      </w:r>
      <w:r w:rsidRPr="00863933">
        <w:rPr>
          <w:rFonts w:ascii="仿宋_GB2312" w:eastAsia="仿宋_GB2312" w:hAnsi="宋体" w:cs="宋体"/>
          <w:color w:val="000000"/>
          <w:kern w:val="0"/>
          <w:sz w:val="32"/>
          <w:szCs w:val="32"/>
        </w:rPr>
        <w:t>%</w:t>
      </w:r>
      <w:r w:rsidRPr="00863933">
        <w:rPr>
          <w:rFonts w:ascii="仿宋_GB2312" w:eastAsia="仿宋_GB2312" w:hAnsi="宋体" w:cs="宋体" w:hint="eastAsia"/>
          <w:color w:val="000000"/>
          <w:kern w:val="0"/>
          <w:sz w:val="32"/>
          <w:szCs w:val="32"/>
        </w:rPr>
        <w:t>。</w:t>
      </w:r>
    </w:p>
    <w:p w:rsidR="00894CB2" w:rsidRDefault="009A1E21">
      <w:pPr>
        <w:spacing w:line="600" w:lineRule="exact"/>
        <w:ind w:leftChars="50" w:left="105" w:firstLineChars="150" w:firstLine="48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894CB2" w:rsidRDefault="009A1E21">
      <w:pPr>
        <w:spacing w:line="60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（一）产出完成情况分析</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894CB2" w:rsidRPr="00ED41F6" w:rsidRDefault="009A1E21">
      <w:pPr>
        <w:spacing w:line="600" w:lineRule="exact"/>
        <w:ind w:leftChars="50" w:left="105" w:firstLineChars="150" w:firstLine="480"/>
        <w:rPr>
          <w:rFonts w:ascii="仿宋_GB2312" w:eastAsia="仿宋_GB2312" w:hAnsi="宋体" w:cs="宋体"/>
          <w:color w:val="000000"/>
          <w:kern w:val="0"/>
          <w:sz w:val="32"/>
          <w:szCs w:val="32"/>
        </w:rPr>
      </w:pPr>
      <w:r w:rsidRPr="00ED41F6">
        <w:rPr>
          <w:rFonts w:ascii="仿宋_GB2312" w:eastAsia="仿宋_GB2312" w:hAnsi="宋体" w:cs="宋体" w:hint="eastAsia"/>
          <w:color w:val="000000"/>
          <w:kern w:val="0"/>
          <w:sz w:val="32"/>
          <w:szCs w:val="32"/>
        </w:rPr>
        <w:t>2023年，全院共收案</w:t>
      </w:r>
      <w:r w:rsidRPr="00ED41F6">
        <w:rPr>
          <w:rFonts w:ascii="仿宋_GB2312" w:eastAsia="仿宋_GB2312" w:hAnsi="宋体" w:cs="宋体"/>
          <w:color w:val="000000"/>
          <w:kern w:val="0"/>
          <w:sz w:val="32"/>
          <w:szCs w:val="32"/>
        </w:rPr>
        <w:t>47</w:t>
      </w:r>
      <w:r w:rsidRPr="00ED41F6">
        <w:rPr>
          <w:rFonts w:ascii="仿宋_GB2312" w:eastAsia="仿宋_GB2312" w:hAnsi="宋体" w:cs="宋体" w:hint="eastAsia"/>
          <w:color w:val="000000"/>
          <w:kern w:val="0"/>
          <w:sz w:val="32"/>
          <w:szCs w:val="32"/>
        </w:rPr>
        <w:t>,</w:t>
      </w:r>
      <w:r w:rsidRPr="00ED41F6">
        <w:rPr>
          <w:rFonts w:ascii="仿宋_GB2312" w:eastAsia="仿宋_GB2312" w:hAnsi="宋体" w:cs="宋体"/>
          <w:color w:val="000000"/>
          <w:kern w:val="0"/>
          <w:sz w:val="32"/>
          <w:szCs w:val="32"/>
        </w:rPr>
        <w:t>148</w:t>
      </w:r>
      <w:r w:rsidRPr="00ED41F6">
        <w:rPr>
          <w:rFonts w:ascii="仿宋_GB2312" w:eastAsia="仿宋_GB2312" w:hAnsi="宋体" w:cs="宋体" w:hint="eastAsia"/>
          <w:color w:val="000000"/>
          <w:kern w:val="0"/>
          <w:sz w:val="32"/>
          <w:szCs w:val="32"/>
        </w:rPr>
        <w:t>件，结案47,331件，</w:t>
      </w:r>
      <w:proofErr w:type="gramStart"/>
      <w:r w:rsidRPr="00ED41F6">
        <w:rPr>
          <w:rFonts w:ascii="仿宋_GB2312" w:eastAsia="仿宋_GB2312" w:hAnsi="宋体" w:cs="宋体" w:hint="eastAsia"/>
          <w:color w:val="000000"/>
          <w:kern w:val="0"/>
          <w:sz w:val="32"/>
          <w:szCs w:val="32"/>
        </w:rPr>
        <w:t>结收比</w:t>
      </w:r>
      <w:proofErr w:type="gramEnd"/>
      <w:r w:rsidRPr="00ED41F6">
        <w:rPr>
          <w:rFonts w:ascii="仿宋_GB2312" w:eastAsia="仿宋_GB2312" w:hAnsi="宋体" w:cs="宋体" w:hint="eastAsia"/>
          <w:color w:val="000000"/>
          <w:kern w:val="0"/>
          <w:sz w:val="32"/>
          <w:szCs w:val="32"/>
        </w:rPr>
        <w:t>100.39%，法官人均结案423件。</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sidRPr="00ED41F6">
        <w:rPr>
          <w:rFonts w:ascii="仿宋_GB2312" w:eastAsia="仿宋_GB2312" w:hAnsi="宋体" w:cs="宋体" w:hint="eastAsia"/>
          <w:color w:val="000000"/>
          <w:kern w:val="0"/>
          <w:sz w:val="32"/>
          <w:szCs w:val="32"/>
        </w:rPr>
        <w:t>2.产出</w:t>
      </w:r>
      <w:r w:rsidRPr="00ED41F6">
        <w:rPr>
          <w:rFonts w:ascii="仿宋_GB2312" w:eastAsia="仿宋_GB2312" w:hAnsi="宋体" w:cs="宋体"/>
          <w:color w:val="000000"/>
          <w:kern w:val="0"/>
          <w:sz w:val="32"/>
          <w:szCs w:val="32"/>
        </w:rPr>
        <w:t>质量</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2023年，我院共办结执行案件12,636件，执行到位金额33.7亿元。</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w:t>
      </w:r>
      <w:proofErr w:type="gramStart"/>
      <w:r>
        <w:rPr>
          <w:rFonts w:ascii="仿宋_GB2312" w:eastAsia="仿宋_GB2312" w:hAnsi="宋体" w:cs="宋体" w:hint="eastAsia"/>
          <w:color w:val="000000"/>
          <w:kern w:val="0"/>
          <w:sz w:val="32"/>
          <w:szCs w:val="32"/>
        </w:rPr>
        <w:t>受案件</w:t>
      </w:r>
      <w:proofErr w:type="gramEnd"/>
      <w:r>
        <w:rPr>
          <w:rFonts w:ascii="仿宋_GB2312" w:eastAsia="仿宋_GB2312" w:hAnsi="宋体" w:cs="宋体" w:hint="eastAsia"/>
          <w:color w:val="000000"/>
          <w:kern w:val="0"/>
          <w:sz w:val="32"/>
          <w:szCs w:val="32"/>
        </w:rPr>
        <w:t>结构和考核指标调整的影响，我院审判质量指标滑坡较大。最为突出的是，一审裁判改发率(含全部被改发改裁案件)3.51%，由低到高排名区法院第15位。我院累计被改判295件，被发回78件，被改裁41件。生效案件改判发回重审率0.07%，排名16个区法院第8位。执行案件撤改发令率6.5</w:t>
      </w:r>
      <w:r>
        <w:rPr>
          <w:rFonts w:ascii="Arial" w:eastAsia="仿宋_GB2312" w:hAnsi="Arial" w:cs="Arial"/>
          <w:color w:val="000000"/>
          <w:kern w:val="0"/>
          <w:sz w:val="32"/>
          <w:szCs w:val="32"/>
        </w:rPr>
        <w:t>‰</w:t>
      </w:r>
      <w:r>
        <w:rPr>
          <w:rFonts w:ascii="仿宋_GB2312" w:eastAsia="仿宋_GB2312" w:hAnsi="宋体" w:cs="宋体" w:hint="eastAsia"/>
          <w:color w:val="000000"/>
          <w:kern w:val="0"/>
          <w:sz w:val="32"/>
          <w:szCs w:val="32"/>
        </w:rPr>
        <w:t>，上级法院核定全年被撤改的执行异议案件存在瑕疵1件，全年接到上级要求核实当事人反映拖延执行线索13件，经核实，市高院均未</w:t>
      </w:r>
      <w:proofErr w:type="gramStart"/>
      <w:r>
        <w:rPr>
          <w:rFonts w:ascii="仿宋_GB2312" w:eastAsia="仿宋_GB2312" w:hAnsi="宋体" w:cs="宋体" w:hint="eastAsia"/>
          <w:color w:val="000000"/>
          <w:kern w:val="0"/>
          <w:sz w:val="32"/>
          <w:szCs w:val="32"/>
        </w:rPr>
        <w:t>作出</w:t>
      </w:r>
      <w:proofErr w:type="gramEnd"/>
      <w:r>
        <w:rPr>
          <w:rFonts w:ascii="仿宋_GB2312" w:eastAsia="仿宋_GB2312" w:hAnsi="宋体" w:cs="宋体" w:hint="eastAsia"/>
          <w:color w:val="000000"/>
          <w:kern w:val="0"/>
          <w:sz w:val="32"/>
          <w:szCs w:val="32"/>
        </w:rPr>
        <w:t>督促办理的发令。</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2023年共收到投诉1,340件，信访226件，投诉信访率为1.17%，共办结1,553件，完成率达99.17%，较上略有上升。</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2023年，我院</w:t>
      </w:r>
      <w:proofErr w:type="gramStart"/>
      <w:r>
        <w:rPr>
          <w:rFonts w:ascii="仿宋_GB2312" w:eastAsia="仿宋_GB2312" w:hAnsi="宋体" w:cs="宋体" w:hint="eastAsia"/>
          <w:color w:val="000000"/>
          <w:kern w:val="0"/>
          <w:sz w:val="32"/>
          <w:szCs w:val="32"/>
        </w:rPr>
        <w:t>案拍比</w:t>
      </w:r>
      <w:proofErr w:type="gramEnd"/>
      <w:r>
        <w:rPr>
          <w:rFonts w:ascii="仿宋_GB2312" w:eastAsia="仿宋_GB2312" w:hAnsi="宋体" w:cs="宋体" w:hint="eastAsia"/>
          <w:color w:val="000000"/>
          <w:kern w:val="0"/>
          <w:sz w:val="32"/>
          <w:szCs w:val="32"/>
        </w:rPr>
        <w:t>6.18%，超出全年考核的满分值(6%);已</w:t>
      </w:r>
      <w:proofErr w:type="gramStart"/>
      <w:r>
        <w:rPr>
          <w:rFonts w:ascii="仿宋_GB2312" w:eastAsia="仿宋_GB2312" w:hAnsi="宋体" w:cs="宋体" w:hint="eastAsia"/>
          <w:color w:val="000000"/>
          <w:kern w:val="0"/>
          <w:sz w:val="32"/>
          <w:szCs w:val="32"/>
        </w:rPr>
        <w:t>结首执</w:t>
      </w:r>
      <w:proofErr w:type="gramEnd"/>
      <w:r>
        <w:rPr>
          <w:rFonts w:ascii="仿宋_GB2312" w:eastAsia="仿宋_GB2312" w:hAnsi="宋体" w:cs="宋体" w:hint="eastAsia"/>
          <w:color w:val="000000"/>
          <w:kern w:val="0"/>
          <w:sz w:val="32"/>
          <w:szCs w:val="32"/>
        </w:rPr>
        <w:t>案件中执行完毕案件占比26.6%，同比提升3.4个百分点;已</w:t>
      </w:r>
      <w:proofErr w:type="gramStart"/>
      <w:r>
        <w:rPr>
          <w:rFonts w:ascii="仿宋_GB2312" w:eastAsia="仿宋_GB2312" w:hAnsi="宋体" w:cs="宋体" w:hint="eastAsia"/>
          <w:color w:val="000000"/>
          <w:kern w:val="0"/>
          <w:sz w:val="32"/>
          <w:szCs w:val="32"/>
        </w:rPr>
        <w:t>结首执</w:t>
      </w:r>
      <w:proofErr w:type="gramEnd"/>
      <w:r>
        <w:rPr>
          <w:rFonts w:ascii="仿宋_GB2312" w:eastAsia="仿宋_GB2312" w:hAnsi="宋体" w:cs="宋体" w:hint="eastAsia"/>
          <w:color w:val="000000"/>
          <w:kern w:val="0"/>
          <w:sz w:val="32"/>
          <w:szCs w:val="32"/>
        </w:rPr>
        <w:t>案件</w:t>
      </w:r>
      <w:proofErr w:type="gramStart"/>
      <w:r>
        <w:rPr>
          <w:rFonts w:ascii="仿宋_GB2312" w:eastAsia="仿宋_GB2312" w:hAnsi="宋体" w:cs="宋体" w:hint="eastAsia"/>
          <w:color w:val="000000"/>
          <w:kern w:val="0"/>
          <w:sz w:val="32"/>
          <w:szCs w:val="32"/>
        </w:rPr>
        <w:t>中终本案件</w:t>
      </w:r>
      <w:proofErr w:type="gramEnd"/>
      <w:r>
        <w:rPr>
          <w:rFonts w:ascii="仿宋_GB2312" w:eastAsia="仿宋_GB2312" w:hAnsi="宋体" w:cs="宋体" w:hint="eastAsia"/>
          <w:color w:val="000000"/>
          <w:kern w:val="0"/>
          <w:sz w:val="32"/>
          <w:szCs w:val="32"/>
        </w:rPr>
        <w:t>占比51%，同比降低17.6个百分点，相比上半年降低10.3个百分点;</w:t>
      </w:r>
      <w:proofErr w:type="gramStart"/>
      <w:r>
        <w:rPr>
          <w:rFonts w:ascii="仿宋_GB2312" w:eastAsia="仿宋_GB2312" w:hAnsi="宋体" w:cs="宋体" w:hint="eastAsia"/>
          <w:color w:val="000000"/>
          <w:kern w:val="0"/>
          <w:sz w:val="32"/>
          <w:szCs w:val="32"/>
        </w:rPr>
        <w:t>首执案件</w:t>
      </w:r>
      <w:proofErr w:type="gramEnd"/>
      <w:r>
        <w:rPr>
          <w:rFonts w:ascii="仿宋_GB2312" w:eastAsia="仿宋_GB2312" w:hAnsi="宋体" w:cs="宋体" w:hint="eastAsia"/>
          <w:color w:val="000000"/>
          <w:kern w:val="0"/>
          <w:sz w:val="32"/>
          <w:szCs w:val="32"/>
        </w:rPr>
        <w:t>执结率88.18%，排名区法院第10位。</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根据第三方评估机构对全国法院“基本解决执行难”工作情况跟踪评估，四项核心指标具体情况如下:有财产可供执行案件法定审</w:t>
      </w:r>
      <w:proofErr w:type="gramStart"/>
      <w:r>
        <w:rPr>
          <w:rFonts w:ascii="仿宋_GB2312" w:eastAsia="仿宋_GB2312" w:hAnsi="宋体" w:cs="宋体" w:hint="eastAsia"/>
          <w:color w:val="000000"/>
          <w:kern w:val="0"/>
          <w:sz w:val="32"/>
          <w:szCs w:val="32"/>
        </w:rPr>
        <w:t>限内执结</w:t>
      </w:r>
      <w:proofErr w:type="gramEnd"/>
      <w:r>
        <w:rPr>
          <w:rFonts w:ascii="仿宋_GB2312" w:eastAsia="仿宋_GB2312" w:hAnsi="宋体" w:cs="宋体" w:hint="eastAsia"/>
          <w:color w:val="000000"/>
          <w:kern w:val="0"/>
          <w:sz w:val="32"/>
          <w:szCs w:val="32"/>
        </w:rPr>
        <w:t>率为99.25%(合格标准为90%);执行案件执结率88.74%(合格标准为80%);</w:t>
      </w:r>
      <w:proofErr w:type="gramStart"/>
      <w:r>
        <w:rPr>
          <w:rFonts w:ascii="仿宋_GB2312" w:eastAsia="仿宋_GB2312" w:hAnsi="宋体" w:cs="宋体" w:hint="eastAsia"/>
          <w:color w:val="000000"/>
          <w:kern w:val="0"/>
          <w:sz w:val="32"/>
          <w:szCs w:val="32"/>
        </w:rPr>
        <w:t>终本合格率</w:t>
      </w:r>
      <w:proofErr w:type="gramEnd"/>
      <w:r>
        <w:rPr>
          <w:rFonts w:ascii="仿宋_GB2312" w:eastAsia="仿宋_GB2312" w:hAnsi="宋体" w:cs="宋体" w:hint="eastAsia"/>
          <w:color w:val="000000"/>
          <w:kern w:val="0"/>
          <w:sz w:val="32"/>
          <w:szCs w:val="32"/>
        </w:rPr>
        <w:t>100%(合格标准为90%)，执行信访办结率100%(合格标准为90%)。</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2023年，提升审执效率百日攻坚专项活动开展以来，我院审执效率显著提升，全年</w:t>
      </w:r>
      <w:proofErr w:type="gramStart"/>
      <w:r>
        <w:rPr>
          <w:rFonts w:ascii="仿宋_GB2312" w:eastAsia="仿宋_GB2312" w:hAnsi="宋体" w:cs="宋体" w:hint="eastAsia"/>
          <w:color w:val="000000"/>
          <w:kern w:val="0"/>
          <w:sz w:val="32"/>
          <w:szCs w:val="32"/>
        </w:rPr>
        <w:t>案件结收比</w:t>
      </w:r>
      <w:proofErr w:type="gramEnd"/>
      <w:r>
        <w:rPr>
          <w:rFonts w:ascii="仿宋_GB2312" w:eastAsia="仿宋_GB2312" w:hAnsi="宋体" w:cs="宋体" w:hint="eastAsia"/>
          <w:color w:val="000000"/>
          <w:kern w:val="0"/>
          <w:sz w:val="32"/>
          <w:szCs w:val="32"/>
        </w:rPr>
        <w:t>为100.39%；清理旧存案件6,855件,旧存案</w:t>
      </w:r>
      <w:proofErr w:type="gramStart"/>
      <w:r>
        <w:rPr>
          <w:rFonts w:ascii="仿宋_GB2312" w:eastAsia="仿宋_GB2312" w:hAnsi="宋体" w:cs="宋体" w:hint="eastAsia"/>
          <w:color w:val="000000"/>
          <w:kern w:val="0"/>
          <w:sz w:val="32"/>
          <w:szCs w:val="32"/>
        </w:rPr>
        <w:t>件清理率</w:t>
      </w:r>
      <w:proofErr w:type="gramEnd"/>
      <w:r>
        <w:rPr>
          <w:rFonts w:ascii="仿宋_GB2312" w:eastAsia="仿宋_GB2312" w:hAnsi="宋体" w:cs="宋体" w:hint="eastAsia"/>
          <w:color w:val="000000"/>
          <w:kern w:val="0"/>
          <w:sz w:val="32"/>
          <w:szCs w:val="32"/>
        </w:rPr>
        <w:t>99.3%，完成99%的满分任务，各部门均超额完成清理任务；电子送达覆盖率为79.91%，较上年提升8.36个百分点；有财产可供执行案件法定审</w:t>
      </w:r>
      <w:proofErr w:type="gramStart"/>
      <w:r>
        <w:rPr>
          <w:rFonts w:ascii="仿宋_GB2312" w:eastAsia="仿宋_GB2312" w:hAnsi="宋体" w:cs="宋体" w:hint="eastAsia"/>
          <w:color w:val="000000"/>
          <w:kern w:val="0"/>
          <w:sz w:val="32"/>
          <w:szCs w:val="32"/>
        </w:rPr>
        <w:t>限内执结</w:t>
      </w:r>
      <w:proofErr w:type="gramEnd"/>
      <w:r>
        <w:rPr>
          <w:rFonts w:ascii="仿宋_GB2312" w:eastAsia="仿宋_GB2312" w:hAnsi="宋体" w:cs="宋体" w:hint="eastAsia"/>
          <w:color w:val="000000"/>
          <w:kern w:val="0"/>
          <w:sz w:val="32"/>
          <w:szCs w:val="32"/>
        </w:rPr>
        <w:t>率为99.14%（合格标准为90%），执行难题问题得到持续解决；各项经费报账、支付及时，办案、</w:t>
      </w:r>
      <w:proofErr w:type="gramStart"/>
      <w:r>
        <w:rPr>
          <w:rFonts w:ascii="仿宋_GB2312" w:eastAsia="仿宋_GB2312" w:hAnsi="宋体" w:cs="宋体" w:hint="eastAsia"/>
          <w:color w:val="000000"/>
          <w:kern w:val="0"/>
          <w:sz w:val="32"/>
          <w:szCs w:val="32"/>
        </w:rPr>
        <w:t>维稳等</w:t>
      </w:r>
      <w:proofErr w:type="gramEnd"/>
      <w:r>
        <w:rPr>
          <w:rFonts w:ascii="仿宋_GB2312" w:eastAsia="仿宋_GB2312" w:hAnsi="宋体" w:cs="宋体" w:hint="eastAsia"/>
          <w:color w:val="000000"/>
          <w:kern w:val="0"/>
          <w:sz w:val="32"/>
          <w:szCs w:val="32"/>
        </w:rPr>
        <w:t>各项工作高效开展，汇报、处理及时得当。</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894CB2" w:rsidRDefault="009A1E2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我院2023年全口径案件成本（全年财政拨款预算数</w:t>
      </w:r>
      <w:r>
        <w:rPr>
          <w:rFonts w:ascii="仿宋_GB2312" w:eastAsia="仿宋_GB2312" w:hAnsi="仿宋_GB2312" w:hint="eastAsia"/>
          <w:sz w:val="32"/>
          <w:szCs w:val="32"/>
        </w:rPr>
        <w:t>（项目经费）</w:t>
      </w:r>
      <w:r>
        <w:rPr>
          <w:rFonts w:ascii="仿宋_GB2312" w:eastAsia="仿宋_GB2312" w:hAnsi="宋体" w:cs="宋体" w:hint="eastAsia"/>
          <w:color w:val="000000"/>
          <w:kern w:val="0"/>
          <w:sz w:val="32"/>
          <w:szCs w:val="32"/>
        </w:rPr>
        <w:t>/审结案件数量）为551.95元，较上年全口径案件成本661.50元减少了109.55元。</w:t>
      </w:r>
    </w:p>
    <w:p w:rsidR="00894CB2" w:rsidRDefault="009A1E21">
      <w:pPr>
        <w:spacing w:line="60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rsidR="00894CB2" w:rsidRDefault="009A1E2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依法审理各类案件，维护社会稳定、促进经济发展，保障办公办案正常运转，使全县经济效益稳步增长，效益显著。</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我院2023年网上预约立案20,477件次，占全部收案数量的比重为43.43%，完成了年初40%的预定目标。开展在线庭审21,924件次,占全部收案数量的比重为46.50%。</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持续优化办案周期，全年法定审限内结案比例为83.06%。平均扣除、延长审限次数0.38次，保持在基础得分区间（0.5次以内），排名区法院第9位。平均扣除审限天数，</w:t>
      </w:r>
      <w:proofErr w:type="gramStart"/>
      <w:r>
        <w:rPr>
          <w:rFonts w:ascii="仿宋_GB2312" w:eastAsia="仿宋_GB2312" w:hAnsi="宋体" w:cs="宋体" w:hint="eastAsia"/>
          <w:color w:val="000000"/>
          <w:kern w:val="0"/>
          <w:sz w:val="32"/>
          <w:szCs w:val="32"/>
        </w:rPr>
        <w:t>保持区</w:t>
      </w:r>
      <w:proofErr w:type="gramEnd"/>
      <w:r>
        <w:rPr>
          <w:rFonts w:ascii="仿宋_GB2312" w:eastAsia="仿宋_GB2312" w:hAnsi="宋体" w:cs="宋体" w:hint="eastAsia"/>
          <w:color w:val="000000"/>
          <w:kern w:val="0"/>
          <w:sz w:val="32"/>
          <w:szCs w:val="32"/>
        </w:rPr>
        <w:t>法院第2位，扣除两年积案后为77.86天；平均审执天数，提升至区法院第7位，相比前两年均值缩短12.6天，扣除两年积案后为65.69天。上诉移转平均周期（自一审结案至二审立案），由上半年的106.51天缩短至90.8天。自当事人提交上诉状至移转二审法院周期为29.89天。</w:t>
      </w:r>
    </w:p>
    <w:p w:rsidR="00894CB2" w:rsidRDefault="009A1E2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优化首都营商环境，保障经济效益。全年共</w:t>
      </w:r>
      <w:proofErr w:type="gramStart"/>
      <w:r>
        <w:rPr>
          <w:rFonts w:ascii="仿宋_GB2312" w:eastAsia="仿宋_GB2312" w:hAnsi="宋体" w:cs="宋体" w:hint="eastAsia"/>
          <w:color w:val="000000"/>
          <w:kern w:val="0"/>
          <w:sz w:val="32"/>
          <w:szCs w:val="32"/>
        </w:rPr>
        <w:t>办结商</w:t>
      </w:r>
      <w:proofErr w:type="gramEnd"/>
      <w:r>
        <w:rPr>
          <w:rFonts w:ascii="仿宋_GB2312" w:eastAsia="仿宋_GB2312" w:hAnsi="宋体" w:cs="宋体" w:hint="eastAsia"/>
          <w:color w:val="000000"/>
          <w:kern w:val="0"/>
          <w:sz w:val="32"/>
          <w:szCs w:val="32"/>
        </w:rPr>
        <w:t>事案件9,466件。服务市场主体解纷提速，加快案件审理；保护各类市场主体合法权益，加强对企业参诉应诉、举证质证流程指引，维护企业权益；设立全市首个商圈“普法驿站”，选择典型案件巡回审判，促进企业诚信守法经营，助力“国</w:t>
      </w:r>
      <w:r>
        <w:rPr>
          <w:rFonts w:ascii="仿宋_GB2312" w:eastAsia="仿宋_GB2312" w:hAnsi="宋体" w:cs="宋体" w:hint="eastAsia"/>
          <w:color w:val="000000"/>
          <w:kern w:val="0"/>
          <w:sz w:val="32"/>
          <w:szCs w:val="32"/>
        </w:rPr>
        <w:lastRenderedPageBreak/>
        <w:t>际消费中心城市示范区”建设，服务市场有序经营；实地调解纠纷，促成双方达成和解；统筹做好旅游发展和特色经营，为群众游景点、</w:t>
      </w:r>
      <w:proofErr w:type="gramStart"/>
      <w:r>
        <w:rPr>
          <w:rFonts w:ascii="仿宋_GB2312" w:eastAsia="仿宋_GB2312" w:hAnsi="宋体" w:cs="宋体" w:hint="eastAsia"/>
          <w:color w:val="000000"/>
          <w:kern w:val="0"/>
          <w:sz w:val="32"/>
          <w:szCs w:val="32"/>
        </w:rPr>
        <w:t>品文化</w:t>
      </w:r>
      <w:proofErr w:type="gramEnd"/>
      <w:r>
        <w:rPr>
          <w:rFonts w:ascii="仿宋_GB2312" w:eastAsia="仿宋_GB2312" w:hAnsi="宋体" w:cs="宋体" w:hint="eastAsia"/>
          <w:color w:val="000000"/>
          <w:kern w:val="0"/>
          <w:sz w:val="32"/>
          <w:szCs w:val="32"/>
        </w:rPr>
        <w:t>提供司法保障；服务</w:t>
      </w:r>
      <w:proofErr w:type="gramStart"/>
      <w:r>
        <w:rPr>
          <w:rFonts w:ascii="仿宋_GB2312" w:eastAsia="仿宋_GB2312" w:hAnsi="宋体" w:cs="宋体" w:hint="eastAsia"/>
          <w:color w:val="000000"/>
          <w:kern w:val="0"/>
          <w:sz w:val="32"/>
          <w:szCs w:val="32"/>
        </w:rPr>
        <w:t>文旅消费</w:t>
      </w:r>
      <w:proofErr w:type="gramEnd"/>
      <w:r>
        <w:rPr>
          <w:rFonts w:ascii="仿宋_GB2312" w:eastAsia="仿宋_GB2312" w:hAnsi="宋体" w:cs="宋体" w:hint="eastAsia"/>
          <w:color w:val="000000"/>
          <w:kern w:val="0"/>
          <w:sz w:val="32"/>
          <w:szCs w:val="32"/>
        </w:rPr>
        <w:t>安全，妥善办理多场大型演艺活动退票纠纷，规制票务平台不合理的拒绝退票规定，支持其合理诉求，调研案件反映的商业</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学机构违法违规经营行为，相关信息被市委采用，保障旅游</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学热而不乱。</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894CB2" w:rsidRDefault="009A1E21">
      <w:pPr>
        <w:adjustRightInd w:val="0"/>
        <w:snapToGrid w:val="0"/>
        <w:spacing w:line="560" w:lineRule="exact"/>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年，我院共</w:t>
      </w:r>
      <w:r>
        <w:rPr>
          <w:rFonts w:eastAsia="仿宋_GB2312"/>
          <w:sz w:val="32"/>
          <w:szCs w:val="32"/>
        </w:rPr>
        <w:t>办结民事案件</w:t>
      </w:r>
      <w:r>
        <w:rPr>
          <w:rFonts w:eastAsia="仿宋_GB2312"/>
          <w:sz w:val="32"/>
          <w:szCs w:val="32"/>
        </w:rPr>
        <w:t>16182</w:t>
      </w:r>
      <w:r>
        <w:rPr>
          <w:rFonts w:eastAsia="仿宋_GB2312"/>
          <w:sz w:val="32"/>
          <w:szCs w:val="32"/>
        </w:rPr>
        <w:t>件</w:t>
      </w:r>
      <w:r>
        <w:rPr>
          <w:rFonts w:eastAsia="仿宋_GB2312" w:hint="eastAsia"/>
          <w:sz w:val="32"/>
          <w:szCs w:val="32"/>
        </w:rPr>
        <w:t>，妥善办结劳动争议案件</w:t>
      </w:r>
      <w:r>
        <w:rPr>
          <w:rFonts w:eastAsia="仿宋_GB2312" w:hint="eastAsia"/>
          <w:sz w:val="32"/>
          <w:szCs w:val="32"/>
        </w:rPr>
        <w:t>2100</w:t>
      </w:r>
      <w:r>
        <w:rPr>
          <w:rFonts w:eastAsia="仿宋_GB2312" w:hint="eastAsia"/>
          <w:sz w:val="32"/>
          <w:szCs w:val="32"/>
        </w:rPr>
        <w:t>余件，有力维护了老人、儿童、未成年人以及劳动者和企业的合法权益，依法保障了民生福祉。“判定劳动者依规请假照看病危父亲，用人单位因此解雇员工系违</w:t>
      </w:r>
      <w:r>
        <w:rPr>
          <w:rFonts w:eastAsia="仿宋_GB2312"/>
          <w:sz w:val="32"/>
          <w:szCs w:val="32"/>
        </w:rPr>
        <w:t>法行为</w:t>
      </w:r>
      <w:r>
        <w:rPr>
          <w:rFonts w:eastAsia="仿宋_GB2312" w:hint="eastAsia"/>
          <w:sz w:val="32"/>
          <w:szCs w:val="32"/>
        </w:rPr>
        <w:t>”</w:t>
      </w:r>
      <w:r>
        <w:rPr>
          <w:rFonts w:eastAsia="仿宋_GB2312"/>
          <w:sz w:val="32"/>
          <w:szCs w:val="32"/>
        </w:rPr>
        <w:t>案</w:t>
      </w:r>
      <w:r>
        <w:rPr>
          <w:rFonts w:eastAsia="仿宋_GB2312" w:hint="eastAsia"/>
          <w:sz w:val="32"/>
          <w:szCs w:val="32"/>
        </w:rPr>
        <w:t>例</w:t>
      </w:r>
      <w:r>
        <w:rPr>
          <w:rFonts w:eastAsia="仿宋_GB2312"/>
          <w:sz w:val="32"/>
          <w:szCs w:val="32"/>
        </w:rPr>
        <w:t>入选中国法院博物馆</w:t>
      </w:r>
      <w:r>
        <w:rPr>
          <w:rFonts w:eastAsia="仿宋_GB2312"/>
          <w:sz w:val="32"/>
          <w:szCs w:val="32"/>
        </w:rPr>
        <w:t>“</w:t>
      </w:r>
      <w:r>
        <w:rPr>
          <w:rFonts w:eastAsia="仿宋_GB2312"/>
          <w:sz w:val="32"/>
          <w:szCs w:val="32"/>
        </w:rPr>
        <w:t>法安天下，德润人心</w:t>
      </w:r>
      <w:r>
        <w:rPr>
          <w:rFonts w:eastAsia="仿宋_GB2312"/>
          <w:sz w:val="32"/>
          <w:szCs w:val="32"/>
        </w:rPr>
        <w:t>”</w:t>
      </w:r>
      <w:r>
        <w:rPr>
          <w:rFonts w:eastAsia="仿宋_GB2312"/>
          <w:sz w:val="32"/>
          <w:szCs w:val="32"/>
        </w:rPr>
        <w:t>成就展</w:t>
      </w:r>
      <w:r>
        <w:rPr>
          <w:rFonts w:eastAsia="仿宋_GB2312" w:hint="eastAsia"/>
          <w:sz w:val="32"/>
          <w:szCs w:val="32"/>
        </w:rPr>
        <w:t>。</w:t>
      </w:r>
    </w:p>
    <w:p w:rsidR="00894CB2" w:rsidRDefault="009A1E21">
      <w:pPr>
        <w:adjustRightInd w:val="0"/>
        <w:snapToGrid w:val="0"/>
        <w:spacing w:line="560" w:lineRule="exact"/>
        <w:ind w:firstLineChars="200" w:firstLine="640"/>
        <w:rPr>
          <w:rFonts w:eastAsia="仿宋_GB2312"/>
          <w:sz w:val="32"/>
          <w:szCs w:val="32"/>
        </w:rPr>
      </w:pPr>
      <w:r>
        <w:rPr>
          <w:rFonts w:eastAsia="仿宋_GB2312" w:hint="eastAsia"/>
          <w:sz w:val="32"/>
          <w:szCs w:val="32"/>
        </w:rPr>
        <w:t>做实“六字文章”、深化“六力提升”，有效防控各类风险。依法</w:t>
      </w:r>
      <w:r>
        <w:rPr>
          <w:rFonts w:eastAsia="仿宋_GB2312"/>
          <w:sz w:val="32"/>
          <w:szCs w:val="32"/>
        </w:rPr>
        <w:t>维护</w:t>
      </w:r>
      <w:r>
        <w:rPr>
          <w:rFonts w:eastAsia="仿宋_GB2312"/>
          <w:sz w:val="32"/>
          <w:szCs w:val="32"/>
        </w:rPr>
        <w:t>“</w:t>
      </w:r>
      <w:r>
        <w:rPr>
          <w:rFonts w:eastAsia="仿宋_GB2312"/>
          <w:sz w:val="32"/>
          <w:szCs w:val="32"/>
        </w:rPr>
        <w:t>两个毫不动摇</w:t>
      </w:r>
      <w:r>
        <w:rPr>
          <w:rFonts w:eastAsia="仿宋_GB2312"/>
          <w:sz w:val="32"/>
          <w:szCs w:val="32"/>
        </w:rPr>
        <w:t>”</w:t>
      </w:r>
      <w:r>
        <w:rPr>
          <w:rFonts w:eastAsia="仿宋_GB2312"/>
          <w:sz w:val="32"/>
          <w:szCs w:val="32"/>
        </w:rPr>
        <w:t>，以司法手段助力</w:t>
      </w:r>
      <w:r>
        <w:rPr>
          <w:rFonts w:eastAsia="仿宋_GB2312" w:hint="eastAsia"/>
          <w:sz w:val="32"/>
          <w:szCs w:val="32"/>
        </w:rPr>
        <w:t>保护</w:t>
      </w:r>
      <w:r>
        <w:rPr>
          <w:rFonts w:eastAsia="仿宋_GB2312"/>
          <w:sz w:val="32"/>
          <w:szCs w:val="32"/>
        </w:rPr>
        <w:t>各类</w:t>
      </w:r>
      <w:r>
        <w:rPr>
          <w:rFonts w:eastAsia="仿宋_GB2312" w:hint="eastAsia"/>
          <w:sz w:val="32"/>
          <w:szCs w:val="32"/>
        </w:rPr>
        <w:t>市场</w:t>
      </w:r>
      <w:r>
        <w:rPr>
          <w:rFonts w:eastAsia="仿宋_GB2312"/>
          <w:sz w:val="32"/>
          <w:szCs w:val="32"/>
        </w:rPr>
        <w:t>主体的内生动力和创新活力，</w:t>
      </w:r>
      <w:r>
        <w:rPr>
          <w:rFonts w:eastAsia="仿宋_GB2312" w:hint="eastAsia"/>
          <w:sz w:val="32"/>
          <w:szCs w:val="32"/>
        </w:rPr>
        <w:t>维护公平竞争、诚信经营；</w:t>
      </w:r>
      <w:r>
        <w:rPr>
          <w:rFonts w:eastAsia="仿宋_GB2312"/>
          <w:sz w:val="32"/>
          <w:szCs w:val="32"/>
        </w:rPr>
        <w:t>深入</w:t>
      </w:r>
      <w:proofErr w:type="gramStart"/>
      <w:r>
        <w:rPr>
          <w:rFonts w:eastAsia="仿宋_GB2312"/>
          <w:sz w:val="32"/>
          <w:szCs w:val="32"/>
        </w:rPr>
        <w:t>践行</w:t>
      </w:r>
      <w:proofErr w:type="gramEnd"/>
      <w:r>
        <w:rPr>
          <w:rFonts w:eastAsia="仿宋_GB2312"/>
          <w:sz w:val="32"/>
          <w:szCs w:val="32"/>
        </w:rPr>
        <w:t>“</w:t>
      </w:r>
      <w:r>
        <w:rPr>
          <w:rFonts w:eastAsia="仿宋_GB2312"/>
          <w:sz w:val="32"/>
          <w:szCs w:val="32"/>
        </w:rPr>
        <w:t>四下基层</w:t>
      </w:r>
      <w:r>
        <w:rPr>
          <w:rFonts w:eastAsia="仿宋_GB2312"/>
          <w:sz w:val="32"/>
          <w:szCs w:val="32"/>
        </w:rPr>
        <w:t>”</w:t>
      </w:r>
      <w:r>
        <w:rPr>
          <w:rFonts w:eastAsia="仿宋_GB2312"/>
          <w:sz w:val="32"/>
          <w:szCs w:val="32"/>
        </w:rPr>
        <w:t>要求，</w:t>
      </w:r>
      <w:proofErr w:type="gramStart"/>
      <w:r>
        <w:rPr>
          <w:rFonts w:eastAsia="仿宋_GB2312" w:hint="eastAsia"/>
          <w:sz w:val="32"/>
          <w:szCs w:val="32"/>
        </w:rPr>
        <w:t>做优</w:t>
      </w:r>
      <w:proofErr w:type="gramEnd"/>
      <w:r>
        <w:rPr>
          <w:rFonts w:eastAsia="仿宋_GB2312"/>
          <w:sz w:val="32"/>
          <w:szCs w:val="32"/>
        </w:rPr>
        <w:t>12368“</w:t>
      </w:r>
      <w:r>
        <w:rPr>
          <w:rFonts w:eastAsia="仿宋_GB2312"/>
          <w:sz w:val="32"/>
          <w:szCs w:val="32"/>
        </w:rPr>
        <w:t>一号响应</w:t>
      </w:r>
      <w:r>
        <w:rPr>
          <w:rFonts w:eastAsia="仿宋_GB2312"/>
          <w:sz w:val="32"/>
          <w:szCs w:val="32"/>
        </w:rPr>
        <w:t>”</w:t>
      </w:r>
      <w:proofErr w:type="gramStart"/>
      <w:r>
        <w:rPr>
          <w:rFonts w:eastAsia="仿宋_GB2312"/>
          <w:sz w:val="32"/>
          <w:szCs w:val="32"/>
        </w:rPr>
        <w:t>诉源治理</w:t>
      </w:r>
      <w:proofErr w:type="gramEnd"/>
      <w:r>
        <w:rPr>
          <w:rFonts w:eastAsia="仿宋_GB2312"/>
          <w:sz w:val="32"/>
          <w:szCs w:val="32"/>
        </w:rPr>
        <w:t>工作机制，做好政法力量下沉工作</w:t>
      </w:r>
      <w:r>
        <w:rPr>
          <w:rFonts w:eastAsia="仿宋_GB2312" w:hint="eastAsia"/>
          <w:sz w:val="32"/>
          <w:szCs w:val="32"/>
        </w:rPr>
        <w:t>，</w:t>
      </w:r>
      <w:r>
        <w:rPr>
          <w:rFonts w:eastAsia="仿宋_GB2312"/>
          <w:sz w:val="32"/>
          <w:szCs w:val="32"/>
        </w:rPr>
        <w:t>继续</w:t>
      </w:r>
      <w:r>
        <w:rPr>
          <w:rFonts w:eastAsia="仿宋_GB2312" w:hint="eastAsia"/>
          <w:sz w:val="32"/>
          <w:szCs w:val="32"/>
        </w:rPr>
        <w:t>推进各类</w:t>
      </w:r>
      <w:r>
        <w:rPr>
          <w:rFonts w:eastAsia="仿宋_GB2312"/>
          <w:sz w:val="32"/>
          <w:szCs w:val="32"/>
        </w:rPr>
        <w:t>案件源头治理</w:t>
      </w:r>
      <w:r>
        <w:rPr>
          <w:rFonts w:eastAsia="仿宋_GB2312" w:hint="eastAsia"/>
          <w:sz w:val="32"/>
          <w:szCs w:val="32"/>
        </w:rPr>
        <w:t>，</w:t>
      </w:r>
      <w:r>
        <w:rPr>
          <w:rFonts w:eastAsia="仿宋_GB2312"/>
          <w:sz w:val="32"/>
          <w:szCs w:val="32"/>
        </w:rPr>
        <w:t>把更多纠纷化解在诉前</w:t>
      </w:r>
      <w:r>
        <w:rPr>
          <w:rFonts w:eastAsia="仿宋_GB2312" w:hint="eastAsia"/>
          <w:sz w:val="32"/>
          <w:szCs w:val="32"/>
        </w:rPr>
        <w:t>；</w:t>
      </w:r>
      <w:r>
        <w:rPr>
          <w:rFonts w:eastAsia="仿宋_GB2312"/>
          <w:bCs/>
          <w:sz w:val="32"/>
          <w:szCs w:val="32"/>
        </w:rPr>
        <w:t>持续</w:t>
      </w:r>
      <w:r>
        <w:rPr>
          <w:rFonts w:eastAsia="仿宋_GB2312" w:hint="eastAsia"/>
          <w:sz w:val="32"/>
          <w:szCs w:val="32"/>
        </w:rPr>
        <w:t>支持和监督依法行政</w:t>
      </w:r>
      <w:r>
        <w:rPr>
          <w:rFonts w:eastAsia="仿宋_GB2312"/>
          <w:sz w:val="32"/>
          <w:szCs w:val="32"/>
        </w:rPr>
        <w:t>，助力我区建成更高水平的</w:t>
      </w:r>
      <w:r>
        <w:rPr>
          <w:rFonts w:eastAsia="仿宋_GB2312"/>
          <w:sz w:val="32"/>
          <w:szCs w:val="32"/>
        </w:rPr>
        <w:t>“</w:t>
      </w:r>
      <w:r>
        <w:rPr>
          <w:rFonts w:eastAsia="仿宋_GB2312"/>
          <w:sz w:val="32"/>
          <w:szCs w:val="32"/>
        </w:rPr>
        <w:t>全国法治政府建设示范区</w:t>
      </w:r>
      <w:r>
        <w:rPr>
          <w:rFonts w:eastAsia="仿宋_GB2312"/>
          <w:sz w:val="32"/>
          <w:szCs w:val="32"/>
        </w:rPr>
        <w:t>”</w:t>
      </w:r>
      <w:r>
        <w:rPr>
          <w:rFonts w:eastAsia="仿宋_GB2312" w:hint="eastAsia"/>
          <w:sz w:val="32"/>
          <w:szCs w:val="32"/>
        </w:rPr>
        <w:t>；持续关注群众需求，认真回应群众关切，推出更多司法便民措施，让群众有更多司法获得感。</w:t>
      </w:r>
    </w:p>
    <w:p w:rsidR="00894CB2" w:rsidRDefault="009A1E21">
      <w:pPr>
        <w:adjustRightInd w:val="0"/>
        <w:snapToGrid w:val="0"/>
        <w:spacing w:line="560" w:lineRule="exact"/>
        <w:ind w:firstLineChars="200" w:firstLine="640"/>
        <w:rPr>
          <w:rFonts w:eastAsia="仿宋_GB2312"/>
          <w:sz w:val="32"/>
          <w:szCs w:val="32"/>
        </w:rPr>
      </w:pPr>
      <w:r>
        <w:rPr>
          <w:rFonts w:eastAsia="仿宋_GB2312"/>
          <w:sz w:val="32"/>
          <w:szCs w:val="32"/>
        </w:rPr>
        <w:t>做实</w:t>
      </w:r>
      <w:r>
        <w:rPr>
          <w:rFonts w:eastAsia="仿宋_GB2312"/>
          <w:sz w:val="32"/>
          <w:szCs w:val="32"/>
        </w:rPr>
        <w:t>“</w:t>
      </w:r>
      <w:r>
        <w:rPr>
          <w:rFonts w:eastAsia="仿宋_GB2312"/>
          <w:sz w:val="32"/>
          <w:szCs w:val="32"/>
        </w:rPr>
        <w:t>靖</w:t>
      </w:r>
      <w:r>
        <w:rPr>
          <w:rFonts w:eastAsia="仿宋_GB2312"/>
          <w:sz w:val="32"/>
          <w:szCs w:val="32"/>
        </w:rPr>
        <w:t>”</w:t>
      </w:r>
      <w:r>
        <w:rPr>
          <w:rFonts w:eastAsia="仿宋_GB2312"/>
          <w:sz w:val="32"/>
          <w:szCs w:val="32"/>
        </w:rPr>
        <w:t>字文章，坚决维护首都核心区安全稳定</w:t>
      </w:r>
      <w:r>
        <w:rPr>
          <w:rFonts w:eastAsia="仿宋_GB2312" w:hint="eastAsia"/>
          <w:sz w:val="32"/>
          <w:szCs w:val="32"/>
        </w:rPr>
        <w:t>，</w:t>
      </w:r>
      <w:r>
        <w:rPr>
          <w:rFonts w:eastAsia="仿宋_GB2312" w:hint="eastAsia"/>
          <w:sz w:val="32"/>
          <w:szCs w:val="32"/>
        </w:rPr>
        <w:t>2023</w:t>
      </w:r>
      <w:r>
        <w:rPr>
          <w:rFonts w:eastAsia="仿宋_GB2312" w:hint="eastAsia"/>
          <w:sz w:val="32"/>
          <w:szCs w:val="32"/>
        </w:rPr>
        <w:lastRenderedPageBreak/>
        <w:t>年共</w:t>
      </w:r>
      <w:r>
        <w:rPr>
          <w:rFonts w:eastAsia="仿宋_GB2312"/>
          <w:sz w:val="32"/>
          <w:szCs w:val="32"/>
        </w:rPr>
        <w:t>办结刑事案件</w:t>
      </w:r>
      <w:r>
        <w:rPr>
          <w:rFonts w:eastAsia="仿宋_GB2312"/>
          <w:sz w:val="32"/>
          <w:szCs w:val="32"/>
        </w:rPr>
        <w:t>705</w:t>
      </w:r>
      <w:r>
        <w:rPr>
          <w:rFonts w:eastAsia="仿宋_GB2312"/>
          <w:sz w:val="32"/>
          <w:szCs w:val="32"/>
        </w:rPr>
        <w:t>件，判处罪犯</w:t>
      </w:r>
      <w:r>
        <w:rPr>
          <w:rFonts w:eastAsia="仿宋_GB2312"/>
          <w:sz w:val="32"/>
          <w:szCs w:val="32"/>
        </w:rPr>
        <w:t>726</w:t>
      </w:r>
      <w:r>
        <w:rPr>
          <w:rFonts w:eastAsia="仿宋_GB2312"/>
          <w:sz w:val="32"/>
          <w:szCs w:val="32"/>
        </w:rPr>
        <w:t>人。</w:t>
      </w:r>
      <w:r>
        <w:rPr>
          <w:rFonts w:eastAsia="仿宋_GB2312" w:hint="eastAsia"/>
          <w:sz w:val="32"/>
          <w:szCs w:val="32"/>
        </w:rPr>
        <w:t>坚决打击危害</w:t>
      </w:r>
      <w:r>
        <w:rPr>
          <w:rFonts w:eastAsia="仿宋_GB2312"/>
          <w:sz w:val="32"/>
          <w:szCs w:val="32"/>
        </w:rPr>
        <w:t>国家政治安全特别是政权安全、制度安全</w:t>
      </w:r>
      <w:r>
        <w:rPr>
          <w:rFonts w:eastAsia="仿宋_GB2312" w:hint="eastAsia"/>
          <w:sz w:val="32"/>
          <w:szCs w:val="32"/>
        </w:rPr>
        <w:t>行为</w:t>
      </w:r>
      <w:r>
        <w:rPr>
          <w:rFonts w:eastAsia="仿宋_GB2312"/>
          <w:sz w:val="32"/>
          <w:szCs w:val="32"/>
        </w:rPr>
        <w:t>，</w:t>
      </w:r>
      <w:r>
        <w:rPr>
          <w:rFonts w:eastAsia="仿宋_GB2312" w:hint="eastAsia"/>
          <w:sz w:val="32"/>
          <w:szCs w:val="32"/>
        </w:rPr>
        <w:t>从严判处利用</w:t>
      </w:r>
      <w:r>
        <w:rPr>
          <w:rFonts w:eastAsia="仿宋_GB2312"/>
          <w:sz w:val="32"/>
          <w:szCs w:val="32"/>
        </w:rPr>
        <w:t>网络</w:t>
      </w:r>
      <w:r>
        <w:rPr>
          <w:rFonts w:eastAsia="仿宋_GB2312" w:hint="eastAsia"/>
          <w:sz w:val="32"/>
          <w:szCs w:val="32"/>
        </w:rPr>
        <w:t>散播</w:t>
      </w:r>
      <w:r>
        <w:rPr>
          <w:rFonts w:eastAsia="仿宋_GB2312"/>
          <w:sz w:val="32"/>
          <w:szCs w:val="32"/>
        </w:rPr>
        <w:t>政治谣言</w:t>
      </w:r>
      <w:r>
        <w:rPr>
          <w:rFonts w:eastAsia="仿宋_GB2312" w:hint="eastAsia"/>
          <w:sz w:val="32"/>
          <w:szCs w:val="32"/>
        </w:rPr>
        <w:t>、利用邪教组织破坏法律实施等罪犯</w:t>
      </w:r>
      <w:r>
        <w:rPr>
          <w:rFonts w:eastAsia="仿宋_GB2312" w:hint="eastAsia"/>
          <w:sz w:val="32"/>
          <w:szCs w:val="32"/>
        </w:rPr>
        <w:t>15</w:t>
      </w:r>
      <w:r>
        <w:rPr>
          <w:rFonts w:eastAsia="仿宋_GB2312" w:hint="eastAsia"/>
          <w:sz w:val="32"/>
          <w:szCs w:val="32"/>
        </w:rPr>
        <w:t>人；对</w:t>
      </w:r>
      <w:r>
        <w:rPr>
          <w:rFonts w:eastAsia="仿宋_GB2312"/>
          <w:sz w:val="32"/>
          <w:szCs w:val="32"/>
        </w:rPr>
        <w:t>指定管辖的非法放贷并招揽中国公民赴境外赌博恶势力犯罪团伙</w:t>
      </w:r>
      <w:r>
        <w:rPr>
          <w:rFonts w:eastAsia="仿宋_GB2312" w:hint="eastAsia"/>
          <w:sz w:val="32"/>
          <w:szCs w:val="32"/>
        </w:rPr>
        <w:t>依法严判</w:t>
      </w:r>
      <w:r>
        <w:rPr>
          <w:rFonts w:eastAsia="仿宋_GB2312"/>
          <w:sz w:val="32"/>
          <w:szCs w:val="32"/>
        </w:rPr>
        <w:t>，</w:t>
      </w:r>
      <w:r>
        <w:rPr>
          <w:rFonts w:eastAsia="仿宋_GB2312"/>
          <w:sz w:val="32"/>
          <w:szCs w:val="32"/>
        </w:rPr>
        <w:t>9</w:t>
      </w:r>
      <w:r>
        <w:rPr>
          <w:rFonts w:eastAsia="仿宋_GB2312"/>
          <w:sz w:val="32"/>
          <w:szCs w:val="32"/>
        </w:rPr>
        <w:t>人获刑、追缴</w:t>
      </w:r>
      <w:r>
        <w:rPr>
          <w:rFonts w:eastAsia="仿宋_GB2312"/>
          <w:sz w:val="32"/>
          <w:szCs w:val="32"/>
        </w:rPr>
        <w:t>“</w:t>
      </w:r>
      <w:r>
        <w:rPr>
          <w:rFonts w:eastAsia="仿宋_GB2312"/>
          <w:sz w:val="32"/>
          <w:szCs w:val="32"/>
        </w:rPr>
        <w:t>黑财</w:t>
      </w:r>
      <w:r>
        <w:rPr>
          <w:rFonts w:eastAsia="仿宋_GB2312"/>
          <w:sz w:val="32"/>
          <w:szCs w:val="32"/>
        </w:rPr>
        <w:t>”1</w:t>
      </w:r>
      <w:r>
        <w:rPr>
          <w:rFonts w:eastAsia="仿宋_GB2312" w:hint="eastAsia"/>
          <w:sz w:val="32"/>
          <w:szCs w:val="32"/>
        </w:rPr>
        <w:t>,</w:t>
      </w:r>
      <w:r>
        <w:rPr>
          <w:rFonts w:eastAsia="仿宋_GB2312"/>
          <w:sz w:val="32"/>
          <w:szCs w:val="32"/>
        </w:rPr>
        <w:t>900</w:t>
      </w:r>
      <w:r>
        <w:rPr>
          <w:rFonts w:eastAsia="仿宋_GB2312"/>
          <w:sz w:val="32"/>
          <w:szCs w:val="32"/>
        </w:rPr>
        <w:t>余万</w:t>
      </w:r>
      <w:r>
        <w:rPr>
          <w:rFonts w:eastAsia="仿宋_GB2312" w:hint="eastAsia"/>
          <w:sz w:val="32"/>
          <w:szCs w:val="32"/>
        </w:rPr>
        <w:t>，扎实推进扫黑除恶常态化；</w:t>
      </w:r>
      <w:r>
        <w:rPr>
          <w:rFonts w:eastAsia="仿宋_GB2312"/>
          <w:sz w:val="32"/>
          <w:szCs w:val="32"/>
        </w:rPr>
        <w:t>始终保持惩治腐败犯罪高压态势，注重行贿受贿一起惩处，组织职务犯罪观摩庭</w:t>
      </w:r>
      <w:r>
        <w:rPr>
          <w:rFonts w:eastAsia="仿宋_GB2312"/>
          <w:sz w:val="32"/>
          <w:szCs w:val="32"/>
        </w:rPr>
        <w:t>5</w:t>
      </w:r>
      <w:r>
        <w:rPr>
          <w:rFonts w:eastAsia="仿宋_GB2312"/>
          <w:sz w:val="32"/>
          <w:szCs w:val="32"/>
        </w:rPr>
        <w:t>场，</w:t>
      </w:r>
      <w:r>
        <w:rPr>
          <w:rFonts w:eastAsia="仿宋_GB2312"/>
          <w:sz w:val="32"/>
          <w:szCs w:val="32"/>
        </w:rPr>
        <w:t>44</w:t>
      </w:r>
      <w:r>
        <w:rPr>
          <w:rFonts w:eastAsia="仿宋_GB2312"/>
          <w:sz w:val="32"/>
          <w:szCs w:val="32"/>
        </w:rPr>
        <w:t>家单位</w:t>
      </w:r>
      <w:r>
        <w:rPr>
          <w:rFonts w:eastAsia="仿宋_GB2312"/>
          <w:sz w:val="32"/>
          <w:szCs w:val="32"/>
        </w:rPr>
        <w:t>1</w:t>
      </w:r>
      <w:r>
        <w:rPr>
          <w:rFonts w:eastAsia="仿宋_GB2312" w:hint="eastAsia"/>
          <w:sz w:val="32"/>
          <w:szCs w:val="32"/>
        </w:rPr>
        <w:t>,</w:t>
      </w:r>
      <w:r>
        <w:rPr>
          <w:rFonts w:eastAsia="仿宋_GB2312"/>
          <w:sz w:val="32"/>
          <w:szCs w:val="32"/>
        </w:rPr>
        <w:t>500</w:t>
      </w:r>
      <w:r>
        <w:rPr>
          <w:rFonts w:eastAsia="仿宋_GB2312"/>
          <w:sz w:val="32"/>
          <w:szCs w:val="32"/>
        </w:rPr>
        <w:t>余名工作人员旁听，将</w:t>
      </w:r>
      <w:r>
        <w:rPr>
          <w:rFonts w:eastAsia="仿宋_GB2312"/>
          <w:sz w:val="32"/>
          <w:szCs w:val="32"/>
        </w:rPr>
        <w:t>“</w:t>
      </w:r>
      <w:r>
        <w:rPr>
          <w:rFonts w:eastAsia="仿宋_GB2312"/>
          <w:sz w:val="32"/>
          <w:szCs w:val="32"/>
        </w:rPr>
        <w:t>庭审现场</w:t>
      </w:r>
      <w:r>
        <w:rPr>
          <w:rFonts w:eastAsia="仿宋_GB2312"/>
          <w:sz w:val="32"/>
          <w:szCs w:val="32"/>
        </w:rPr>
        <w:t>”</w:t>
      </w:r>
      <w:r>
        <w:rPr>
          <w:rFonts w:eastAsia="仿宋_GB2312" w:hint="eastAsia"/>
          <w:sz w:val="32"/>
          <w:szCs w:val="32"/>
        </w:rPr>
        <w:t>变为</w:t>
      </w:r>
      <w:r>
        <w:rPr>
          <w:rFonts w:eastAsia="仿宋_GB2312"/>
          <w:sz w:val="32"/>
          <w:szCs w:val="32"/>
        </w:rPr>
        <w:t>“</w:t>
      </w:r>
      <w:r>
        <w:rPr>
          <w:rFonts w:eastAsia="仿宋_GB2312"/>
          <w:sz w:val="32"/>
          <w:szCs w:val="32"/>
        </w:rPr>
        <w:t>廉政课堂</w:t>
      </w:r>
      <w:r>
        <w:rPr>
          <w:rFonts w:eastAsia="仿宋_GB2312"/>
          <w:sz w:val="32"/>
          <w:szCs w:val="32"/>
        </w:rPr>
        <w:t>”</w:t>
      </w:r>
      <w:r>
        <w:rPr>
          <w:rFonts w:eastAsia="仿宋_GB2312"/>
          <w:sz w:val="32"/>
          <w:szCs w:val="32"/>
        </w:rPr>
        <w:t>。</w:t>
      </w:r>
      <w:r>
        <w:rPr>
          <w:rFonts w:eastAsia="仿宋_GB2312" w:hint="eastAsia"/>
          <w:sz w:val="32"/>
          <w:szCs w:val="32"/>
        </w:rPr>
        <w:t>重拳打击</w:t>
      </w:r>
      <w:r>
        <w:rPr>
          <w:rFonts w:eastAsia="仿宋_GB2312"/>
          <w:sz w:val="32"/>
          <w:szCs w:val="32"/>
        </w:rPr>
        <w:t>养老诈骗、网络诈骗</w:t>
      </w:r>
      <w:r>
        <w:rPr>
          <w:rFonts w:eastAsia="仿宋_GB2312" w:hint="eastAsia"/>
          <w:sz w:val="32"/>
          <w:szCs w:val="32"/>
        </w:rPr>
        <w:t>，</w:t>
      </w:r>
      <w:r>
        <w:rPr>
          <w:rFonts w:eastAsia="仿宋_GB2312"/>
          <w:sz w:val="32"/>
          <w:szCs w:val="32"/>
        </w:rPr>
        <w:t>从严判处</w:t>
      </w:r>
      <w:r>
        <w:rPr>
          <w:rFonts w:eastAsia="仿宋_GB2312"/>
          <w:sz w:val="32"/>
          <w:szCs w:val="32"/>
        </w:rPr>
        <w:t>15</w:t>
      </w:r>
      <w:r>
        <w:rPr>
          <w:rFonts w:eastAsia="仿宋_GB2312"/>
          <w:sz w:val="32"/>
          <w:szCs w:val="32"/>
        </w:rPr>
        <w:t>名以</w:t>
      </w:r>
      <w:r>
        <w:rPr>
          <w:rFonts w:eastAsia="仿宋_GB2312"/>
          <w:sz w:val="32"/>
          <w:szCs w:val="32"/>
        </w:rPr>
        <w:t>“</w:t>
      </w:r>
      <w:r>
        <w:rPr>
          <w:rFonts w:eastAsia="仿宋_GB2312"/>
          <w:sz w:val="32"/>
          <w:szCs w:val="32"/>
        </w:rPr>
        <w:t>免费旅游</w:t>
      </w:r>
      <w:r>
        <w:rPr>
          <w:rFonts w:eastAsia="仿宋_GB2312"/>
          <w:sz w:val="32"/>
          <w:szCs w:val="32"/>
        </w:rPr>
        <w:t>”</w:t>
      </w:r>
      <w:r>
        <w:rPr>
          <w:rFonts w:eastAsia="仿宋_GB2312"/>
          <w:sz w:val="32"/>
          <w:szCs w:val="32"/>
        </w:rPr>
        <w:t>为幌子实施养生骗局的罪犯；依法惩治为电信网络诈骗提供银行卡、电话卡等帮助犯罪的行为；</w:t>
      </w:r>
      <w:r>
        <w:rPr>
          <w:rFonts w:eastAsia="仿宋_GB2312" w:hint="eastAsia"/>
          <w:sz w:val="32"/>
          <w:szCs w:val="32"/>
        </w:rPr>
        <w:t>汇聚丰富现实案例，</w:t>
      </w:r>
      <w:r>
        <w:rPr>
          <w:rFonts w:eastAsia="仿宋_GB2312"/>
          <w:sz w:val="32"/>
          <w:szCs w:val="32"/>
        </w:rPr>
        <w:t>出版《法槌下的正义</w:t>
      </w:r>
      <w:r>
        <w:rPr>
          <w:rFonts w:eastAsia="仿宋_GB2312" w:hint="eastAsia"/>
          <w:sz w:val="32"/>
          <w:szCs w:val="32"/>
        </w:rPr>
        <w:t>——</w:t>
      </w:r>
      <w:r>
        <w:rPr>
          <w:rFonts w:eastAsia="仿宋_GB2312"/>
          <w:sz w:val="32"/>
          <w:szCs w:val="32"/>
        </w:rPr>
        <w:t>全民反诈指引》，入选</w:t>
      </w:r>
      <w:r>
        <w:rPr>
          <w:rFonts w:eastAsia="仿宋_GB2312"/>
          <w:sz w:val="32"/>
          <w:szCs w:val="32"/>
        </w:rPr>
        <w:t>“</w:t>
      </w:r>
      <w:r>
        <w:rPr>
          <w:rFonts w:eastAsia="仿宋_GB2312"/>
          <w:sz w:val="32"/>
          <w:szCs w:val="32"/>
        </w:rPr>
        <w:t>中国好书</w:t>
      </w:r>
      <w:r>
        <w:rPr>
          <w:rFonts w:eastAsia="仿宋_GB2312"/>
          <w:sz w:val="32"/>
          <w:szCs w:val="32"/>
        </w:rPr>
        <w:t>”</w:t>
      </w:r>
      <w:r>
        <w:rPr>
          <w:rFonts w:eastAsia="仿宋_GB2312"/>
          <w:sz w:val="32"/>
          <w:szCs w:val="32"/>
        </w:rPr>
        <w:t>推荐书目。</w:t>
      </w:r>
      <w:r>
        <w:rPr>
          <w:rFonts w:eastAsia="仿宋_GB2312" w:hint="eastAsia"/>
          <w:sz w:val="32"/>
          <w:szCs w:val="32"/>
        </w:rPr>
        <w:t>依法</w:t>
      </w:r>
      <w:r>
        <w:rPr>
          <w:rFonts w:eastAsia="仿宋_GB2312"/>
          <w:sz w:val="32"/>
          <w:szCs w:val="32"/>
        </w:rPr>
        <w:t>打击危害</w:t>
      </w:r>
      <w:r>
        <w:rPr>
          <w:rFonts w:eastAsia="仿宋_GB2312" w:hint="eastAsia"/>
          <w:sz w:val="32"/>
          <w:szCs w:val="32"/>
        </w:rPr>
        <w:t>群众人身财产安全</w:t>
      </w:r>
      <w:r>
        <w:rPr>
          <w:rFonts w:eastAsia="仿宋_GB2312"/>
          <w:sz w:val="32"/>
          <w:szCs w:val="32"/>
        </w:rPr>
        <w:t>、</w:t>
      </w:r>
      <w:r>
        <w:rPr>
          <w:rFonts w:eastAsia="仿宋_GB2312" w:hint="eastAsia"/>
          <w:sz w:val="32"/>
          <w:szCs w:val="32"/>
        </w:rPr>
        <w:t>生活安宁的犯罪，</w:t>
      </w:r>
      <w:r>
        <w:rPr>
          <w:rFonts w:eastAsia="仿宋_GB2312"/>
          <w:sz w:val="32"/>
          <w:szCs w:val="32"/>
        </w:rPr>
        <w:t>办结危害食药安全、危险驾驶、侵犯公民个人信息</w:t>
      </w:r>
      <w:r>
        <w:rPr>
          <w:rFonts w:eastAsia="仿宋_GB2312" w:hint="eastAsia"/>
          <w:sz w:val="32"/>
          <w:szCs w:val="32"/>
        </w:rPr>
        <w:t>、故意伤害等</w:t>
      </w:r>
      <w:r>
        <w:rPr>
          <w:rFonts w:eastAsia="仿宋_GB2312"/>
          <w:sz w:val="32"/>
          <w:szCs w:val="32"/>
        </w:rPr>
        <w:t>犯罪</w:t>
      </w:r>
      <w:r>
        <w:rPr>
          <w:rFonts w:eastAsia="仿宋_GB2312" w:hint="eastAsia"/>
          <w:sz w:val="32"/>
          <w:szCs w:val="32"/>
        </w:rPr>
        <w:t>330</w:t>
      </w:r>
      <w:r>
        <w:rPr>
          <w:rFonts w:eastAsia="仿宋_GB2312" w:hint="eastAsia"/>
          <w:sz w:val="32"/>
          <w:szCs w:val="32"/>
        </w:rPr>
        <w:t>余</w:t>
      </w:r>
      <w:r>
        <w:rPr>
          <w:rFonts w:eastAsia="仿宋_GB2312"/>
          <w:sz w:val="32"/>
          <w:szCs w:val="32"/>
        </w:rPr>
        <w:t>件，</w:t>
      </w:r>
      <w:r>
        <w:rPr>
          <w:rFonts w:eastAsia="仿宋_GB2312" w:hint="eastAsia"/>
          <w:sz w:val="32"/>
          <w:szCs w:val="32"/>
        </w:rPr>
        <w:t>让群众</w:t>
      </w:r>
      <w:proofErr w:type="gramStart"/>
      <w:r>
        <w:rPr>
          <w:rFonts w:eastAsia="仿宋_GB2312" w:hint="eastAsia"/>
          <w:sz w:val="32"/>
          <w:szCs w:val="32"/>
        </w:rPr>
        <w:t>医</w:t>
      </w:r>
      <w:proofErr w:type="gramEnd"/>
      <w:r>
        <w:rPr>
          <w:rFonts w:eastAsia="仿宋_GB2312" w:hint="eastAsia"/>
          <w:sz w:val="32"/>
          <w:szCs w:val="32"/>
        </w:rPr>
        <w:t>食住行更有安全感</w:t>
      </w:r>
      <w:r>
        <w:rPr>
          <w:rFonts w:eastAsia="仿宋_GB2312"/>
          <w:sz w:val="32"/>
          <w:szCs w:val="32"/>
        </w:rPr>
        <w:t>。</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rsidR="00894CB2" w:rsidRDefault="009A1E2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依法助力中轴线申</w:t>
      </w:r>
      <w:proofErr w:type="gramStart"/>
      <w:r>
        <w:rPr>
          <w:rFonts w:ascii="仿宋_GB2312" w:eastAsia="仿宋_GB2312" w:hAnsi="宋体" w:cs="宋体" w:hint="eastAsia"/>
          <w:color w:val="000000"/>
          <w:kern w:val="0"/>
          <w:sz w:val="32"/>
          <w:szCs w:val="32"/>
        </w:rPr>
        <w:t>遗综合</w:t>
      </w:r>
      <w:proofErr w:type="gramEnd"/>
      <w:r>
        <w:rPr>
          <w:rFonts w:ascii="仿宋_GB2312" w:eastAsia="仿宋_GB2312" w:hAnsi="宋体" w:cs="宋体" w:hint="eastAsia"/>
          <w:color w:val="000000"/>
          <w:kern w:val="0"/>
          <w:sz w:val="32"/>
          <w:szCs w:val="32"/>
        </w:rPr>
        <w:t>整治；深入居民家中化解纠纷；深化前期法律风险论证和防控，</w:t>
      </w:r>
      <w:proofErr w:type="gramStart"/>
      <w:r>
        <w:rPr>
          <w:rFonts w:ascii="仿宋_GB2312" w:eastAsia="仿宋_GB2312" w:hAnsi="宋体" w:cs="宋体" w:hint="eastAsia"/>
          <w:color w:val="000000"/>
          <w:kern w:val="0"/>
          <w:sz w:val="32"/>
          <w:szCs w:val="32"/>
        </w:rPr>
        <w:t>助力征收</w:t>
      </w:r>
      <w:proofErr w:type="gramEnd"/>
      <w:r>
        <w:rPr>
          <w:rFonts w:ascii="仿宋_GB2312" w:eastAsia="仿宋_GB2312" w:hAnsi="宋体" w:cs="宋体" w:hint="eastAsia"/>
          <w:color w:val="000000"/>
          <w:kern w:val="0"/>
          <w:sz w:val="32"/>
          <w:szCs w:val="32"/>
        </w:rPr>
        <w:t>和腾退在法治轨道上有序推进；依法保障城市更新治理，妥善办结</w:t>
      </w:r>
      <w:proofErr w:type="gramStart"/>
      <w:r>
        <w:rPr>
          <w:rFonts w:ascii="仿宋_GB2312" w:eastAsia="仿宋_GB2312" w:hAnsi="宋体" w:cs="宋体" w:hint="eastAsia"/>
          <w:color w:val="000000"/>
          <w:kern w:val="0"/>
          <w:sz w:val="32"/>
          <w:szCs w:val="32"/>
        </w:rPr>
        <w:t>涉望坛</w:t>
      </w:r>
      <w:proofErr w:type="gramEnd"/>
      <w:r>
        <w:rPr>
          <w:rFonts w:ascii="仿宋_GB2312" w:eastAsia="仿宋_GB2312" w:hAnsi="宋体" w:cs="宋体" w:hint="eastAsia"/>
          <w:color w:val="000000"/>
          <w:kern w:val="0"/>
          <w:sz w:val="32"/>
          <w:szCs w:val="32"/>
        </w:rPr>
        <w:t>棚户区改造、自然博物馆周边环境整治等相关案件；妥善执</w:t>
      </w:r>
      <w:proofErr w:type="gramStart"/>
      <w:r>
        <w:rPr>
          <w:rFonts w:ascii="仿宋_GB2312" w:eastAsia="仿宋_GB2312" w:hAnsi="宋体" w:cs="宋体" w:hint="eastAsia"/>
          <w:color w:val="000000"/>
          <w:kern w:val="0"/>
          <w:sz w:val="32"/>
          <w:szCs w:val="32"/>
        </w:rPr>
        <w:t>结非法</w:t>
      </w:r>
      <w:proofErr w:type="gramEnd"/>
      <w:r>
        <w:rPr>
          <w:rFonts w:ascii="仿宋_GB2312" w:eastAsia="仿宋_GB2312" w:hAnsi="宋体" w:cs="宋体" w:hint="eastAsia"/>
          <w:color w:val="000000"/>
          <w:kern w:val="0"/>
          <w:sz w:val="32"/>
          <w:szCs w:val="32"/>
        </w:rPr>
        <w:t xml:space="preserve">利用京沪铁路沿线土地私搭乱建的案件；妥善办理文物院落的房屋修缮、损坏赔偿案件，让文物在妥善保护中活化利用。 </w:t>
      </w:r>
    </w:p>
    <w:p w:rsidR="00894CB2" w:rsidRDefault="009A1E21">
      <w:pPr>
        <w:spacing w:line="600" w:lineRule="exact"/>
        <w:ind w:leftChars="50" w:left="105" w:firstLineChars="150" w:firstLine="48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我院审判执行工作整体水平良好，切实服务群众，保障人民权重利益，人民法院的公信</w:t>
      </w:r>
      <w:proofErr w:type="gramStart"/>
      <w:r>
        <w:rPr>
          <w:rFonts w:ascii="仿宋_GB2312" w:eastAsia="仿宋_GB2312" w:hAnsi="宋体" w:cs="宋体" w:hint="eastAsia"/>
          <w:color w:val="000000"/>
          <w:kern w:val="0"/>
          <w:sz w:val="32"/>
          <w:szCs w:val="32"/>
        </w:rPr>
        <w:t>力不断</w:t>
      </w:r>
      <w:proofErr w:type="gramEnd"/>
      <w:r>
        <w:rPr>
          <w:rFonts w:ascii="仿宋_GB2312" w:eastAsia="仿宋_GB2312" w:hAnsi="宋体" w:cs="宋体" w:hint="eastAsia"/>
          <w:color w:val="000000"/>
          <w:kern w:val="0"/>
          <w:sz w:val="32"/>
          <w:szCs w:val="32"/>
        </w:rPr>
        <w:t>增强。</w:t>
      </w:r>
    </w:p>
    <w:p w:rsidR="00894CB2" w:rsidRDefault="009A1E2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做好司法为民工作，加强民生司法保障；与市、区两</w:t>
      </w:r>
      <w:proofErr w:type="gramStart"/>
      <w:r>
        <w:rPr>
          <w:rFonts w:ascii="仿宋_GB2312" w:eastAsia="仿宋_GB2312" w:hAnsi="宋体" w:cs="宋体" w:hint="eastAsia"/>
          <w:color w:val="000000"/>
          <w:kern w:val="0"/>
          <w:sz w:val="32"/>
          <w:szCs w:val="32"/>
        </w:rPr>
        <w:t>级文旅主管</w:t>
      </w:r>
      <w:proofErr w:type="gramEnd"/>
      <w:r>
        <w:rPr>
          <w:rFonts w:ascii="仿宋_GB2312" w:eastAsia="仿宋_GB2312" w:hAnsi="宋体" w:cs="宋体" w:hint="eastAsia"/>
          <w:color w:val="000000"/>
          <w:kern w:val="0"/>
          <w:sz w:val="32"/>
          <w:szCs w:val="32"/>
        </w:rPr>
        <w:t>部门合作，建立著作权行政保护与司法保护衔接机制，向多家单位发送司法建议，为文化产业创新发展提供法治保障；加强党组织建设与理论武装，坚持党对法院工作的绝对领导，自觉接受党委政法委的政治督察和司法监督；注重人才培养，完善各类岗位练兵比武机制；强化裁判示范，将社会主义核心价值观融入司法典型案例。</w:t>
      </w:r>
    </w:p>
    <w:p w:rsidR="00894CB2" w:rsidRDefault="009A1E21">
      <w:pPr>
        <w:spacing w:line="60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eastAsia="仿宋_GB2312"/>
          <w:sz w:val="32"/>
          <w:szCs w:val="32"/>
        </w:rPr>
        <w:t>恪守人民至</w:t>
      </w:r>
      <w:r>
        <w:rPr>
          <w:rFonts w:ascii="仿宋_GB2312" w:eastAsia="仿宋_GB2312" w:hAnsi="宋体" w:cs="宋体" w:hint="eastAsia"/>
          <w:color w:val="000000"/>
          <w:kern w:val="0"/>
          <w:sz w:val="32"/>
          <w:szCs w:val="32"/>
        </w:rPr>
        <w:t>上，努力提升群众司法满意度,2023年群众满意度达93%以上。</w:t>
      </w:r>
    </w:p>
    <w:p w:rsidR="00894CB2" w:rsidRDefault="009A1E21">
      <w:pPr>
        <w:pStyle w:val="a0"/>
        <w:spacing w:after="0" w:line="560" w:lineRule="exact"/>
        <w:ind w:firstLineChars="200" w:firstLine="640"/>
        <w:rPr>
          <w:rFonts w:eastAsia="仿宋_GB2312"/>
          <w:bCs/>
          <w:sz w:val="32"/>
          <w:szCs w:val="32"/>
        </w:rPr>
      </w:pPr>
      <w:r>
        <w:rPr>
          <w:rFonts w:eastAsia="仿宋_GB2312" w:hint="eastAsia"/>
          <w:sz w:val="32"/>
          <w:szCs w:val="32"/>
        </w:rPr>
        <w:t>广泛开展送法上门活动，积极参加各媒体以案释法宣传活动；编发《“如我在诉、情同此心”</w:t>
      </w:r>
      <w:r>
        <w:rPr>
          <w:rFonts w:eastAsia="仿宋_GB2312" w:hint="eastAsia"/>
          <w:sz w:val="32"/>
          <w:szCs w:val="32"/>
        </w:rPr>
        <w:t xml:space="preserve">----12368 </w:t>
      </w:r>
      <w:r>
        <w:rPr>
          <w:rFonts w:eastAsia="仿宋_GB2312" w:hint="eastAsia"/>
          <w:sz w:val="32"/>
          <w:szCs w:val="32"/>
        </w:rPr>
        <w:t>群众答复工作指引》、《立案实务指南》，“护航”高质量司法便民工作；广泛举办“普法驿站”揭牌反诈活动，深入社区、学校普法答疑；走访各区检察院展开座谈并开展深度业务合作，参加东城区宣传贯彻新《行政复议法》主题宣传活动，与区委党校、区司法局联合开展“依法行政教育培训中心和实践基地”成立后的第三场普法教育活动；与市、区、街道三级行政机关就拆</w:t>
      </w:r>
      <w:proofErr w:type="gramStart"/>
      <w:r>
        <w:rPr>
          <w:rFonts w:eastAsia="仿宋_GB2312" w:hint="eastAsia"/>
          <w:sz w:val="32"/>
          <w:szCs w:val="32"/>
        </w:rPr>
        <w:t>违案件</w:t>
      </w:r>
      <w:proofErr w:type="gramEnd"/>
      <w:r>
        <w:rPr>
          <w:rFonts w:eastAsia="仿宋_GB2312" w:hint="eastAsia"/>
          <w:sz w:val="32"/>
          <w:szCs w:val="32"/>
        </w:rPr>
        <w:t>展开座谈。向企业发送司法建议并收到集团公司回函；</w:t>
      </w:r>
      <w:r>
        <w:rPr>
          <w:rFonts w:eastAsia="仿宋_GB2312"/>
          <w:sz w:val="32"/>
          <w:szCs w:val="32"/>
        </w:rPr>
        <w:t>成立流动立案服务队</w:t>
      </w:r>
      <w:r>
        <w:rPr>
          <w:rFonts w:eastAsia="仿宋_GB2312" w:hint="eastAsia"/>
          <w:sz w:val="32"/>
          <w:szCs w:val="32"/>
        </w:rPr>
        <w:t>、</w:t>
      </w:r>
      <w:r>
        <w:rPr>
          <w:rFonts w:eastAsia="仿宋_GB2312"/>
          <w:sz w:val="32"/>
          <w:szCs w:val="32"/>
        </w:rPr>
        <w:t>制作</w:t>
      </w:r>
      <w:r>
        <w:rPr>
          <w:rFonts w:eastAsia="仿宋_GB2312"/>
          <w:sz w:val="32"/>
          <w:szCs w:val="32"/>
        </w:rPr>
        <w:t>“</w:t>
      </w:r>
      <w:r>
        <w:rPr>
          <w:rFonts w:eastAsia="仿宋_GB2312"/>
          <w:sz w:val="32"/>
          <w:szCs w:val="32"/>
        </w:rPr>
        <w:t>诉讼费退费小贴士</w:t>
      </w:r>
      <w:r>
        <w:rPr>
          <w:rFonts w:eastAsia="仿宋_GB2312"/>
          <w:sz w:val="32"/>
          <w:szCs w:val="32"/>
        </w:rPr>
        <w:t>”</w:t>
      </w:r>
      <w:r>
        <w:rPr>
          <w:rFonts w:eastAsia="仿宋_GB2312" w:hint="eastAsia"/>
          <w:sz w:val="32"/>
          <w:szCs w:val="32"/>
        </w:rPr>
        <w:t>、</w:t>
      </w:r>
      <w:r>
        <w:rPr>
          <w:rFonts w:eastAsia="仿宋_GB2312"/>
          <w:sz w:val="32"/>
          <w:szCs w:val="32"/>
        </w:rPr>
        <w:t>制作网上申请办理诉讼保全图解</w:t>
      </w:r>
      <w:r>
        <w:rPr>
          <w:rFonts w:eastAsia="仿宋_GB2312" w:hint="eastAsia"/>
          <w:sz w:val="32"/>
          <w:szCs w:val="32"/>
        </w:rPr>
        <w:t>、设置</w:t>
      </w:r>
      <w:r>
        <w:rPr>
          <w:rFonts w:eastAsia="仿宋_GB2312"/>
          <w:sz w:val="32"/>
          <w:szCs w:val="32"/>
        </w:rPr>
        <w:t>执行事务中心</w:t>
      </w:r>
      <w:r>
        <w:rPr>
          <w:rFonts w:eastAsia="仿宋_GB2312" w:hint="eastAsia"/>
          <w:sz w:val="32"/>
          <w:szCs w:val="32"/>
        </w:rPr>
        <w:t>窗口。司法服务质量不断优化，社会满意不断提高。</w:t>
      </w:r>
    </w:p>
    <w:p w:rsidR="00894CB2" w:rsidRDefault="009A1E21">
      <w:pPr>
        <w:widowControl/>
        <w:spacing w:line="560" w:lineRule="exact"/>
        <w:ind w:firstLineChars="200" w:firstLine="640"/>
        <w:jc w:val="left"/>
        <w:rPr>
          <w:rFonts w:eastAsia="仿宋_GB2312"/>
          <w:sz w:val="32"/>
          <w:szCs w:val="32"/>
        </w:rPr>
      </w:pPr>
      <w:r>
        <w:rPr>
          <w:rFonts w:eastAsia="仿宋_GB2312" w:hint="eastAsia"/>
          <w:sz w:val="32"/>
          <w:szCs w:val="32"/>
        </w:rPr>
        <w:lastRenderedPageBreak/>
        <w:t>解决</w:t>
      </w:r>
      <w:r>
        <w:rPr>
          <w:rFonts w:eastAsia="仿宋_GB2312"/>
          <w:sz w:val="32"/>
          <w:szCs w:val="32"/>
        </w:rPr>
        <w:t>涉及医疗、住房、</w:t>
      </w:r>
      <w:r>
        <w:rPr>
          <w:rFonts w:eastAsia="仿宋_GB2312" w:hint="eastAsia"/>
          <w:sz w:val="32"/>
          <w:szCs w:val="32"/>
        </w:rPr>
        <w:t>婚姻家庭、</w:t>
      </w:r>
      <w:r>
        <w:rPr>
          <w:rFonts w:eastAsia="仿宋_GB2312"/>
          <w:sz w:val="32"/>
          <w:szCs w:val="32"/>
        </w:rPr>
        <w:t>道路交通等</w:t>
      </w:r>
      <w:r>
        <w:rPr>
          <w:rFonts w:eastAsia="仿宋_GB2312" w:hint="eastAsia"/>
          <w:sz w:val="32"/>
          <w:szCs w:val="32"/>
        </w:rPr>
        <w:t>纠纷、</w:t>
      </w:r>
      <w:r>
        <w:rPr>
          <w:rFonts w:eastAsia="仿宋_GB2312"/>
          <w:sz w:val="32"/>
          <w:szCs w:val="32"/>
        </w:rPr>
        <w:t>宣传</w:t>
      </w:r>
      <w:r>
        <w:rPr>
          <w:rFonts w:eastAsia="仿宋_GB2312" w:hint="eastAsia"/>
          <w:sz w:val="32"/>
          <w:szCs w:val="32"/>
        </w:rPr>
        <w:t>“</w:t>
      </w:r>
      <w:r>
        <w:rPr>
          <w:rFonts w:eastAsia="仿宋_GB2312"/>
          <w:sz w:val="32"/>
          <w:szCs w:val="32"/>
        </w:rPr>
        <w:t>老年人权益保障</w:t>
      </w:r>
      <w:r>
        <w:rPr>
          <w:rFonts w:eastAsia="仿宋_GB2312" w:hint="eastAsia"/>
          <w:sz w:val="32"/>
          <w:szCs w:val="32"/>
        </w:rPr>
        <w:t>法</w:t>
      </w:r>
      <w:r>
        <w:rPr>
          <w:rFonts w:eastAsia="仿宋_GB2312"/>
          <w:sz w:val="32"/>
          <w:szCs w:val="32"/>
        </w:rPr>
        <w:t>”</w:t>
      </w:r>
      <w:r>
        <w:rPr>
          <w:rFonts w:eastAsia="仿宋_GB2312" w:hint="eastAsia"/>
          <w:sz w:val="32"/>
          <w:szCs w:val="32"/>
        </w:rPr>
        <w:t>、</w:t>
      </w:r>
      <w:r>
        <w:rPr>
          <w:rFonts w:eastAsia="仿宋_GB2312"/>
          <w:sz w:val="32"/>
          <w:szCs w:val="32"/>
        </w:rPr>
        <w:t>教育子女</w:t>
      </w:r>
      <w:r>
        <w:rPr>
          <w:rFonts w:eastAsia="仿宋_GB2312" w:hint="eastAsia"/>
          <w:sz w:val="32"/>
          <w:szCs w:val="32"/>
        </w:rPr>
        <w:t>孝亲敬老人、</w:t>
      </w:r>
      <w:r>
        <w:rPr>
          <w:rFonts w:eastAsia="仿宋_GB2312"/>
          <w:sz w:val="32"/>
          <w:szCs w:val="32"/>
        </w:rPr>
        <w:t>化解家庭矛盾</w:t>
      </w:r>
      <w:r>
        <w:rPr>
          <w:rFonts w:eastAsia="仿宋_GB2312" w:hint="eastAsia"/>
          <w:sz w:val="32"/>
          <w:szCs w:val="32"/>
        </w:rPr>
        <w:t>、处理家庭暴力、</w:t>
      </w:r>
      <w:r>
        <w:rPr>
          <w:rFonts w:eastAsia="仿宋_GB2312"/>
          <w:bCs/>
          <w:sz w:val="32"/>
          <w:szCs w:val="32"/>
        </w:rPr>
        <w:t>呵护</w:t>
      </w:r>
      <w:r>
        <w:rPr>
          <w:rFonts w:eastAsia="仿宋_GB2312"/>
          <w:sz w:val="32"/>
          <w:szCs w:val="32"/>
        </w:rPr>
        <w:t>少年健康成长</w:t>
      </w:r>
      <w:r>
        <w:rPr>
          <w:rFonts w:eastAsia="仿宋_GB2312" w:hint="eastAsia"/>
          <w:sz w:val="32"/>
          <w:szCs w:val="32"/>
        </w:rPr>
        <w:t>、</w:t>
      </w:r>
      <w:r>
        <w:rPr>
          <w:rFonts w:eastAsia="仿宋_GB2312"/>
          <w:sz w:val="32"/>
          <w:szCs w:val="32"/>
        </w:rPr>
        <w:t>帮助失足少年</w:t>
      </w:r>
      <w:r>
        <w:rPr>
          <w:rFonts w:eastAsia="仿宋_GB2312" w:hint="eastAsia"/>
          <w:sz w:val="32"/>
          <w:szCs w:val="32"/>
        </w:rPr>
        <w:t>悔过自新、维护劳动者和企业合法权益等行动举措，赢得了社会基层的好评。</w:t>
      </w:r>
    </w:p>
    <w:p w:rsidR="00894CB2" w:rsidRDefault="009A1E21">
      <w:pPr>
        <w:adjustRightInd w:val="0"/>
        <w:snapToGrid w:val="0"/>
        <w:spacing w:line="560" w:lineRule="exact"/>
        <w:ind w:firstLineChars="200" w:firstLine="640"/>
        <w:rPr>
          <w:rFonts w:eastAsia="仿宋_GB2312"/>
          <w:sz w:val="32"/>
          <w:szCs w:val="32"/>
        </w:rPr>
      </w:pPr>
      <w:r>
        <w:rPr>
          <w:rFonts w:eastAsia="仿宋_GB2312" w:hint="eastAsia"/>
          <w:sz w:val="32"/>
          <w:szCs w:val="32"/>
        </w:rPr>
        <w:t>推动</w:t>
      </w:r>
      <w:r>
        <w:rPr>
          <w:rFonts w:eastAsia="仿宋_GB2312"/>
          <w:sz w:val="32"/>
          <w:szCs w:val="32"/>
        </w:rPr>
        <w:t>小额诉讼程序</w:t>
      </w:r>
      <w:r>
        <w:rPr>
          <w:rFonts w:eastAsia="仿宋_GB2312" w:hint="eastAsia"/>
          <w:sz w:val="32"/>
          <w:szCs w:val="32"/>
        </w:rPr>
        <w:t>持续优化，</w:t>
      </w:r>
      <w:r>
        <w:rPr>
          <w:rFonts w:eastAsia="仿宋_GB2312"/>
          <w:sz w:val="32"/>
          <w:szCs w:val="32"/>
        </w:rPr>
        <w:t>开展发改判案件常规评查和逐案讲评</w:t>
      </w:r>
      <w:r>
        <w:rPr>
          <w:rFonts w:eastAsia="仿宋_GB2312" w:hint="eastAsia"/>
          <w:sz w:val="32"/>
          <w:szCs w:val="32"/>
        </w:rPr>
        <w:t>并</w:t>
      </w:r>
      <w:r>
        <w:rPr>
          <w:rFonts w:eastAsia="仿宋_GB2312"/>
          <w:sz w:val="32"/>
          <w:szCs w:val="32"/>
        </w:rPr>
        <w:t>纳入法官日常</w:t>
      </w:r>
      <w:r>
        <w:rPr>
          <w:rFonts w:eastAsia="仿宋_GB2312" w:hint="eastAsia"/>
          <w:sz w:val="32"/>
          <w:szCs w:val="32"/>
        </w:rPr>
        <w:t>考核</w:t>
      </w:r>
      <w:r>
        <w:rPr>
          <w:rFonts w:eastAsia="仿宋_GB2312"/>
          <w:sz w:val="32"/>
          <w:szCs w:val="32"/>
        </w:rPr>
        <w:t>，</w:t>
      </w:r>
      <w:r>
        <w:rPr>
          <w:rFonts w:eastAsia="仿宋_GB2312" w:hint="eastAsia"/>
          <w:bCs/>
          <w:sz w:val="32"/>
          <w:szCs w:val="32"/>
        </w:rPr>
        <w:t>方便了群众诉讼要求</w:t>
      </w:r>
      <w:r>
        <w:rPr>
          <w:rFonts w:eastAsia="仿宋_GB2312" w:hint="eastAsia"/>
          <w:sz w:val="32"/>
          <w:szCs w:val="32"/>
        </w:rPr>
        <w:t>，增强了司法办案的公信力</w:t>
      </w:r>
      <w:r>
        <w:rPr>
          <w:rFonts w:eastAsia="仿宋_GB2312"/>
          <w:sz w:val="32"/>
          <w:szCs w:val="32"/>
        </w:rPr>
        <w:t>。</w:t>
      </w:r>
    </w:p>
    <w:p w:rsidR="00894CB2" w:rsidRDefault="009A1E21">
      <w:pPr>
        <w:spacing w:line="560" w:lineRule="exact"/>
        <w:ind w:firstLineChars="200" w:firstLine="640"/>
        <w:rPr>
          <w:rFonts w:eastAsia="仿宋_GB2312"/>
          <w:sz w:val="32"/>
          <w:szCs w:val="32"/>
        </w:rPr>
      </w:pPr>
      <w:r>
        <w:rPr>
          <w:rFonts w:eastAsia="仿宋_GB2312"/>
          <w:bCs/>
          <w:sz w:val="32"/>
          <w:szCs w:val="32"/>
        </w:rPr>
        <w:t>加大</w:t>
      </w:r>
      <w:r>
        <w:rPr>
          <w:rFonts w:eastAsia="仿宋_GB2312"/>
          <w:sz w:val="32"/>
          <w:szCs w:val="32"/>
        </w:rPr>
        <w:t>强制执行</w:t>
      </w:r>
      <w:r>
        <w:rPr>
          <w:rFonts w:eastAsia="仿宋_GB2312" w:hint="eastAsia"/>
          <w:sz w:val="32"/>
          <w:szCs w:val="32"/>
        </w:rPr>
        <w:t>力度兑现胜诉权益。对拒不履行生效判决义务的被执行人采取拘留强制措施，</w:t>
      </w:r>
      <w:r>
        <w:rPr>
          <w:rFonts w:eastAsia="仿宋_GB2312"/>
          <w:sz w:val="32"/>
          <w:szCs w:val="32"/>
        </w:rPr>
        <w:t>对违反限制消费令的被执行人予以罚款</w:t>
      </w:r>
      <w:r>
        <w:rPr>
          <w:rFonts w:eastAsia="仿宋_GB2312" w:hint="eastAsia"/>
          <w:sz w:val="32"/>
          <w:szCs w:val="32"/>
        </w:rPr>
        <w:t>；</w:t>
      </w:r>
      <w:r>
        <w:rPr>
          <w:rFonts w:eastAsia="仿宋_GB2312"/>
          <w:bCs/>
          <w:sz w:val="32"/>
          <w:szCs w:val="32"/>
        </w:rPr>
        <w:t>提升</w:t>
      </w:r>
      <w:r>
        <w:rPr>
          <w:rFonts w:eastAsia="仿宋_GB2312"/>
          <w:sz w:val="32"/>
          <w:szCs w:val="32"/>
        </w:rPr>
        <w:t>执行工作速度</w:t>
      </w:r>
      <w:r>
        <w:rPr>
          <w:rFonts w:eastAsia="仿宋_GB2312" w:hint="eastAsia"/>
          <w:sz w:val="32"/>
          <w:szCs w:val="32"/>
        </w:rPr>
        <w:t>，</w:t>
      </w:r>
      <w:r>
        <w:rPr>
          <w:rFonts w:eastAsia="仿宋_GB2312"/>
          <w:sz w:val="32"/>
          <w:szCs w:val="32"/>
        </w:rPr>
        <w:t>更快将当事人的</w:t>
      </w:r>
      <w:r>
        <w:rPr>
          <w:rFonts w:eastAsia="仿宋_GB2312" w:hint="eastAsia"/>
          <w:sz w:val="32"/>
          <w:szCs w:val="32"/>
        </w:rPr>
        <w:t>裁判、判决</w:t>
      </w:r>
      <w:r>
        <w:rPr>
          <w:rFonts w:eastAsia="仿宋_GB2312"/>
          <w:sz w:val="32"/>
          <w:szCs w:val="32"/>
        </w:rPr>
        <w:t>权益</w:t>
      </w:r>
      <w:proofErr w:type="gramStart"/>
      <w:r>
        <w:rPr>
          <w:rFonts w:eastAsia="仿宋_GB2312"/>
          <w:sz w:val="32"/>
          <w:szCs w:val="32"/>
        </w:rPr>
        <w:t>”</w:t>
      </w:r>
      <w:proofErr w:type="gramEnd"/>
      <w:r>
        <w:rPr>
          <w:rFonts w:eastAsia="仿宋_GB2312"/>
          <w:sz w:val="32"/>
          <w:szCs w:val="32"/>
        </w:rPr>
        <w:t>兑现</w:t>
      </w:r>
      <w:r>
        <w:rPr>
          <w:rFonts w:eastAsia="仿宋_GB2312" w:hint="eastAsia"/>
          <w:sz w:val="32"/>
          <w:szCs w:val="32"/>
        </w:rPr>
        <w:t>，</w:t>
      </w:r>
      <w:r>
        <w:rPr>
          <w:rFonts w:eastAsia="仿宋_GB2312"/>
          <w:sz w:val="32"/>
          <w:szCs w:val="32"/>
        </w:rPr>
        <w:t>结案平均用</w:t>
      </w:r>
      <w:r>
        <w:rPr>
          <w:rFonts w:ascii="仿宋_GB2312" w:eastAsia="仿宋_GB2312" w:hAnsi="宋体" w:cs="宋体" w:hint="eastAsia"/>
          <w:color w:val="000000"/>
          <w:kern w:val="0"/>
          <w:sz w:val="32"/>
          <w:szCs w:val="32"/>
        </w:rPr>
        <w:t>时较2022年缩短12.2天。</w:t>
      </w:r>
    </w:p>
    <w:p w:rsidR="00894CB2" w:rsidRDefault="009A1E21">
      <w:pPr>
        <w:spacing w:line="600" w:lineRule="exact"/>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894CB2" w:rsidRDefault="009A1E21">
      <w:pPr>
        <w:spacing w:line="600" w:lineRule="exact"/>
        <w:ind w:firstLineChars="200" w:firstLine="640"/>
        <w:outlineLvl w:val="1"/>
        <w:rPr>
          <w:rFonts w:ascii="楷体_GB2312" w:eastAsia="楷体_GB2312"/>
          <w:sz w:val="32"/>
          <w:szCs w:val="32"/>
        </w:rPr>
      </w:pPr>
      <w:r>
        <w:rPr>
          <w:rFonts w:ascii="楷体_GB2312" w:eastAsia="楷体_GB2312" w:hint="eastAsia"/>
          <w:sz w:val="32"/>
          <w:szCs w:val="32"/>
        </w:rPr>
        <w:t>（一）财务管理</w:t>
      </w:r>
    </w:p>
    <w:p w:rsidR="00894CB2" w:rsidRDefault="009A1E21">
      <w:pPr>
        <w:spacing w:line="60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相继制定并完善了财经各项规章制度，具体包括《内部控制制度》、《预算管理办法》、《财务管理办法》、《绩效管理办法》、《固定资产管理办法》、《政府采购管理办法》、《合同管理办法》、《专项资金管理办法》和《公务卡管理办法》等一套完整的财务管理制度。</w:t>
      </w:r>
    </w:p>
    <w:p w:rsidR="00894CB2" w:rsidRDefault="009A1E21">
      <w:pPr>
        <w:spacing w:line="60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在2023年的财务工作中，我院严格执行财政相关政策法规，坚持“依法理财，厉行节约；保证重点，强化绩效；明确责任，控制风险”的原则，科学合理编制部门预算，严</w:t>
      </w:r>
      <w:r>
        <w:rPr>
          <w:rFonts w:ascii="仿宋_GB2312" w:eastAsia="仿宋_GB2312" w:hAnsi="宋体" w:cs="宋体" w:hint="eastAsia"/>
          <w:color w:val="000000"/>
          <w:kern w:val="0"/>
          <w:sz w:val="32"/>
          <w:szCs w:val="32"/>
        </w:rPr>
        <w:lastRenderedPageBreak/>
        <w:t>格年度预算执行，完整准确编制决算。严格经费收支管理，提高资金使用效益，严格按照各项专项资金使用用途安排该专项资金的支出使用，严格遵守“专款专用”原则，严格落实专项资金的申拨、使用审批手续，充分发挥资金使用效益。严格规范经费开支审批权限，做到层层审批、层层把关。单位的重大项目安排、大额度资金的使用，严格按照“三重一大”集体决策制度的相关规定，报院党组研究通过，且形成文字纪要后方可执行。各庭室提出事前经费申请，经审批通过后再开展相关业务。认真核实基础数据，实施预算绩效管理, 落实政府采购、政府购买服务和资金结算管理办法等财务管理要求使用资金。保证资金的使用合法、合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且安全完整、财务信息真实有效，为审判、执行和其他工作任务的圆满完成提供安全、有效的经费保障。</w:t>
      </w:r>
    </w:p>
    <w:p w:rsidR="00894CB2" w:rsidRDefault="009A1E21">
      <w:pPr>
        <w:spacing w:line="60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保证本报告的会计基础数据信息和会计信息资料真实、完整、准确。该报告依据我院登记完整、核对无误的会计账簿和其他有关会计核算资料编制，账证相符、账实相符、账表相符、表表相符，真实、准确、完整地反映了我院预算执行结果和财务状况。</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的财务管理工作，贯穿于法院日常工作，是确保司法公平公正公开的基础保障，在财务管理上严格遵守会计规章制度，明确“收支两条线”的管理办法，配备财务人员，保障了财务工作的开展。在经费日常使用管理中，严格执行</w:t>
      </w:r>
      <w:r>
        <w:rPr>
          <w:rFonts w:ascii="仿宋_GB2312" w:eastAsia="仿宋_GB2312" w:hAnsi="宋体" w:cs="宋体" w:hint="eastAsia"/>
          <w:color w:val="000000"/>
          <w:kern w:val="0"/>
          <w:sz w:val="32"/>
          <w:szCs w:val="32"/>
        </w:rPr>
        <w:lastRenderedPageBreak/>
        <w:t>财务管理制度和会计核算制度。加强内外监督，本单位纪检及内审部门定期对专项资金规范使用管理情况的监督与指导。同时积极接受上级部门监督。</w:t>
      </w:r>
    </w:p>
    <w:p w:rsidR="00894CB2" w:rsidRDefault="009A1E21">
      <w:pPr>
        <w:spacing w:line="600" w:lineRule="exact"/>
        <w:ind w:firstLineChars="200" w:firstLine="640"/>
        <w:outlineLvl w:val="1"/>
        <w:rPr>
          <w:rFonts w:ascii="楷体_GB2312" w:eastAsia="楷体_GB2312"/>
          <w:sz w:val="32"/>
          <w:szCs w:val="32"/>
        </w:rPr>
      </w:pPr>
      <w:r>
        <w:rPr>
          <w:rFonts w:ascii="楷体_GB2312" w:eastAsia="楷体_GB2312" w:hint="eastAsia"/>
          <w:sz w:val="32"/>
          <w:szCs w:val="32"/>
        </w:rPr>
        <w:t>（二）资产管理</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我院资产保存完整，使用合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，配置合理，处置规范，总体使用效率高。严格依据《固定资产管理办法》进行资产的购置、登记、领用、盘点、报废处置等。我院固定资产</w:t>
      </w:r>
      <w:r w:rsidR="00C918E6">
        <w:rPr>
          <w:rFonts w:ascii="仿宋_GB2312" w:eastAsia="仿宋_GB2312" w:hAnsi="宋体" w:cs="宋体" w:hint="eastAsia"/>
          <w:color w:val="000000"/>
          <w:kern w:val="0"/>
          <w:sz w:val="32"/>
          <w:szCs w:val="32"/>
        </w:rPr>
        <w:t>2023年固定资产原</w:t>
      </w:r>
      <w:r w:rsidR="00C918E6" w:rsidRPr="00CA1AEE">
        <w:rPr>
          <w:rFonts w:ascii="仿宋_GB2312" w:eastAsia="仿宋_GB2312" w:hAnsi="宋体" w:cs="宋体" w:hint="eastAsia"/>
          <w:color w:val="000000"/>
          <w:kern w:val="0"/>
          <w:sz w:val="32"/>
          <w:szCs w:val="32"/>
        </w:rPr>
        <w:t>值</w:t>
      </w:r>
      <w:r w:rsidR="00C918E6" w:rsidRPr="00CA1AEE">
        <w:rPr>
          <w:rFonts w:ascii="仿宋_GB2312" w:eastAsia="仿宋_GB2312" w:hAnsi="宋体" w:cs="宋体"/>
          <w:color w:val="000000"/>
          <w:kern w:val="0"/>
          <w:sz w:val="32"/>
          <w:szCs w:val="32"/>
        </w:rPr>
        <w:t>17,443.27</w:t>
      </w:r>
      <w:r w:rsidRPr="00CA1AEE">
        <w:rPr>
          <w:rFonts w:ascii="仿宋_GB2312" w:eastAsia="仿宋_GB2312" w:hAnsi="宋体" w:cs="宋体" w:hint="eastAsia"/>
          <w:color w:val="000000"/>
          <w:kern w:val="0"/>
          <w:sz w:val="32"/>
          <w:szCs w:val="32"/>
        </w:rPr>
        <w:t>万元，比去年增加</w:t>
      </w:r>
      <w:r w:rsidR="00C918E6" w:rsidRPr="00CA1AEE">
        <w:rPr>
          <w:rFonts w:ascii="仿宋_GB2312" w:eastAsia="仿宋_GB2312" w:hAnsi="宋体" w:cs="宋体" w:hint="eastAsia"/>
          <w:color w:val="000000"/>
          <w:kern w:val="0"/>
          <w:sz w:val="32"/>
          <w:szCs w:val="32"/>
        </w:rPr>
        <w:t>2.03</w:t>
      </w:r>
      <w:r w:rsidRPr="00CA1AEE">
        <w:rPr>
          <w:rFonts w:ascii="仿宋_GB2312" w:eastAsia="仿宋_GB2312" w:hAnsi="宋体" w:cs="宋体" w:hint="eastAsia"/>
          <w:color w:val="000000"/>
          <w:kern w:val="0"/>
          <w:sz w:val="32"/>
          <w:szCs w:val="32"/>
        </w:rPr>
        <w:t>%。主要</w:t>
      </w:r>
      <w:r>
        <w:rPr>
          <w:rFonts w:ascii="仿宋_GB2312" w:eastAsia="仿宋_GB2312" w:hAnsi="宋体" w:cs="宋体" w:hint="eastAsia"/>
          <w:color w:val="000000"/>
          <w:kern w:val="0"/>
          <w:sz w:val="32"/>
          <w:szCs w:val="32"/>
        </w:rPr>
        <w:t>包括：</w:t>
      </w:r>
      <w:r w:rsidR="00756BA2" w:rsidRPr="00756BA2">
        <w:rPr>
          <w:rFonts w:ascii="仿宋_GB2312" w:eastAsia="仿宋_GB2312" w:hAnsi="宋体" w:cs="宋体" w:hint="eastAsia"/>
          <w:color w:val="000000"/>
          <w:kern w:val="0"/>
          <w:sz w:val="32"/>
          <w:szCs w:val="32"/>
        </w:rPr>
        <w:t>法庭标志性设备（国徽）、法庭信息发布设备（法庭高清庭审集控主机设备）、法庭扩声设备（调音台、话筒）、审判法庭功能用房设备（执行指挥中心会议区域LED大屏系统和会议系统、对讲机）、信息网络设备（机房精密空调）、司法警察装备（束缚椅）、档案室设备（电子卷宗系统服务器）、文印设备（速印机、A3多功能彩色复印机）、其他办案装备（桌、椅、五节柜）等。</w:t>
      </w:r>
    </w:p>
    <w:p w:rsidR="00894CB2" w:rsidRDefault="009A1E21">
      <w:pPr>
        <w:spacing w:line="600" w:lineRule="exact"/>
        <w:ind w:firstLineChars="200" w:firstLine="640"/>
        <w:outlineLvl w:val="1"/>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持续开展预算绩效管理工作，按照《中共北京市委北京市人民政府关于全面实施预算绩效管理的实施意见》的总体要求，积极作为、改革创新，着力提升预算绩效管理的有效性、针对性，开展预算绩效管理工作，持续做好成本管控和绩效管理，坚决压减低效无效支出，加强财政绩效管理，促进本单位预算绩效管理能力水平均衡发展。我院高度重视绩效自评结果的应用工作，积极探索和建立一套与预算管理</w:t>
      </w:r>
      <w:r>
        <w:rPr>
          <w:rFonts w:ascii="仿宋_GB2312" w:eastAsia="仿宋_GB2312" w:hAnsi="宋体" w:cs="宋体" w:hint="eastAsia"/>
          <w:color w:val="000000"/>
          <w:kern w:val="0"/>
          <w:sz w:val="32"/>
          <w:szCs w:val="32"/>
        </w:rPr>
        <w:lastRenderedPageBreak/>
        <w:t>相结合、多渠道应用评价结果的有效机制。我院持续提升绩效运行监控水平，对绩效目标偏离情况及时进行矫正。我院每年通过</w:t>
      </w:r>
      <w:proofErr w:type="gramStart"/>
      <w:r>
        <w:rPr>
          <w:rFonts w:ascii="仿宋_GB2312" w:eastAsia="仿宋_GB2312" w:hAnsi="宋体" w:cs="宋体" w:hint="eastAsia"/>
          <w:color w:val="000000"/>
          <w:kern w:val="0"/>
          <w:sz w:val="32"/>
          <w:szCs w:val="32"/>
        </w:rPr>
        <w:t>官网公开</w:t>
      </w:r>
      <w:proofErr w:type="gramEnd"/>
      <w:r>
        <w:rPr>
          <w:rFonts w:ascii="仿宋_GB2312" w:eastAsia="仿宋_GB2312" w:hAnsi="宋体" w:cs="宋体" w:hint="eastAsia"/>
          <w:color w:val="000000"/>
          <w:kern w:val="0"/>
          <w:sz w:val="32"/>
          <w:szCs w:val="32"/>
        </w:rPr>
        <w:t>上一年度</w:t>
      </w:r>
      <w:proofErr w:type="gramStart"/>
      <w:r>
        <w:rPr>
          <w:rFonts w:ascii="仿宋_GB2312" w:eastAsia="仿宋_GB2312" w:hAnsi="宋体" w:cs="宋体" w:hint="eastAsia"/>
          <w:color w:val="000000"/>
          <w:kern w:val="0"/>
          <w:sz w:val="32"/>
          <w:szCs w:val="32"/>
        </w:rPr>
        <w:t>年度</w:t>
      </w:r>
      <w:proofErr w:type="gramEnd"/>
      <w:r>
        <w:rPr>
          <w:rFonts w:ascii="仿宋_GB2312" w:eastAsia="仿宋_GB2312" w:hAnsi="宋体" w:cs="宋体" w:hint="eastAsia"/>
          <w:color w:val="000000"/>
          <w:kern w:val="0"/>
          <w:sz w:val="32"/>
          <w:szCs w:val="32"/>
        </w:rPr>
        <w:t>部门决算的同时，将绩效自评结果一并公开。</w:t>
      </w:r>
    </w:p>
    <w:p w:rsidR="00894CB2" w:rsidRDefault="009A1E21">
      <w:pPr>
        <w:spacing w:line="600" w:lineRule="exact"/>
        <w:ind w:firstLineChars="200" w:firstLine="640"/>
        <w:rPr>
          <w:rFonts w:ascii="仿宋_GB2312" w:eastAsia="仿宋_GB2312" w:hAnsi="宋体" w:cs="宋体"/>
          <w:color w:val="000000"/>
          <w:kern w:val="0"/>
          <w:sz w:val="32"/>
          <w:szCs w:val="32"/>
        </w:rPr>
      </w:pPr>
      <w:r w:rsidRPr="00655E79">
        <w:rPr>
          <w:rFonts w:ascii="仿宋_GB2312" w:eastAsia="仿宋_GB2312" w:hAnsi="宋体" w:cs="宋体" w:hint="eastAsia"/>
          <w:color w:val="000000"/>
          <w:kern w:val="0"/>
          <w:sz w:val="32"/>
          <w:szCs w:val="32"/>
        </w:rPr>
        <w:t>20</w:t>
      </w:r>
      <w:r w:rsidRPr="00D23A1D">
        <w:rPr>
          <w:rFonts w:ascii="仿宋_GB2312" w:eastAsia="仿宋_GB2312" w:hAnsi="宋体" w:cs="宋体" w:hint="eastAsia"/>
          <w:color w:val="000000"/>
          <w:kern w:val="0"/>
          <w:sz w:val="32"/>
          <w:szCs w:val="32"/>
        </w:rPr>
        <w:t>2</w:t>
      </w:r>
      <w:r w:rsidR="006041E8" w:rsidRPr="00D23A1D">
        <w:rPr>
          <w:rFonts w:ascii="仿宋_GB2312" w:eastAsia="仿宋_GB2312" w:hAnsi="宋体" w:cs="宋体" w:hint="eastAsia"/>
          <w:color w:val="000000"/>
          <w:kern w:val="0"/>
          <w:sz w:val="32"/>
          <w:szCs w:val="32"/>
        </w:rPr>
        <w:t>4</w:t>
      </w:r>
      <w:r w:rsidRPr="00D23A1D">
        <w:rPr>
          <w:rFonts w:ascii="仿宋_GB2312" w:eastAsia="仿宋_GB2312" w:hAnsi="宋体" w:cs="宋体" w:hint="eastAsia"/>
          <w:color w:val="000000"/>
          <w:kern w:val="0"/>
          <w:sz w:val="32"/>
          <w:szCs w:val="32"/>
        </w:rPr>
        <w:t>年，东城区法院对2023年度部门项目支出实施了绩效评价，评价项目11个，占部门项目总数的100%，涉及金额</w:t>
      </w:r>
      <w:r w:rsidR="003F7F7A" w:rsidRPr="00D23A1D">
        <w:rPr>
          <w:rFonts w:ascii="仿宋_GB2312" w:eastAsia="仿宋_GB2312" w:hAnsi="宋体" w:cs="宋体" w:hint="eastAsia"/>
          <w:color w:val="000000"/>
          <w:kern w:val="0"/>
          <w:sz w:val="32"/>
          <w:szCs w:val="32"/>
        </w:rPr>
        <w:t>3</w:t>
      </w:r>
      <w:r w:rsidRPr="00D23A1D">
        <w:rPr>
          <w:rFonts w:ascii="仿宋_GB2312" w:eastAsia="仿宋_GB2312" w:hAnsi="宋体" w:cs="宋体" w:hint="eastAsia"/>
          <w:color w:val="000000"/>
          <w:kern w:val="0"/>
          <w:sz w:val="32"/>
          <w:szCs w:val="32"/>
        </w:rPr>
        <w:t>,</w:t>
      </w:r>
      <w:r w:rsidR="003F7F7A" w:rsidRPr="00D23A1D">
        <w:rPr>
          <w:rFonts w:ascii="仿宋_GB2312" w:eastAsia="仿宋_GB2312" w:hAnsi="宋体" w:cs="宋体" w:hint="eastAsia"/>
          <w:color w:val="000000"/>
          <w:kern w:val="0"/>
          <w:sz w:val="32"/>
          <w:szCs w:val="32"/>
        </w:rPr>
        <w:t>074.72</w:t>
      </w:r>
      <w:r w:rsidRPr="00D23A1D">
        <w:rPr>
          <w:rFonts w:ascii="仿宋_GB2312" w:eastAsia="仿宋_GB2312" w:hAnsi="宋体" w:cs="宋体" w:hint="eastAsia"/>
          <w:color w:val="000000"/>
          <w:kern w:val="0"/>
          <w:sz w:val="32"/>
          <w:szCs w:val="32"/>
        </w:rPr>
        <w:t>万元。其中，重点评价项目1个，涉及金额339.60万元，评价得分在90（含）-100分的1个。单位自评项目10个，涉及金额2,</w:t>
      </w:r>
      <w:r w:rsidR="003F7F7A" w:rsidRPr="00D23A1D">
        <w:rPr>
          <w:rFonts w:ascii="仿宋_GB2312" w:eastAsia="仿宋_GB2312" w:hAnsi="宋体" w:cs="宋体" w:hint="eastAsia"/>
          <w:color w:val="000000"/>
          <w:kern w:val="0"/>
          <w:sz w:val="32"/>
          <w:szCs w:val="32"/>
        </w:rPr>
        <w:t>735</w:t>
      </w:r>
      <w:r w:rsidRPr="00D23A1D">
        <w:rPr>
          <w:rFonts w:ascii="仿宋_GB2312" w:eastAsia="仿宋_GB2312" w:hAnsi="宋体" w:cs="宋体" w:hint="eastAsia"/>
          <w:color w:val="000000"/>
          <w:kern w:val="0"/>
          <w:sz w:val="32"/>
          <w:szCs w:val="32"/>
        </w:rPr>
        <w:t>.</w:t>
      </w:r>
      <w:r w:rsidR="003F7F7A" w:rsidRPr="00D23A1D">
        <w:rPr>
          <w:rFonts w:ascii="仿宋_GB2312" w:eastAsia="仿宋_GB2312" w:hAnsi="宋体" w:cs="宋体" w:hint="eastAsia"/>
          <w:color w:val="000000"/>
          <w:kern w:val="0"/>
          <w:sz w:val="32"/>
          <w:szCs w:val="32"/>
        </w:rPr>
        <w:t>12</w:t>
      </w:r>
      <w:r w:rsidRPr="00D23A1D">
        <w:rPr>
          <w:rFonts w:ascii="仿宋_GB2312" w:eastAsia="仿宋_GB2312" w:hAnsi="宋体" w:cs="宋体" w:hint="eastAsia"/>
          <w:color w:val="000000"/>
          <w:kern w:val="0"/>
          <w:sz w:val="32"/>
          <w:szCs w:val="32"/>
        </w:rPr>
        <w:t>万元，评价得分在90（含）-100分的10个。我院在预算绩效管理主体责任的落实情况及工作开展情况上，积极稳妥且富有成效，在进一步推动法院在绩效指标设计上，能较准确体现项</w:t>
      </w:r>
      <w:r>
        <w:rPr>
          <w:rFonts w:ascii="仿宋_GB2312" w:eastAsia="仿宋_GB2312" w:hAnsi="宋体" w:cs="宋体" w:hint="eastAsia"/>
          <w:color w:val="000000"/>
          <w:kern w:val="0"/>
          <w:sz w:val="32"/>
          <w:szCs w:val="32"/>
        </w:rPr>
        <w:t>目的实际决策、产出及效益情况，扩大定量指标的设置，落实成本控制不超预算，绩效管理较上一年有明显进步。</w:t>
      </w:r>
    </w:p>
    <w:p w:rsidR="00894CB2" w:rsidRDefault="009A1E21">
      <w:pPr>
        <w:spacing w:line="60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（四）结转结余率</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我院2023年结转结余率是0.64%，比2022年减少1.11%。</w:t>
      </w:r>
    </w:p>
    <w:p w:rsidR="00894CB2" w:rsidRDefault="009A1E21">
      <w:pPr>
        <w:spacing w:line="600" w:lineRule="exact"/>
        <w:ind w:firstLineChars="200" w:firstLine="640"/>
        <w:outlineLvl w:val="1"/>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int="eastAsia"/>
          <w:sz w:val="32"/>
          <w:szCs w:val="32"/>
        </w:rPr>
        <w:t>我院2023年部门预决算差异率是</w:t>
      </w:r>
      <w:r w:rsidR="00C918E6" w:rsidRPr="00C918E6">
        <w:rPr>
          <w:rFonts w:ascii="仿宋_GB2312" w:eastAsia="仿宋_GB2312"/>
          <w:sz w:val="32"/>
          <w:szCs w:val="32"/>
        </w:rPr>
        <w:t>2.35%</w:t>
      </w:r>
      <w:r>
        <w:rPr>
          <w:rFonts w:ascii="仿宋_GB2312" w:eastAsia="仿宋_GB2312" w:hint="eastAsia"/>
          <w:sz w:val="32"/>
          <w:szCs w:val="32"/>
        </w:rPr>
        <w:t>，</w:t>
      </w:r>
      <w:r>
        <w:rPr>
          <w:rFonts w:ascii="仿宋_GB2312" w:eastAsia="仿宋_GB2312" w:hAnsi="宋体" w:cs="宋体" w:hint="eastAsia"/>
          <w:color w:val="000000"/>
          <w:kern w:val="0"/>
          <w:sz w:val="32"/>
          <w:szCs w:val="32"/>
        </w:rPr>
        <w:t>本年度我院严格执行市财政批复的部门预算支出，未经财政部门批准，不得随意进行预算调整，杜绝无预算支出，不存在截留、挤占、挪用情况，确保各项工作顺利完成。</w:t>
      </w:r>
    </w:p>
    <w:p w:rsidR="00894CB2" w:rsidRDefault="009A1E21">
      <w:pPr>
        <w:spacing w:line="600" w:lineRule="exact"/>
        <w:ind w:leftChars="50" w:left="105" w:firstLineChars="150" w:firstLine="480"/>
        <w:outlineLvl w:val="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894CB2" w:rsidRDefault="009A1E21">
      <w:pPr>
        <w:spacing w:line="60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894CB2" w:rsidRDefault="009A1E2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我院2023年部门整体绩效评价得分是</w:t>
      </w:r>
      <w:r w:rsidRPr="004A6B67">
        <w:rPr>
          <w:rFonts w:ascii="仿宋_GB2312" w:eastAsia="仿宋_GB2312" w:hAnsi="宋体" w:cs="宋体" w:hint="eastAsia"/>
          <w:color w:val="000000"/>
          <w:kern w:val="0"/>
          <w:sz w:val="32"/>
          <w:szCs w:val="32"/>
        </w:rPr>
        <w:t>93.36</w:t>
      </w:r>
      <w:r>
        <w:rPr>
          <w:rFonts w:ascii="仿宋_GB2312" w:eastAsia="仿宋_GB2312" w:hAnsi="宋体" w:cs="宋体" w:hint="eastAsia"/>
          <w:color w:val="000000"/>
          <w:kern w:val="0"/>
          <w:sz w:val="32"/>
          <w:szCs w:val="32"/>
        </w:rPr>
        <w:t>分。</w:t>
      </w:r>
    </w:p>
    <w:p w:rsidR="00894CB2" w:rsidRDefault="009A1E21">
      <w:pPr>
        <w:spacing w:line="600" w:lineRule="exact"/>
        <w:ind w:leftChars="50" w:left="105" w:firstLineChars="150" w:firstLine="480"/>
        <w:outlineLvl w:val="1"/>
        <w:rPr>
          <w:rFonts w:ascii="楷体_GB2312" w:eastAsia="楷体_GB2312"/>
          <w:sz w:val="32"/>
          <w:szCs w:val="32"/>
        </w:rPr>
      </w:pPr>
      <w:r>
        <w:rPr>
          <w:rFonts w:ascii="楷体_GB2312" w:eastAsia="楷体_GB2312" w:hint="eastAsia"/>
          <w:sz w:val="32"/>
          <w:szCs w:val="32"/>
        </w:rPr>
        <w:t>（二）存在的问题及原因分析</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proofErr w:type="gramStart"/>
      <w:r>
        <w:rPr>
          <w:rFonts w:ascii="仿宋_GB2312" w:eastAsia="仿宋_GB2312" w:hAnsi="宋体" w:cs="宋体" w:hint="eastAsia"/>
          <w:color w:val="000000"/>
          <w:kern w:val="0"/>
          <w:sz w:val="32"/>
          <w:szCs w:val="32"/>
        </w:rPr>
        <w:t>受案件</w:t>
      </w:r>
      <w:proofErr w:type="gramEnd"/>
      <w:r>
        <w:rPr>
          <w:rFonts w:ascii="仿宋_GB2312" w:eastAsia="仿宋_GB2312" w:hAnsi="宋体" w:cs="宋体" w:hint="eastAsia"/>
          <w:color w:val="000000"/>
          <w:kern w:val="0"/>
          <w:sz w:val="32"/>
          <w:szCs w:val="32"/>
        </w:rPr>
        <w:t>结构和考核指标调整的影响，院审判质量指标滑坡较大，一审裁判改发率在全市排名区较低。</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2.一是一审服判息诉率排名落后，主要是由于当事人较为集中的涉民生信托案件、涉留学服务合同纠纷案件、行政诉讼案件上诉率畸高，对全年服判息诉率的不利影响较大。</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3.执行标的到位率、民事裁判申请执行率较低，执行难问题还需加大力度整治。</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4.诉前鉴定率不高，诉前鉴定成效亟待提升，审管办应会同立案庭及相关部门开展调研会商，充分发挥诉前鉴定的积极作用。</w:t>
      </w:r>
    </w:p>
    <w:p w:rsidR="00894CB2" w:rsidRDefault="009A1E2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5.法定审限内结案率未达标，还需进一步加强审限意识，提高办结案效率。</w:t>
      </w:r>
    </w:p>
    <w:p w:rsidR="00894CB2" w:rsidRDefault="009A1E21">
      <w:pPr>
        <w:spacing w:line="600" w:lineRule="exact"/>
        <w:ind w:firstLineChars="200" w:firstLine="640"/>
        <w:outlineLvl w:val="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rsidR="00894CB2" w:rsidRDefault="009A1E21">
      <w:pPr>
        <w:adjustRightInd w:val="0"/>
        <w:snapToGrid w:val="0"/>
        <w:spacing w:line="560" w:lineRule="exact"/>
        <w:ind w:firstLineChars="200" w:firstLine="640"/>
        <w:outlineLvl w:val="1"/>
        <w:rPr>
          <w:rFonts w:eastAsia="仿宋_GB2312"/>
          <w:sz w:val="32"/>
          <w:szCs w:val="32"/>
        </w:rPr>
      </w:pPr>
      <w:bookmarkStart w:id="1" w:name="_Toc103006301"/>
      <w:r>
        <w:rPr>
          <w:rFonts w:eastAsia="仿宋_GB2312" w:hint="eastAsia"/>
          <w:sz w:val="32"/>
          <w:szCs w:val="32"/>
        </w:rPr>
        <w:t>（一）加强理论学习，坚持党的领导，提高凝聚力，保证司法工作行驶在正确的轨道上。</w:t>
      </w:r>
    </w:p>
    <w:p w:rsidR="00894CB2" w:rsidRDefault="009A1E21">
      <w:pPr>
        <w:adjustRightInd w:val="0"/>
        <w:snapToGrid w:val="0"/>
        <w:spacing w:line="560" w:lineRule="exact"/>
        <w:ind w:firstLineChars="200" w:firstLine="640"/>
        <w:outlineLvl w:val="1"/>
        <w:rPr>
          <w:rFonts w:eastAsia="仿宋_GB2312"/>
          <w:sz w:val="32"/>
          <w:szCs w:val="32"/>
        </w:rPr>
      </w:pPr>
      <w:r>
        <w:rPr>
          <w:rFonts w:eastAsia="仿宋_GB2312" w:hint="eastAsia"/>
          <w:sz w:val="32"/>
          <w:szCs w:val="32"/>
        </w:rPr>
        <w:t>（二）健全科学的考核评价机制，</w:t>
      </w:r>
      <w:r>
        <w:rPr>
          <w:rFonts w:eastAsia="仿宋_GB2312"/>
          <w:sz w:val="32"/>
          <w:szCs w:val="32"/>
        </w:rPr>
        <w:t>深入</w:t>
      </w:r>
      <w:proofErr w:type="gramStart"/>
      <w:r>
        <w:rPr>
          <w:rFonts w:eastAsia="仿宋_GB2312"/>
          <w:sz w:val="32"/>
          <w:szCs w:val="32"/>
        </w:rPr>
        <w:t>践行</w:t>
      </w:r>
      <w:proofErr w:type="gramEnd"/>
      <w:r>
        <w:rPr>
          <w:rFonts w:eastAsia="仿宋_GB2312"/>
          <w:sz w:val="32"/>
          <w:szCs w:val="32"/>
        </w:rPr>
        <w:t>“</w:t>
      </w:r>
      <w:r>
        <w:rPr>
          <w:rFonts w:eastAsia="仿宋_GB2312"/>
          <w:sz w:val="32"/>
          <w:szCs w:val="32"/>
        </w:rPr>
        <w:t>四下基层</w:t>
      </w:r>
      <w:r>
        <w:rPr>
          <w:rFonts w:eastAsia="仿宋_GB2312"/>
          <w:sz w:val="32"/>
          <w:szCs w:val="32"/>
        </w:rPr>
        <w:t>”</w:t>
      </w:r>
      <w:r>
        <w:rPr>
          <w:rFonts w:eastAsia="仿宋_GB2312"/>
          <w:sz w:val="32"/>
          <w:szCs w:val="32"/>
        </w:rPr>
        <w:t>要求</w:t>
      </w:r>
      <w:r>
        <w:rPr>
          <w:rFonts w:eastAsia="仿宋_GB2312" w:hint="eastAsia"/>
          <w:sz w:val="32"/>
          <w:szCs w:val="32"/>
        </w:rPr>
        <w:t>，</w:t>
      </w:r>
      <w:r>
        <w:rPr>
          <w:rFonts w:eastAsia="仿宋_GB2312"/>
          <w:sz w:val="32"/>
          <w:szCs w:val="32"/>
        </w:rPr>
        <w:t>着力推进审判机制和审判</w:t>
      </w:r>
      <w:r>
        <w:rPr>
          <w:rFonts w:eastAsia="仿宋_GB2312" w:hint="eastAsia"/>
          <w:sz w:val="32"/>
          <w:szCs w:val="32"/>
        </w:rPr>
        <w:t>管理</w:t>
      </w:r>
      <w:r>
        <w:rPr>
          <w:rFonts w:eastAsia="仿宋_GB2312"/>
          <w:sz w:val="32"/>
          <w:szCs w:val="32"/>
        </w:rPr>
        <w:t>现代化。</w:t>
      </w:r>
      <w:r>
        <w:rPr>
          <w:rFonts w:eastAsia="仿宋_GB2312"/>
          <w:bCs/>
          <w:sz w:val="32"/>
          <w:szCs w:val="32"/>
        </w:rPr>
        <w:t>更好</w:t>
      </w:r>
      <w:proofErr w:type="gramStart"/>
      <w:r>
        <w:rPr>
          <w:rFonts w:eastAsia="仿宋_GB2312"/>
          <w:sz w:val="32"/>
          <w:szCs w:val="32"/>
        </w:rPr>
        <w:t>践行</w:t>
      </w:r>
      <w:proofErr w:type="gramEnd"/>
      <w:r>
        <w:rPr>
          <w:rFonts w:eastAsia="仿宋_GB2312"/>
          <w:sz w:val="32"/>
          <w:szCs w:val="32"/>
        </w:rPr>
        <w:t>能动司法理念，促进矛盾实质性化解，增强诉中释明、文书说理和判后释法，提高服判息诉率、裁判自动履行率</w:t>
      </w:r>
      <w:r>
        <w:rPr>
          <w:rFonts w:eastAsia="仿宋_GB2312" w:hint="eastAsia"/>
          <w:sz w:val="32"/>
          <w:szCs w:val="32"/>
        </w:rPr>
        <w:t>和</w:t>
      </w:r>
      <w:r>
        <w:rPr>
          <w:rFonts w:eastAsia="仿宋_GB2312"/>
          <w:sz w:val="32"/>
          <w:szCs w:val="32"/>
        </w:rPr>
        <w:t>执行到位率</w:t>
      </w:r>
      <w:r>
        <w:rPr>
          <w:rFonts w:eastAsia="仿宋_GB2312" w:hint="eastAsia"/>
          <w:sz w:val="32"/>
          <w:szCs w:val="32"/>
        </w:rPr>
        <w:t>。</w:t>
      </w:r>
    </w:p>
    <w:p w:rsidR="00894CB2" w:rsidRDefault="009A1E21">
      <w:pPr>
        <w:spacing w:line="600" w:lineRule="exact"/>
        <w:ind w:firstLineChars="200" w:firstLine="640"/>
        <w:outlineLvl w:val="1"/>
        <w:rPr>
          <w:rFonts w:ascii="仿宋_GB2312" w:eastAsia="仿宋_GB2312" w:hAnsi="宋体" w:cs="宋体"/>
          <w:color w:val="000000"/>
          <w:kern w:val="0"/>
          <w:sz w:val="32"/>
          <w:szCs w:val="32"/>
        </w:rPr>
      </w:pPr>
      <w:r>
        <w:rPr>
          <w:rFonts w:eastAsia="仿宋_GB2312" w:hint="eastAsia"/>
          <w:sz w:val="32"/>
          <w:szCs w:val="32"/>
        </w:rPr>
        <w:t>（三）强化素质建设和人才培养</w:t>
      </w:r>
      <w:r>
        <w:rPr>
          <w:rFonts w:eastAsia="仿宋_GB2312"/>
          <w:sz w:val="32"/>
          <w:szCs w:val="32"/>
        </w:rPr>
        <w:t>，</w:t>
      </w:r>
      <w:r>
        <w:rPr>
          <w:rFonts w:eastAsia="仿宋_GB2312" w:hint="eastAsia"/>
          <w:bCs/>
          <w:sz w:val="32"/>
          <w:szCs w:val="32"/>
        </w:rPr>
        <w:t>提高</w:t>
      </w:r>
      <w:r>
        <w:rPr>
          <w:rFonts w:eastAsia="仿宋_GB2312"/>
          <w:sz w:val="32"/>
          <w:szCs w:val="32"/>
        </w:rPr>
        <w:t>业务</w:t>
      </w:r>
      <w:r>
        <w:rPr>
          <w:rFonts w:eastAsia="仿宋_GB2312" w:hint="eastAsia"/>
          <w:sz w:val="32"/>
          <w:szCs w:val="32"/>
        </w:rPr>
        <w:t>能力</w:t>
      </w:r>
      <w:r>
        <w:rPr>
          <w:rFonts w:eastAsia="仿宋_GB2312"/>
          <w:sz w:val="32"/>
          <w:szCs w:val="32"/>
        </w:rPr>
        <w:t>，</w:t>
      </w:r>
      <w:r>
        <w:rPr>
          <w:rFonts w:eastAsia="仿宋_GB2312" w:hint="eastAsia"/>
          <w:sz w:val="32"/>
          <w:szCs w:val="32"/>
        </w:rPr>
        <w:t>不断</w:t>
      </w:r>
      <w:r>
        <w:rPr>
          <w:rFonts w:eastAsia="仿宋_GB2312" w:hint="eastAsia"/>
          <w:sz w:val="32"/>
          <w:szCs w:val="32"/>
        </w:rPr>
        <w:lastRenderedPageBreak/>
        <w:t>提高案件领悟力、判断力、执行力，改善</w:t>
      </w:r>
      <w:r>
        <w:rPr>
          <w:rFonts w:ascii="仿宋_GB2312" w:eastAsia="仿宋_GB2312" w:hAnsi="宋体" w:cs="宋体" w:hint="eastAsia"/>
          <w:color w:val="000000"/>
          <w:kern w:val="0"/>
          <w:sz w:val="32"/>
          <w:szCs w:val="32"/>
        </w:rPr>
        <w:t>审判质量，降低裁判改发率，提高诉前鉴定率和法定审限内结案率。</w:t>
      </w:r>
    </w:p>
    <w:p w:rsidR="00894CB2" w:rsidRDefault="009A1E21">
      <w:pPr>
        <w:spacing w:line="600" w:lineRule="exact"/>
        <w:ind w:firstLineChars="200" w:firstLine="640"/>
        <w:outlineLvl w:val="0"/>
        <w:rPr>
          <w:sz w:val="32"/>
          <w:szCs w:val="32"/>
        </w:rPr>
      </w:pPr>
      <w:r>
        <w:rPr>
          <w:rFonts w:hint="eastAsia"/>
          <w:sz w:val="32"/>
          <w:szCs w:val="32"/>
        </w:rPr>
        <w:t>七、附件</w:t>
      </w:r>
      <w:bookmarkEnd w:id="1"/>
    </w:p>
    <w:p w:rsidR="00894CB2" w:rsidRDefault="009A1E21">
      <w:pPr>
        <w:spacing w:line="600" w:lineRule="exact"/>
        <w:ind w:firstLine="641"/>
        <w:rPr>
          <w:rFonts w:ascii="仿宋_GB2312" w:eastAsia="仿宋_GB2312" w:hAnsi="仿宋_GB2312" w:cs="仿宋_GB2312"/>
          <w:sz w:val="32"/>
          <w:szCs w:val="32"/>
        </w:rPr>
      </w:pPr>
      <w:r>
        <w:rPr>
          <w:rFonts w:ascii="仿宋_GB2312" w:eastAsia="仿宋_GB2312" w:hAnsi="仿宋_GB2312" w:cs="仿宋_GB2312" w:hint="eastAsia"/>
          <w:sz w:val="32"/>
          <w:szCs w:val="32"/>
        </w:rPr>
        <w:t>2023年部门整体绩效评价指标体系评分表</w:t>
      </w: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4A6B67">
      <w:pPr>
        <w:pStyle w:val="a0"/>
        <w:ind w:firstLine="210"/>
      </w:pPr>
    </w:p>
    <w:p w:rsidR="004A6B67" w:rsidRDefault="004A6B67" w:rsidP="00181CB7">
      <w:pPr>
        <w:pStyle w:val="a0"/>
        <w:ind w:firstLineChars="0" w:firstLine="0"/>
      </w:pPr>
    </w:p>
    <w:p w:rsidR="00A712D5" w:rsidRDefault="00A712D5" w:rsidP="00181CB7">
      <w:pPr>
        <w:pStyle w:val="a0"/>
        <w:ind w:firstLineChars="0" w:firstLine="0"/>
        <w:sectPr w:rsidR="00A712D5" w:rsidSect="00852636">
          <w:footerReference w:type="default" r:id="rId9"/>
          <w:pgSz w:w="11906" w:h="16838"/>
          <w:pgMar w:top="1440" w:right="1800" w:bottom="1440" w:left="1800" w:header="851" w:footer="992" w:gutter="0"/>
          <w:cols w:space="0"/>
          <w:docGrid w:type="lines" w:linePitch="312"/>
        </w:sectPr>
      </w:pPr>
    </w:p>
    <w:tbl>
      <w:tblPr>
        <w:tblW w:w="13120" w:type="dxa"/>
        <w:tblInd w:w="96" w:type="dxa"/>
        <w:tblLook w:val="04A0" w:firstRow="1" w:lastRow="0" w:firstColumn="1" w:lastColumn="0" w:noHBand="0" w:noVBand="1"/>
      </w:tblPr>
      <w:tblGrid>
        <w:gridCol w:w="980"/>
        <w:gridCol w:w="980"/>
        <w:gridCol w:w="1800"/>
        <w:gridCol w:w="1600"/>
        <w:gridCol w:w="1200"/>
        <w:gridCol w:w="860"/>
        <w:gridCol w:w="920"/>
        <w:gridCol w:w="2000"/>
        <w:gridCol w:w="2780"/>
      </w:tblGrid>
      <w:tr w:rsidR="00073E10" w:rsidRPr="00073E10" w:rsidTr="00073E10">
        <w:trPr>
          <w:trHeight w:val="288"/>
        </w:trPr>
        <w:tc>
          <w:tcPr>
            <w:tcW w:w="98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r w:rsidRPr="00073E10">
              <w:rPr>
                <w:rFonts w:ascii="宋体" w:hAnsi="宋体" w:cs="宋体" w:hint="eastAsia"/>
                <w:color w:val="000000"/>
                <w:kern w:val="0"/>
                <w:sz w:val="22"/>
                <w:szCs w:val="22"/>
              </w:rPr>
              <w:lastRenderedPageBreak/>
              <w:t>附件</w:t>
            </w:r>
          </w:p>
        </w:tc>
        <w:tc>
          <w:tcPr>
            <w:tcW w:w="98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p>
        </w:tc>
        <w:tc>
          <w:tcPr>
            <w:tcW w:w="180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p>
        </w:tc>
        <w:tc>
          <w:tcPr>
            <w:tcW w:w="160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p>
        </w:tc>
        <w:tc>
          <w:tcPr>
            <w:tcW w:w="120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p>
        </w:tc>
        <w:tc>
          <w:tcPr>
            <w:tcW w:w="86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p>
        </w:tc>
        <w:tc>
          <w:tcPr>
            <w:tcW w:w="920" w:type="dxa"/>
            <w:tcBorders>
              <w:top w:val="nil"/>
              <w:left w:val="nil"/>
              <w:bottom w:val="nil"/>
              <w:right w:val="nil"/>
            </w:tcBorders>
            <w:shd w:val="clear" w:color="auto" w:fill="auto"/>
            <w:vAlign w:val="center"/>
            <w:hideMark/>
          </w:tcPr>
          <w:p w:rsidR="00073E10" w:rsidRPr="00073E10" w:rsidRDefault="00073E10" w:rsidP="00073E10">
            <w:pPr>
              <w:widowControl/>
              <w:jc w:val="center"/>
              <w:rPr>
                <w:rFonts w:ascii="宋体" w:hAnsi="宋体" w:cs="宋体"/>
                <w:color w:val="000000"/>
                <w:kern w:val="0"/>
                <w:sz w:val="22"/>
                <w:szCs w:val="22"/>
              </w:rPr>
            </w:pPr>
          </w:p>
        </w:tc>
        <w:tc>
          <w:tcPr>
            <w:tcW w:w="200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p>
        </w:tc>
        <w:tc>
          <w:tcPr>
            <w:tcW w:w="2780" w:type="dxa"/>
            <w:tcBorders>
              <w:top w:val="nil"/>
              <w:left w:val="nil"/>
              <w:bottom w:val="nil"/>
              <w:right w:val="nil"/>
            </w:tcBorders>
            <w:shd w:val="clear" w:color="auto" w:fill="auto"/>
            <w:vAlign w:val="center"/>
            <w:hideMark/>
          </w:tcPr>
          <w:p w:rsidR="00073E10" w:rsidRPr="00073E10" w:rsidRDefault="00073E10" w:rsidP="00073E10">
            <w:pPr>
              <w:widowControl/>
              <w:jc w:val="left"/>
              <w:rPr>
                <w:rFonts w:ascii="宋体" w:hAnsi="宋体" w:cs="宋体"/>
                <w:color w:val="000000"/>
                <w:kern w:val="0"/>
                <w:sz w:val="22"/>
                <w:szCs w:val="22"/>
              </w:rPr>
            </w:pPr>
          </w:p>
        </w:tc>
      </w:tr>
      <w:tr w:rsidR="00073E10" w:rsidRPr="00073E10" w:rsidTr="00073E10">
        <w:trPr>
          <w:trHeight w:val="939"/>
        </w:trPr>
        <w:tc>
          <w:tcPr>
            <w:tcW w:w="131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方正小标宋简体" w:eastAsia="方正小标宋简体" w:hAnsi="宋体" w:cs="宋体"/>
                <w:color w:val="000000"/>
                <w:kern w:val="0"/>
                <w:sz w:val="44"/>
                <w:szCs w:val="44"/>
              </w:rPr>
            </w:pPr>
            <w:r w:rsidRPr="00073E10">
              <w:rPr>
                <w:rFonts w:ascii="方正小标宋简体" w:eastAsia="方正小标宋简体" w:hAnsi="宋体" w:cs="宋体" w:hint="eastAsia"/>
                <w:color w:val="000000"/>
                <w:kern w:val="0"/>
                <w:sz w:val="44"/>
                <w:szCs w:val="44"/>
              </w:rPr>
              <w:t>2023年部门整体绩效评价指标体系评分表</w:t>
            </w:r>
          </w:p>
        </w:tc>
      </w:tr>
      <w:tr w:rsidR="00073E10" w:rsidRPr="00073E10" w:rsidTr="00073E10">
        <w:trPr>
          <w:trHeight w:val="621"/>
        </w:trPr>
        <w:tc>
          <w:tcPr>
            <w:tcW w:w="131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一、</w:t>
            </w:r>
            <w:r w:rsidRPr="00073E10">
              <w:rPr>
                <w:rFonts w:ascii="宋体" w:hAnsi="宋体" w:cs="宋体" w:hint="eastAsia"/>
                <w:color w:val="000000"/>
                <w:kern w:val="0"/>
                <w:sz w:val="20"/>
                <w:szCs w:val="20"/>
              </w:rPr>
              <w:t>当年预算执行情况（20分）</w:t>
            </w:r>
          </w:p>
        </w:tc>
      </w:tr>
      <w:tr w:rsidR="00073E10" w:rsidRPr="00073E10" w:rsidTr="00073E10">
        <w:trPr>
          <w:trHeight w:val="4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一级指标　</w:t>
            </w: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二级指标　</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预算数（万元）</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执行数（万元）</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预算执行率</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分值</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得分</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指标解释</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评分标准</w:t>
            </w:r>
          </w:p>
        </w:tc>
      </w:tr>
      <w:tr w:rsidR="00073E10" w:rsidRPr="00073E10" w:rsidTr="00073E10">
        <w:trPr>
          <w:trHeight w:val="984"/>
        </w:trPr>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当年预算执行情况（20）</w:t>
            </w: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资金总体</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23,508.63</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23,359.30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99.36%</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20</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19.87</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部门全年执行数与全年预算数的比率。资金总体=基本支出+项目支出+其他</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①得分一档最高不能超过该指标分值上限（20分）。</w:t>
            </w:r>
          </w:p>
        </w:tc>
      </w:tr>
      <w:tr w:rsidR="00073E10" w:rsidRPr="00073E10" w:rsidTr="00073E10">
        <w:trPr>
          <w:trHeight w:val="972"/>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基本支出</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20,433.91</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20,391.93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w:t>
            </w:r>
          </w:p>
        </w:tc>
        <w:tc>
          <w:tcPr>
            <w:tcW w:w="86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w:t>
            </w:r>
            <w:r w:rsidRPr="00073E10">
              <w:rPr>
                <w:rFonts w:ascii="宋体" w:hAnsi="宋体" w:cs="宋体" w:hint="eastAsia"/>
                <w:color w:val="000000"/>
                <w:kern w:val="0"/>
                <w:sz w:val="18"/>
                <w:szCs w:val="18"/>
              </w:rPr>
              <w:lastRenderedPageBreak/>
              <w:t>500%），则按照该指标分值的30%扣分。</w:t>
            </w:r>
          </w:p>
        </w:tc>
      </w:tr>
      <w:tr w:rsidR="00073E10" w:rsidRPr="00073E10" w:rsidTr="00073E10">
        <w:trPr>
          <w:trHeight w:val="816"/>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项目支出</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2,891.10</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2,793.53</w:t>
            </w:r>
          </w:p>
        </w:tc>
        <w:tc>
          <w:tcPr>
            <w:tcW w:w="12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222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其他</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183.62 </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173.84</w:t>
            </w:r>
          </w:p>
        </w:tc>
        <w:tc>
          <w:tcPr>
            <w:tcW w:w="12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2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21"/>
        </w:trPr>
        <w:tc>
          <w:tcPr>
            <w:tcW w:w="131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lastRenderedPageBreak/>
              <w:t>二、</w:t>
            </w:r>
            <w:r w:rsidRPr="00073E10">
              <w:rPr>
                <w:rFonts w:ascii="宋体" w:hAnsi="宋体" w:cs="宋体" w:hint="eastAsia"/>
                <w:color w:val="000000"/>
                <w:kern w:val="0"/>
                <w:sz w:val="20"/>
                <w:szCs w:val="20"/>
              </w:rPr>
              <w:t>整体绩效目标实现情况（60分）</w:t>
            </w:r>
          </w:p>
        </w:tc>
      </w:tr>
      <w:tr w:rsidR="00073E10" w:rsidRPr="00073E10" w:rsidTr="00073E10">
        <w:trPr>
          <w:trHeight w:val="621"/>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一级指标</w:t>
            </w: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二级指标　</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三级指标　</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指标值</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完成值</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分值</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得分</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指标解释</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评分标准</w:t>
            </w:r>
          </w:p>
        </w:tc>
      </w:tr>
      <w:tr w:rsidR="00073E10" w:rsidRPr="00073E10" w:rsidTr="00073E10">
        <w:trPr>
          <w:trHeight w:val="600"/>
        </w:trPr>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整体绩效目标实现情况（60）</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产出（30）</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收案情况</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≥37000件</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47148件</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b/>
                <w:bCs/>
                <w:color w:val="000000"/>
                <w:kern w:val="0"/>
                <w:sz w:val="18"/>
                <w:szCs w:val="18"/>
              </w:rPr>
            </w:pPr>
            <w:r w:rsidRPr="00073E10">
              <w:rPr>
                <w:rFonts w:ascii="宋体" w:hAnsi="宋体" w:cs="宋体" w:hint="eastAsia"/>
                <w:b/>
                <w:bCs/>
                <w:color w:val="000000"/>
                <w:kern w:val="0"/>
                <w:sz w:val="18"/>
                <w:szCs w:val="18"/>
              </w:rPr>
              <w:t xml:space="preserve">　</w:t>
            </w:r>
          </w:p>
        </w:tc>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 xml:space="preserve">　</w:t>
            </w: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结案情况</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≥37000件</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47331件</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人均结案情况</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＞300件</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423件</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改判发回率</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≤0.40%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3.51%</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0.23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庭审直播率</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未设定</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0.03%</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裁判文书公开情况</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100.00%</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一审案件服判息诉率</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≥86.00%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81.83%</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  1.90 </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法定审限内结案率</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83.06%</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  1.66 </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proofErr w:type="gramStart"/>
            <w:r w:rsidRPr="00073E10">
              <w:rPr>
                <w:rFonts w:ascii="宋体" w:hAnsi="宋体" w:cs="宋体" w:hint="eastAsia"/>
                <w:color w:val="000000"/>
                <w:kern w:val="0"/>
                <w:sz w:val="20"/>
                <w:szCs w:val="20"/>
              </w:rPr>
              <w:t>执审质效</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≥97.5%</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98.96%</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当年</w:t>
            </w:r>
            <w:proofErr w:type="gramStart"/>
            <w:r w:rsidRPr="00073E10">
              <w:rPr>
                <w:rFonts w:ascii="宋体" w:hAnsi="宋体" w:cs="宋体" w:hint="eastAsia"/>
                <w:color w:val="000000"/>
                <w:kern w:val="0"/>
                <w:sz w:val="20"/>
                <w:szCs w:val="20"/>
              </w:rPr>
              <w:t>案件结收比</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100.39%</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电子送达率</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≥30%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79.91%</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效果（30）</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网上预约立案数量</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≥40.00%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43.43%</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b/>
                <w:bCs/>
                <w:color w:val="000000"/>
                <w:kern w:val="0"/>
                <w:sz w:val="18"/>
                <w:szCs w:val="18"/>
              </w:rPr>
            </w:pPr>
            <w:r w:rsidRPr="00073E10">
              <w:rPr>
                <w:rFonts w:ascii="宋体" w:hAnsi="宋体" w:cs="宋体" w:hint="eastAsia"/>
                <w:b/>
                <w:bCs/>
                <w:color w:val="000000"/>
                <w:kern w:val="0"/>
                <w:sz w:val="18"/>
                <w:szCs w:val="18"/>
              </w:rPr>
              <w:t>经济效益</w:t>
            </w:r>
            <w:r w:rsidRPr="00073E10">
              <w:rPr>
                <w:rFonts w:ascii="宋体" w:hAnsi="宋体" w:cs="宋体" w:hint="eastAsia"/>
                <w:color w:val="000000"/>
                <w:kern w:val="0"/>
                <w:sz w:val="18"/>
                <w:szCs w:val="18"/>
              </w:rPr>
              <w:t>：部门（单位）履行职责对经济发展所带来的直接或间接影响。</w:t>
            </w:r>
            <w:r w:rsidRPr="00073E10">
              <w:rPr>
                <w:rFonts w:ascii="宋体" w:hAnsi="宋体" w:cs="宋体" w:hint="eastAsia"/>
                <w:b/>
                <w:bCs/>
                <w:color w:val="000000"/>
                <w:kern w:val="0"/>
                <w:sz w:val="18"/>
                <w:szCs w:val="18"/>
              </w:rPr>
              <w:t>社会效益</w:t>
            </w:r>
            <w:r w:rsidRPr="00073E10">
              <w:rPr>
                <w:rFonts w:ascii="宋体" w:hAnsi="宋体" w:cs="宋体" w:hint="eastAsia"/>
                <w:color w:val="000000"/>
                <w:kern w:val="0"/>
                <w:sz w:val="18"/>
                <w:szCs w:val="18"/>
              </w:rPr>
              <w:t>：部门（单位）履行职责对社会发展所带来的直接或间接影响。</w:t>
            </w:r>
            <w:r w:rsidRPr="00073E10">
              <w:rPr>
                <w:rFonts w:ascii="宋体" w:hAnsi="宋体" w:cs="宋体" w:hint="eastAsia"/>
                <w:b/>
                <w:bCs/>
                <w:color w:val="000000"/>
                <w:kern w:val="0"/>
                <w:sz w:val="18"/>
                <w:szCs w:val="18"/>
              </w:rPr>
              <w:t>环境效益</w:t>
            </w:r>
            <w:r w:rsidRPr="00073E10">
              <w:rPr>
                <w:rFonts w:ascii="宋体" w:hAnsi="宋体" w:cs="宋体" w:hint="eastAsia"/>
                <w:color w:val="000000"/>
                <w:kern w:val="0"/>
                <w:sz w:val="18"/>
                <w:szCs w:val="18"/>
              </w:rPr>
              <w:t>：部门（单位）履行职责对环境所带来的直接或间接影响。</w:t>
            </w:r>
            <w:r w:rsidRPr="00073E10">
              <w:rPr>
                <w:rFonts w:ascii="宋体" w:hAnsi="宋体" w:cs="宋体" w:hint="eastAsia"/>
                <w:b/>
                <w:bCs/>
                <w:color w:val="000000"/>
                <w:kern w:val="0"/>
                <w:sz w:val="18"/>
                <w:szCs w:val="18"/>
              </w:rPr>
              <w:t>可持续性影响：</w:t>
            </w:r>
            <w:r w:rsidRPr="00073E10">
              <w:rPr>
                <w:rFonts w:ascii="宋体" w:hAnsi="宋体" w:cs="宋体" w:hint="eastAsia"/>
                <w:color w:val="000000"/>
                <w:kern w:val="0"/>
                <w:sz w:val="18"/>
                <w:szCs w:val="18"/>
              </w:rPr>
              <w:t>部门绩效目标实现的长效机制建设情况，部门工作效率提升措施的创新。</w:t>
            </w:r>
            <w:r w:rsidRPr="00073E10">
              <w:rPr>
                <w:rFonts w:ascii="宋体" w:hAnsi="宋体" w:cs="宋体" w:hint="eastAsia"/>
                <w:b/>
                <w:bCs/>
                <w:color w:val="000000"/>
                <w:kern w:val="0"/>
                <w:sz w:val="18"/>
                <w:szCs w:val="18"/>
              </w:rPr>
              <w:t>服务对象满意度</w:t>
            </w:r>
            <w:r w:rsidRPr="00073E10">
              <w:rPr>
                <w:rFonts w:ascii="宋体" w:hAnsi="宋体" w:cs="宋体" w:hint="eastAsia"/>
                <w:color w:val="000000"/>
                <w:kern w:val="0"/>
                <w:sz w:val="18"/>
                <w:szCs w:val="18"/>
              </w:rPr>
              <w:t>：部门（单位）的服务对象对部门履职效果的满意程度。</w:t>
            </w:r>
          </w:p>
        </w:tc>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073E10" w:rsidRPr="00073E10" w:rsidTr="00073E10">
        <w:trPr>
          <w:trHeight w:val="72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保障首都经济运转和维护营商环境</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优良中低差</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96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脱贫攻坚及营商环境（结案情况）</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优良中低差</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首都治安</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优良中低差</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解决执行难</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＞10000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等线" w:eastAsia="等线" w:hAnsi="等线" w:cs="宋体"/>
                <w:color w:val="000000"/>
                <w:kern w:val="0"/>
                <w:sz w:val="20"/>
                <w:szCs w:val="20"/>
              </w:rPr>
            </w:pPr>
            <w:r w:rsidRPr="00073E10">
              <w:rPr>
                <w:rFonts w:ascii="等线" w:eastAsia="等线" w:hAnsi="等线" w:cs="宋体" w:hint="eastAsia"/>
                <w:color w:val="000000"/>
                <w:kern w:val="0"/>
                <w:sz w:val="20"/>
                <w:szCs w:val="20"/>
              </w:rPr>
              <w:t>12135件</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环境保护</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优良中低差</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2.5</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司法为民、公正司法</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优良中低差</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人才培养</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优良中低差</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2.5</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普法宣传</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优良中低差</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优</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2.5</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72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同级人民代表大会通过、赞成率</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100.00%</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群众满意度（文字）</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≥90%</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&gt;93%</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w:t>
            </w:r>
          </w:p>
        </w:tc>
        <w:tc>
          <w:tcPr>
            <w:tcW w:w="200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b/>
                <w:bCs/>
                <w:color w:val="000000"/>
                <w:kern w:val="0"/>
                <w:sz w:val="18"/>
                <w:szCs w:val="18"/>
              </w:rPr>
            </w:pPr>
          </w:p>
        </w:tc>
        <w:tc>
          <w:tcPr>
            <w:tcW w:w="27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18"/>
                <w:szCs w:val="18"/>
              </w:rPr>
            </w:pPr>
          </w:p>
        </w:tc>
      </w:tr>
      <w:tr w:rsidR="00073E10" w:rsidRPr="00073E10" w:rsidTr="00073E10">
        <w:trPr>
          <w:trHeight w:val="600"/>
        </w:trPr>
        <w:tc>
          <w:tcPr>
            <w:tcW w:w="6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整体绩效目标评分小计</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60</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56.29</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b/>
                <w:bCs/>
                <w:color w:val="000000"/>
                <w:kern w:val="0"/>
                <w:sz w:val="18"/>
                <w:szCs w:val="18"/>
              </w:rPr>
            </w:pPr>
            <w:r w:rsidRPr="00073E10">
              <w:rPr>
                <w:rFonts w:ascii="宋体" w:hAnsi="宋体" w:cs="宋体" w:hint="eastAsia"/>
                <w:b/>
                <w:bCs/>
                <w:color w:val="000000"/>
                <w:kern w:val="0"/>
                <w:sz w:val="18"/>
                <w:szCs w:val="18"/>
              </w:rPr>
              <w:t xml:space="preserve">　</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 xml:space="preserve">　</w:t>
            </w:r>
          </w:p>
        </w:tc>
      </w:tr>
      <w:tr w:rsidR="00073E10" w:rsidRPr="00073E10" w:rsidTr="00073E10">
        <w:trPr>
          <w:trHeight w:val="600"/>
        </w:trPr>
        <w:tc>
          <w:tcPr>
            <w:tcW w:w="131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三、</w:t>
            </w:r>
            <w:r w:rsidRPr="00073E10">
              <w:rPr>
                <w:rFonts w:ascii="宋体" w:hAnsi="宋体" w:cs="宋体" w:hint="eastAsia"/>
                <w:color w:val="000000"/>
                <w:kern w:val="0"/>
                <w:sz w:val="20"/>
                <w:szCs w:val="20"/>
              </w:rPr>
              <w:t>预算管理情况（20分）</w:t>
            </w:r>
          </w:p>
        </w:tc>
      </w:tr>
      <w:tr w:rsidR="00073E10" w:rsidRPr="00073E10" w:rsidTr="00073E10">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一级指标</w:t>
            </w: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二级指标</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三级指标</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指标值</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完成值</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分值</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得分</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指标解释</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评分标准</w:t>
            </w:r>
          </w:p>
        </w:tc>
      </w:tr>
      <w:tr w:rsidR="00073E10" w:rsidRPr="00073E10" w:rsidTr="00073E10">
        <w:trPr>
          <w:trHeight w:val="1500"/>
        </w:trPr>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预算管理情况（20）</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财务管理（4）</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财务管理制度健全性</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显著</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基本达成预期目标</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b/>
                <w:bCs/>
                <w:color w:val="000000"/>
                <w:kern w:val="0"/>
                <w:sz w:val="18"/>
                <w:szCs w:val="18"/>
              </w:rPr>
            </w:pPr>
            <w:r w:rsidRPr="00073E10">
              <w:rPr>
                <w:rFonts w:ascii="宋体" w:hAnsi="宋体" w:cs="宋体" w:hint="eastAsia"/>
                <w:b/>
                <w:bCs/>
                <w:color w:val="000000"/>
                <w:kern w:val="0"/>
                <w:sz w:val="18"/>
                <w:szCs w:val="18"/>
              </w:rPr>
              <w:t>财务管理制度健全性:</w:t>
            </w:r>
            <w:r w:rsidRPr="00073E10">
              <w:rPr>
                <w:rFonts w:ascii="宋体" w:hAnsi="宋体" w:cs="宋体" w:hint="eastAsia"/>
                <w:color w:val="000000"/>
                <w:kern w:val="0"/>
                <w:sz w:val="18"/>
                <w:szCs w:val="18"/>
              </w:rPr>
              <w:t>部门（单位）为加强财务管理、规范财务行为而制定的管理制度。</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sidRPr="00073E10">
              <w:rPr>
                <w:rFonts w:ascii="宋体" w:hAnsi="宋体" w:cs="宋体" w:hint="eastAsia"/>
                <w:color w:val="000000"/>
                <w:kern w:val="0"/>
                <w:sz w:val="18"/>
                <w:szCs w:val="18"/>
              </w:rPr>
              <w:t>规</w:t>
            </w:r>
            <w:proofErr w:type="gramEnd"/>
            <w:r w:rsidRPr="00073E10">
              <w:rPr>
                <w:rFonts w:ascii="宋体" w:hAnsi="宋体" w:cs="宋体" w:hint="eastAsia"/>
                <w:color w:val="000000"/>
                <w:kern w:val="0"/>
                <w:sz w:val="18"/>
                <w:szCs w:val="18"/>
              </w:rPr>
              <w:t>；③会计核算制度是否完整、合</w:t>
            </w:r>
            <w:proofErr w:type="gramStart"/>
            <w:r w:rsidRPr="00073E10">
              <w:rPr>
                <w:rFonts w:ascii="宋体" w:hAnsi="宋体" w:cs="宋体" w:hint="eastAsia"/>
                <w:color w:val="000000"/>
                <w:kern w:val="0"/>
                <w:sz w:val="18"/>
                <w:szCs w:val="18"/>
              </w:rPr>
              <w:t>规</w:t>
            </w:r>
            <w:proofErr w:type="gramEnd"/>
            <w:r w:rsidRPr="00073E10">
              <w:rPr>
                <w:rFonts w:ascii="宋体" w:hAnsi="宋体" w:cs="宋体" w:hint="eastAsia"/>
                <w:color w:val="000000"/>
                <w:kern w:val="0"/>
                <w:sz w:val="18"/>
                <w:szCs w:val="18"/>
              </w:rPr>
              <w:t>。每有一项不合格扣0.5分，扣完为止。</w:t>
            </w:r>
          </w:p>
        </w:tc>
      </w:tr>
      <w:tr w:rsidR="00073E10" w:rsidRPr="00073E10" w:rsidTr="00073E10">
        <w:trPr>
          <w:trHeight w:val="2619"/>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资金使用合</w:t>
            </w:r>
            <w:proofErr w:type="gramStart"/>
            <w:r w:rsidRPr="00073E10">
              <w:rPr>
                <w:rFonts w:ascii="宋体" w:hAnsi="宋体" w:cs="宋体" w:hint="eastAsia"/>
                <w:color w:val="000000"/>
                <w:kern w:val="0"/>
                <w:sz w:val="20"/>
                <w:szCs w:val="20"/>
              </w:rPr>
              <w:t>规</w:t>
            </w:r>
            <w:proofErr w:type="gramEnd"/>
            <w:r w:rsidRPr="00073E10">
              <w:rPr>
                <w:rFonts w:ascii="宋体" w:hAnsi="宋体" w:cs="宋体" w:hint="eastAsia"/>
                <w:color w:val="000000"/>
                <w:kern w:val="0"/>
                <w:sz w:val="20"/>
                <w:szCs w:val="20"/>
              </w:rPr>
              <w:t>性和安全性</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显著</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基本达成预期目标</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b/>
                <w:bCs/>
                <w:color w:val="000000"/>
                <w:kern w:val="0"/>
                <w:sz w:val="18"/>
                <w:szCs w:val="18"/>
              </w:rPr>
            </w:pPr>
            <w:r w:rsidRPr="00073E10">
              <w:rPr>
                <w:rFonts w:ascii="宋体" w:hAnsi="宋体" w:cs="宋体" w:hint="eastAsia"/>
                <w:b/>
                <w:bCs/>
                <w:color w:val="000000"/>
                <w:kern w:val="0"/>
                <w:sz w:val="18"/>
                <w:szCs w:val="18"/>
              </w:rPr>
              <w:t>资金使用合</w:t>
            </w:r>
            <w:proofErr w:type="gramStart"/>
            <w:r w:rsidRPr="00073E10">
              <w:rPr>
                <w:rFonts w:ascii="宋体" w:hAnsi="宋体" w:cs="宋体" w:hint="eastAsia"/>
                <w:b/>
                <w:bCs/>
                <w:color w:val="000000"/>
                <w:kern w:val="0"/>
                <w:sz w:val="18"/>
                <w:szCs w:val="18"/>
              </w:rPr>
              <w:t>规</w:t>
            </w:r>
            <w:proofErr w:type="gramEnd"/>
            <w:r w:rsidRPr="00073E10">
              <w:rPr>
                <w:rFonts w:ascii="宋体" w:hAnsi="宋体" w:cs="宋体" w:hint="eastAsia"/>
                <w:b/>
                <w:bCs/>
                <w:color w:val="000000"/>
                <w:kern w:val="0"/>
                <w:sz w:val="18"/>
                <w:szCs w:val="18"/>
              </w:rPr>
              <w:t>性和安全性:</w:t>
            </w:r>
            <w:r w:rsidRPr="00073E10">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073E10" w:rsidRPr="00073E10" w:rsidTr="00073E10">
        <w:trPr>
          <w:trHeight w:val="126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会计基础信息完善性</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显著</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基本达成预期目标</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b/>
                <w:bCs/>
                <w:color w:val="000000"/>
                <w:kern w:val="0"/>
                <w:sz w:val="18"/>
                <w:szCs w:val="18"/>
              </w:rPr>
            </w:pPr>
            <w:r w:rsidRPr="00073E10">
              <w:rPr>
                <w:rFonts w:ascii="宋体" w:hAnsi="宋体" w:cs="宋体" w:hint="eastAsia"/>
                <w:b/>
                <w:bCs/>
                <w:color w:val="000000"/>
                <w:kern w:val="0"/>
                <w:sz w:val="18"/>
                <w:szCs w:val="18"/>
              </w:rPr>
              <w:t>会计基础信息完善性:</w:t>
            </w:r>
            <w:r w:rsidRPr="00073E10">
              <w:rPr>
                <w:rFonts w:ascii="宋体" w:hAnsi="宋体" w:cs="宋体" w:hint="eastAsia"/>
                <w:color w:val="000000"/>
                <w:kern w:val="0"/>
                <w:sz w:val="18"/>
                <w:szCs w:val="18"/>
              </w:rPr>
              <w:t>部门（单位）会计基础信息情况。</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073E10" w:rsidRPr="00073E10" w:rsidTr="00073E10">
        <w:trPr>
          <w:trHeight w:val="270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资产管理（4）</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资产管理规范性</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显著</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基本达成预期目标</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4</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3.2</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b/>
                <w:bCs/>
                <w:color w:val="000000"/>
                <w:kern w:val="0"/>
                <w:sz w:val="18"/>
                <w:szCs w:val="18"/>
              </w:rPr>
            </w:pPr>
            <w:r w:rsidRPr="00073E10">
              <w:rPr>
                <w:rFonts w:ascii="宋体" w:hAnsi="宋体" w:cs="宋体" w:hint="eastAsia"/>
                <w:b/>
                <w:bCs/>
                <w:color w:val="000000"/>
                <w:kern w:val="0"/>
                <w:sz w:val="18"/>
                <w:szCs w:val="18"/>
              </w:rPr>
              <w:t>资产管理规范性:</w:t>
            </w:r>
            <w:r w:rsidRPr="00073E10">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073E10" w:rsidRPr="00073E10" w:rsidTr="00073E10">
        <w:trPr>
          <w:trHeight w:val="108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绩效管理（4）</w:t>
            </w:r>
          </w:p>
        </w:tc>
        <w:tc>
          <w:tcPr>
            <w:tcW w:w="18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绩效管理情况</w:t>
            </w:r>
          </w:p>
        </w:tc>
        <w:tc>
          <w:tcPr>
            <w:tcW w:w="16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显著</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20"/>
                <w:szCs w:val="20"/>
              </w:rPr>
            </w:pPr>
            <w:r w:rsidRPr="00073E10">
              <w:rPr>
                <w:rFonts w:ascii="宋体" w:hAnsi="宋体" w:cs="宋体" w:hint="eastAsia"/>
                <w:color w:val="000000"/>
                <w:kern w:val="0"/>
                <w:sz w:val="20"/>
                <w:szCs w:val="20"/>
              </w:rPr>
              <w:t>基本达成预期目标</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4</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b/>
                <w:bCs/>
                <w:color w:val="000000"/>
                <w:kern w:val="0"/>
                <w:sz w:val="18"/>
                <w:szCs w:val="18"/>
              </w:rPr>
            </w:pPr>
            <w:r w:rsidRPr="00073E10">
              <w:rPr>
                <w:rFonts w:ascii="宋体" w:hAnsi="宋体" w:cs="宋体" w:hint="eastAsia"/>
                <w:b/>
                <w:bCs/>
                <w:color w:val="000000"/>
                <w:kern w:val="0"/>
                <w:sz w:val="18"/>
                <w:szCs w:val="18"/>
              </w:rPr>
              <w:t>绩效管理情况:</w:t>
            </w:r>
            <w:r w:rsidRPr="00073E10">
              <w:rPr>
                <w:rFonts w:ascii="宋体" w:hAnsi="宋体" w:cs="宋体" w:hint="eastAsia"/>
                <w:color w:val="000000"/>
                <w:kern w:val="0"/>
                <w:sz w:val="18"/>
                <w:szCs w:val="18"/>
              </w:rPr>
              <w:t>考核部门（单位）在绩效管理信息的汇总和应用情况。</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073E10" w:rsidRPr="00073E10" w:rsidTr="00073E10">
        <w:trPr>
          <w:trHeight w:val="519"/>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 xml:space="preserve">指标　</w:t>
            </w:r>
          </w:p>
        </w:tc>
        <w:tc>
          <w:tcPr>
            <w:tcW w:w="3400" w:type="dxa"/>
            <w:gridSpan w:val="2"/>
            <w:tcBorders>
              <w:top w:val="single" w:sz="4" w:space="0" w:color="auto"/>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2022年</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2023年</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分值</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得分</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指标解释</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评分标准</w:t>
            </w:r>
          </w:p>
        </w:tc>
      </w:tr>
      <w:tr w:rsidR="00073E10" w:rsidRPr="00073E10" w:rsidTr="00073E10">
        <w:trPr>
          <w:trHeight w:val="1980"/>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结转结余率（4）</w:t>
            </w:r>
          </w:p>
        </w:tc>
        <w:tc>
          <w:tcPr>
            <w:tcW w:w="3400" w:type="dxa"/>
            <w:gridSpan w:val="2"/>
            <w:tcBorders>
              <w:top w:val="single" w:sz="4" w:space="0" w:color="auto"/>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1.75%</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0.64%</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4</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4</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结转结余率=结转结余总额/支出预算数×100%。</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sidRPr="00073E10">
              <w:rPr>
                <w:rFonts w:ascii="宋体" w:hAnsi="宋体" w:cs="宋体" w:hint="eastAsia"/>
                <w:color w:val="000000"/>
                <w:kern w:val="0"/>
                <w:sz w:val="18"/>
                <w:szCs w:val="18"/>
              </w:rPr>
              <w:t>非预算</w:t>
            </w:r>
            <w:proofErr w:type="gramEnd"/>
            <w:r w:rsidRPr="00073E10">
              <w:rPr>
                <w:rFonts w:ascii="宋体" w:hAnsi="宋体" w:cs="宋体" w:hint="eastAsia"/>
                <w:color w:val="000000"/>
                <w:kern w:val="0"/>
                <w:sz w:val="18"/>
                <w:szCs w:val="18"/>
              </w:rPr>
              <w:t>部门主观因素导致扣分的，在评分结果征求意见环节，经与相关部门预算主管处室共同研究，可作为例外情况酌情</w:t>
            </w:r>
            <w:r w:rsidRPr="00073E10">
              <w:rPr>
                <w:rFonts w:ascii="宋体" w:hAnsi="宋体" w:cs="宋体" w:hint="eastAsia"/>
                <w:color w:val="000000"/>
                <w:kern w:val="0"/>
                <w:sz w:val="18"/>
                <w:szCs w:val="18"/>
              </w:rPr>
              <w:lastRenderedPageBreak/>
              <w:t>考虑。）</w:t>
            </w:r>
          </w:p>
        </w:tc>
      </w:tr>
      <w:tr w:rsidR="00073E10" w:rsidRPr="00073E10" w:rsidTr="00073E10">
        <w:trPr>
          <w:trHeight w:val="1299"/>
        </w:trPr>
        <w:tc>
          <w:tcPr>
            <w:tcW w:w="980" w:type="dxa"/>
            <w:vMerge/>
            <w:tcBorders>
              <w:top w:val="nil"/>
              <w:left w:val="single" w:sz="4" w:space="0" w:color="auto"/>
              <w:bottom w:val="single" w:sz="4" w:space="0" w:color="auto"/>
              <w:right w:val="single" w:sz="4" w:space="0" w:color="auto"/>
            </w:tcBorders>
            <w:vAlign w:val="center"/>
            <w:hideMark/>
          </w:tcPr>
          <w:p w:rsidR="00073E10" w:rsidRPr="00073E10" w:rsidRDefault="00073E10" w:rsidP="00073E10">
            <w:pPr>
              <w:widowControl/>
              <w:jc w:val="left"/>
              <w:rPr>
                <w:rFonts w:ascii="宋体" w:hAnsi="宋体" w:cs="宋体"/>
                <w:color w:val="000000"/>
                <w:kern w:val="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rPr>
                <w:rFonts w:ascii="宋体" w:hAnsi="宋体" w:cs="宋体"/>
                <w:color w:val="000000"/>
                <w:kern w:val="0"/>
                <w:sz w:val="20"/>
                <w:szCs w:val="20"/>
              </w:rPr>
            </w:pPr>
            <w:r w:rsidRPr="00073E10">
              <w:rPr>
                <w:rFonts w:ascii="宋体" w:hAnsi="宋体" w:cs="宋体" w:hint="eastAsia"/>
                <w:color w:val="000000"/>
                <w:kern w:val="0"/>
                <w:sz w:val="20"/>
                <w:szCs w:val="20"/>
              </w:rPr>
              <w:t>部门预决算差异率（4）</w:t>
            </w:r>
          </w:p>
        </w:tc>
        <w:tc>
          <w:tcPr>
            <w:tcW w:w="3400" w:type="dxa"/>
            <w:gridSpan w:val="2"/>
            <w:tcBorders>
              <w:top w:val="single" w:sz="4" w:space="0" w:color="auto"/>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w:t>
            </w:r>
          </w:p>
        </w:tc>
        <w:tc>
          <w:tcPr>
            <w:tcW w:w="12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2.35%</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4</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4</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通过年度部门决算与年初部门预算对比，对部门的年度支出情况进行考核，衡量部门预算的约束力。</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部门预决算差异率高于市级平均差异率（28.3%）的，每高出10%（含），扣0.4分，扣完为止。</w:t>
            </w:r>
          </w:p>
        </w:tc>
      </w:tr>
      <w:tr w:rsidR="00073E10" w:rsidRPr="00073E10" w:rsidTr="00073E10">
        <w:trPr>
          <w:trHeight w:val="600"/>
        </w:trPr>
        <w:tc>
          <w:tcPr>
            <w:tcW w:w="6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预算管理评分小计</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20</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17.2</w:t>
            </w:r>
          </w:p>
        </w:tc>
        <w:tc>
          <w:tcPr>
            <w:tcW w:w="200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 xml:space="preserve">　</w:t>
            </w:r>
          </w:p>
        </w:tc>
        <w:tc>
          <w:tcPr>
            <w:tcW w:w="278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left"/>
              <w:rPr>
                <w:rFonts w:ascii="宋体" w:hAnsi="宋体" w:cs="宋体"/>
                <w:color w:val="000000"/>
                <w:kern w:val="0"/>
                <w:sz w:val="18"/>
                <w:szCs w:val="18"/>
              </w:rPr>
            </w:pPr>
            <w:r w:rsidRPr="00073E10">
              <w:rPr>
                <w:rFonts w:ascii="宋体" w:hAnsi="宋体" w:cs="宋体" w:hint="eastAsia"/>
                <w:color w:val="000000"/>
                <w:kern w:val="0"/>
                <w:sz w:val="18"/>
                <w:szCs w:val="18"/>
              </w:rPr>
              <w:t xml:space="preserve">　</w:t>
            </w:r>
          </w:p>
        </w:tc>
      </w:tr>
      <w:tr w:rsidR="00073E10" w:rsidRPr="00073E10" w:rsidTr="00073E10">
        <w:trPr>
          <w:trHeight w:val="600"/>
        </w:trPr>
        <w:tc>
          <w:tcPr>
            <w:tcW w:w="6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合计</w:t>
            </w:r>
          </w:p>
        </w:tc>
        <w:tc>
          <w:tcPr>
            <w:tcW w:w="86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100</w:t>
            </w:r>
          </w:p>
        </w:tc>
        <w:tc>
          <w:tcPr>
            <w:tcW w:w="920" w:type="dxa"/>
            <w:tcBorders>
              <w:top w:val="nil"/>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20"/>
                <w:szCs w:val="20"/>
              </w:rPr>
            </w:pPr>
            <w:r w:rsidRPr="00073E10">
              <w:rPr>
                <w:rFonts w:ascii="宋体" w:hAnsi="宋体" w:cs="宋体" w:hint="eastAsia"/>
                <w:color w:val="000000"/>
                <w:kern w:val="0"/>
                <w:sz w:val="20"/>
                <w:szCs w:val="20"/>
              </w:rPr>
              <w:t>93.36</w:t>
            </w:r>
          </w:p>
        </w:tc>
        <w:tc>
          <w:tcPr>
            <w:tcW w:w="4780" w:type="dxa"/>
            <w:gridSpan w:val="2"/>
            <w:tcBorders>
              <w:top w:val="single" w:sz="4" w:space="0" w:color="auto"/>
              <w:left w:val="nil"/>
              <w:bottom w:val="single" w:sz="4" w:space="0" w:color="auto"/>
              <w:right w:val="single" w:sz="4" w:space="0" w:color="auto"/>
            </w:tcBorders>
            <w:shd w:val="clear" w:color="auto" w:fill="auto"/>
            <w:vAlign w:val="center"/>
            <w:hideMark/>
          </w:tcPr>
          <w:p w:rsidR="00073E10" w:rsidRPr="00073E10" w:rsidRDefault="00073E10" w:rsidP="00073E10">
            <w:pPr>
              <w:widowControl/>
              <w:jc w:val="center"/>
              <w:rPr>
                <w:rFonts w:ascii="宋体" w:hAnsi="宋体" w:cs="宋体"/>
                <w:color w:val="000000"/>
                <w:kern w:val="0"/>
                <w:sz w:val="18"/>
                <w:szCs w:val="18"/>
              </w:rPr>
            </w:pPr>
            <w:r w:rsidRPr="00073E10">
              <w:rPr>
                <w:rFonts w:ascii="宋体" w:hAnsi="宋体" w:cs="宋体" w:hint="eastAsia"/>
                <w:color w:val="000000"/>
                <w:kern w:val="0"/>
                <w:sz w:val="18"/>
                <w:szCs w:val="18"/>
              </w:rPr>
              <w:t xml:space="preserve">　</w:t>
            </w:r>
          </w:p>
        </w:tc>
      </w:tr>
    </w:tbl>
    <w:p w:rsidR="00181CB7" w:rsidRDefault="00181CB7"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Default="00A712D5" w:rsidP="00181CB7">
      <w:pPr>
        <w:pStyle w:val="a0"/>
        <w:ind w:firstLineChars="0" w:firstLine="0"/>
      </w:pPr>
    </w:p>
    <w:p w:rsidR="00A712D5" w:rsidRPr="004A6B67" w:rsidRDefault="00A712D5" w:rsidP="00181CB7">
      <w:pPr>
        <w:pStyle w:val="a0"/>
        <w:ind w:firstLineChars="0" w:firstLine="0"/>
      </w:pPr>
    </w:p>
    <w:sectPr w:rsidR="00A712D5" w:rsidRPr="004A6B67" w:rsidSect="00A712D5">
      <w:pgSz w:w="16838" w:h="11906" w:orient="landscape"/>
      <w:pgMar w:top="1800" w:right="1440" w:bottom="1800" w:left="144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E5D" w:rsidRDefault="003D0E5D">
      <w:r>
        <w:separator/>
      </w:r>
    </w:p>
  </w:endnote>
  <w:endnote w:type="continuationSeparator" w:id="0">
    <w:p w:rsidR="003D0E5D" w:rsidRDefault="003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67045"/>
      <w:docPartObj>
        <w:docPartGallery w:val="Page Numbers (Bottom of Page)"/>
        <w:docPartUnique/>
      </w:docPartObj>
    </w:sdtPr>
    <w:sdtEndPr/>
    <w:sdtContent>
      <w:p w:rsidR="00100B4D" w:rsidRDefault="009F50C2">
        <w:pPr>
          <w:pStyle w:val="a6"/>
          <w:jc w:val="center"/>
        </w:pPr>
        <w:r>
          <w:fldChar w:fldCharType="begin"/>
        </w:r>
        <w:r w:rsidR="00100B4D">
          <w:instrText>PAGE   \* MERGEFORMAT</w:instrText>
        </w:r>
        <w:r>
          <w:fldChar w:fldCharType="separate"/>
        </w:r>
        <w:r w:rsidR="00C664DA" w:rsidRPr="00C664DA">
          <w:rPr>
            <w:noProof/>
            <w:lang w:val="zh-CN"/>
          </w:rPr>
          <w:t>1</w:t>
        </w:r>
        <w:r>
          <w:fldChar w:fldCharType="end"/>
        </w:r>
      </w:p>
    </w:sdtContent>
  </w:sdt>
  <w:p w:rsidR="00894CB2" w:rsidRDefault="00894CB2">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E5D" w:rsidRDefault="003D0E5D">
      <w:r>
        <w:separator/>
      </w:r>
    </w:p>
  </w:footnote>
  <w:footnote w:type="continuationSeparator" w:id="0">
    <w:p w:rsidR="003D0E5D" w:rsidRDefault="003D0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RlYzk4NGZiMTQ4NTYyZTUwNzI2ZTAwZmEzNjkyZDMifQ=="/>
  </w:docVars>
  <w:rsids>
    <w:rsidRoot w:val="F77F09F4"/>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 w:val="00012C89"/>
    <w:rsid w:val="000208E4"/>
    <w:rsid w:val="0005380B"/>
    <w:rsid w:val="00073E10"/>
    <w:rsid w:val="000817E0"/>
    <w:rsid w:val="00081932"/>
    <w:rsid w:val="00100B4D"/>
    <w:rsid w:val="0011776F"/>
    <w:rsid w:val="00164426"/>
    <w:rsid w:val="00181CB7"/>
    <w:rsid w:val="00185359"/>
    <w:rsid w:val="0018662F"/>
    <w:rsid w:val="001B029C"/>
    <w:rsid w:val="001B02F3"/>
    <w:rsid w:val="001B3917"/>
    <w:rsid w:val="001C18B4"/>
    <w:rsid w:val="001D74E6"/>
    <w:rsid w:val="001F14BF"/>
    <w:rsid w:val="001F4795"/>
    <w:rsid w:val="00212144"/>
    <w:rsid w:val="002165A8"/>
    <w:rsid w:val="00221B96"/>
    <w:rsid w:val="00222E4D"/>
    <w:rsid w:val="002421BB"/>
    <w:rsid w:val="002638C2"/>
    <w:rsid w:val="0026708B"/>
    <w:rsid w:val="00296D82"/>
    <w:rsid w:val="002C17DD"/>
    <w:rsid w:val="002D7F84"/>
    <w:rsid w:val="002E6805"/>
    <w:rsid w:val="00310C43"/>
    <w:rsid w:val="00314EF4"/>
    <w:rsid w:val="003258DC"/>
    <w:rsid w:val="003361C2"/>
    <w:rsid w:val="00365F80"/>
    <w:rsid w:val="00367FE0"/>
    <w:rsid w:val="003902DC"/>
    <w:rsid w:val="003A025A"/>
    <w:rsid w:val="003D0E5D"/>
    <w:rsid w:val="003F7F7A"/>
    <w:rsid w:val="00401C85"/>
    <w:rsid w:val="004116BB"/>
    <w:rsid w:val="0041425F"/>
    <w:rsid w:val="00450D70"/>
    <w:rsid w:val="004608E5"/>
    <w:rsid w:val="00485FD4"/>
    <w:rsid w:val="004A474F"/>
    <w:rsid w:val="004A6B67"/>
    <w:rsid w:val="004C3C40"/>
    <w:rsid w:val="004C6DB9"/>
    <w:rsid w:val="004E0300"/>
    <w:rsid w:val="004F7720"/>
    <w:rsid w:val="005020D0"/>
    <w:rsid w:val="00564CA1"/>
    <w:rsid w:val="0057157D"/>
    <w:rsid w:val="00577ACB"/>
    <w:rsid w:val="005A2964"/>
    <w:rsid w:val="005C535D"/>
    <w:rsid w:val="005E3557"/>
    <w:rsid w:val="005F260A"/>
    <w:rsid w:val="006041E8"/>
    <w:rsid w:val="00613D75"/>
    <w:rsid w:val="00634709"/>
    <w:rsid w:val="00655E79"/>
    <w:rsid w:val="0066664C"/>
    <w:rsid w:val="006A1C8E"/>
    <w:rsid w:val="00717C9A"/>
    <w:rsid w:val="00756BA2"/>
    <w:rsid w:val="007625AE"/>
    <w:rsid w:val="007836BE"/>
    <w:rsid w:val="007A51A4"/>
    <w:rsid w:val="007B5FC3"/>
    <w:rsid w:val="007F1F1F"/>
    <w:rsid w:val="007F3688"/>
    <w:rsid w:val="008018E3"/>
    <w:rsid w:val="00850395"/>
    <w:rsid w:val="0085148F"/>
    <w:rsid w:val="00852636"/>
    <w:rsid w:val="008619FF"/>
    <w:rsid w:val="00863933"/>
    <w:rsid w:val="0086706A"/>
    <w:rsid w:val="0087176C"/>
    <w:rsid w:val="00894CB2"/>
    <w:rsid w:val="009065F6"/>
    <w:rsid w:val="0091144D"/>
    <w:rsid w:val="009237E2"/>
    <w:rsid w:val="009254AB"/>
    <w:rsid w:val="0093346B"/>
    <w:rsid w:val="00937C88"/>
    <w:rsid w:val="009546E0"/>
    <w:rsid w:val="009712B3"/>
    <w:rsid w:val="009A1E21"/>
    <w:rsid w:val="009D45D7"/>
    <w:rsid w:val="009E6B26"/>
    <w:rsid w:val="009F50C2"/>
    <w:rsid w:val="00A0683F"/>
    <w:rsid w:val="00A14766"/>
    <w:rsid w:val="00A20F5A"/>
    <w:rsid w:val="00A4181D"/>
    <w:rsid w:val="00A712D5"/>
    <w:rsid w:val="00A73993"/>
    <w:rsid w:val="00A75202"/>
    <w:rsid w:val="00A87B36"/>
    <w:rsid w:val="00AB5E7A"/>
    <w:rsid w:val="00AB6C85"/>
    <w:rsid w:val="00AD45CF"/>
    <w:rsid w:val="00B04857"/>
    <w:rsid w:val="00B10472"/>
    <w:rsid w:val="00B12E39"/>
    <w:rsid w:val="00B13BD4"/>
    <w:rsid w:val="00B14254"/>
    <w:rsid w:val="00B235C1"/>
    <w:rsid w:val="00B24879"/>
    <w:rsid w:val="00B51D1E"/>
    <w:rsid w:val="00B73EBB"/>
    <w:rsid w:val="00B7542F"/>
    <w:rsid w:val="00BA533D"/>
    <w:rsid w:val="00BB05E6"/>
    <w:rsid w:val="00BD5C7E"/>
    <w:rsid w:val="00BE13C4"/>
    <w:rsid w:val="00BE2DB1"/>
    <w:rsid w:val="00BF5625"/>
    <w:rsid w:val="00C636F3"/>
    <w:rsid w:val="00C664DA"/>
    <w:rsid w:val="00C75D19"/>
    <w:rsid w:val="00C918E6"/>
    <w:rsid w:val="00CA1AEE"/>
    <w:rsid w:val="00CD41A4"/>
    <w:rsid w:val="00CF0FEB"/>
    <w:rsid w:val="00D01625"/>
    <w:rsid w:val="00D02456"/>
    <w:rsid w:val="00D04686"/>
    <w:rsid w:val="00D157CB"/>
    <w:rsid w:val="00D23A1D"/>
    <w:rsid w:val="00D51F46"/>
    <w:rsid w:val="00D6582C"/>
    <w:rsid w:val="00D743C9"/>
    <w:rsid w:val="00DE1F3A"/>
    <w:rsid w:val="00E012F6"/>
    <w:rsid w:val="00E0289B"/>
    <w:rsid w:val="00E17A35"/>
    <w:rsid w:val="00E23C90"/>
    <w:rsid w:val="00E31DA1"/>
    <w:rsid w:val="00E47975"/>
    <w:rsid w:val="00E65A4D"/>
    <w:rsid w:val="00E8301F"/>
    <w:rsid w:val="00EB6951"/>
    <w:rsid w:val="00ED41F6"/>
    <w:rsid w:val="00EF4466"/>
    <w:rsid w:val="00F025B0"/>
    <w:rsid w:val="00F1431A"/>
    <w:rsid w:val="00F66FF3"/>
    <w:rsid w:val="00F760BC"/>
    <w:rsid w:val="00F80A38"/>
    <w:rsid w:val="00F813A4"/>
    <w:rsid w:val="00F86840"/>
    <w:rsid w:val="00FD0534"/>
    <w:rsid w:val="00FE5017"/>
    <w:rsid w:val="01545A56"/>
    <w:rsid w:val="02642F05"/>
    <w:rsid w:val="175F53D8"/>
    <w:rsid w:val="1B1D697B"/>
    <w:rsid w:val="1B604155"/>
    <w:rsid w:val="1CDD173F"/>
    <w:rsid w:val="239D71B6"/>
    <w:rsid w:val="30EF6D25"/>
    <w:rsid w:val="327A2A73"/>
    <w:rsid w:val="33111023"/>
    <w:rsid w:val="37173543"/>
    <w:rsid w:val="3FDBA076"/>
    <w:rsid w:val="3FDFB3F0"/>
    <w:rsid w:val="3FDFC9A6"/>
    <w:rsid w:val="3FF76880"/>
    <w:rsid w:val="5BFD4AC2"/>
    <w:rsid w:val="670A4397"/>
    <w:rsid w:val="67759716"/>
    <w:rsid w:val="69B27540"/>
    <w:rsid w:val="6F7ED27B"/>
    <w:rsid w:val="75B17A7C"/>
    <w:rsid w:val="7AB7FF50"/>
    <w:rsid w:val="7AEAF641"/>
    <w:rsid w:val="7BAD2729"/>
    <w:rsid w:val="7BFEB0DB"/>
    <w:rsid w:val="7FFF4E81"/>
    <w:rsid w:val="7FFFD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52636"/>
    <w:pPr>
      <w:widowControl w:val="0"/>
      <w:jc w:val="both"/>
    </w:pPr>
    <w:rPr>
      <w:kern w:val="2"/>
      <w:sz w:val="21"/>
      <w:szCs w:val="24"/>
    </w:rPr>
  </w:style>
  <w:style w:type="paragraph" w:styleId="1">
    <w:name w:val="heading 1"/>
    <w:basedOn w:val="a"/>
    <w:next w:val="a"/>
    <w:uiPriority w:val="9"/>
    <w:qFormat/>
    <w:rsid w:val="00852636"/>
    <w:pPr>
      <w:spacing w:line="600" w:lineRule="exact"/>
      <w:ind w:firstLine="640"/>
      <w:outlineLvl w:val="0"/>
    </w:pPr>
    <w:rPr>
      <w:rFonts w:ascii="黑体" w:eastAsia="黑体" w:hAnsi="黑体" w:cs="宋体"/>
      <w:color w:val="000000"/>
      <w:kern w:val="0"/>
    </w:rPr>
  </w:style>
  <w:style w:type="paragraph" w:styleId="2">
    <w:name w:val="heading 2"/>
    <w:basedOn w:val="a"/>
    <w:next w:val="a"/>
    <w:autoRedefine/>
    <w:qFormat/>
    <w:rsid w:val="00852636"/>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qFormat/>
    <w:rsid w:val="00852636"/>
    <w:pPr>
      <w:ind w:firstLineChars="100" w:firstLine="420"/>
    </w:pPr>
  </w:style>
  <w:style w:type="paragraph" w:styleId="a4">
    <w:name w:val="Body Text"/>
    <w:basedOn w:val="a"/>
    <w:next w:val="11"/>
    <w:autoRedefine/>
    <w:rsid w:val="00852636"/>
    <w:pPr>
      <w:spacing w:after="140" w:line="276" w:lineRule="auto"/>
    </w:pPr>
  </w:style>
  <w:style w:type="paragraph" w:customStyle="1" w:styleId="11">
    <w:name w:val="目录 11"/>
    <w:next w:val="a"/>
    <w:autoRedefine/>
    <w:qFormat/>
    <w:rsid w:val="00852636"/>
    <w:pPr>
      <w:wordWrap w:val="0"/>
      <w:jc w:val="both"/>
    </w:pPr>
    <w:rPr>
      <w:sz w:val="21"/>
      <w:szCs w:val="22"/>
    </w:rPr>
  </w:style>
  <w:style w:type="paragraph" w:styleId="a5">
    <w:name w:val="Balloon Text"/>
    <w:basedOn w:val="a"/>
    <w:link w:val="Char"/>
    <w:autoRedefine/>
    <w:qFormat/>
    <w:rsid w:val="00852636"/>
    <w:rPr>
      <w:sz w:val="18"/>
      <w:szCs w:val="18"/>
    </w:rPr>
  </w:style>
  <w:style w:type="paragraph" w:styleId="a6">
    <w:name w:val="footer"/>
    <w:basedOn w:val="a"/>
    <w:link w:val="Char0"/>
    <w:autoRedefine/>
    <w:uiPriority w:val="99"/>
    <w:qFormat/>
    <w:rsid w:val="00852636"/>
    <w:pPr>
      <w:tabs>
        <w:tab w:val="center" w:pos="4153"/>
        <w:tab w:val="right" w:pos="8306"/>
      </w:tabs>
      <w:snapToGrid w:val="0"/>
      <w:jc w:val="left"/>
    </w:pPr>
    <w:rPr>
      <w:sz w:val="18"/>
      <w:szCs w:val="20"/>
    </w:rPr>
  </w:style>
  <w:style w:type="paragraph" w:styleId="a7">
    <w:name w:val="header"/>
    <w:basedOn w:val="a"/>
    <w:autoRedefine/>
    <w:qFormat/>
    <w:rsid w:val="0085263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0">
    <w:name w:val="列出段落1"/>
    <w:basedOn w:val="a"/>
    <w:autoRedefine/>
    <w:uiPriority w:val="34"/>
    <w:qFormat/>
    <w:rsid w:val="00852636"/>
    <w:pPr>
      <w:ind w:firstLineChars="200" w:firstLine="420"/>
    </w:pPr>
    <w:rPr>
      <w:rFonts w:ascii="Calibri" w:hAnsi="Calibri" w:cs="黑体"/>
      <w:szCs w:val="22"/>
    </w:rPr>
  </w:style>
  <w:style w:type="character" w:customStyle="1" w:styleId="Char0">
    <w:name w:val="页脚 Char"/>
    <w:basedOn w:val="a1"/>
    <w:link w:val="a6"/>
    <w:autoRedefine/>
    <w:uiPriority w:val="99"/>
    <w:qFormat/>
    <w:rsid w:val="00852636"/>
    <w:rPr>
      <w:rFonts w:ascii="Times New Roman" w:eastAsia="宋体" w:hAnsi="Times New Roman" w:cs="Times New Roman"/>
      <w:kern w:val="2"/>
      <w:sz w:val="18"/>
    </w:rPr>
  </w:style>
  <w:style w:type="character" w:customStyle="1" w:styleId="font21">
    <w:name w:val="font21"/>
    <w:basedOn w:val="a1"/>
    <w:autoRedefine/>
    <w:qFormat/>
    <w:rsid w:val="00852636"/>
    <w:rPr>
      <w:rFonts w:ascii="宋体" w:eastAsia="宋体" w:hAnsi="宋体" w:cs="宋体" w:hint="eastAsia"/>
      <w:color w:val="000000"/>
      <w:sz w:val="18"/>
      <w:szCs w:val="18"/>
      <w:u w:val="none"/>
    </w:rPr>
  </w:style>
  <w:style w:type="character" w:customStyle="1" w:styleId="font31">
    <w:name w:val="font31"/>
    <w:basedOn w:val="a1"/>
    <w:autoRedefine/>
    <w:qFormat/>
    <w:rsid w:val="00852636"/>
    <w:rPr>
      <w:rFonts w:ascii="宋体" w:eastAsia="宋体" w:hAnsi="宋体" w:cs="宋体" w:hint="eastAsia"/>
      <w:color w:val="000000"/>
      <w:sz w:val="20"/>
      <w:szCs w:val="20"/>
      <w:u w:val="none"/>
    </w:rPr>
  </w:style>
  <w:style w:type="character" w:customStyle="1" w:styleId="font51">
    <w:name w:val="font51"/>
    <w:basedOn w:val="a1"/>
    <w:autoRedefine/>
    <w:qFormat/>
    <w:rsid w:val="00852636"/>
    <w:rPr>
      <w:rFonts w:ascii="宋体" w:eastAsia="宋体" w:hAnsi="宋体" w:cs="宋体" w:hint="eastAsia"/>
      <w:b/>
      <w:bCs/>
      <w:color w:val="000000"/>
      <w:sz w:val="18"/>
      <w:szCs w:val="18"/>
      <w:u w:val="none"/>
    </w:rPr>
  </w:style>
  <w:style w:type="character" w:customStyle="1" w:styleId="Char">
    <w:name w:val="批注框文本 Char"/>
    <w:basedOn w:val="a1"/>
    <w:link w:val="a5"/>
    <w:autoRedefine/>
    <w:qFormat/>
    <w:rsid w:val="0085263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204761">
      <w:bodyDiv w:val="1"/>
      <w:marLeft w:val="0"/>
      <w:marRight w:val="0"/>
      <w:marTop w:val="0"/>
      <w:marBottom w:val="0"/>
      <w:divBdr>
        <w:top w:val="none" w:sz="0" w:space="0" w:color="auto"/>
        <w:left w:val="none" w:sz="0" w:space="0" w:color="auto"/>
        <w:bottom w:val="none" w:sz="0" w:space="0" w:color="auto"/>
        <w:right w:val="none" w:sz="0" w:space="0" w:color="auto"/>
      </w:divBdr>
    </w:div>
    <w:div w:id="1099444998">
      <w:bodyDiv w:val="1"/>
      <w:marLeft w:val="0"/>
      <w:marRight w:val="0"/>
      <w:marTop w:val="0"/>
      <w:marBottom w:val="0"/>
      <w:divBdr>
        <w:top w:val="none" w:sz="0" w:space="0" w:color="auto"/>
        <w:left w:val="none" w:sz="0" w:space="0" w:color="auto"/>
        <w:bottom w:val="none" w:sz="0" w:space="0" w:color="auto"/>
        <w:right w:val="none" w:sz="0" w:space="0" w:color="auto"/>
      </w:divBdr>
    </w:div>
    <w:div w:id="1124348088">
      <w:bodyDiv w:val="1"/>
      <w:marLeft w:val="0"/>
      <w:marRight w:val="0"/>
      <w:marTop w:val="0"/>
      <w:marBottom w:val="0"/>
      <w:divBdr>
        <w:top w:val="none" w:sz="0" w:space="0" w:color="auto"/>
        <w:left w:val="none" w:sz="0" w:space="0" w:color="auto"/>
        <w:bottom w:val="none" w:sz="0" w:space="0" w:color="auto"/>
        <w:right w:val="none" w:sz="0" w:space="0" w:color="auto"/>
      </w:divBdr>
    </w:div>
    <w:div w:id="1842549315">
      <w:bodyDiv w:val="1"/>
      <w:marLeft w:val="0"/>
      <w:marRight w:val="0"/>
      <w:marTop w:val="0"/>
      <w:marBottom w:val="0"/>
      <w:divBdr>
        <w:top w:val="none" w:sz="0" w:space="0" w:color="auto"/>
        <w:left w:val="none" w:sz="0" w:space="0" w:color="auto"/>
        <w:bottom w:val="none" w:sz="0" w:space="0" w:color="auto"/>
        <w:right w:val="none" w:sz="0" w:space="0" w:color="auto"/>
      </w:divBdr>
    </w:div>
    <w:div w:id="200851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105D44-6F1B-407E-8686-3D15CDEAC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23</Pages>
  <Words>1619</Words>
  <Characters>9233</Characters>
  <Application>Microsoft Office Word</Application>
  <DocSecurity>0</DocSecurity>
  <Lines>76</Lines>
  <Paragraphs>21</Paragraphs>
  <ScaleCrop>false</ScaleCrop>
  <Company>Microsoft</Company>
  <LinksUpToDate>false</LinksUpToDate>
  <CharactersWithSpaces>10831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53</cp:revision>
  <cp:lastPrinted>2023-03-06T01:31:00Z</cp:lastPrinted>
  <dcterms:created xsi:type="dcterms:W3CDTF">2022-03-14T19:16:00Z</dcterms:created>
  <dcterms:modified xsi:type="dcterms:W3CDTF">2024-08-09T07:48:00Z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F849E668909D41968A20241925DF7A60_12</vt:lpwstr>
  </property>
</Properties>
</file>