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1" w:lineRule="auto"/>
        <w:rPr>
          <w:rFonts w:ascii="黑体" w:eastAsia="宋体"/>
          <w:highlight w:val="none"/>
        </w:rPr>
      </w:pPr>
    </w:p>
    <w:p>
      <w:pPr>
        <w:spacing w:line="241" w:lineRule="auto"/>
        <w:rPr>
          <w:rFonts w:ascii="黑体"/>
          <w:highlight w:val="none"/>
        </w:rPr>
      </w:pPr>
    </w:p>
    <w:p>
      <w:pPr>
        <w:spacing w:line="560" w:lineRule="exact"/>
        <w:jc w:val="center"/>
        <w:rPr>
          <w:rFonts w:ascii="方正小标宋简体" w:eastAsia="方正小标宋简体"/>
          <w:sz w:val="36"/>
          <w:szCs w:val="36"/>
          <w:highlight w:val="none"/>
        </w:rPr>
      </w:pPr>
      <w:bookmarkStart w:id="0" w:name="_Toc21971"/>
      <w:r>
        <w:rPr>
          <w:rFonts w:hint="eastAsia" w:ascii="方正小标宋简体" w:eastAsia="方正小标宋简体"/>
          <w:sz w:val="36"/>
          <w:szCs w:val="36"/>
          <w:highlight w:val="none"/>
        </w:rPr>
        <w:t>北京知识产权法院</w:t>
      </w:r>
    </w:p>
    <w:p>
      <w:pPr>
        <w:spacing w:line="560" w:lineRule="exact"/>
        <w:jc w:val="center"/>
        <w:rPr>
          <w:rFonts w:ascii="方正小标宋简体" w:eastAsia="方正小标宋简体"/>
          <w:sz w:val="36"/>
          <w:szCs w:val="36"/>
          <w:highlight w:val="none"/>
        </w:rPr>
      </w:pPr>
      <w:bookmarkStart w:id="153" w:name="_GoBack"/>
      <w:bookmarkEnd w:id="153"/>
      <w:r>
        <w:rPr>
          <w:rFonts w:hint="eastAsia" w:ascii="方正小标宋简体" w:eastAsia="方正小标宋简体"/>
          <w:sz w:val="36"/>
          <w:szCs w:val="36"/>
          <w:highlight w:val="none"/>
        </w:rPr>
        <w:t>卷宗全过程整理运维服务外包项目支出</w:t>
      </w:r>
    </w:p>
    <w:p>
      <w:pPr>
        <w:spacing w:line="560" w:lineRule="exact"/>
        <w:jc w:val="center"/>
        <w:rPr>
          <w:rFonts w:ascii="方正小标宋简体" w:eastAsia="方正小标宋简体"/>
          <w:sz w:val="36"/>
          <w:szCs w:val="36"/>
          <w:highlight w:val="none"/>
        </w:rPr>
      </w:pPr>
      <w:r>
        <w:rPr>
          <w:rFonts w:hint="eastAsia" w:ascii="方正小标宋简体" w:eastAsia="方正小标宋简体"/>
          <w:sz w:val="36"/>
          <w:szCs w:val="36"/>
          <w:highlight w:val="none"/>
        </w:rPr>
        <w:t>绩效评价报告</w:t>
      </w:r>
      <w:bookmarkEnd w:id="0"/>
    </w:p>
    <w:p>
      <w:pPr>
        <w:spacing w:line="560" w:lineRule="exact"/>
        <w:jc w:val="center"/>
        <w:rPr>
          <w:rFonts w:ascii="方正小标宋简体" w:eastAsia="方正小标宋简体"/>
          <w:sz w:val="36"/>
          <w:szCs w:val="36"/>
          <w:highlight w:val="none"/>
        </w:rPr>
      </w:pP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为进一步规范政府购买服务项目实施，提高财政资金使用效益，根据《北京市项目支出绩效评价管理办法》（京财绩效〔2020〕2146号）和《北京市财政局关于开展政府购买服务项目绩效评价工作的通知》（京财综[2023]407号）以及</w:t>
      </w:r>
      <w:r>
        <w:rPr>
          <w:rFonts w:hint="eastAsia" w:ascii="仿宋" w:hAnsi="仿宋" w:eastAsia="仿宋" w:cs="仿宋"/>
          <w:sz w:val="32"/>
          <w:szCs w:val="32"/>
          <w:highlight w:val="none"/>
          <w:lang w:val="en-US" w:eastAsia="zh-CN"/>
        </w:rPr>
        <w:t>北京市财政局</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关于开展2024年预算绩效管理相关工作的函</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等文件要求，北京知识产权法院成立绩效评价工作组，于202</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25</w:t>
      </w:r>
      <w:r>
        <w:rPr>
          <w:rFonts w:hint="eastAsia" w:ascii="仿宋" w:hAnsi="仿宋" w:eastAsia="仿宋" w:cs="仿宋"/>
          <w:sz w:val="32"/>
          <w:szCs w:val="32"/>
          <w:highlight w:val="none"/>
        </w:rPr>
        <w:t>日至5月</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日对北京知识产权法院</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以下简称“知产法院”</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“卷宗全过程整理运维服务外包项目”开展了绩效评价。具体情况如下：</w:t>
      </w:r>
    </w:p>
    <w:p>
      <w:pPr>
        <w:pStyle w:val="2"/>
        <w:numPr>
          <w:ilvl w:val="0"/>
          <w:numId w:val="2"/>
        </w:numPr>
        <w:bidi w:val="0"/>
        <w:ind w:left="0" w:leftChars="0" w:firstLine="420" w:firstLineChars="0"/>
        <w:jc w:val="left"/>
        <w:rPr>
          <w:highlight w:val="none"/>
        </w:rPr>
      </w:pPr>
      <w:bookmarkStart w:id="1" w:name="_Toc5458"/>
      <w:bookmarkStart w:id="2" w:name="_Toc16325"/>
      <w:bookmarkStart w:id="3" w:name="_Toc4528"/>
      <w:bookmarkStart w:id="4" w:name="_Toc774"/>
      <w:bookmarkStart w:id="5" w:name="_Toc27659"/>
      <w:bookmarkStart w:id="6" w:name="_Toc29463"/>
      <w:r>
        <w:rPr>
          <w:rFonts w:hint="eastAsia"/>
          <w:highlight w:val="none"/>
        </w:rPr>
        <w:t>基本情况</w:t>
      </w:r>
      <w:bookmarkEnd w:id="1"/>
      <w:bookmarkEnd w:id="2"/>
      <w:bookmarkEnd w:id="3"/>
      <w:bookmarkEnd w:id="4"/>
      <w:bookmarkEnd w:id="5"/>
      <w:bookmarkEnd w:id="6"/>
    </w:p>
    <w:p>
      <w:pPr>
        <w:pStyle w:val="2"/>
        <w:numPr>
          <w:ilvl w:val="0"/>
          <w:numId w:val="3"/>
        </w:numPr>
        <w:spacing w:line="600" w:lineRule="exact"/>
        <w:ind w:left="0" w:leftChars="0" w:firstLine="420" w:firstLineChars="0"/>
        <w:jc w:val="left"/>
        <w:rPr>
          <w:rFonts w:hint="eastAsia" w:ascii="楷体" w:hAnsi="楷体" w:eastAsia="楷体" w:cs="楷体"/>
          <w:b/>
          <w:bCs/>
          <w:highlight w:val="none"/>
        </w:rPr>
      </w:pPr>
      <w:bookmarkStart w:id="7" w:name="_Toc9987"/>
      <w:bookmarkStart w:id="8" w:name="_Toc16725"/>
      <w:bookmarkStart w:id="9" w:name="_Toc18454"/>
      <w:bookmarkStart w:id="10" w:name="_Toc22361"/>
      <w:bookmarkStart w:id="11" w:name="_Toc5529"/>
      <w:bookmarkStart w:id="12" w:name="_Toc27082"/>
      <w:r>
        <w:rPr>
          <w:rFonts w:hint="eastAsia" w:ascii="楷体" w:hAnsi="楷体" w:eastAsia="楷体" w:cs="楷体"/>
          <w:b/>
          <w:bCs/>
          <w:highlight w:val="none"/>
        </w:rPr>
        <w:t>项目概况</w:t>
      </w:r>
      <w:bookmarkEnd w:id="7"/>
      <w:bookmarkEnd w:id="8"/>
      <w:bookmarkEnd w:id="9"/>
      <w:bookmarkEnd w:id="10"/>
      <w:bookmarkEnd w:id="11"/>
      <w:bookmarkEnd w:id="12"/>
    </w:p>
    <w:p>
      <w:pPr>
        <w:numPr>
          <w:ilvl w:val="0"/>
          <w:numId w:val="4"/>
        </w:numPr>
        <w:spacing w:line="600" w:lineRule="exact"/>
        <w:ind w:left="0" w:leftChars="0" w:firstLine="640" w:firstLineChars="200"/>
        <w:rPr>
          <w:rFonts w:ascii="仿宋_GB2312" w:hAnsi="宋体" w:eastAsia="仿宋_GB2312" w:cs="宋体"/>
          <w:sz w:val="32"/>
          <w:szCs w:val="32"/>
          <w:highlight w:val="none"/>
        </w:rPr>
      </w:pPr>
      <w:r>
        <w:rPr>
          <w:rFonts w:hint="eastAsia" w:ascii="楷体_GB2312" w:hAnsi="楷体_GB2312" w:eastAsia="楷体_GB2312" w:cs="楷体_GB2312"/>
          <w:sz w:val="32"/>
          <w:szCs w:val="32"/>
          <w:highlight w:val="none"/>
        </w:rPr>
        <w:t>项目背景</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最高人民法院在《人民法院第四个五年改革纲要（2014-2018）》中提出了坚持以法官为中心、以服务审判工作为重心，建立分类科学、结构合理、分工明确、保障有力的法院人员管理制度。在司法改革的背景下，北京知识产权法院（以下简称“知产法院”）实行整建制改革运行模式，人员精简，机构压缩。该院设立时，依据建院前三年全市中院知识产权案件平均受理总量测算，预计年收案量约4500件，但建院后收案量以年均30%的速度递增，至今累计受理各类知识产权案件18.9万件。加之知产案件卷宗材料较之一般民事或行政案件具有内容专业、案情复杂、案卷量大的特点，整理一件案卷的平均时间约为其他案件的3-5倍，给法官团队带来了非常大的事务性工作压力，一定程度上制约了知产审判的发展。</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知产法院根据司法改革实际需要，依照上级部门相关精神进一步加大向社会购买服务力度，以社会化服务为抓手，开展卷宗全过程整理运维外包服务项目（以下简称“该项目”），解决卷宗整理事务性工作繁重的问题，提升审判效率。项目自2018年开始向社会力量购买卷宗全过程整理运维外包服务，至2023年底已实施5年。</w:t>
      </w:r>
    </w:p>
    <w:p>
      <w:pPr>
        <w:numPr>
          <w:ilvl w:val="0"/>
          <w:numId w:val="4"/>
        </w:numPr>
        <w:spacing w:line="600" w:lineRule="exact"/>
        <w:ind w:left="0" w:leftChars="0" w:firstLine="640" w:firstLineChars="200"/>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主要内容和实施情况</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项目主要内容</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项目主要内容是</w:t>
      </w:r>
      <w:r>
        <w:rPr>
          <w:rFonts w:hint="eastAsia" w:ascii="仿宋" w:hAnsi="仿宋" w:eastAsia="仿宋" w:cs="仿宋"/>
          <w:sz w:val="32"/>
          <w:szCs w:val="32"/>
          <w:highlight w:val="none"/>
        </w:rPr>
        <w:t>完成已结案件卷宗归档全过程整理运维服务。包括从卷宗归档接收、卷宗归档检查、档案条码标识、系统登记归档状态、页码标识清点、卷宗封面目录制作、扫描装订、档案上架、成品数据挂接、卷宗档案入库等工作，提交成品数据并完成向知产法院档案业务系统的灌装。</w:t>
      </w:r>
    </w:p>
    <w:p>
      <w:pPr>
        <w:spacing w:line="600" w:lineRule="exact"/>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eastAsia="zh-CN"/>
        </w:rPr>
        <w:t>）实施情况</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年3月</w:t>
      </w:r>
      <w:r>
        <w:rPr>
          <w:rFonts w:hint="eastAsia" w:ascii="仿宋" w:hAnsi="仿宋" w:eastAsia="仿宋" w:cs="仿宋"/>
          <w:sz w:val="32"/>
          <w:szCs w:val="32"/>
          <w:highlight w:val="none"/>
          <w:lang w:val="en-US" w:eastAsia="zh-CN"/>
        </w:rPr>
        <w:t>知产法院</w:t>
      </w:r>
      <w:r>
        <w:rPr>
          <w:rFonts w:hint="eastAsia" w:ascii="仿宋" w:hAnsi="仿宋" w:eastAsia="仿宋" w:cs="仿宋"/>
          <w:sz w:val="32"/>
          <w:szCs w:val="32"/>
          <w:highlight w:val="none"/>
        </w:rPr>
        <w:t>结合自身对</w:t>
      </w:r>
      <w:r>
        <w:rPr>
          <w:rFonts w:hint="eastAsia" w:ascii="仿宋" w:hAnsi="仿宋" w:eastAsia="仿宋" w:cs="仿宋"/>
          <w:sz w:val="32"/>
          <w:szCs w:val="32"/>
          <w:highlight w:val="none"/>
          <w:lang w:val="en-US" w:eastAsia="zh-CN"/>
        </w:rPr>
        <w:t>卷宗全过程整理</w:t>
      </w:r>
      <w:r>
        <w:rPr>
          <w:rFonts w:hint="eastAsia" w:ascii="仿宋" w:hAnsi="仿宋" w:eastAsia="仿宋" w:cs="仿宋"/>
          <w:sz w:val="32"/>
          <w:szCs w:val="32"/>
          <w:highlight w:val="none"/>
        </w:rPr>
        <w:t>事务性、辅助性工作的实际需求，委托中承国汇咨询（北京）有限公司对项目进行公开招标。中标公司为北京汉王影研科技有限公司（以下简称“服务公司”），中标金额197.50万元。该公司成立于2005年，是业内领先致力于文档信息化服务软件及整体解决方案提供商，目前为北京市多家法院及其他政法单位提供数字化档案服务。</w:t>
      </w:r>
    </w:p>
    <w:p>
      <w:pPr>
        <w:spacing w:line="600" w:lineRule="exact"/>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项目按照招投标程序与中标方签订合同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并</w:t>
      </w:r>
      <w:r>
        <w:rPr>
          <w:rFonts w:hint="eastAsia" w:ascii="仿宋" w:hAnsi="仿宋" w:eastAsia="仿宋" w:cs="仿宋"/>
          <w:sz w:val="32"/>
          <w:szCs w:val="32"/>
          <w:highlight w:val="none"/>
          <w:lang w:eastAsia="zh-CN"/>
        </w:rPr>
        <w:t>指定专人负责对项目的具体实施进行日常监督检查，确保项目按照绩效目标稳步推进。</w:t>
      </w:r>
      <w:r>
        <w:rPr>
          <w:rFonts w:hint="eastAsia" w:ascii="仿宋" w:hAnsi="仿宋" w:eastAsia="仿宋" w:cs="仿宋"/>
          <w:sz w:val="32"/>
          <w:szCs w:val="32"/>
          <w:highlight w:val="none"/>
          <w:lang w:val="en-US" w:eastAsia="zh-CN"/>
        </w:rPr>
        <w:t>项目</w:t>
      </w:r>
      <w:r>
        <w:rPr>
          <w:rFonts w:hint="eastAsia" w:ascii="仿宋" w:hAnsi="仿宋" w:eastAsia="仿宋" w:cs="仿宋"/>
          <w:sz w:val="32"/>
          <w:szCs w:val="32"/>
          <w:highlight w:val="none"/>
        </w:rPr>
        <w:t>合同期间202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年4月1日至202</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年3月31日，合同金额19</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.5</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p>
    <w:p>
      <w:pPr>
        <w:spacing w:line="600" w:lineRule="exact"/>
        <w:ind w:firstLine="640" w:firstLineChars="200"/>
        <w:rPr>
          <w:rFonts w:hint="eastAsia" w:ascii="仿宋" w:hAnsi="仿宋" w:eastAsia="仿宋" w:cs="仿宋"/>
          <w:sz w:val="32"/>
          <w:szCs w:val="32"/>
          <w:highlight w:val="none"/>
          <w:lang w:val="en-US"/>
        </w:rPr>
      </w:pPr>
      <w:r>
        <w:rPr>
          <w:rFonts w:hint="eastAsia" w:ascii="仿宋" w:hAnsi="仿宋" w:eastAsia="仿宋" w:cs="仿宋"/>
          <w:sz w:val="32"/>
          <w:szCs w:val="32"/>
          <w:highlight w:val="none"/>
          <w:lang w:val="en-US" w:eastAsia="zh-CN"/>
        </w:rPr>
        <w:t>在知产法院指导和要求下，服务公司</w:t>
      </w:r>
      <w:r>
        <w:rPr>
          <w:rFonts w:hint="eastAsia" w:ascii="仿宋" w:hAnsi="仿宋" w:eastAsia="仿宋" w:cs="仿宋"/>
          <w:sz w:val="32"/>
          <w:szCs w:val="32"/>
          <w:highlight w:val="none"/>
        </w:rPr>
        <w:t>结合</w:t>
      </w:r>
      <w:r>
        <w:rPr>
          <w:rFonts w:hint="eastAsia" w:ascii="仿宋" w:hAnsi="仿宋" w:eastAsia="仿宋" w:cs="仿宋"/>
          <w:sz w:val="32"/>
          <w:szCs w:val="32"/>
          <w:highlight w:val="none"/>
          <w:lang w:val="en-US" w:eastAsia="zh-CN"/>
        </w:rPr>
        <w:t>知产法院</w:t>
      </w:r>
      <w:r>
        <w:rPr>
          <w:rFonts w:hint="eastAsia" w:ascii="仿宋" w:hAnsi="仿宋" w:eastAsia="仿宋" w:cs="仿宋"/>
          <w:sz w:val="32"/>
          <w:szCs w:val="32"/>
          <w:highlight w:val="none"/>
        </w:rPr>
        <w:t>实际需求，在充分开展前期调研、职能梳理、程序设计的基础上，设计了一整套符合知产审判特点的卷宗“全过程、托管式”整理服务方案，项目团队25人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均具有一定法院卷宗整理工作经验。</w:t>
      </w:r>
      <w:r>
        <w:rPr>
          <w:rFonts w:hint="eastAsia" w:ascii="仿宋" w:hAnsi="仿宋" w:eastAsia="仿宋" w:cs="仿宋"/>
          <w:sz w:val="32"/>
          <w:szCs w:val="32"/>
          <w:highlight w:val="none"/>
          <w:lang w:val="en-US" w:eastAsia="zh-CN"/>
        </w:rPr>
        <w:t>该</w:t>
      </w:r>
      <w:r>
        <w:rPr>
          <w:rFonts w:hint="eastAsia" w:ascii="仿宋" w:hAnsi="仿宋" w:eastAsia="仿宋" w:cs="仿宋"/>
          <w:sz w:val="32"/>
          <w:szCs w:val="32"/>
          <w:highlight w:val="none"/>
        </w:rPr>
        <w:t>项目分</w:t>
      </w:r>
      <w:r>
        <w:rPr>
          <w:rFonts w:hint="eastAsia" w:ascii="仿宋" w:hAnsi="仿宋" w:eastAsia="仿宋" w:cs="仿宋"/>
          <w:sz w:val="32"/>
          <w:szCs w:val="32"/>
          <w:highlight w:val="none"/>
          <w:lang w:val="en-US" w:eastAsia="zh-CN"/>
        </w:rPr>
        <w:t>为</w:t>
      </w:r>
      <w:r>
        <w:rPr>
          <w:rFonts w:hint="eastAsia" w:ascii="仿宋" w:hAnsi="仿宋" w:eastAsia="仿宋" w:cs="仿宋"/>
          <w:sz w:val="32"/>
          <w:szCs w:val="32"/>
          <w:highlight w:val="none"/>
        </w:rPr>
        <w:t>18个工作流程</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为方便工作，最大限度节省人力成本，实行一人兼管数个流程。具体流程及分工如下：</w:t>
      </w:r>
    </w:p>
    <w:tbl>
      <w:tblPr>
        <w:tblStyle w:val="16"/>
        <w:tblW w:w="8623"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13"/>
        <w:gridCol w:w="6460"/>
        <w:gridCol w:w="12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91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序号</w:t>
            </w:r>
          </w:p>
        </w:tc>
        <w:tc>
          <w:tcPr>
            <w:tcW w:w="64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职责</w:t>
            </w:r>
          </w:p>
        </w:tc>
        <w:tc>
          <w:tcPr>
            <w:tcW w:w="1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w:t>
            </w:r>
          </w:p>
        </w:tc>
        <w:tc>
          <w:tcPr>
            <w:tcW w:w="64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纸质归档卷宗的接收审核</w:t>
            </w:r>
          </w:p>
        </w:tc>
        <w:tc>
          <w:tcPr>
            <w:tcW w:w="1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w:t>
            </w:r>
          </w:p>
        </w:tc>
        <w:tc>
          <w:tcPr>
            <w:tcW w:w="64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电子归档卷宗的接收审核</w:t>
            </w:r>
          </w:p>
        </w:tc>
        <w:tc>
          <w:tcPr>
            <w:tcW w:w="1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3</w:t>
            </w:r>
          </w:p>
        </w:tc>
        <w:tc>
          <w:tcPr>
            <w:tcW w:w="64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点击卷宗归档、案卷分批及问题卷反馈</w:t>
            </w:r>
          </w:p>
        </w:tc>
        <w:tc>
          <w:tcPr>
            <w:tcW w:w="1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p>
        </w:tc>
        <w:tc>
          <w:tcPr>
            <w:tcW w:w="64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卷宗编页打码</w:t>
            </w:r>
          </w:p>
        </w:tc>
        <w:tc>
          <w:tcPr>
            <w:tcW w:w="1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5</w:t>
            </w:r>
          </w:p>
        </w:tc>
        <w:tc>
          <w:tcPr>
            <w:tcW w:w="64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卷宗目录制作</w:t>
            </w:r>
          </w:p>
        </w:tc>
        <w:tc>
          <w:tcPr>
            <w:tcW w:w="1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6</w:t>
            </w:r>
          </w:p>
        </w:tc>
        <w:tc>
          <w:tcPr>
            <w:tcW w:w="64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案卷高拍扫描</w:t>
            </w:r>
          </w:p>
        </w:tc>
        <w:tc>
          <w:tcPr>
            <w:tcW w:w="1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7</w:t>
            </w:r>
          </w:p>
        </w:tc>
        <w:tc>
          <w:tcPr>
            <w:tcW w:w="64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已扫描案卷进行图像处理</w:t>
            </w:r>
          </w:p>
        </w:tc>
        <w:tc>
          <w:tcPr>
            <w:tcW w:w="1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8</w:t>
            </w:r>
          </w:p>
        </w:tc>
        <w:tc>
          <w:tcPr>
            <w:tcW w:w="64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电子数据 进行图像全检</w:t>
            </w:r>
          </w:p>
        </w:tc>
        <w:tc>
          <w:tcPr>
            <w:tcW w:w="1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9</w:t>
            </w:r>
          </w:p>
        </w:tc>
        <w:tc>
          <w:tcPr>
            <w:tcW w:w="64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信息录入和数据挂接</w:t>
            </w:r>
          </w:p>
        </w:tc>
        <w:tc>
          <w:tcPr>
            <w:tcW w:w="1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10</w:t>
            </w:r>
          </w:p>
        </w:tc>
        <w:tc>
          <w:tcPr>
            <w:tcW w:w="64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整理装订</w:t>
            </w:r>
          </w:p>
        </w:tc>
        <w:tc>
          <w:tcPr>
            <w:tcW w:w="1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11</w:t>
            </w:r>
          </w:p>
        </w:tc>
        <w:tc>
          <w:tcPr>
            <w:tcW w:w="64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贴封条</w:t>
            </w:r>
          </w:p>
        </w:tc>
        <w:tc>
          <w:tcPr>
            <w:tcW w:w="1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12</w:t>
            </w:r>
          </w:p>
        </w:tc>
        <w:tc>
          <w:tcPr>
            <w:tcW w:w="64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卷宗质检托管</w:t>
            </w:r>
          </w:p>
        </w:tc>
        <w:tc>
          <w:tcPr>
            <w:tcW w:w="1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13</w:t>
            </w:r>
          </w:p>
        </w:tc>
        <w:tc>
          <w:tcPr>
            <w:tcW w:w="64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档案接待</w:t>
            </w:r>
          </w:p>
        </w:tc>
        <w:tc>
          <w:tcPr>
            <w:tcW w:w="1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14</w:t>
            </w:r>
          </w:p>
        </w:tc>
        <w:tc>
          <w:tcPr>
            <w:tcW w:w="64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现场统筹管理</w:t>
            </w:r>
          </w:p>
        </w:tc>
        <w:tc>
          <w:tcPr>
            <w:tcW w:w="1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合计</w:t>
            </w:r>
          </w:p>
        </w:tc>
        <w:tc>
          <w:tcPr>
            <w:tcW w:w="64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仿宋" w:hAnsi="仿宋" w:eastAsia="仿宋" w:cs="仿宋"/>
                <w:sz w:val="28"/>
                <w:szCs w:val="28"/>
                <w:highlight w:val="none"/>
              </w:rPr>
            </w:pPr>
          </w:p>
        </w:tc>
        <w:tc>
          <w:tcPr>
            <w:tcW w:w="1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25</w:t>
            </w:r>
          </w:p>
        </w:tc>
      </w:tr>
    </w:tbl>
    <w:p>
      <w:pPr>
        <w:spacing w:line="600" w:lineRule="exact"/>
        <w:ind w:firstLine="640" w:firstLineChars="200"/>
        <w:jc w:val="both"/>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2023年1至12月，服务公司总计</w:t>
      </w:r>
      <w:r>
        <w:rPr>
          <w:rFonts w:hint="default" w:ascii="仿宋" w:hAnsi="仿宋" w:eastAsia="仿宋" w:cs="仿宋"/>
          <w:sz w:val="32"/>
          <w:szCs w:val="32"/>
          <w:highlight w:val="none"/>
          <w:lang w:val="en-US" w:eastAsia="zh-CN"/>
        </w:rPr>
        <w:t>完成</w:t>
      </w:r>
      <w:r>
        <w:rPr>
          <w:rFonts w:hint="eastAsia" w:ascii="仿宋" w:hAnsi="仿宋" w:eastAsia="仿宋" w:cs="仿宋"/>
          <w:sz w:val="32"/>
          <w:szCs w:val="32"/>
          <w:highlight w:val="none"/>
          <w:lang w:val="en-US" w:eastAsia="zh-CN"/>
        </w:rPr>
        <w:t>卷宗归档21765卷，</w:t>
      </w:r>
      <w:r>
        <w:rPr>
          <w:rFonts w:hint="default" w:ascii="仿宋" w:hAnsi="仿宋" w:eastAsia="仿宋" w:cs="仿宋"/>
          <w:sz w:val="32"/>
          <w:szCs w:val="32"/>
          <w:highlight w:val="none"/>
          <w:lang w:val="en-US" w:eastAsia="zh-CN"/>
        </w:rPr>
        <w:t>卷宗数字化</w:t>
      </w:r>
      <w:r>
        <w:rPr>
          <w:rFonts w:hint="eastAsia" w:ascii="仿宋" w:hAnsi="仿宋" w:eastAsia="仿宋" w:cs="仿宋"/>
          <w:sz w:val="32"/>
          <w:szCs w:val="32"/>
          <w:highlight w:val="none"/>
          <w:lang w:val="en-US" w:eastAsia="zh-CN"/>
        </w:rPr>
        <w:t>19500卷，完成数字化卷宗占全年归档工作量的 90%，加工量同比2022年上涨13.72%，达到建院至今最高交付量。按合同规定的服务期间，2023年4月1日至2024年3月31日服务公司完成卷宗归档22864卷，全过程整理交付完成18400卷，交付率为已完归档的80.48%。项目已于2024年5月9日完成验收，验收合格。</w:t>
      </w:r>
    </w:p>
    <w:p>
      <w:pPr>
        <w:numPr>
          <w:ilvl w:val="0"/>
          <w:numId w:val="4"/>
        </w:numPr>
        <w:spacing w:line="600" w:lineRule="exact"/>
        <w:ind w:left="0" w:leftChars="0"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资金投入和使用情况</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（1）资金投入</w:t>
      </w:r>
    </w:p>
    <w:p>
      <w:pPr>
        <w:spacing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项目财政批复资金197.53万元，实际到位资金197.53万元，到位率100%。</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（2）资金使用情况</w:t>
      </w:r>
    </w:p>
    <w:p>
      <w:pPr>
        <w:spacing w:line="600" w:lineRule="exact"/>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项目上年和本年的合同均为跨期合同，合同服务商同为汉王影研，合同期间为每年的4月1日至次年的3月31日。批复资金用于支付上年该项目2023年一季度款项和该项目本年二季度至四季度款项，项目剩余款项留待下年财政预算资金支付。</w:t>
      </w:r>
    </w:p>
    <w:p>
      <w:pPr>
        <w:spacing w:line="600" w:lineRule="exact"/>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该项目预算年初批复金额为197.53万元，截止2023年12月31日项目实际支出资金197.50万元，结余资金0.03万元，预算资金执行率为99.98%，资金节约率0.02%。</w:t>
      </w:r>
    </w:p>
    <w:p>
      <w:pPr>
        <w:pStyle w:val="2"/>
        <w:numPr>
          <w:ilvl w:val="0"/>
          <w:numId w:val="3"/>
        </w:numPr>
        <w:spacing w:line="600" w:lineRule="exact"/>
        <w:ind w:left="0" w:leftChars="0" w:firstLine="420" w:firstLineChars="0"/>
        <w:jc w:val="left"/>
        <w:rPr>
          <w:rFonts w:hint="eastAsia" w:ascii="楷体" w:hAnsi="楷体" w:eastAsia="楷体" w:cs="楷体"/>
          <w:b/>
          <w:bCs/>
          <w:highlight w:val="none"/>
        </w:rPr>
      </w:pPr>
      <w:bookmarkStart w:id="13" w:name="_Toc308"/>
      <w:bookmarkStart w:id="14" w:name="_Toc11837"/>
      <w:bookmarkStart w:id="15" w:name="_Toc22610"/>
      <w:bookmarkStart w:id="16" w:name="_Toc18798"/>
      <w:bookmarkStart w:id="17" w:name="_Toc25748"/>
      <w:bookmarkStart w:id="18" w:name="_Toc29994"/>
      <w:r>
        <w:rPr>
          <w:rFonts w:hint="eastAsia" w:ascii="楷体" w:hAnsi="楷体" w:eastAsia="楷体" w:cs="楷体"/>
          <w:b/>
          <w:bCs/>
          <w:highlight w:val="none"/>
        </w:rPr>
        <w:t>项目绩效目标</w:t>
      </w:r>
      <w:bookmarkEnd w:id="13"/>
      <w:bookmarkEnd w:id="14"/>
      <w:bookmarkEnd w:id="15"/>
      <w:bookmarkEnd w:id="16"/>
      <w:bookmarkEnd w:id="17"/>
      <w:bookmarkEnd w:id="18"/>
    </w:p>
    <w:p>
      <w:pPr>
        <w:rPr>
          <w:rFonts w:hint="eastAsia"/>
          <w:highlight w:val="none"/>
        </w:rPr>
      </w:pPr>
    </w:p>
    <w:p>
      <w:pPr>
        <w:spacing w:line="360" w:lineRule="auto"/>
        <w:rPr>
          <w:rFonts w:hint="eastAsia" w:ascii="仿宋" w:hAnsi="仿宋" w:eastAsia="仿宋" w:cs="仿宋"/>
          <w:sz w:val="32"/>
          <w:szCs w:val="32"/>
          <w:highlight w:val="none"/>
          <w:lang w:val="en-US" w:eastAsia="zh-CN"/>
        </w:rPr>
      </w:pPr>
      <w:r>
        <w:rPr>
          <w:rFonts w:hint="eastAsia"/>
          <w:highlight w:val="none"/>
        </w:rPr>
        <w:t xml:space="preserve">   </w:t>
      </w:r>
      <w:r>
        <w:rPr>
          <w:rFonts w:hint="eastAsia" w:ascii="仿宋_GB2312" w:hAnsi="宋体" w:eastAsia="仿宋_GB2312" w:cs="宋体"/>
          <w:sz w:val="32"/>
          <w:szCs w:val="32"/>
          <w:highlight w:val="none"/>
          <w:lang w:val="en-US" w:eastAsia="zh-CN"/>
        </w:rPr>
        <w:t xml:space="preserve">  </w:t>
      </w:r>
      <w:r>
        <w:rPr>
          <w:rFonts w:hint="eastAsia" w:ascii="仿宋" w:hAnsi="仿宋" w:eastAsia="仿宋" w:cs="仿宋"/>
          <w:sz w:val="32"/>
          <w:szCs w:val="32"/>
          <w:highlight w:val="none"/>
          <w:lang w:val="en-US" w:eastAsia="zh-CN"/>
        </w:rPr>
        <w:t>增强法院档案管理工作的制度化、规范化、科学化管理水平，努力强化服务意识。为诉讼审判业务和法官团队减轻负担，提高审判质效。结合司法公开、司法为民、司法共享的终极目标，有效推动档案信息化建设。</w:t>
      </w:r>
    </w:p>
    <w:p>
      <w:pPr>
        <w:pStyle w:val="2"/>
        <w:numPr>
          <w:ilvl w:val="0"/>
          <w:numId w:val="2"/>
        </w:numPr>
        <w:bidi w:val="0"/>
        <w:ind w:left="0" w:leftChars="0" w:firstLine="420" w:firstLineChars="0"/>
        <w:jc w:val="left"/>
        <w:rPr>
          <w:rFonts w:hint="eastAsia"/>
          <w:highlight w:val="none"/>
        </w:rPr>
      </w:pPr>
      <w:bookmarkStart w:id="19" w:name="_Toc17229"/>
      <w:bookmarkStart w:id="20" w:name="_Toc4224"/>
      <w:bookmarkStart w:id="21" w:name="_Toc14189"/>
      <w:bookmarkStart w:id="22" w:name="_Toc9696"/>
      <w:bookmarkStart w:id="23" w:name="_Toc9647"/>
      <w:bookmarkStart w:id="24" w:name="_Toc22999"/>
      <w:r>
        <w:rPr>
          <w:rFonts w:hint="eastAsia"/>
          <w:highlight w:val="none"/>
        </w:rPr>
        <w:t>绩效评价工作开展情况</w:t>
      </w:r>
      <w:bookmarkEnd w:id="19"/>
      <w:bookmarkEnd w:id="20"/>
      <w:bookmarkEnd w:id="21"/>
      <w:bookmarkEnd w:id="22"/>
      <w:bookmarkEnd w:id="23"/>
      <w:bookmarkEnd w:id="24"/>
    </w:p>
    <w:p>
      <w:pPr>
        <w:pStyle w:val="3"/>
        <w:spacing w:line="600" w:lineRule="exact"/>
        <w:ind w:firstLine="642" w:firstLineChars="200"/>
        <w:rPr>
          <w:rFonts w:ascii="楷体" w:hAnsi="楷体" w:eastAsia="楷体" w:cs="楷体"/>
          <w:b/>
          <w:bCs w:val="0"/>
          <w:highlight w:val="none"/>
        </w:rPr>
      </w:pPr>
      <w:bookmarkStart w:id="25" w:name="_Toc3943"/>
      <w:bookmarkStart w:id="26" w:name="_Toc6794"/>
      <w:bookmarkStart w:id="27" w:name="_Toc25559"/>
      <w:bookmarkStart w:id="28" w:name="_Toc5676"/>
      <w:bookmarkStart w:id="29" w:name="_Toc13976"/>
      <w:bookmarkStart w:id="30" w:name="_Toc19701"/>
      <w:r>
        <w:rPr>
          <w:rFonts w:hint="eastAsia" w:ascii="楷体" w:hAnsi="楷体" w:eastAsia="楷体" w:cs="楷体"/>
          <w:b/>
          <w:bCs w:val="0"/>
          <w:highlight w:val="none"/>
        </w:rPr>
        <w:t>绩效评价目的、对象和范围</w:t>
      </w:r>
      <w:bookmarkEnd w:id="25"/>
      <w:bookmarkEnd w:id="26"/>
      <w:bookmarkEnd w:id="27"/>
      <w:bookmarkEnd w:id="28"/>
      <w:bookmarkEnd w:id="29"/>
      <w:bookmarkEnd w:id="30"/>
    </w:p>
    <w:p>
      <w:pPr>
        <w:spacing w:line="600" w:lineRule="exact"/>
        <w:ind w:firstLine="64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 xml:space="preserve"> </w:t>
      </w:r>
      <w:r>
        <w:rPr>
          <w:rFonts w:hint="eastAsia" w:ascii="楷体_GB2312" w:hAnsi="楷体_GB2312" w:eastAsia="楷体_GB2312" w:cs="楷体_GB2312"/>
          <w:sz w:val="32"/>
          <w:szCs w:val="32"/>
          <w:highlight w:val="none"/>
        </w:rPr>
        <w:t>1.</w:t>
      </w:r>
      <w:r>
        <w:rPr>
          <w:rFonts w:hint="eastAsia" w:ascii="楷体_GB2312" w:hAnsi="楷体_GB2312" w:eastAsia="楷体_GB2312" w:cs="楷体_GB2312"/>
          <w:b/>
          <w:bCs/>
          <w:sz w:val="32"/>
          <w:szCs w:val="32"/>
          <w:highlight w:val="none"/>
        </w:rPr>
        <w:t>评价目的</w:t>
      </w:r>
    </w:p>
    <w:p>
      <w:pPr>
        <w:spacing w:line="600" w:lineRule="exact"/>
        <w:ind w:firstLine="64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根据《北京市财政局关于开展政府购买服务项目绩效评价工作的通知》（京财综[2023]407号）</w:t>
      </w:r>
      <w:r>
        <w:rPr>
          <w:rFonts w:hint="eastAsia" w:ascii="仿宋" w:hAnsi="仿宋" w:eastAsia="仿宋" w:cs="仿宋"/>
          <w:sz w:val="32"/>
          <w:szCs w:val="32"/>
          <w:highlight w:val="none"/>
          <w:lang w:val="en-US" w:eastAsia="zh-CN"/>
        </w:rPr>
        <w:t>以及</w:t>
      </w:r>
      <w:r>
        <w:rPr>
          <w:rFonts w:hint="eastAsia" w:ascii="仿宋" w:hAnsi="仿宋" w:eastAsia="仿宋" w:cs="仿宋"/>
          <w:sz w:val="32"/>
          <w:szCs w:val="32"/>
          <w:highlight w:val="none"/>
        </w:rPr>
        <w:t>北京市财政局《关于开展2024年预算绩效管理相关工作的函》，本次绩效评价，旨在进一步规范政府购买服务项目实施，实现“预算精细化、资金使用规范化”的目标，提升购买服务项目管理水平，促进预算单位提高绩效管理意识，提高财政资金使用效益。</w:t>
      </w:r>
    </w:p>
    <w:p>
      <w:pPr>
        <w:spacing w:line="600" w:lineRule="exact"/>
        <w:ind w:firstLine="640" w:firstLineChars="200"/>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2.</w:t>
      </w:r>
      <w:r>
        <w:rPr>
          <w:rFonts w:hint="eastAsia" w:ascii="楷体_GB2312" w:hAnsi="楷体_GB2312" w:eastAsia="楷体_GB2312" w:cs="楷体_GB2312"/>
          <w:b/>
          <w:bCs/>
          <w:sz w:val="32"/>
          <w:szCs w:val="32"/>
          <w:highlight w:val="none"/>
        </w:rPr>
        <w:t>评价对象</w:t>
      </w:r>
    </w:p>
    <w:p>
      <w:pPr>
        <w:spacing w:line="600" w:lineRule="exact"/>
        <w:rPr>
          <w:rFonts w:hint="eastAsia" w:ascii="仿宋" w:hAnsi="仿宋" w:eastAsia="仿宋" w:cs="仿宋"/>
          <w:sz w:val="32"/>
          <w:szCs w:val="32"/>
          <w:highlight w:val="none"/>
        </w:rPr>
      </w:pPr>
      <w:r>
        <w:rPr>
          <w:rFonts w:hint="eastAsia" w:ascii="楷体_GB2312" w:hAnsi="楷体_GB2312" w:eastAsia="楷体_GB2312" w:cs="楷体_GB2312"/>
          <w:sz w:val="32"/>
          <w:szCs w:val="32"/>
          <w:highlight w:val="none"/>
        </w:rPr>
        <w:t xml:space="preserve">  </w:t>
      </w:r>
      <w:r>
        <w:rPr>
          <w:rFonts w:hint="eastAsia" w:ascii="仿宋_GB2312" w:hAnsi="宋体" w:eastAsia="仿宋_GB2312" w:cs="宋体"/>
          <w:sz w:val="32"/>
          <w:szCs w:val="32"/>
          <w:highlight w:val="none"/>
        </w:rPr>
        <w:t xml:space="preserve"> </w:t>
      </w:r>
      <w:r>
        <w:rPr>
          <w:rFonts w:hint="eastAsia" w:ascii="仿宋" w:hAnsi="仿宋" w:eastAsia="仿宋" w:cs="仿宋"/>
          <w:sz w:val="32"/>
          <w:szCs w:val="32"/>
          <w:highlight w:val="none"/>
        </w:rPr>
        <w:t xml:space="preserve"> 评价对象为202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年卷宗全过程整理运维外包服务项目。</w:t>
      </w:r>
    </w:p>
    <w:p>
      <w:pPr>
        <w:spacing w:line="600" w:lineRule="exact"/>
        <w:ind w:firstLine="640" w:firstLineChars="200"/>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3.</w:t>
      </w:r>
      <w:r>
        <w:rPr>
          <w:rFonts w:hint="eastAsia" w:ascii="楷体_GB2312" w:hAnsi="楷体_GB2312" w:eastAsia="楷体_GB2312" w:cs="楷体_GB2312"/>
          <w:b/>
          <w:bCs/>
          <w:sz w:val="32"/>
          <w:szCs w:val="32"/>
          <w:highlight w:val="none"/>
        </w:rPr>
        <w:t>评价范围</w:t>
      </w:r>
    </w:p>
    <w:p>
      <w:pPr>
        <w:spacing w:line="600" w:lineRule="exact"/>
        <w:rPr>
          <w:rFonts w:ascii="仿宋_GB2312" w:hAnsi="宋体" w:eastAsia="仿宋_GB2312" w:cs="宋体"/>
          <w:sz w:val="32"/>
          <w:szCs w:val="32"/>
          <w:highlight w:val="none"/>
        </w:rPr>
      </w:pPr>
      <w:r>
        <w:rPr>
          <w:rFonts w:hint="eastAsia" w:ascii="楷体_GB2312" w:hAnsi="楷体_GB2312" w:eastAsia="楷体_GB2312" w:cs="楷体_GB2312"/>
          <w:sz w:val="32"/>
          <w:szCs w:val="32"/>
          <w:highlight w:val="none"/>
        </w:rPr>
        <w:t xml:space="preserve">  </w:t>
      </w:r>
      <w:r>
        <w:rPr>
          <w:rFonts w:hint="eastAsia" w:ascii="仿宋_GB2312" w:hAnsi="宋体" w:eastAsia="仿宋_GB2312" w:cs="宋体"/>
          <w:sz w:val="32"/>
          <w:szCs w:val="32"/>
          <w:highlight w:val="none"/>
        </w:rPr>
        <w:t xml:space="preserve">  </w:t>
      </w:r>
      <w:r>
        <w:rPr>
          <w:rFonts w:hint="eastAsia" w:ascii="仿宋" w:hAnsi="仿宋" w:eastAsia="仿宋" w:cs="仿宋"/>
          <w:sz w:val="32"/>
          <w:szCs w:val="32"/>
          <w:highlight w:val="none"/>
        </w:rPr>
        <w:t>包括项目决策、项目过程、项目产出、项目效益四个方面。具体为绩效目标的设定情况；资金投入和使用情况；为实现绩效目标制定的制度、采取的措施等；绩效目标的实现程度及效果；绩效评价的其他内容。</w:t>
      </w:r>
    </w:p>
    <w:p>
      <w:pPr>
        <w:pStyle w:val="3"/>
        <w:spacing w:line="600" w:lineRule="exact"/>
        <w:ind w:firstLine="642" w:firstLineChars="200"/>
        <w:rPr>
          <w:rFonts w:hint="eastAsia" w:ascii="楷体" w:hAnsi="楷体" w:eastAsia="楷体" w:cs="楷体"/>
          <w:b/>
          <w:bCs w:val="0"/>
          <w:highlight w:val="none"/>
        </w:rPr>
      </w:pPr>
      <w:bookmarkStart w:id="31" w:name="_Toc5534"/>
      <w:bookmarkStart w:id="32" w:name="_Toc1605"/>
      <w:bookmarkStart w:id="33" w:name="_Toc1202"/>
      <w:bookmarkStart w:id="34" w:name="_Toc8276"/>
      <w:bookmarkStart w:id="35" w:name="_Toc18139"/>
      <w:bookmarkStart w:id="36" w:name="_Toc4764"/>
      <w:r>
        <w:rPr>
          <w:rFonts w:hint="eastAsia" w:ascii="楷体" w:hAnsi="楷体" w:eastAsia="楷体" w:cs="楷体"/>
          <w:b/>
          <w:bCs w:val="0"/>
          <w:highlight w:val="none"/>
        </w:rPr>
        <w:t>绩效评价原则、评价指标体系、评价方法、评价标准</w:t>
      </w:r>
      <w:bookmarkEnd w:id="31"/>
      <w:bookmarkEnd w:id="32"/>
      <w:bookmarkEnd w:id="33"/>
      <w:bookmarkEnd w:id="34"/>
      <w:bookmarkEnd w:id="35"/>
      <w:bookmarkEnd w:id="36"/>
    </w:p>
    <w:p>
      <w:pPr>
        <w:spacing w:line="600" w:lineRule="exact"/>
        <w:ind w:left="580"/>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1.</w:t>
      </w:r>
      <w:r>
        <w:rPr>
          <w:rFonts w:hint="eastAsia" w:ascii="楷体_GB2312" w:hAnsi="楷体_GB2312" w:eastAsia="楷体_GB2312" w:cs="楷体_GB2312"/>
          <w:b/>
          <w:bCs/>
          <w:sz w:val="32"/>
          <w:szCs w:val="32"/>
          <w:highlight w:val="none"/>
        </w:rPr>
        <w:t>评价原则</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（1）科学规范原则。绩效评价应当严格按照规定的程序和科学可行的要求，采用定量与定性分析相结合的方法。</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（2）公正公开原则。绩效评价应当符合真实、客观、公正的要求，依法公开并接受监督。</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（3）绩效相关原则。绩效评价应当针对具体支出及其产出绩效进行，评价结果应当清晰反映支出和产出绩效之间的紧密对应关系。</w:t>
      </w:r>
    </w:p>
    <w:p>
      <w:pPr>
        <w:spacing w:line="600" w:lineRule="exact"/>
        <w:ind w:firstLine="640" w:firstLineChars="200"/>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2</w:t>
      </w:r>
      <w:r>
        <w:rPr>
          <w:rFonts w:hint="eastAsia" w:ascii="楷体_GB2312" w:hAnsi="楷体_GB2312" w:eastAsia="楷体_GB2312" w:cs="楷体_GB2312"/>
          <w:b/>
          <w:bCs/>
          <w:sz w:val="32"/>
          <w:szCs w:val="32"/>
          <w:highlight w:val="none"/>
        </w:rPr>
        <w:t>.评价指标体系</w:t>
      </w:r>
    </w:p>
    <w:p>
      <w:pPr>
        <w:spacing w:line="600" w:lineRule="exact"/>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本次绩效评价指标体系包括决策、过程、产出、效益4个一级指标。在各项指标权重设定方面，我们主要依据《北京市项目支出绩效评价管理办法》（京财绩效〔2020〕2146号）以及《北京市财政局关于开展政府购买服务项目绩效评价工作的通知》（京财综〔2023〕407号）文件中体现的绩效结果导向精神，更加注重产出和效益原则，产出、效益指标权重不低于60%，本项目产出、效益指标权重为60%。根据对各指标的重要性和影响力大小的理解给予相应的权重分值，并采取定性与定量分析相结合的方法分别记分。</w:t>
      </w:r>
    </w:p>
    <w:p>
      <w:pPr>
        <w:spacing w:line="600" w:lineRule="exact"/>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决策指标：包括项目立项、绩效目标和资金投入3个二级指标，以及立项依据充分性、立项程序规范性、绩效目标合理性、绩效指标明确性、预算编制科学性5个三级指标。决策类指标权重共计</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分。</w:t>
      </w:r>
    </w:p>
    <w:p>
      <w:pPr>
        <w:spacing w:line="600" w:lineRule="exact"/>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过程指标：包括资金管理和业务管理2个二级指标，以及预算执行率、资金使用合规性、管理制度健全性、制度执行有效性4个三级指标。过程类指标权重共计20分。</w:t>
      </w:r>
    </w:p>
    <w:p>
      <w:pPr>
        <w:spacing w:line="600" w:lineRule="exact"/>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产出指标：包括产出数量、产出质量、产出时效、产出成本4个二级指标，以及实际完成率、质量达标率、完成及时性、成本节约率4个三级指标。产出类指标权重共计30分。</w:t>
      </w:r>
    </w:p>
    <w:p>
      <w:pPr>
        <w:spacing w:line="600" w:lineRule="exact"/>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效益指标：包括实施效益和满意度2个二级指标。实施效益从经济效益、社会效益、满意度3个方面进行评价。效益类指标权重共计30分。</w:t>
      </w:r>
    </w:p>
    <w:p>
      <w:pPr>
        <w:widowControl w:val="0"/>
        <w:kinsoku/>
        <w:autoSpaceDE/>
        <w:autoSpaceDN/>
        <w:adjustRightInd/>
        <w:snapToGrid/>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评价结果满分为100分，90（含）-100分为优、80（含）-90分为良、60（含）-80分为中、60分以下为差。</w:t>
      </w:r>
      <w:r>
        <w:rPr>
          <w:rFonts w:hint="eastAsia" w:ascii="仿宋" w:hAnsi="仿宋" w:eastAsia="仿宋" w:cs="仿宋"/>
          <w:sz w:val="32"/>
          <w:szCs w:val="32"/>
          <w:highlight w:val="none"/>
          <w:lang w:val="en-US" w:eastAsia="zh-CN"/>
        </w:rPr>
        <w:t>具体评价指标如下：</w:t>
      </w:r>
    </w:p>
    <w:p>
      <w:pPr>
        <w:widowControl w:val="0"/>
        <w:kinsoku/>
        <w:autoSpaceDE/>
        <w:autoSpaceDN/>
        <w:adjustRightInd/>
        <w:snapToGrid/>
        <w:ind w:firstLine="1124" w:firstLineChars="400"/>
        <w:textAlignment w:val="auto"/>
        <w:rPr>
          <w:rFonts w:hint="eastAsia" w:ascii="仿宋" w:hAnsi="仿宋" w:eastAsia="仿宋" w:cs="仿宋"/>
          <w:sz w:val="32"/>
          <w:szCs w:val="32"/>
          <w:highlight w:val="none"/>
        </w:rPr>
      </w:pPr>
      <w:r>
        <w:rPr>
          <w:rFonts w:hint="eastAsia" w:ascii="仿宋" w:hAnsi="仿宋" w:eastAsia="仿宋" w:cs="仿宋"/>
          <w:b/>
          <w:bCs/>
          <w:sz w:val="28"/>
          <w:szCs w:val="28"/>
          <w:highlight w:val="none"/>
        </w:rPr>
        <w:t>卷宗全过程整理运维外包服务项目绩效评价指标体系</w:t>
      </w:r>
      <w:r>
        <w:rPr>
          <w:rFonts w:hint="eastAsia" w:ascii="仿宋" w:hAnsi="仿宋" w:eastAsia="仿宋" w:cs="仿宋"/>
          <w:sz w:val="32"/>
          <w:szCs w:val="32"/>
          <w:highlight w:val="none"/>
        </w:rPr>
        <w:t xml:space="preserve"> </w:t>
      </w:r>
    </w:p>
    <w:tbl>
      <w:tblPr>
        <w:tblStyle w:val="16"/>
        <w:tblW w:w="8654"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38"/>
        <w:gridCol w:w="838"/>
        <w:gridCol w:w="616"/>
        <w:gridCol w:w="838"/>
        <w:gridCol w:w="1024"/>
        <w:gridCol w:w="608"/>
        <w:gridCol w:w="3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838" w:type="dxa"/>
            <w:shd w:val="clear" w:color="auto" w:fill="FFFFFF"/>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snapToGrid w:val="0"/>
                <w:color w:val="000000"/>
                <w:kern w:val="0"/>
                <w:sz w:val="20"/>
                <w:szCs w:val="20"/>
                <w:highlight w:val="none"/>
                <w:u w:val="none"/>
                <w:lang w:val="en-US" w:eastAsia="zh-CN" w:bidi="ar"/>
              </w:rPr>
              <w:t>一级指标</w:t>
            </w:r>
          </w:p>
        </w:tc>
        <w:tc>
          <w:tcPr>
            <w:tcW w:w="838" w:type="dxa"/>
            <w:shd w:val="clear" w:color="auto" w:fill="FFFFFF"/>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snapToGrid w:val="0"/>
                <w:color w:val="000000"/>
                <w:kern w:val="0"/>
                <w:sz w:val="20"/>
                <w:szCs w:val="20"/>
                <w:highlight w:val="none"/>
                <w:u w:val="none"/>
                <w:lang w:val="en-US" w:eastAsia="zh-CN" w:bidi="ar"/>
              </w:rPr>
              <w:t>二级指标</w:t>
            </w:r>
          </w:p>
        </w:tc>
        <w:tc>
          <w:tcPr>
            <w:tcW w:w="616" w:type="dxa"/>
            <w:shd w:val="clear" w:color="auto" w:fill="FFFFFF"/>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snapToGrid w:val="0"/>
                <w:color w:val="000000"/>
                <w:kern w:val="0"/>
                <w:sz w:val="20"/>
                <w:szCs w:val="20"/>
                <w:highlight w:val="none"/>
                <w:u w:val="none"/>
                <w:lang w:val="en-US" w:eastAsia="zh-CN" w:bidi="ar"/>
              </w:rPr>
              <w:t>分值</w:t>
            </w:r>
          </w:p>
        </w:tc>
        <w:tc>
          <w:tcPr>
            <w:tcW w:w="838" w:type="dxa"/>
            <w:shd w:val="clear" w:color="auto" w:fill="FFFFFF"/>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snapToGrid w:val="0"/>
                <w:color w:val="000000"/>
                <w:kern w:val="0"/>
                <w:sz w:val="20"/>
                <w:szCs w:val="20"/>
                <w:highlight w:val="none"/>
                <w:u w:val="none"/>
                <w:lang w:val="en-US" w:eastAsia="zh-CN" w:bidi="ar"/>
              </w:rPr>
              <w:t>三级指标</w:t>
            </w:r>
          </w:p>
        </w:tc>
        <w:tc>
          <w:tcPr>
            <w:tcW w:w="1024" w:type="dxa"/>
            <w:shd w:val="clear" w:color="auto" w:fill="FFFFFF"/>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snapToGrid w:val="0"/>
                <w:color w:val="000000"/>
                <w:kern w:val="0"/>
                <w:sz w:val="20"/>
                <w:szCs w:val="20"/>
                <w:highlight w:val="none"/>
                <w:u w:val="none"/>
                <w:lang w:val="en-US" w:eastAsia="zh-CN" w:bidi="ar"/>
              </w:rPr>
              <w:t>四级</w:t>
            </w:r>
          </w:p>
        </w:tc>
        <w:tc>
          <w:tcPr>
            <w:tcW w:w="608" w:type="dxa"/>
            <w:shd w:val="clear" w:color="auto" w:fill="FFFFFF"/>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snapToGrid w:val="0"/>
                <w:color w:val="000000"/>
                <w:kern w:val="0"/>
                <w:sz w:val="20"/>
                <w:szCs w:val="20"/>
                <w:highlight w:val="none"/>
                <w:u w:val="none"/>
                <w:lang w:val="en-US" w:eastAsia="zh-CN" w:bidi="ar"/>
              </w:rPr>
              <w:t>分值</w:t>
            </w:r>
          </w:p>
        </w:tc>
        <w:tc>
          <w:tcPr>
            <w:tcW w:w="3892" w:type="dxa"/>
            <w:shd w:val="clear" w:color="auto" w:fill="FFFFFF"/>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snapToGrid w:val="0"/>
                <w:color w:val="000000"/>
                <w:kern w:val="0"/>
                <w:sz w:val="20"/>
                <w:szCs w:val="20"/>
                <w:highlight w:val="none"/>
                <w:u w:val="none"/>
                <w:lang w:val="en-US" w:eastAsia="zh-CN" w:bidi="ar"/>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snapToGrid w:val="0"/>
                <w:color w:val="000000"/>
                <w:kern w:val="0"/>
                <w:sz w:val="20"/>
                <w:szCs w:val="20"/>
                <w:highlight w:val="none"/>
                <w:u w:val="none"/>
                <w:lang w:val="en-US" w:eastAsia="zh-CN" w:bidi="ar"/>
              </w:rPr>
            </w:pPr>
            <w:r>
              <w:rPr>
                <w:rFonts w:hint="eastAsia" w:ascii="仿宋" w:hAnsi="仿宋" w:eastAsia="仿宋" w:cs="仿宋"/>
                <w:i w:val="0"/>
                <w:iCs w:val="0"/>
                <w:snapToGrid w:val="0"/>
                <w:color w:val="000000"/>
                <w:kern w:val="0"/>
                <w:sz w:val="20"/>
                <w:szCs w:val="20"/>
                <w:highlight w:val="none"/>
                <w:u w:val="none"/>
                <w:lang w:val="en-US" w:eastAsia="zh-CN" w:bidi="ar"/>
              </w:rPr>
              <w:t>决策</w:t>
            </w:r>
          </w:p>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（20）　</w:t>
            </w: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项目立项　</w:t>
            </w:r>
          </w:p>
        </w:tc>
        <w:tc>
          <w:tcPr>
            <w:tcW w:w="616"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8</w:t>
            </w: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立项依据充分性</w:t>
            </w:r>
          </w:p>
        </w:tc>
        <w:tc>
          <w:tcPr>
            <w:tcW w:w="1024"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立项依据充分性</w:t>
            </w:r>
          </w:p>
        </w:tc>
        <w:tc>
          <w:tcPr>
            <w:tcW w:w="60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4</w:t>
            </w:r>
          </w:p>
        </w:tc>
        <w:tc>
          <w:tcPr>
            <w:tcW w:w="3892"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①项目立项是否符合国家法律法规、符合国家及北京市相关发展规划、政策;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②项目是否属于“负面清单”范围内的事项;(一票否决项，如属于“负面清单”，则整个项目评价为不及格)；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③项目立项是否与部门职责范围相符，是否属于北京市公共财政支持范围，是否符合中央、地方事权支出责任划分原则；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④项目是否与其他部门同类项目或部门内部其他项目存在重复保障。(如:该服务事项是否同时通过编外用工申报预算)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立项程序规范性</w:t>
            </w:r>
          </w:p>
        </w:tc>
        <w:tc>
          <w:tcPr>
            <w:tcW w:w="1024"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立项程序规范性</w:t>
            </w:r>
          </w:p>
        </w:tc>
        <w:tc>
          <w:tcPr>
            <w:tcW w:w="60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4</w:t>
            </w:r>
          </w:p>
        </w:tc>
        <w:tc>
          <w:tcPr>
            <w:tcW w:w="3892"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①项目需求调研、可行性研究、专家论证、风险评估及管理等资料是否齐备；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②立项申报材料中政府购买服务的内容、服务标准和技术保障是否明确，采购实施计划是否完整、合规、合理；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③立项前是否经过事前绩效评估，以及必要的集体决策程序；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④项目内容是否列入部门政府购买服务指导性目录，部门政府购买服务指导性目录是否规范。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绩效目标</w:t>
            </w:r>
          </w:p>
        </w:tc>
        <w:tc>
          <w:tcPr>
            <w:tcW w:w="616"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8</w:t>
            </w: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绩效目标合理性</w:t>
            </w:r>
          </w:p>
        </w:tc>
        <w:tc>
          <w:tcPr>
            <w:tcW w:w="1024"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绩效目标合理性</w:t>
            </w:r>
          </w:p>
        </w:tc>
        <w:tc>
          <w:tcPr>
            <w:tcW w:w="60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4</w:t>
            </w:r>
          </w:p>
        </w:tc>
        <w:tc>
          <w:tcPr>
            <w:tcW w:w="3892"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①项目是否有绩效目标；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②项目绩效目标与政府购买服务的实际内容是否具有相关性；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③项目预期产出效益和效果是否符合正常的业绩水平；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8"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④绩效目标及指标值是否与政府购买服务所申报的预算资金量相匹配。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绩效指标明确性</w:t>
            </w:r>
          </w:p>
        </w:tc>
        <w:tc>
          <w:tcPr>
            <w:tcW w:w="1024"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绩效指标明确性</w:t>
            </w:r>
          </w:p>
        </w:tc>
        <w:tc>
          <w:tcPr>
            <w:tcW w:w="60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4</w:t>
            </w: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①是否将项目绩效目标细化分解为具体的绩效指标；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6"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②绩效指标是否全面，是否包括必要的成本指标以及满意度指标；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③指标是否通过清晰、可衡量的指标值予以体现；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3"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④指标是否与项目目标任务数或计划数相对应。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4"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资金投入</w:t>
            </w:r>
          </w:p>
        </w:tc>
        <w:tc>
          <w:tcPr>
            <w:tcW w:w="616"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4</w:t>
            </w: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预算编制科学性</w:t>
            </w:r>
          </w:p>
        </w:tc>
        <w:tc>
          <w:tcPr>
            <w:tcW w:w="1024"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预算编制科学性</w:t>
            </w:r>
          </w:p>
        </w:tc>
        <w:tc>
          <w:tcPr>
            <w:tcW w:w="60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4</w:t>
            </w: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①预算编制是否经过科学论证；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②预算内容与项目内容是否匹配；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snapToGrid w:val="0"/>
                <w:color w:val="000000"/>
                <w:kern w:val="0"/>
                <w:sz w:val="20"/>
                <w:szCs w:val="20"/>
                <w:highlight w:val="none"/>
                <w:u w:val="none"/>
                <w:lang w:val="en-US" w:eastAsia="zh-CN" w:bidi="ar"/>
              </w:rPr>
            </w:pPr>
            <w:r>
              <w:rPr>
                <w:rFonts w:hint="eastAsia" w:ascii="仿宋" w:hAnsi="仿宋" w:eastAsia="仿宋" w:cs="仿宋"/>
                <w:i w:val="0"/>
                <w:iCs w:val="0"/>
                <w:snapToGrid w:val="0"/>
                <w:color w:val="000000"/>
                <w:kern w:val="0"/>
                <w:sz w:val="20"/>
                <w:szCs w:val="20"/>
                <w:highlight w:val="none"/>
                <w:u w:val="none"/>
                <w:lang w:val="en-US" w:eastAsia="zh-CN" w:bidi="ar"/>
              </w:rPr>
              <w:t>③预算额度测算依据是否充分，是否按照标准编制，是否进行了成本定额</w:t>
            </w:r>
          </w:p>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测算；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④预算资金量是否与工作任务相匹配。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6" w:hRule="atLeast"/>
        </w:trPr>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snapToGrid w:val="0"/>
                <w:color w:val="000000"/>
                <w:kern w:val="0"/>
                <w:sz w:val="20"/>
                <w:szCs w:val="20"/>
                <w:highlight w:val="none"/>
                <w:u w:val="none"/>
                <w:lang w:val="en-US" w:eastAsia="zh-CN" w:bidi="ar"/>
              </w:rPr>
            </w:pPr>
            <w:r>
              <w:rPr>
                <w:rFonts w:hint="eastAsia" w:ascii="仿宋" w:hAnsi="仿宋" w:eastAsia="仿宋" w:cs="仿宋"/>
                <w:i w:val="0"/>
                <w:iCs w:val="0"/>
                <w:snapToGrid w:val="0"/>
                <w:color w:val="000000"/>
                <w:kern w:val="0"/>
                <w:sz w:val="20"/>
                <w:szCs w:val="20"/>
                <w:highlight w:val="none"/>
                <w:u w:val="none"/>
                <w:lang w:val="en-US" w:eastAsia="zh-CN" w:bidi="ar"/>
              </w:rPr>
              <w:t>过程</w:t>
            </w:r>
          </w:p>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（20）</w:t>
            </w: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资金管理</w:t>
            </w:r>
          </w:p>
        </w:tc>
        <w:tc>
          <w:tcPr>
            <w:tcW w:w="616"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7</w:t>
            </w:r>
          </w:p>
        </w:tc>
        <w:tc>
          <w:tcPr>
            <w:tcW w:w="838"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预算执行率</w:t>
            </w:r>
          </w:p>
        </w:tc>
        <w:tc>
          <w:tcPr>
            <w:tcW w:w="1024"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预算执行率</w:t>
            </w:r>
          </w:p>
        </w:tc>
        <w:tc>
          <w:tcPr>
            <w:tcW w:w="608"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3</w:t>
            </w: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预算执行率=（实际支出资金/实际到位资金）×100%。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资金使用合规性</w:t>
            </w:r>
          </w:p>
        </w:tc>
        <w:tc>
          <w:tcPr>
            <w:tcW w:w="1024"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资金使用合规性</w:t>
            </w:r>
          </w:p>
        </w:tc>
        <w:tc>
          <w:tcPr>
            <w:tcW w:w="60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4</w:t>
            </w: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①是否符合国家财经法规和财务管理制度以及有关专项资金管理办法的规定；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②资金拨付是否有完整的程序和手续，拨付的时间节点及金额是否符合合司约定的时间及工作进度；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③是否符合项目预算批复或合同规定的用途；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4"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8"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业务管理</w:t>
            </w:r>
          </w:p>
        </w:tc>
        <w:tc>
          <w:tcPr>
            <w:tcW w:w="616"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13</w:t>
            </w: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管理制度健全性</w:t>
            </w:r>
          </w:p>
        </w:tc>
        <w:tc>
          <w:tcPr>
            <w:tcW w:w="1024"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管理制度健全性</w:t>
            </w:r>
          </w:p>
        </w:tc>
        <w:tc>
          <w:tcPr>
            <w:tcW w:w="60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3</w:t>
            </w: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①是否有完善的财务管理、采购管理、合同管理等制度；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②对所购买服务是否有明确的业务管理制度；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8"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③对所购买服务是否有明确的质量监控制度和验收办法。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制度执行有效性</w:t>
            </w:r>
          </w:p>
        </w:tc>
        <w:tc>
          <w:tcPr>
            <w:tcW w:w="1024"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制度执行有效性</w:t>
            </w:r>
          </w:p>
        </w:tc>
        <w:tc>
          <w:tcPr>
            <w:tcW w:w="60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10</w:t>
            </w: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①是否履行了合法合规的采购程序；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②政府购买服务承接主体是否符合政策规定，同等条件下是否优先考虑社会组织，是否执行“拨改买”政策要求；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③政府购买服务合同是否有明确的服务内容、期限、数量、质量、价格资金结算方式、各方权利义务和违约责任等内容；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④购买主体是否履行了对所购买服务实施过程的监督管理责任;是否对承接主体的工作有检查验收考核等质量监控;承接主体是否存在转包现象;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⑤项目验收报告、技术鉴定等资料是否齐全并及时归档。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3" w:hRule="atLeast"/>
        </w:trPr>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snapToGrid w:val="0"/>
                <w:color w:val="000000"/>
                <w:kern w:val="0"/>
                <w:sz w:val="20"/>
                <w:szCs w:val="20"/>
                <w:highlight w:val="none"/>
                <w:u w:val="none"/>
                <w:lang w:val="en-US" w:eastAsia="zh-CN" w:bidi="ar"/>
              </w:rPr>
            </w:pPr>
            <w:r>
              <w:rPr>
                <w:rFonts w:hint="eastAsia" w:ascii="仿宋" w:hAnsi="仿宋" w:eastAsia="仿宋" w:cs="仿宋"/>
                <w:i w:val="0"/>
                <w:iCs w:val="0"/>
                <w:snapToGrid w:val="0"/>
                <w:color w:val="000000"/>
                <w:kern w:val="0"/>
                <w:sz w:val="20"/>
                <w:szCs w:val="20"/>
                <w:highlight w:val="none"/>
                <w:u w:val="none"/>
                <w:lang w:val="en-US" w:eastAsia="zh-CN" w:bidi="ar"/>
              </w:rPr>
              <w:t>产出</w:t>
            </w:r>
          </w:p>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（30）</w:t>
            </w: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产出数量</w:t>
            </w:r>
          </w:p>
        </w:tc>
        <w:tc>
          <w:tcPr>
            <w:tcW w:w="616"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10</w:t>
            </w: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实际完成率</w:t>
            </w:r>
          </w:p>
        </w:tc>
        <w:tc>
          <w:tcPr>
            <w:tcW w:w="1024"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指标1：案件卷宗整理数量：≥2.3万卷</w:t>
            </w:r>
          </w:p>
        </w:tc>
        <w:tc>
          <w:tcPr>
            <w:tcW w:w="608"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5</w:t>
            </w:r>
          </w:p>
        </w:tc>
        <w:tc>
          <w:tcPr>
            <w:tcW w:w="3892" w:type="dxa"/>
            <w:vMerge w:val="restart"/>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snapToGrid w:val="0"/>
                <w:color w:val="000000"/>
                <w:kern w:val="0"/>
                <w:sz w:val="20"/>
                <w:szCs w:val="20"/>
                <w:highlight w:val="none"/>
                <w:u w:val="none"/>
                <w:lang w:val="en-US" w:eastAsia="zh-CN" w:bidi="ar"/>
              </w:rPr>
            </w:pPr>
            <w:r>
              <w:rPr>
                <w:rFonts w:hint="eastAsia" w:ascii="仿宋" w:hAnsi="仿宋" w:eastAsia="仿宋" w:cs="仿宋"/>
                <w:i w:val="0"/>
                <w:iCs w:val="0"/>
                <w:snapToGrid w:val="0"/>
                <w:color w:val="000000"/>
                <w:kern w:val="0"/>
                <w:sz w:val="20"/>
                <w:szCs w:val="20"/>
                <w:highlight w:val="none"/>
                <w:u w:val="none"/>
                <w:lang w:val="en-US" w:eastAsia="zh-CN" w:bidi="ar"/>
              </w:rPr>
              <w:t>1.实际完成率=(实际产出数/计划产出数)100%。如产出为多项内容，则计算平均数</w:t>
            </w:r>
          </w:p>
          <w:p>
            <w:pPr>
              <w:keepNext w:val="0"/>
              <w:keepLines w:val="0"/>
              <w:widowControl/>
              <w:suppressLineNumbers w:val="0"/>
              <w:jc w:val="left"/>
              <w:textAlignment w:val="center"/>
              <w:rPr>
                <w:rFonts w:hint="eastAsia" w:ascii="仿宋" w:hAnsi="仿宋" w:eastAsia="仿宋" w:cs="仿宋"/>
                <w:i w:val="0"/>
                <w:iCs w:val="0"/>
                <w:snapToGrid w:val="0"/>
                <w:color w:val="000000"/>
                <w:kern w:val="0"/>
                <w:sz w:val="20"/>
                <w:szCs w:val="20"/>
                <w:highlight w:val="none"/>
                <w:u w:val="none"/>
                <w:lang w:val="en-US" w:eastAsia="zh-CN" w:bidi="ar"/>
              </w:rPr>
            </w:pPr>
            <w:r>
              <w:rPr>
                <w:rFonts w:hint="eastAsia" w:ascii="仿宋" w:hAnsi="仿宋" w:eastAsia="仿宋" w:cs="仿宋"/>
                <w:i w:val="0"/>
                <w:iCs w:val="0"/>
                <w:snapToGrid w:val="0"/>
                <w:color w:val="000000"/>
                <w:kern w:val="0"/>
                <w:sz w:val="20"/>
                <w:szCs w:val="20"/>
                <w:highlight w:val="none"/>
                <w:u w:val="none"/>
                <w:lang w:val="en-US" w:eastAsia="zh-CN" w:bidi="ar"/>
              </w:rPr>
              <w:t>2.实际产出数：一定时期（本年度或项目期）内项目实际产出的产品或提供的服务数量。</w:t>
            </w:r>
          </w:p>
          <w:p>
            <w:pPr>
              <w:keepNext w:val="0"/>
              <w:keepLines w:val="0"/>
              <w:widowControl/>
              <w:suppressLineNumbers w:val="0"/>
              <w:jc w:val="left"/>
              <w:textAlignment w:val="center"/>
              <w:rPr>
                <w:rFonts w:hint="eastAsia" w:ascii="仿宋" w:hAnsi="仿宋" w:eastAsia="仿宋" w:cs="仿宋"/>
                <w:i w:val="0"/>
                <w:iCs w:val="0"/>
                <w:snapToGrid w:val="0"/>
                <w:color w:val="000000"/>
                <w:kern w:val="0"/>
                <w:sz w:val="20"/>
                <w:szCs w:val="20"/>
                <w:highlight w:val="none"/>
                <w:u w:val="none"/>
                <w:lang w:val="en-US" w:eastAsia="zh-CN" w:bidi="ar"/>
              </w:rPr>
            </w:pPr>
            <w:r>
              <w:rPr>
                <w:rFonts w:hint="eastAsia" w:ascii="仿宋" w:hAnsi="仿宋" w:eastAsia="仿宋" w:cs="仿宋"/>
                <w:i w:val="0"/>
                <w:iCs w:val="0"/>
                <w:snapToGrid w:val="0"/>
                <w:color w:val="000000"/>
                <w:kern w:val="0"/>
                <w:sz w:val="20"/>
                <w:szCs w:val="20"/>
                <w:highlight w:val="none"/>
                <w:u w:val="none"/>
                <w:lang w:val="en-US" w:eastAsia="zh-CN" w:bidi="ar"/>
              </w:rPr>
              <w:t>3.计划产出数：项目绩效目标确定的在一定时期（本年度或项目期）内计划产出的产品或提供的服务数量。如产出为多项产品或服务，应分别计算后，按照资金占比或重要性加权合计。</w:t>
            </w:r>
          </w:p>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如未设定产出数量指标或指标值不合理，则计划产出数应由工作组和专家组综合考虑项目实际情况和行业情况确定。实际产出远高于计划产出数，偏离度过大，超出 20%，应酌情扣分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3"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指标2：归档案件上架率≥98%</w:t>
            </w:r>
          </w:p>
        </w:tc>
        <w:tc>
          <w:tcPr>
            <w:tcW w:w="608"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5</w:t>
            </w:r>
          </w:p>
        </w:tc>
        <w:tc>
          <w:tcPr>
            <w:tcW w:w="3892" w:type="dxa"/>
            <w:vMerge w:val="continue"/>
            <w:shd w:val="clear" w:color="auto" w:fill="FFFFFF"/>
            <w:vAlign w:val="center"/>
          </w:tcPr>
          <w:p>
            <w:pPr>
              <w:jc w:val="left"/>
              <w:rPr>
                <w:rFonts w:hint="eastAsia" w:ascii="仿宋" w:hAnsi="仿宋" w:eastAsia="仿宋" w:cs="仿宋"/>
                <w:i w:val="0"/>
                <w:iCs w:val="0"/>
                <w:color w:val="000000"/>
                <w:sz w:val="20"/>
                <w:szCs w:val="2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产出质量</w:t>
            </w:r>
          </w:p>
        </w:tc>
        <w:tc>
          <w:tcPr>
            <w:tcW w:w="616"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10</w:t>
            </w: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质量达标率(验收合格率）</w:t>
            </w:r>
          </w:p>
        </w:tc>
        <w:tc>
          <w:tcPr>
            <w:tcW w:w="1024"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指标1：卷宗整理规范化</w:t>
            </w:r>
          </w:p>
        </w:tc>
        <w:tc>
          <w:tcPr>
            <w:tcW w:w="608"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6</w:t>
            </w:r>
          </w:p>
        </w:tc>
        <w:tc>
          <w:tcPr>
            <w:tcW w:w="3892"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snapToGrid w:val="0"/>
                <w:color w:val="000000"/>
                <w:kern w:val="0"/>
                <w:sz w:val="20"/>
                <w:szCs w:val="20"/>
                <w:highlight w:val="none"/>
                <w:u w:val="none"/>
                <w:lang w:val="en-US" w:eastAsia="zh-CN" w:bidi="ar"/>
              </w:rPr>
            </w:pPr>
            <w:r>
              <w:rPr>
                <w:rFonts w:hint="eastAsia" w:ascii="仿宋" w:hAnsi="仿宋" w:eastAsia="仿宋" w:cs="仿宋"/>
                <w:i w:val="0"/>
                <w:iCs w:val="0"/>
                <w:snapToGrid w:val="0"/>
                <w:color w:val="000000"/>
                <w:kern w:val="0"/>
                <w:sz w:val="20"/>
                <w:szCs w:val="20"/>
                <w:highlight w:val="none"/>
                <w:u w:val="none"/>
                <w:lang w:val="en-US" w:eastAsia="zh-CN" w:bidi="ar"/>
              </w:rPr>
              <w:t>质量达标率=（质量达标产出数/实际产出数）×100%。</w:t>
            </w:r>
          </w:p>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产出质量指标值。若项目单位未设定质量指标或设定不合理，应采用行业公认标准或国家有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指标2：卷宗整理各项工序完成进度</w:t>
            </w:r>
          </w:p>
        </w:tc>
        <w:tc>
          <w:tcPr>
            <w:tcW w:w="608"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4</w:t>
            </w:r>
          </w:p>
        </w:tc>
        <w:tc>
          <w:tcPr>
            <w:tcW w:w="3892"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产出时效</w:t>
            </w:r>
          </w:p>
        </w:tc>
        <w:tc>
          <w:tcPr>
            <w:tcW w:w="616"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5</w:t>
            </w: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完成及时性</w:t>
            </w:r>
          </w:p>
        </w:tc>
        <w:tc>
          <w:tcPr>
            <w:tcW w:w="1024"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2023年4-2024年3月完成100%</w:t>
            </w:r>
          </w:p>
        </w:tc>
        <w:tc>
          <w:tcPr>
            <w:tcW w:w="60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5</w:t>
            </w:r>
          </w:p>
        </w:tc>
        <w:tc>
          <w:tcPr>
            <w:tcW w:w="3892"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实际完成时间是否符合合同要求，在计划完成时间之内。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实际完成时间:项目实施单位完成该项目实际所耗用的时间。计划完成时间:按照项目实施计划或相关规定完成该项目所需的时间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产出成本</w:t>
            </w:r>
          </w:p>
        </w:tc>
        <w:tc>
          <w:tcPr>
            <w:tcW w:w="616"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5</w:t>
            </w: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成本节约率</w:t>
            </w:r>
          </w:p>
        </w:tc>
        <w:tc>
          <w:tcPr>
            <w:tcW w:w="1024"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项目预算控制数≤≤197.53万元，节约率5%</w:t>
            </w:r>
          </w:p>
        </w:tc>
        <w:tc>
          <w:tcPr>
            <w:tcW w:w="60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5</w:t>
            </w:r>
          </w:p>
        </w:tc>
        <w:tc>
          <w:tcPr>
            <w:tcW w:w="3892" w:type="dxa"/>
            <w:vMerge w:val="restart"/>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成本节约率=[（计划成本-实际成本）/计划成本]×100%。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vMerge w:val="continue"/>
            <w:shd w:val="clear" w:color="auto" w:fill="FFFFFF"/>
            <w:vAlign w:val="center"/>
          </w:tcPr>
          <w:p>
            <w:pPr>
              <w:jc w:val="left"/>
              <w:rPr>
                <w:rFonts w:hint="eastAsia" w:ascii="仿宋" w:hAnsi="仿宋" w:eastAsia="仿宋" w:cs="仿宋"/>
                <w:i w:val="0"/>
                <w:iCs w:val="0"/>
                <w:color w:val="000000"/>
                <w:sz w:val="20"/>
                <w:szCs w:val="2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vMerge w:val="continue"/>
            <w:shd w:val="clear" w:color="auto" w:fill="FFFFFF"/>
            <w:vAlign w:val="center"/>
          </w:tcPr>
          <w:p>
            <w:pPr>
              <w:jc w:val="left"/>
              <w:rPr>
                <w:rFonts w:hint="eastAsia" w:ascii="仿宋" w:hAnsi="仿宋" w:eastAsia="仿宋" w:cs="仿宋"/>
                <w:i w:val="0"/>
                <w:iCs w:val="0"/>
                <w:color w:val="000000"/>
                <w:sz w:val="20"/>
                <w:szCs w:val="2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0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3892"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snapToGrid w:val="0"/>
                <w:color w:val="000000"/>
                <w:kern w:val="0"/>
                <w:sz w:val="20"/>
                <w:szCs w:val="20"/>
                <w:highlight w:val="none"/>
                <w:u w:val="none"/>
                <w:lang w:val="en-US" w:eastAsia="zh-CN" w:bidi="ar"/>
              </w:rPr>
            </w:pPr>
            <w:r>
              <w:rPr>
                <w:rFonts w:hint="eastAsia" w:ascii="仿宋" w:hAnsi="仿宋" w:eastAsia="仿宋" w:cs="仿宋"/>
                <w:i w:val="0"/>
                <w:iCs w:val="0"/>
                <w:snapToGrid w:val="0"/>
                <w:color w:val="000000"/>
                <w:kern w:val="0"/>
                <w:sz w:val="20"/>
                <w:szCs w:val="20"/>
                <w:highlight w:val="none"/>
                <w:u w:val="none"/>
                <w:lang w:val="en-US" w:eastAsia="zh-CN" w:bidi="ar"/>
              </w:rPr>
              <w:t>实际成本：项目实施单位如期、保质、保量完成既定工作目标实际所耗费的支出。</w:t>
            </w:r>
          </w:p>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snapToGrid w:val="0"/>
                <w:color w:val="000000"/>
                <w:kern w:val="0"/>
                <w:sz w:val="20"/>
                <w:szCs w:val="20"/>
                <w:highlight w:val="none"/>
                <w:u w:val="none"/>
                <w:lang w:val="en-US" w:eastAsia="zh-CN" w:bidi="ar"/>
              </w:rPr>
            </w:pPr>
            <w:r>
              <w:rPr>
                <w:rFonts w:hint="eastAsia" w:ascii="仿宋" w:hAnsi="仿宋" w:eastAsia="仿宋" w:cs="仿宋"/>
                <w:i w:val="0"/>
                <w:iCs w:val="0"/>
                <w:snapToGrid w:val="0"/>
                <w:color w:val="000000"/>
                <w:kern w:val="0"/>
                <w:sz w:val="20"/>
                <w:szCs w:val="20"/>
                <w:highlight w:val="none"/>
                <w:u w:val="none"/>
                <w:lang w:val="en-US" w:eastAsia="zh-CN" w:bidi="ar"/>
              </w:rPr>
              <w:t>效益</w:t>
            </w:r>
          </w:p>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（30）　</w:t>
            </w: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项目效益</w:t>
            </w:r>
          </w:p>
        </w:tc>
        <w:tc>
          <w:tcPr>
            <w:tcW w:w="616" w:type="dxa"/>
            <w:vMerge w:val="restart"/>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10　</w:t>
            </w:r>
          </w:p>
        </w:tc>
        <w:tc>
          <w:tcPr>
            <w:tcW w:w="838"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社会效益</w:t>
            </w:r>
          </w:p>
        </w:tc>
        <w:tc>
          <w:tcPr>
            <w:tcW w:w="1024"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减轻书记员工作量</w:t>
            </w:r>
          </w:p>
        </w:tc>
        <w:tc>
          <w:tcPr>
            <w:tcW w:w="608"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4</w:t>
            </w:r>
          </w:p>
        </w:tc>
        <w:tc>
          <w:tcPr>
            <w:tcW w:w="3892" w:type="dxa"/>
            <w:vMerge w:val="restart"/>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项目预期所产生的社会效益、经济效益、生态效益、可持续影响等的实现程度。如绩效目标中的效益指标设定不具体不量化，评价中可根据项目实际情况有选择地设置和细化。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1024"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卷宗安全性好</w:t>
            </w:r>
          </w:p>
        </w:tc>
        <w:tc>
          <w:tcPr>
            <w:tcW w:w="608"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4</w:t>
            </w:r>
          </w:p>
        </w:tc>
        <w:tc>
          <w:tcPr>
            <w:tcW w:w="3892"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616"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可持续性</w:t>
            </w:r>
          </w:p>
        </w:tc>
        <w:tc>
          <w:tcPr>
            <w:tcW w:w="1024" w:type="dxa"/>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结案数量</w:t>
            </w:r>
          </w:p>
        </w:tc>
        <w:tc>
          <w:tcPr>
            <w:tcW w:w="608"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2</w:t>
            </w:r>
          </w:p>
        </w:tc>
        <w:tc>
          <w:tcPr>
            <w:tcW w:w="3892"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1" w:hRule="atLeast"/>
        </w:trPr>
        <w:tc>
          <w:tcPr>
            <w:tcW w:w="838" w:type="dxa"/>
            <w:vMerge w:val="continue"/>
            <w:shd w:val="clear" w:color="auto" w:fill="FFFFFF"/>
            <w:vAlign w:val="center"/>
          </w:tcPr>
          <w:p>
            <w:pPr>
              <w:jc w:val="center"/>
              <w:rPr>
                <w:rFonts w:hint="eastAsia" w:ascii="仿宋" w:hAnsi="仿宋" w:eastAsia="仿宋" w:cs="仿宋"/>
                <w:i w:val="0"/>
                <w:iCs w:val="0"/>
                <w:color w:val="000000"/>
                <w:sz w:val="20"/>
                <w:szCs w:val="20"/>
                <w:highlight w:val="none"/>
                <w:u w:val="none"/>
              </w:rPr>
            </w:pPr>
          </w:p>
        </w:tc>
        <w:tc>
          <w:tcPr>
            <w:tcW w:w="838"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满意度</w:t>
            </w:r>
          </w:p>
        </w:tc>
        <w:tc>
          <w:tcPr>
            <w:tcW w:w="616"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20　</w:t>
            </w:r>
          </w:p>
        </w:tc>
        <w:tc>
          <w:tcPr>
            <w:tcW w:w="838"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服务对象满意度</w:t>
            </w:r>
          </w:p>
        </w:tc>
        <w:tc>
          <w:tcPr>
            <w:tcW w:w="1024"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审判团队对卷宗整理满意度≥95%</w:t>
            </w:r>
          </w:p>
        </w:tc>
        <w:tc>
          <w:tcPr>
            <w:tcW w:w="608"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20</w:t>
            </w:r>
          </w:p>
        </w:tc>
        <w:tc>
          <w:tcPr>
            <w:tcW w:w="3892" w:type="dxa"/>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社会公众或服务对象是指因该项目实施而受到影响的部门(单位)、群体或个人。一般采取社会调查的方式，将服务对象的满意度与预期指标进行比较。如项目单位未进行满意度评价，或设置的预期绩效指标值过低，评价中可酌情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676" w:type="dxa"/>
            <w:gridSpan w:val="2"/>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合计</w:t>
            </w:r>
          </w:p>
        </w:tc>
        <w:tc>
          <w:tcPr>
            <w:tcW w:w="616" w:type="dxa"/>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100</w:t>
            </w:r>
          </w:p>
        </w:tc>
        <w:tc>
          <w:tcPr>
            <w:tcW w:w="838" w:type="dxa"/>
            <w:shd w:val="clear" w:color="auto" w:fill="auto"/>
            <w:vAlign w:val="center"/>
          </w:tcPr>
          <w:p>
            <w:pPr>
              <w:jc w:val="left"/>
              <w:rPr>
                <w:rFonts w:hint="eastAsia" w:ascii="仿宋" w:hAnsi="仿宋" w:eastAsia="仿宋" w:cs="仿宋"/>
                <w:i w:val="0"/>
                <w:iCs w:val="0"/>
                <w:color w:val="000000"/>
                <w:sz w:val="20"/>
                <w:szCs w:val="20"/>
                <w:highlight w:val="none"/>
                <w:u w:val="none"/>
              </w:rPr>
            </w:pPr>
          </w:p>
        </w:tc>
        <w:tc>
          <w:tcPr>
            <w:tcW w:w="1024" w:type="dxa"/>
            <w:shd w:val="clear" w:color="auto" w:fill="auto"/>
            <w:vAlign w:val="center"/>
          </w:tcPr>
          <w:p>
            <w:pPr>
              <w:jc w:val="left"/>
              <w:rPr>
                <w:rFonts w:hint="eastAsia" w:ascii="仿宋" w:hAnsi="仿宋" w:eastAsia="仿宋" w:cs="仿宋"/>
                <w:i w:val="0"/>
                <w:iCs w:val="0"/>
                <w:color w:val="000000"/>
                <w:sz w:val="20"/>
                <w:szCs w:val="20"/>
                <w:highlight w:val="none"/>
                <w:u w:val="none"/>
              </w:rPr>
            </w:pPr>
          </w:p>
        </w:tc>
        <w:tc>
          <w:tcPr>
            <w:tcW w:w="60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snapToGrid w:val="0"/>
                <w:color w:val="000000"/>
                <w:kern w:val="0"/>
                <w:sz w:val="20"/>
                <w:szCs w:val="20"/>
                <w:highlight w:val="none"/>
                <w:u w:val="none"/>
                <w:lang w:val="en-US" w:eastAsia="zh-CN" w:bidi="ar"/>
              </w:rPr>
              <w:t>100</w:t>
            </w:r>
          </w:p>
        </w:tc>
        <w:tc>
          <w:tcPr>
            <w:tcW w:w="3892" w:type="dxa"/>
            <w:shd w:val="clear" w:color="auto" w:fill="auto"/>
            <w:vAlign w:val="center"/>
          </w:tcPr>
          <w:p>
            <w:pPr>
              <w:jc w:val="center"/>
              <w:rPr>
                <w:rFonts w:hint="eastAsia" w:ascii="仿宋" w:hAnsi="仿宋" w:eastAsia="仿宋" w:cs="仿宋"/>
                <w:i w:val="0"/>
                <w:iCs w:val="0"/>
                <w:color w:val="000000"/>
                <w:sz w:val="20"/>
                <w:szCs w:val="20"/>
                <w:highlight w:val="none"/>
                <w:u w:val="none"/>
              </w:rPr>
            </w:pPr>
          </w:p>
        </w:tc>
      </w:tr>
    </w:tbl>
    <w:p>
      <w:pPr>
        <w:widowControl w:val="0"/>
        <w:kinsoku/>
        <w:autoSpaceDE/>
        <w:autoSpaceDN/>
        <w:adjustRightInd/>
        <w:snapToGrid/>
        <w:textAlignment w:val="auto"/>
        <w:rPr>
          <w:rFonts w:hint="eastAsia" w:ascii="仿宋_GB2312" w:hAnsi="宋体" w:eastAsia="仿宋_GB2312" w:cs="宋体"/>
          <w:sz w:val="32"/>
          <w:szCs w:val="32"/>
          <w:highlight w:val="none"/>
        </w:rPr>
      </w:pPr>
    </w:p>
    <w:p>
      <w:pPr>
        <w:spacing w:line="360" w:lineRule="auto"/>
        <w:ind w:firstLine="640" w:firstLineChars="200"/>
        <w:textAlignment w:val="center"/>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3</w:t>
      </w:r>
      <w:r>
        <w:rPr>
          <w:rFonts w:hint="eastAsia" w:ascii="楷体_GB2312" w:hAnsi="楷体_GB2312" w:eastAsia="楷体_GB2312" w:cs="楷体_GB2312"/>
          <w:b/>
          <w:bCs/>
          <w:sz w:val="32"/>
          <w:szCs w:val="32"/>
          <w:highlight w:val="none"/>
        </w:rPr>
        <w:t>.评价方法</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采取定性与定量相结合的方式，</w:t>
      </w:r>
      <w:r>
        <w:rPr>
          <w:rFonts w:hint="eastAsia" w:ascii="仿宋" w:hAnsi="仿宋" w:eastAsia="仿宋" w:cs="仿宋"/>
          <w:sz w:val="32"/>
          <w:szCs w:val="32"/>
          <w:highlight w:val="none"/>
          <w:lang w:val="en-US" w:eastAsia="zh-CN"/>
        </w:rPr>
        <w:t>运用</w:t>
      </w:r>
      <w:r>
        <w:rPr>
          <w:rFonts w:hint="eastAsia" w:ascii="仿宋" w:hAnsi="仿宋" w:eastAsia="仿宋" w:cs="仿宋"/>
          <w:sz w:val="32"/>
          <w:szCs w:val="32"/>
          <w:highlight w:val="none"/>
        </w:rPr>
        <w:t>成本效益分析法、比较法、专家评议法等方法开展评价工作。工作组通过调研和审核评价资料的方式，了解项目资金的决策、使用和取得的效益情况。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center"/>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4.评价标准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（1）计划标准。是指以预先制定的目标、计划、预算、定额等数据作为评价的标准。</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（2）行业标准。是指参照国家公布的行业指标数据制定的评价标准。</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（3）历史标准。是指参照同类指标的历史数据制定的评价标准。</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（4）其他经财政部门确认的标准。</w:t>
      </w:r>
    </w:p>
    <w:p>
      <w:pPr>
        <w:pStyle w:val="3"/>
        <w:spacing w:line="600" w:lineRule="exact"/>
        <w:ind w:firstLine="642" w:firstLineChars="200"/>
        <w:rPr>
          <w:rFonts w:hint="eastAsia" w:ascii="楷体" w:hAnsi="楷体" w:eastAsia="楷体" w:cs="楷体"/>
          <w:b/>
          <w:bCs w:val="0"/>
          <w:highlight w:val="none"/>
        </w:rPr>
      </w:pPr>
      <w:bookmarkStart w:id="37" w:name="_Toc27583"/>
      <w:bookmarkStart w:id="38" w:name="_Toc25190"/>
      <w:bookmarkStart w:id="39" w:name="_Toc7752"/>
      <w:bookmarkStart w:id="40" w:name="_Toc20316"/>
      <w:bookmarkStart w:id="41" w:name="_Toc21181"/>
      <w:bookmarkStart w:id="42" w:name="_Toc24212"/>
      <w:r>
        <w:rPr>
          <w:rFonts w:hint="eastAsia" w:ascii="楷体" w:hAnsi="楷体" w:eastAsia="楷体" w:cs="楷体"/>
          <w:b/>
          <w:bCs w:val="0"/>
          <w:highlight w:val="none"/>
        </w:rPr>
        <w:t>绩效评价工作过程</w:t>
      </w:r>
      <w:bookmarkEnd w:id="37"/>
      <w:bookmarkEnd w:id="38"/>
      <w:bookmarkEnd w:id="39"/>
      <w:bookmarkEnd w:id="40"/>
      <w:bookmarkEnd w:id="41"/>
      <w:bookmarkEnd w:id="42"/>
    </w:p>
    <w:p>
      <w:pPr>
        <w:rPr>
          <w:highlight w:val="none"/>
        </w:rPr>
      </w:pPr>
    </w:p>
    <w:p>
      <w:pPr>
        <w:pStyle w:val="11"/>
        <w:spacing w:line="360" w:lineRule="auto"/>
        <w:ind w:firstLine="640" w:firstLineChars="200"/>
        <w:rPr>
          <w:rFonts w:hint="eastAsia" w:ascii="仿宋" w:hAnsi="仿宋" w:eastAsia="仿宋" w:cs="仿宋"/>
          <w:sz w:val="32"/>
          <w:szCs w:val="32"/>
          <w:highlight w:val="none"/>
        </w:rPr>
      </w:pPr>
      <w:bookmarkStart w:id="43" w:name="_Toc24877"/>
      <w:bookmarkStart w:id="44" w:name="_Toc27215"/>
      <w:bookmarkStart w:id="45" w:name="_Toc5141"/>
      <w:r>
        <w:rPr>
          <w:rFonts w:hint="eastAsia" w:ascii="仿宋" w:hAnsi="仿宋" w:eastAsia="仿宋" w:cs="仿宋"/>
          <w:sz w:val="32"/>
          <w:szCs w:val="32"/>
          <w:highlight w:val="none"/>
        </w:rPr>
        <w:t>1.前期调研</w:t>
      </w:r>
      <w:bookmarkEnd w:id="43"/>
      <w:bookmarkEnd w:id="44"/>
      <w:bookmarkEnd w:id="45"/>
      <w:r>
        <w:rPr>
          <w:rFonts w:hint="eastAsia" w:ascii="仿宋" w:hAnsi="仿宋" w:eastAsia="仿宋" w:cs="仿宋"/>
          <w:sz w:val="32"/>
          <w:szCs w:val="32"/>
          <w:highlight w:val="none"/>
        </w:rPr>
        <w:t>。评价组与项目实施单位进行沟通，并搜集相关政策文件、项目资料以及相关财务收支凭证、合同、管理制度等，进行分析、评估。</w:t>
      </w:r>
      <w:bookmarkStart w:id="46" w:name="_Toc28449"/>
      <w:bookmarkStart w:id="47" w:name="_Toc10687"/>
    </w:p>
    <w:p>
      <w:pPr>
        <w:pStyle w:val="11"/>
        <w:spacing w:line="360"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2.方案制定</w:t>
      </w:r>
      <w:bookmarkEnd w:id="46"/>
      <w:bookmarkEnd w:id="47"/>
      <w:r>
        <w:rPr>
          <w:rFonts w:hint="eastAsia" w:ascii="仿宋" w:hAnsi="仿宋" w:eastAsia="仿宋" w:cs="仿宋"/>
          <w:sz w:val="32"/>
          <w:szCs w:val="32"/>
          <w:highlight w:val="none"/>
        </w:rPr>
        <w:t>。了解年度项目实施内容、实施流程，根据项目资金实际情况和绩效管理要求制定工作方案。</w:t>
      </w:r>
    </w:p>
    <w:p>
      <w:pPr>
        <w:pStyle w:val="11"/>
        <w:spacing w:line="360" w:lineRule="auto"/>
        <w:ind w:firstLine="567"/>
        <w:rPr>
          <w:rFonts w:hint="default" w:ascii="仿宋" w:hAnsi="仿宋" w:eastAsia="仿宋" w:cs="仿宋"/>
          <w:sz w:val="32"/>
          <w:szCs w:val="32"/>
          <w:highlight w:val="none"/>
          <w:lang w:val="en-US" w:eastAsia="zh-CN"/>
        </w:rPr>
      </w:pPr>
      <w:bookmarkStart w:id="48" w:name="_Toc26043"/>
      <w:bookmarkStart w:id="49" w:name="_Toc16449"/>
      <w:bookmarkStart w:id="50" w:name="_Toc20872"/>
      <w:r>
        <w:rPr>
          <w:rFonts w:hint="eastAsia" w:ascii="仿宋" w:hAnsi="仿宋" w:eastAsia="仿宋" w:cs="仿宋"/>
          <w:sz w:val="32"/>
          <w:szCs w:val="32"/>
          <w:highlight w:val="none"/>
        </w:rPr>
        <w:t>3.数据采集</w:t>
      </w:r>
      <w:bookmarkEnd w:id="48"/>
      <w:bookmarkEnd w:id="49"/>
      <w:bookmarkEnd w:id="50"/>
      <w:r>
        <w:rPr>
          <w:rFonts w:hint="eastAsia" w:ascii="仿宋" w:hAnsi="仿宋" w:eastAsia="仿宋" w:cs="仿宋"/>
          <w:sz w:val="32"/>
          <w:szCs w:val="32"/>
          <w:highlight w:val="none"/>
        </w:rPr>
        <w:t>。按照现场评价通知中的现场调研时间安排，到项目单位进行调研访谈、核查资料和分析评价。</w:t>
      </w:r>
      <w:r>
        <w:rPr>
          <w:rFonts w:hint="eastAsia" w:ascii="仿宋" w:hAnsi="仿宋" w:eastAsia="仿宋" w:cs="仿宋"/>
          <w:sz w:val="32"/>
          <w:szCs w:val="32"/>
          <w:highlight w:val="none"/>
          <w:lang w:val="en-US" w:eastAsia="zh-CN"/>
        </w:rPr>
        <w:t>并对采集的资料逐一核实，按照指标体系内容和评价重点，对资料按照决策、管理、效果三大类进项整理，供专家审阅。</w:t>
      </w:r>
    </w:p>
    <w:p>
      <w:pPr>
        <w:pStyle w:val="11"/>
        <w:spacing w:after="0" w:line="360" w:lineRule="auto"/>
        <w:ind w:firstLine="640" w:firstLineChars="200"/>
        <w:jc w:val="both"/>
        <w:outlineLvl w:val="3"/>
        <w:rPr>
          <w:rFonts w:hint="eastAsia" w:ascii="仿宋" w:hAnsi="仿宋" w:eastAsia="仿宋" w:cs="仿宋"/>
          <w:sz w:val="32"/>
          <w:szCs w:val="32"/>
          <w:highlight w:val="none"/>
        </w:rPr>
      </w:pPr>
      <w:bookmarkStart w:id="51" w:name="_Toc6779"/>
      <w:bookmarkStart w:id="52" w:name="_Toc4349"/>
      <w:bookmarkStart w:id="53" w:name="_Toc24237"/>
      <w:r>
        <w:rPr>
          <w:rFonts w:hint="eastAsia" w:ascii="仿宋" w:hAnsi="仿宋" w:eastAsia="仿宋" w:cs="仿宋"/>
          <w:sz w:val="32"/>
          <w:szCs w:val="32"/>
          <w:highlight w:val="none"/>
        </w:rPr>
        <w:t>4.召开专家评价会。</w:t>
      </w:r>
      <w:r>
        <w:rPr>
          <w:rFonts w:hint="eastAsia" w:ascii="仿宋" w:hAnsi="仿宋" w:eastAsia="仿宋" w:cs="仿宋"/>
          <w:sz w:val="32"/>
          <w:szCs w:val="32"/>
          <w:highlight w:val="none"/>
          <w:lang w:val="en-US" w:eastAsia="zh-CN"/>
        </w:rPr>
        <w:t>根据项目特点，评价工作组</w:t>
      </w:r>
      <w:r>
        <w:rPr>
          <w:rFonts w:hint="eastAsia" w:ascii="仿宋" w:hAnsi="仿宋" w:eastAsia="仿宋" w:cs="仿宋"/>
          <w:sz w:val="32"/>
          <w:szCs w:val="32"/>
          <w:highlight w:val="none"/>
        </w:rPr>
        <w:t>遴选</w:t>
      </w:r>
      <w:r>
        <w:rPr>
          <w:rFonts w:hint="eastAsia" w:ascii="仿宋" w:hAnsi="仿宋" w:eastAsia="仿宋" w:cs="仿宋"/>
          <w:sz w:val="32"/>
          <w:szCs w:val="32"/>
          <w:highlight w:val="none"/>
          <w:lang w:val="en-US" w:eastAsia="zh-CN"/>
        </w:rPr>
        <w:t>5名专家，包括2名</w:t>
      </w:r>
      <w:r>
        <w:rPr>
          <w:rFonts w:hint="eastAsia" w:ascii="仿宋" w:hAnsi="仿宋" w:eastAsia="仿宋" w:cs="仿宋"/>
          <w:sz w:val="32"/>
          <w:szCs w:val="32"/>
          <w:highlight w:val="none"/>
        </w:rPr>
        <w:t>业务专家、</w:t>
      </w:r>
      <w:r>
        <w:rPr>
          <w:rFonts w:hint="eastAsia" w:ascii="仿宋" w:hAnsi="仿宋" w:eastAsia="仿宋" w:cs="仿宋"/>
          <w:sz w:val="32"/>
          <w:szCs w:val="32"/>
          <w:highlight w:val="none"/>
          <w:lang w:val="en-US" w:eastAsia="zh-CN"/>
        </w:rPr>
        <w:t>2名绩效</w:t>
      </w:r>
      <w:r>
        <w:rPr>
          <w:rFonts w:hint="eastAsia" w:ascii="仿宋" w:hAnsi="仿宋" w:eastAsia="仿宋" w:cs="仿宋"/>
          <w:sz w:val="32"/>
          <w:szCs w:val="32"/>
          <w:highlight w:val="none"/>
        </w:rPr>
        <w:t>管理专家和</w:t>
      </w:r>
      <w:r>
        <w:rPr>
          <w:rFonts w:hint="eastAsia" w:ascii="仿宋" w:hAnsi="仿宋" w:eastAsia="仿宋" w:cs="仿宋"/>
          <w:sz w:val="32"/>
          <w:szCs w:val="32"/>
          <w:highlight w:val="none"/>
          <w:lang w:val="en-US" w:eastAsia="zh-CN"/>
        </w:rPr>
        <w:t>1名</w:t>
      </w:r>
      <w:r>
        <w:rPr>
          <w:rFonts w:hint="eastAsia" w:ascii="仿宋" w:hAnsi="仿宋" w:eastAsia="仿宋" w:cs="仿宋"/>
          <w:sz w:val="32"/>
          <w:szCs w:val="32"/>
          <w:highlight w:val="none"/>
        </w:rPr>
        <w:t>财务专家，</w:t>
      </w:r>
      <w:r>
        <w:rPr>
          <w:rFonts w:hint="eastAsia" w:ascii="仿宋" w:hAnsi="仿宋" w:eastAsia="仿宋" w:cs="仿宋"/>
          <w:sz w:val="32"/>
          <w:szCs w:val="32"/>
          <w:highlight w:val="none"/>
          <w:lang w:val="en-US" w:eastAsia="zh-CN"/>
        </w:rPr>
        <w:t>按期</w:t>
      </w:r>
      <w:r>
        <w:rPr>
          <w:rFonts w:hint="eastAsia" w:ascii="仿宋" w:hAnsi="仿宋" w:eastAsia="仿宋" w:cs="仿宋"/>
          <w:sz w:val="32"/>
          <w:szCs w:val="32"/>
          <w:highlight w:val="none"/>
        </w:rPr>
        <w:t>组织召开专家评价会，</w:t>
      </w:r>
      <w:r>
        <w:rPr>
          <w:rFonts w:hint="eastAsia" w:ascii="仿宋" w:hAnsi="仿宋" w:eastAsia="仿宋" w:cs="仿宋"/>
          <w:sz w:val="32"/>
          <w:szCs w:val="32"/>
          <w:highlight w:val="none"/>
          <w:lang w:val="en-US" w:eastAsia="zh-CN"/>
        </w:rPr>
        <w:t>项目单位汇报项目情况，并接受专家质询，专家根据评价指标体系对项目进行评分，并出</w:t>
      </w:r>
      <w:r>
        <w:rPr>
          <w:rFonts w:hint="eastAsia" w:ascii="仿宋" w:hAnsi="仿宋" w:eastAsia="仿宋" w:cs="仿宋"/>
          <w:sz w:val="32"/>
          <w:szCs w:val="32"/>
          <w:highlight w:val="none"/>
        </w:rPr>
        <w:t>专家意见。</w:t>
      </w:r>
    </w:p>
    <w:p>
      <w:pPr>
        <w:pStyle w:val="11"/>
        <w:spacing w:line="360"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5.</w:t>
      </w:r>
      <w:bookmarkEnd w:id="51"/>
      <w:bookmarkEnd w:id="52"/>
      <w:bookmarkEnd w:id="53"/>
      <w:r>
        <w:rPr>
          <w:rFonts w:hint="eastAsia" w:ascii="仿宋" w:hAnsi="仿宋" w:eastAsia="仿宋" w:cs="仿宋"/>
          <w:sz w:val="32"/>
          <w:szCs w:val="32"/>
          <w:highlight w:val="none"/>
          <w:lang w:val="en-US" w:eastAsia="zh-CN"/>
        </w:rPr>
        <w:t>评价报告</w:t>
      </w:r>
      <w:r>
        <w:rPr>
          <w:rFonts w:hint="eastAsia" w:ascii="仿宋" w:hAnsi="仿宋" w:eastAsia="仿宋" w:cs="仿宋"/>
          <w:sz w:val="32"/>
          <w:szCs w:val="32"/>
          <w:highlight w:val="none"/>
        </w:rPr>
        <w:t>。评价工作组根据专家讨论意见和评价结果，完成绩效评价报告初稿的撰写工作。报告初稿报经</w:t>
      </w:r>
      <w:r>
        <w:rPr>
          <w:rFonts w:hint="eastAsia" w:ascii="仿宋" w:hAnsi="仿宋" w:eastAsia="仿宋" w:cs="仿宋"/>
          <w:sz w:val="32"/>
          <w:szCs w:val="32"/>
          <w:highlight w:val="none"/>
          <w:lang w:val="en-US" w:eastAsia="zh-CN"/>
        </w:rPr>
        <w:t>知产</w:t>
      </w:r>
      <w:r>
        <w:rPr>
          <w:rFonts w:hint="eastAsia" w:ascii="仿宋" w:hAnsi="仿宋" w:eastAsia="仿宋" w:cs="仿宋"/>
          <w:sz w:val="32"/>
          <w:szCs w:val="32"/>
          <w:highlight w:val="none"/>
        </w:rPr>
        <w:t>法院沟通反馈后，形成评价报告终稿。</w:t>
      </w:r>
    </w:p>
    <w:p>
      <w:pPr>
        <w:pStyle w:val="2"/>
        <w:numPr>
          <w:ilvl w:val="0"/>
          <w:numId w:val="2"/>
        </w:numPr>
        <w:bidi w:val="0"/>
        <w:ind w:left="0" w:leftChars="0" w:firstLine="420" w:firstLineChars="0"/>
        <w:jc w:val="left"/>
        <w:rPr>
          <w:rFonts w:hint="eastAsia"/>
          <w:highlight w:val="none"/>
        </w:rPr>
      </w:pPr>
      <w:bookmarkStart w:id="54" w:name="_Toc17200"/>
      <w:bookmarkStart w:id="55" w:name="_Toc23673"/>
      <w:bookmarkStart w:id="56" w:name="_Toc964"/>
      <w:bookmarkStart w:id="57" w:name="_Toc1833"/>
      <w:bookmarkStart w:id="58" w:name="_Toc24678"/>
      <w:bookmarkStart w:id="59" w:name="_Toc21065"/>
      <w:r>
        <w:rPr>
          <w:rFonts w:hint="eastAsia"/>
          <w:highlight w:val="none"/>
        </w:rPr>
        <w:t>综合评价情况及评价结论</w:t>
      </w:r>
      <w:bookmarkEnd w:id="54"/>
      <w:bookmarkEnd w:id="55"/>
      <w:bookmarkEnd w:id="56"/>
      <w:bookmarkEnd w:id="57"/>
      <w:bookmarkEnd w:id="58"/>
      <w:bookmarkEnd w:id="59"/>
    </w:p>
    <w:p>
      <w:pPr>
        <w:spacing w:line="60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经综合评价，本项目绩效评价得分8</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rPr>
        <w:t>4分。参考财政部《关于印发&lt;项目支出绩效评价管理办法&gt;的通知》（财预〔2020〕10号）文件的评价标准，项目评分90（含）-100分为优、80（含）-90分为良、60（含）-80分为中、60分以下为差，该项目综合绩效评价级别为 “良”。本项目得分情况汇总表如下：</w:t>
      </w:r>
    </w:p>
    <w:tbl>
      <w:tblPr>
        <w:tblStyle w:val="16"/>
        <w:tblW w:w="8095" w:type="dxa"/>
        <w:tblInd w:w="93" w:type="dxa"/>
        <w:tblLayout w:type="autofit"/>
        <w:tblCellMar>
          <w:top w:w="0" w:type="dxa"/>
          <w:left w:w="108" w:type="dxa"/>
          <w:bottom w:w="0" w:type="dxa"/>
          <w:right w:w="108" w:type="dxa"/>
        </w:tblCellMar>
      </w:tblPr>
      <w:tblGrid>
        <w:gridCol w:w="3134"/>
        <w:gridCol w:w="1701"/>
        <w:gridCol w:w="1559"/>
        <w:gridCol w:w="1701"/>
      </w:tblGrid>
      <w:tr>
        <w:tblPrEx>
          <w:tblCellMar>
            <w:top w:w="0" w:type="dxa"/>
            <w:left w:w="108" w:type="dxa"/>
            <w:bottom w:w="0" w:type="dxa"/>
            <w:right w:w="108" w:type="dxa"/>
          </w:tblCellMar>
        </w:tblPrEx>
        <w:trPr>
          <w:trHeight w:val="348" w:hRule="atLeast"/>
        </w:trPr>
        <w:tc>
          <w:tcPr>
            <w:tcW w:w="3134" w:type="dxa"/>
            <w:tcBorders>
              <w:top w:val="single" w:color="auto" w:sz="12" w:space="0"/>
              <w:left w:val="nil"/>
              <w:bottom w:val="dotted" w:color="auto" w:sz="4" w:space="0"/>
              <w:right w:val="dotted" w:color="auto" w:sz="4" w:space="0"/>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一级指标</w:t>
            </w:r>
          </w:p>
        </w:tc>
        <w:tc>
          <w:tcPr>
            <w:tcW w:w="1701" w:type="dxa"/>
            <w:tcBorders>
              <w:top w:val="single" w:color="auto" w:sz="12" w:space="0"/>
              <w:left w:val="dotted" w:color="auto" w:sz="4" w:space="0"/>
              <w:bottom w:val="dotted" w:color="auto" w:sz="4" w:space="0"/>
              <w:right w:val="dotted" w:color="auto" w:sz="4" w:space="0"/>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分值</w:t>
            </w:r>
          </w:p>
        </w:tc>
        <w:tc>
          <w:tcPr>
            <w:tcW w:w="1559" w:type="dxa"/>
            <w:tcBorders>
              <w:top w:val="single" w:color="auto" w:sz="12" w:space="0"/>
              <w:left w:val="dotted" w:color="auto" w:sz="4" w:space="0"/>
              <w:bottom w:val="dotted" w:color="auto" w:sz="4" w:space="0"/>
              <w:right w:val="dotted" w:color="auto" w:sz="4" w:space="0"/>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得分</w:t>
            </w:r>
          </w:p>
        </w:tc>
        <w:tc>
          <w:tcPr>
            <w:tcW w:w="1701" w:type="dxa"/>
            <w:tcBorders>
              <w:top w:val="single" w:color="auto" w:sz="12" w:space="0"/>
              <w:left w:val="dotted" w:color="auto" w:sz="4" w:space="0"/>
              <w:bottom w:val="dotted" w:color="auto" w:sz="4" w:space="0"/>
              <w:right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得分率</w:t>
            </w:r>
          </w:p>
        </w:tc>
      </w:tr>
      <w:tr>
        <w:tblPrEx>
          <w:tblCellMar>
            <w:top w:w="0" w:type="dxa"/>
            <w:left w:w="108" w:type="dxa"/>
            <w:bottom w:w="0" w:type="dxa"/>
            <w:right w:w="108" w:type="dxa"/>
          </w:tblCellMar>
        </w:tblPrEx>
        <w:trPr>
          <w:trHeight w:val="285" w:hRule="atLeast"/>
        </w:trPr>
        <w:tc>
          <w:tcPr>
            <w:tcW w:w="3134" w:type="dxa"/>
            <w:tcBorders>
              <w:top w:val="dotted" w:color="auto" w:sz="4" w:space="0"/>
              <w:left w:val="nil"/>
              <w:bottom w:val="dotted" w:color="auto" w:sz="4" w:space="0"/>
              <w:right w:val="dotted" w:color="auto" w:sz="4" w:space="0"/>
            </w:tcBorders>
            <w:shd w:val="clear" w:color="auto" w:fill="auto"/>
            <w:noWrap/>
            <w:vAlign w:val="center"/>
          </w:tcPr>
          <w:p>
            <w:pPr>
              <w:textAlignment w:val="center"/>
              <w:rPr>
                <w:rFonts w:ascii="仿宋" w:hAnsi="仿宋" w:eastAsia="仿宋" w:cs="宋体"/>
                <w:sz w:val="24"/>
                <w:szCs w:val="24"/>
                <w:highlight w:val="none"/>
              </w:rPr>
            </w:pPr>
            <w:r>
              <w:rPr>
                <w:rFonts w:hint="eastAsia" w:ascii="仿宋_GB2312" w:hAnsi="宋体" w:eastAsia="仿宋_GB2312" w:cs="仿宋_GB2312"/>
                <w:sz w:val="24"/>
                <w:szCs w:val="24"/>
                <w:highlight w:val="none"/>
              </w:rPr>
              <w:t>决策（20%）</w:t>
            </w:r>
          </w:p>
        </w:tc>
        <w:tc>
          <w:tcPr>
            <w:tcW w:w="1701" w:type="dxa"/>
            <w:tcBorders>
              <w:top w:val="dotted" w:color="auto" w:sz="4" w:space="0"/>
              <w:left w:val="dotted" w:color="auto" w:sz="4" w:space="0"/>
              <w:bottom w:val="dotted" w:color="auto" w:sz="4" w:space="0"/>
              <w:right w:val="dotted" w:color="auto" w:sz="4" w:space="0"/>
            </w:tcBorders>
            <w:shd w:val="clear" w:color="auto" w:fill="auto"/>
            <w:noWrap/>
            <w:vAlign w:val="center"/>
          </w:tcPr>
          <w:p>
            <w:pPr>
              <w:jc w:val="center"/>
              <w:textAlignment w:val="center"/>
              <w:rPr>
                <w:rFonts w:ascii="仿宋" w:hAnsi="仿宋" w:eastAsia="仿宋" w:cs="宋体"/>
                <w:sz w:val="24"/>
                <w:szCs w:val="24"/>
                <w:highlight w:val="none"/>
              </w:rPr>
            </w:pPr>
            <w:r>
              <w:rPr>
                <w:rFonts w:hint="eastAsia" w:ascii="仿宋_GB2312" w:hAnsi="宋体" w:eastAsia="仿宋_GB2312" w:cs="仿宋_GB2312"/>
                <w:sz w:val="24"/>
                <w:szCs w:val="24"/>
                <w:highlight w:val="none"/>
              </w:rPr>
              <w:t>20</w:t>
            </w:r>
          </w:p>
        </w:tc>
        <w:tc>
          <w:tcPr>
            <w:tcW w:w="1559" w:type="dxa"/>
            <w:tcBorders>
              <w:top w:val="dotted" w:color="auto" w:sz="4" w:space="0"/>
              <w:left w:val="dotted" w:color="auto" w:sz="4" w:space="0"/>
              <w:bottom w:val="dotted" w:color="auto" w:sz="4" w:space="0"/>
              <w:right w:val="dotted" w:color="auto" w:sz="4" w:space="0"/>
            </w:tcBorders>
            <w:shd w:val="clear" w:color="auto" w:fill="auto"/>
            <w:noWrap/>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_GB2312" w:hAnsi="宋体" w:eastAsia="仿宋_GB2312" w:cs="仿宋_GB2312"/>
                <w:i w:val="0"/>
                <w:iCs w:val="0"/>
                <w:snapToGrid w:val="0"/>
                <w:color w:val="000000"/>
                <w:kern w:val="0"/>
                <w:sz w:val="24"/>
                <w:szCs w:val="24"/>
                <w:u w:val="none"/>
                <w:lang w:val="en-US" w:eastAsia="zh-CN" w:bidi="ar"/>
              </w:rPr>
              <w:t xml:space="preserve"> 17.00 </w:t>
            </w:r>
          </w:p>
        </w:tc>
        <w:tc>
          <w:tcPr>
            <w:tcW w:w="1701" w:type="dxa"/>
            <w:tcBorders>
              <w:top w:val="dotted" w:color="auto" w:sz="4" w:space="0"/>
              <w:left w:val="dotted" w:color="auto" w:sz="4" w:space="0"/>
              <w:bottom w:val="dotted" w:color="auto" w:sz="4" w:space="0"/>
              <w:right w:val="nil"/>
            </w:tcBorders>
            <w:shd w:val="clear" w:color="auto" w:fill="auto"/>
            <w:noWrap/>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_GB2312" w:hAnsi="宋体" w:eastAsia="仿宋_GB2312" w:cs="仿宋_GB2312"/>
                <w:i w:val="0"/>
                <w:iCs w:val="0"/>
                <w:snapToGrid w:val="0"/>
                <w:color w:val="000000"/>
                <w:kern w:val="0"/>
                <w:sz w:val="24"/>
                <w:szCs w:val="24"/>
                <w:u w:val="none"/>
                <w:lang w:val="en-US" w:eastAsia="zh-CN" w:bidi="ar"/>
              </w:rPr>
              <w:t>85.00%</w:t>
            </w:r>
          </w:p>
        </w:tc>
      </w:tr>
      <w:tr>
        <w:tblPrEx>
          <w:tblCellMar>
            <w:top w:w="0" w:type="dxa"/>
            <w:left w:w="108" w:type="dxa"/>
            <w:bottom w:w="0" w:type="dxa"/>
            <w:right w:w="108" w:type="dxa"/>
          </w:tblCellMar>
        </w:tblPrEx>
        <w:trPr>
          <w:trHeight w:val="285" w:hRule="atLeast"/>
        </w:trPr>
        <w:tc>
          <w:tcPr>
            <w:tcW w:w="3134" w:type="dxa"/>
            <w:tcBorders>
              <w:top w:val="dotted" w:color="auto" w:sz="4" w:space="0"/>
              <w:left w:val="nil"/>
              <w:bottom w:val="dotted" w:color="auto" w:sz="4" w:space="0"/>
              <w:right w:val="dotted" w:color="auto" w:sz="4" w:space="0"/>
            </w:tcBorders>
            <w:shd w:val="clear" w:color="auto" w:fill="auto"/>
            <w:noWrap/>
            <w:vAlign w:val="center"/>
          </w:tcPr>
          <w:p>
            <w:pPr>
              <w:textAlignment w:val="center"/>
              <w:rPr>
                <w:rFonts w:ascii="仿宋" w:hAnsi="仿宋" w:eastAsia="仿宋" w:cs="宋体"/>
                <w:sz w:val="24"/>
                <w:szCs w:val="24"/>
                <w:highlight w:val="none"/>
              </w:rPr>
            </w:pPr>
            <w:r>
              <w:rPr>
                <w:rFonts w:hint="eastAsia" w:ascii="仿宋_GB2312" w:hAnsi="宋体" w:eastAsia="仿宋_GB2312" w:cs="仿宋_GB2312"/>
                <w:sz w:val="24"/>
                <w:szCs w:val="24"/>
                <w:highlight w:val="none"/>
              </w:rPr>
              <w:t>过程（20%）</w:t>
            </w:r>
          </w:p>
        </w:tc>
        <w:tc>
          <w:tcPr>
            <w:tcW w:w="1701" w:type="dxa"/>
            <w:tcBorders>
              <w:top w:val="dotted" w:color="auto" w:sz="4" w:space="0"/>
              <w:left w:val="dotted" w:color="auto" w:sz="4" w:space="0"/>
              <w:bottom w:val="dotted" w:color="auto" w:sz="4" w:space="0"/>
              <w:right w:val="dotted" w:color="auto" w:sz="4" w:space="0"/>
            </w:tcBorders>
            <w:shd w:val="clear" w:color="auto" w:fill="auto"/>
            <w:noWrap/>
            <w:vAlign w:val="center"/>
          </w:tcPr>
          <w:p>
            <w:pPr>
              <w:jc w:val="center"/>
              <w:textAlignment w:val="center"/>
              <w:rPr>
                <w:rFonts w:ascii="仿宋" w:hAnsi="仿宋" w:eastAsia="仿宋" w:cs="宋体"/>
                <w:sz w:val="24"/>
                <w:szCs w:val="24"/>
                <w:highlight w:val="none"/>
              </w:rPr>
            </w:pPr>
            <w:r>
              <w:rPr>
                <w:rFonts w:hint="eastAsia" w:ascii="仿宋_GB2312" w:hAnsi="宋体" w:eastAsia="仿宋_GB2312" w:cs="仿宋_GB2312"/>
                <w:sz w:val="24"/>
                <w:szCs w:val="24"/>
                <w:highlight w:val="none"/>
              </w:rPr>
              <w:t>20</w:t>
            </w:r>
          </w:p>
        </w:tc>
        <w:tc>
          <w:tcPr>
            <w:tcW w:w="1559" w:type="dxa"/>
            <w:tcBorders>
              <w:top w:val="dotted" w:color="auto" w:sz="4" w:space="0"/>
              <w:left w:val="dotted" w:color="auto" w:sz="4" w:space="0"/>
              <w:bottom w:val="dotted" w:color="auto" w:sz="4" w:space="0"/>
              <w:right w:val="dotted" w:color="auto" w:sz="4" w:space="0"/>
            </w:tcBorders>
            <w:shd w:val="clear" w:color="auto" w:fill="auto"/>
            <w:noWrap/>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_GB2312" w:hAnsi="宋体" w:eastAsia="仿宋_GB2312" w:cs="仿宋_GB2312"/>
                <w:i w:val="0"/>
                <w:iCs w:val="0"/>
                <w:snapToGrid w:val="0"/>
                <w:color w:val="000000"/>
                <w:kern w:val="0"/>
                <w:sz w:val="24"/>
                <w:szCs w:val="24"/>
                <w:u w:val="none"/>
                <w:lang w:val="en-US" w:eastAsia="zh-CN" w:bidi="ar"/>
              </w:rPr>
              <w:t xml:space="preserve"> 16.60 </w:t>
            </w:r>
          </w:p>
        </w:tc>
        <w:tc>
          <w:tcPr>
            <w:tcW w:w="1701" w:type="dxa"/>
            <w:tcBorders>
              <w:top w:val="dotted" w:color="auto" w:sz="4" w:space="0"/>
              <w:left w:val="dotted" w:color="auto" w:sz="4" w:space="0"/>
              <w:bottom w:val="dotted" w:color="auto" w:sz="4" w:space="0"/>
              <w:right w:val="nil"/>
            </w:tcBorders>
            <w:shd w:val="clear" w:color="auto" w:fill="auto"/>
            <w:noWrap/>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_GB2312" w:hAnsi="宋体" w:eastAsia="仿宋_GB2312" w:cs="仿宋_GB2312"/>
                <w:i w:val="0"/>
                <w:iCs w:val="0"/>
                <w:snapToGrid w:val="0"/>
                <w:color w:val="000000"/>
                <w:kern w:val="0"/>
                <w:sz w:val="24"/>
                <w:szCs w:val="24"/>
                <w:u w:val="none"/>
                <w:lang w:val="en-US" w:eastAsia="zh-CN" w:bidi="ar"/>
              </w:rPr>
              <w:t>83.00%</w:t>
            </w:r>
          </w:p>
        </w:tc>
      </w:tr>
      <w:tr>
        <w:tblPrEx>
          <w:tblCellMar>
            <w:top w:w="0" w:type="dxa"/>
            <w:left w:w="108" w:type="dxa"/>
            <w:bottom w:w="0" w:type="dxa"/>
            <w:right w:w="108" w:type="dxa"/>
          </w:tblCellMar>
        </w:tblPrEx>
        <w:trPr>
          <w:trHeight w:val="285" w:hRule="atLeast"/>
        </w:trPr>
        <w:tc>
          <w:tcPr>
            <w:tcW w:w="3134" w:type="dxa"/>
            <w:tcBorders>
              <w:top w:val="dotted" w:color="auto" w:sz="4" w:space="0"/>
              <w:left w:val="nil"/>
              <w:bottom w:val="dotted" w:color="auto" w:sz="4" w:space="0"/>
              <w:right w:val="dotted" w:color="auto" w:sz="4" w:space="0"/>
            </w:tcBorders>
            <w:shd w:val="clear" w:color="auto" w:fill="auto"/>
            <w:noWrap/>
            <w:vAlign w:val="center"/>
          </w:tcPr>
          <w:p>
            <w:pPr>
              <w:textAlignment w:val="center"/>
              <w:rPr>
                <w:rFonts w:ascii="仿宋" w:hAnsi="仿宋" w:eastAsia="仿宋" w:cs="宋体"/>
                <w:sz w:val="24"/>
                <w:szCs w:val="24"/>
                <w:highlight w:val="none"/>
              </w:rPr>
            </w:pPr>
            <w:r>
              <w:rPr>
                <w:rFonts w:hint="eastAsia" w:ascii="仿宋_GB2312" w:hAnsi="宋体" w:eastAsia="仿宋_GB2312" w:cs="仿宋_GB2312"/>
                <w:sz w:val="24"/>
                <w:szCs w:val="24"/>
                <w:highlight w:val="none"/>
              </w:rPr>
              <w:t>产出（30%）</w:t>
            </w:r>
          </w:p>
        </w:tc>
        <w:tc>
          <w:tcPr>
            <w:tcW w:w="1701" w:type="dxa"/>
            <w:tcBorders>
              <w:top w:val="dotted" w:color="auto" w:sz="4" w:space="0"/>
              <w:left w:val="dotted" w:color="auto" w:sz="4" w:space="0"/>
              <w:bottom w:val="dotted" w:color="auto" w:sz="4" w:space="0"/>
              <w:right w:val="dotted" w:color="auto" w:sz="4" w:space="0"/>
            </w:tcBorders>
            <w:shd w:val="clear" w:color="auto" w:fill="auto"/>
            <w:noWrap/>
            <w:vAlign w:val="center"/>
          </w:tcPr>
          <w:p>
            <w:pPr>
              <w:jc w:val="center"/>
              <w:textAlignment w:val="center"/>
              <w:rPr>
                <w:rFonts w:ascii="仿宋" w:hAnsi="仿宋" w:eastAsia="仿宋" w:cs="宋体"/>
                <w:sz w:val="24"/>
                <w:szCs w:val="24"/>
                <w:highlight w:val="none"/>
              </w:rPr>
            </w:pPr>
            <w:r>
              <w:rPr>
                <w:rFonts w:hint="eastAsia" w:ascii="仿宋_GB2312" w:hAnsi="宋体" w:eastAsia="仿宋_GB2312" w:cs="仿宋_GB2312"/>
                <w:sz w:val="24"/>
                <w:szCs w:val="24"/>
                <w:highlight w:val="none"/>
              </w:rPr>
              <w:t>30</w:t>
            </w:r>
          </w:p>
        </w:tc>
        <w:tc>
          <w:tcPr>
            <w:tcW w:w="1559" w:type="dxa"/>
            <w:tcBorders>
              <w:top w:val="dotted" w:color="auto" w:sz="4" w:space="0"/>
              <w:left w:val="dotted" w:color="auto" w:sz="4" w:space="0"/>
              <w:bottom w:val="dotted" w:color="auto" w:sz="4" w:space="0"/>
              <w:right w:val="dotted" w:color="auto" w:sz="4" w:space="0"/>
            </w:tcBorders>
            <w:shd w:val="clear" w:color="auto" w:fill="auto"/>
            <w:noWrap/>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_GB2312" w:hAnsi="宋体" w:eastAsia="仿宋_GB2312" w:cs="仿宋_GB2312"/>
                <w:i w:val="0"/>
                <w:iCs w:val="0"/>
                <w:snapToGrid w:val="0"/>
                <w:color w:val="000000"/>
                <w:kern w:val="0"/>
                <w:sz w:val="24"/>
                <w:szCs w:val="24"/>
                <w:u w:val="none"/>
                <w:lang w:val="en-US" w:eastAsia="zh-CN" w:bidi="ar"/>
              </w:rPr>
              <w:t xml:space="preserve"> 27.30 </w:t>
            </w:r>
          </w:p>
        </w:tc>
        <w:tc>
          <w:tcPr>
            <w:tcW w:w="1701" w:type="dxa"/>
            <w:tcBorders>
              <w:top w:val="dotted" w:color="auto" w:sz="4" w:space="0"/>
              <w:left w:val="dotted" w:color="auto" w:sz="4" w:space="0"/>
              <w:bottom w:val="dotted" w:color="auto" w:sz="4" w:space="0"/>
              <w:right w:val="nil"/>
            </w:tcBorders>
            <w:shd w:val="clear" w:color="auto" w:fill="auto"/>
            <w:noWrap/>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_GB2312" w:hAnsi="宋体" w:eastAsia="仿宋_GB2312" w:cs="仿宋_GB2312"/>
                <w:i w:val="0"/>
                <w:iCs w:val="0"/>
                <w:snapToGrid w:val="0"/>
                <w:color w:val="000000"/>
                <w:kern w:val="0"/>
                <w:sz w:val="24"/>
                <w:szCs w:val="24"/>
                <w:u w:val="none"/>
                <w:lang w:val="en-US" w:eastAsia="zh-CN" w:bidi="ar"/>
              </w:rPr>
              <w:t>91.00%</w:t>
            </w:r>
          </w:p>
        </w:tc>
      </w:tr>
      <w:tr>
        <w:tblPrEx>
          <w:tblCellMar>
            <w:top w:w="0" w:type="dxa"/>
            <w:left w:w="108" w:type="dxa"/>
            <w:bottom w:w="0" w:type="dxa"/>
            <w:right w:w="108" w:type="dxa"/>
          </w:tblCellMar>
        </w:tblPrEx>
        <w:trPr>
          <w:trHeight w:val="285" w:hRule="atLeast"/>
        </w:trPr>
        <w:tc>
          <w:tcPr>
            <w:tcW w:w="3134" w:type="dxa"/>
            <w:tcBorders>
              <w:top w:val="dotted" w:color="auto" w:sz="4" w:space="0"/>
              <w:left w:val="nil"/>
              <w:bottom w:val="dotted" w:color="auto" w:sz="4" w:space="0"/>
              <w:right w:val="dotted" w:color="auto" w:sz="4" w:space="0"/>
            </w:tcBorders>
            <w:shd w:val="clear" w:color="auto" w:fill="auto"/>
            <w:noWrap/>
            <w:vAlign w:val="center"/>
          </w:tcPr>
          <w:p>
            <w:pPr>
              <w:textAlignment w:val="center"/>
              <w:rPr>
                <w:rFonts w:ascii="仿宋" w:hAnsi="仿宋" w:eastAsia="仿宋" w:cs="宋体"/>
                <w:sz w:val="24"/>
                <w:szCs w:val="24"/>
                <w:highlight w:val="none"/>
              </w:rPr>
            </w:pPr>
            <w:r>
              <w:rPr>
                <w:rFonts w:hint="eastAsia" w:ascii="仿宋_GB2312" w:hAnsi="宋体" w:eastAsia="仿宋_GB2312" w:cs="仿宋_GB2312"/>
                <w:sz w:val="24"/>
                <w:szCs w:val="24"/>
                <w:highlight w:val="none"/>
              </w:rPr>
              <w:t>效益（30%）</w:t>
            </w:r>
          </w:p>
        </w:tc>
        <w:tc>
          <w:tcPr>
            <w:tcW w:w="1701" w:type="dxa"/>
            <w:tcBorders>
              <w:top w:val="dotted" w:color="auto" w:sz="4" w:space="0"/>
              <w:left w:val="dotted" w:color="auto" w:sz="4" w:space="0"/>
              <w:bottom w:val="dotted" w:color="auto" w:sz="4" w:space="0"/>
              <w:right w:val="dotted" w:color="auto" w:sz="4" w:space="0"/>
            </w:tcBorders>
            <w:shd w:val="clear" w:color="auto" w:fill="auto"/>
            <w:noWrap/>
            <w:vAlign w:val="center"/>
          </w:tcPr>
          <w:p>
            <w:pPr>
              <w:jc w:val="center"/>
              <w:textAlignment w:val="center"/>
              <w:rPr>
                <w:rFonts w:ascii="仿宋" w:hAnsi="仿宋" w:eastAsia="仿宋" w:cs="宋体"/>
                <w:sz w:val="24"/>
                <w:szCs w:val="24"/>
                <w:highlight w:val="none"/>
              </w:rPr>
            </w:pPr>
            <w:r>
              <w:rPr>
                <w:rFonts w:hint="eastAsia" w:ascii="仿宋_GB2312" w:hAnsi="宋体" w:eastAsia="仿宋_GB2312" w:cs="仿宋_GB2312"/>
                <w:sz w:val="24"/>
                <w:szCs w:val="24"/>
                <w:highlight w:val="none"/>
              </w:rPr>
              <w:t>30</w:t>
            </w:r>
          </w:p>
        </w:tc>
        <w:tc>
          <w:tcPr>
            <w:tcW w:w="1559" w:type="dxa"/>
            <w:tcBorders>
              <w:top w:val="dotted" w:color="auto" w:sz="4" w:space="0"/>
              <w:left w:val="dotted" w:color="auto" w:sz="4" w:space="0"/>
              <w:bottom w:val="dotted" w:color="auto" w:sz="4" w:space="0"/>
              <w:right w:val="dotted" w:color="auto" w:sz="4" w:space="0"/>
            </w:tcBorders>
            <w:shd w:val="clear" w:color="auto" w:fill="auto"/>
            <w:noWrap/>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_GB2312" w:hAnsi="宋体" w:eastAsia="仿宋_GB2312" w:cs="仿宋_GB2312"/>
                <w:i w:val="0"/>
                <w:iCs w:val="0"/>
                <w:snapToGrid w:val="0"/>
                <w:color w:val="000000"/>
                <w:kern w:val="0"/>
                <w:sz w:val="24"/>
                <w:szCs w:val="24"/>
                <w:u w:val="none"/>
                <w:lang w:val="en-US" w:eastAsia="zh-CN" w:bidi="ar"/>
              </w:rPr>
              <w:t xml:space="preserve"> 27.04 </w:t>
            </w:r>
          </w:p>
        </w:tc>
        <w:tc>
          <w:tcPr>
            <w:tcW w:w="1701" w:type="dxa"/>
            <w:tcBorders>
              <w:top w:val="dotted" w:color="auto" w:sz="4" w:space="0"/>
              <w:left w:val="dotted" w:color="auto" w:sz="4" w:space="0"/>
              <w:bottom w:val="dotted" w:color="auto" w:sz="4" w:space="0"/>
              <w:right w:val="nil"/>
            </w:tcBorders>
            <w:shd w:val="clear" w:color="auto" w:fill="auto"/>
            <w:noWrap/>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_GB2312" w:hAnsi="宋体" w:eastAsia="仿宋_GB2312" w:cs="仿宋_GB2312"/>
                <w:i w:val="0"/>
                <w:iCs w:val="0"/>
                <w:snapToGrid w:val="0"/>
                <w:color w:val="000000"/>
                <w:kern w:val="0"/>
                <w:sz w:val="24"/>
                <w:szCs w:val="24"/>
                <w:u w:val="none"/>
                <w:lang w:val="en-US" w:eastAsia="zh-CN" w:bidi="ar"/>
              </w:rPr>
              <w:t>90.13%</w:t>
            </w:r>
          </w:p>
        </w:tc>
      </w:tr>
      <w:tr>
        <w:tblPrEx>
          <w:tblCellMar>
            <w:top w:w="0" w:type="dxa"/>
            <w:left w:w="108" w:type="dxa"/>
            <w:bottom w:w="0" w:type="dxa"/>
            <w:right w:w="108" w:type="dxa"/>
          </w:tblCellMar>
        </w:tblPrEx>
        <w:trPr>
          <w:trHeight w:val="300" w:hRule="atLeast"/>
        </w:trPr>
        <w:tc>
          <w:tcPr>
            <w:tcW w:w="3134" w:type="dxa"/>
            <w:tcBorders>
              <w:top w:val="dotted" w:color="auto" w:sz="4" w:space="0"/>
              <w:left w:val="nil"/>
              <w:bottom w:val="single" w:color="auto" w:sz="12" w:space="0"/>
              <w:right w:val="dotted" w:color="auto" w:sz="4" w:space="0"/>
            </w:tcBorders>
            <w:shd w:val="clear" w:color="auto" w:fill="auto"/>
            <w:noWrap/>
            <w:vAlign w:val="center"/>
          </w:tcPr>
          <w:p>
            <w:pPr>
              <w:jc w:val="center"/>
              <w:textAlignment w:val="center"/>
              <w:rPr>
                <w:rFonts w:ascii="仿宋" w:hAnsi="仿宋" w:eastAsia="仿宋" w:cs="宋体"/>
                <w:b/>
                <w:sz w:val="24"/>
                <w:szCs w:val="24"/>
                <w:highlight w:val="none"/>
              </w:rPr>
            </w:pPr>
            <w:r>
              <w:rPr>
                <w:rFonts w:hint="eastAsia" w:ascii="仿宋_GB2312" w:hAnsi="宋体" w:eastAsia="仿宋_GB2312" w:cs="仿宋_GB2312"/>
                <w:b/>
                <w:bCs/>
                <w:sz w:val="24"/>
                <w:szCs w:val="24"/>
                <w:highlight w:val="none"/>
              </w:rPr>
              <w:t>合  计</w:t>
            </w:r>
          </w:p>
        </w:tc>
        <w:tc>
          <w:tcPr>
            <w:tcW w:w="1701" w:type="dxa"/>
            <w:tcBorders>
              <w:top w:val="dotted" w:color="auto" w:sz="4" w:space="0"/>
              <w:left w:val="dotted" w:color="auto" w:sz="4" w:space="0"/>
              <w:bottom w:val="single" w:color="auto" w:sz="12" w:space="0"/>
              <w:right w:val="dotted" w:color="auto" w:sz="4" w:space="0"/>
            </w:tcBorders>
            <w:shd w:val="clear" w:color="auto" w:fill="auto"/>
            <w:noWrap/>
            <w:vAlign w:val="center"/>
          </w:tcPr>
          <w:p>
            <w:pPr>
              <w:jc w:val="center"/>
              <w:textAlignment w:val="center"/>
              <w:rPr>
                <w:rFonts w:ascii="仿宋" w:hAnsi="仿宋" w:eastAsia="仿宋" w:cs="宋体"/>
                <w:b/>
                <w:sz w:val="24"/>
                <w:szCs w:val="24"/>
                <w:highlight w:val="none"/>
              </w:rPr>
            </w:pPr>
            <w:r>
              <w:rPr>
                <w:rFonts w:hint="eastAsia" w:ascii="仿宋_GB2312" w:hAnsi="宋体" w:eastAsia="仿宋_GB2312" w:cs="仿宋_GB2312"/>
                <w:b/>
                <w:bCs/>
                <w:sz w:val="24"/>
                <w:szCs w:val="24"/>
                <w:highlight w:val="none"/>
              </w:rPr>
              <w:t>100</w:t>
            </w:r>
          </w:p>
        </w:tc>
        <w:tc>
          <w:tcPr>
            <w:tcW w:w="1559" w:type="dxa"/>
            <w:tcBorders>
              <w:top w:val="dotted" w:color="auto" w:sz="4" w:space="0"/>
              <w:left w:val="dotted" w:color="auto" w:sz="4" w:space="0"/>
              <w:bottom w:val="single" w:color="auto" w:sz="12" w:space="0"/>
              <w:right w:val="dotted" w:color="auto" w:sz="4" w:space="0"/>
            </w:tcBorders>
            <w:shd w:val="clear" w:color="auto" w:fill="auto"/>
            <w:noWrap/>
            <w:vAlign w:val="center"/>
          </w:tcPr>
          <w:p>
            <w:pPr>
              <w:keepNext w:val="0"/>
              <w:keepLines w:val="0"/>
              <w:widowControl/>
              <w:suppressLineNumbers w:val="0"/>
              <w:jc w:val="center"/>
              <w:textAlignment w:val="center"/>
              <w:rPr>
                <w:rFonts w:ascii="仿宋" w:hAnsi="仿宋" w:eastAsia="仿宋" w:cs="宋体"/>
                <w:b/>
                <w:sz w:val="24"/>
                <w:szCs w:val="24"/>
                <w:highlight w:val="none"/>
              </w:rPr>
            </w:pPr>
            <w:r>
              <w:rPr>
                <w:rFonts w:hint="eastAsia" w:ascii="仿宋_GB2312" w:hAnsi="宋体" w:eastAsia="仿宋_GB2312" w:cs="仿宋_GB2312"/>
                <w:b/>
                <w:bCs/>
                <w:i w:val="0"/>
                <w:iCs w:val="0"/>
                <w:snapToGrid w:val="0"/>
                <w:color w:val="000000"/>
                <w:kern w:val="0"/>
                <w:sz w:val="24"/>
                <w:szCs w:val="24"/>
                <w:highlight w:val="none"/>
                <w:u w:val="none"/>
                <w:lang w:val="en-US" w:eastAsia="zh-CN" w:bidi="ar"/>
              </w:rPr>
              <w:t>87.94</w:t>
            </w:r>
          </w:p>
        </w:tc>
        <w:tc>
          <w:tcPr>
            <w:tcW w:w="1701" w:type="dxa"/>
            <w:tcBorders>
              <w:top w:val="dotted" w:color="auto" w:sz="4" w:space="0"/>
              <w:left w:val="dotted" w:color="auto" w:sz="4" w:space="0"/>
              <w:bottom w:val="single" w:color="auto" w:sz="12" w:space="0"/>
              <w:right w:val="nil"/>
            </w:tcBorders>
            <w:shd w:val="clear" w:color="auto" w:fill="auto"/>
            <w:noWrap/>
            <w:vAlign w:val="center"/>
          </w:tcPr>
          <w:p>
            <w:pPr>
              <w:keepNext w:val="0"/>
              <w:keepLines w:val="0"/>
              <w:widowControl/>
              <w:suppressLineNumbers w:val="0"/>
              <w:jc w:val="center"/>
              <w:textAlignment w:val="center"/>
              <w:rPr>
                <w:rFonts w:ascii="仿宋" w:hAnsi="仿宋" w:eastAsia="仿宋" w:cs="宋体"/>
                <w:b/>
                <w:sz w:val="24"/>
                <w:szCs w:val="24"/>
                <w:highlight w:val="none"/>
              </w:rPr>
            </w:pPr>
            <w:r>
              <w:rPr>
                <w:rFonts w:hint="eastAsia" w:ascii="仿宋_GB2312" w:hAnsi="宋体" w:eastAsia="仿宋_GB2312" w:cs="仿宋_GB2312"/>
                <w:b/>
                <w:bCs/>
                <w:i w:val="0"/>
                <w:iCs w:val="0"/>
                <w:snapToGrid w:val="0"/>
                <w:color w:val="000000"/>
                <w:kern w:val="0"/>
                <w:sz w:val="24"/>
                <w:szCs w:val="24"/>
                <w:highlight w:val="none"/>
                <w:u w:val="none"/>
                <w:lang w:val="en-US" w:eastAsia="zh-CN" w:bidi="ar"/>
              </w:rPr>
              <w:t>87.94%</w:t>
            </w:r>
          </w:p>
        </w:tc>
      </w:tr>
    </w:tbl>
    <w:p>
      <w:pPr>
        <w:spacing w:line="600" w:lineRule="exact"/>
        <w:rPr>
          <w:rFonts w:ascii="仿宋_GB2312" w:hAnsi="宋体" w:eastAsia="仿宋_GB2312" w:cs="宋体"/>
          <w:sz w:val="32"/>
          <w:szCs w:val="32"/>
          <w:highlight w:val="none"/>
        </w:rPr>
      </w:pPr>
    </w:p>
    <w:p>
      <w:pPr>
        <w:pStyle w:val="2"/>
        <w:numPr>
          <w:ilvl w:val="0"/>
          <w:numId w:val="2"/>
        </w:numPr>
        <w:bidi w:val="0"/>
        <w:ind w:left="0" w:leftChars="0" w:firstLine="420" w:firstLineChars="0"/>
        <w:jc w:val="left"/>
        <w:rPr>
          <w:rFonts w:hint="eastAsia"/>
          <w:highlight w:val="none"/>
        </w:rPr>
      </w:pPr>
      <w:bookmarkStart w:id="60" w:name="_Toc18917"/>
      <w:bookmarkStart w:id="61" w:name="_Toc12767"/>
      <w:bookmarkStart w:id="62" w:name="_Toc813"/>
      <w:bookmarkStart w:id="63" w:name="_Toc7804"/>
      <w:bookmarkStart w:id="64" w:name="_Toc26700"/>
      <w:bookmarkStart w:id="65" w:name="_Toc3800"/>
      <w:r>
        <w:rPr>
          <w:rFonts w:hint="eastAsia"/>
          <w:highlight w:val="none"/>
        </w:rPr>
        <w:t>绩效评价指标分析</w:t>
      </w:r>
      <w:bookmarkEnd w:id="60"/>
      <w:bookmarkEnd w:id="61"/>
      <w:bookmarkEnd w:id="62"/>
      <w:bookmarkEnd w:id="63"/>
      <w:bookmarkEnd w:id="64"/>
      <w:bookmarkEnd w:id="65"/>
    </w:p>
    <w:p>
      <w:pPr>
        <w:pStyle w:val="3"/>
        <w:numPr>
          <w:ilvl w:val="0"/>
          <w:numId w:val="5"/>
        </w:numPr>
        <w:spacing w:line="600" w:lineRule="exact"/>
        <w:ind w:left="0" w:leftChars="0" w:firstLine="420" w:firstLineChars="0"/>
        <w:rPr>
          <w:rFonts w:ascii="楷体" w:hAnsi="楷体" w:eastAsia="楷体" w:cs="楷体"/>
          <w:b w:val="0"/>
          <w:bCs/>
          <w:highlight w:val="none"/>
        </w:rPr>
      </w:pPr>
      <w:bookmarkStart w:id="66" w:name="_Toc28339"/>
      <w:bookmarkStart w:id="67" w:name="_Toc10869"/>
      <w:bookmarkStart w:id="68" w:name="_Toc11340"/>
      <w:bookmarkStart w:id="69" w:name="_Toc8012"/>
      <w:bookmarkStart w:id="70" w:name="_Toc28862"/>
      <w:bookmarkStart w:id="71" w:name="_Toc16163"/>
      <w:r>
        <w:rPr>
          <w:rFonts w:hint="eastAsia" w:ascii="楷体" w:hAnsi="楷体" w:eastAsia="楷体" w:cs="楷体"/>
          <w:b w:val="0"/>
          <w:bCs/>
          <w:highlight w:val="none"/>
        </w:rPr>
        <w:t>项目决策情况</w:t>
      </w:r>
      <w:bookmarkEnd w:id="66"/>
      <w:bookmarkEnd w:id="67"/>
      <w:bookmarkEnd w:id="68"/>
      <w:bookmarkEnd w:id="69"/>
      <w:bookmarkEnd w:id="70"/>
      <w:bookmarkEnd w:id="71"/>
    </w:p>
    <w:p>
      <w:pPr>
        <w:spacing w:line="60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决策评价分析从项目立项、绩效目标和资金投入三个方面五个三级指标对项目决策进行考察，决策指标分值共计20分，本项目实际得分1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00</w:t>
      </w:r>
      <w:r>
        <w:rPr>
          <w:rFonts w:hint="eastAsia" w:ascii="仿宋" w:hAnsi="仿宋" w:eastAsia="仿宋" w:cs="仿宋"/>
          <w:sz w:val="32"/>
          <w:szCs w:val="32"/>
          <w:highlight w:val="none"/>
        </w:rPr>
        <w:t>分，得分率为8</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0%。具体情况如下表：</w:t>
      </w:r>
    </w:p>
    <w:tbl>
      <w:tblPr>
        <w:tblStyle w:val="16"/>
        <w:tblW w:w="8662" w:type="dxa"/>
        <w:tblInd w:w="93"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080"/>
        <w:gridCol w:w="3188"/>
        <w:gridCol w:w="1080"/>
        <w:gridCol w:w="1080"/>
        <w:gridCol w:w="1080"/>
        <w:gridCol w:w="1154"/>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00" w:hRule="atLeast"/>
        </w:trPr>
        <w:tc>
          <w:tcPr>
            <w:tcW w:w="1080" w:type="dxa"/>
            <w:tcBorders>
              <w:top w:val="single" w:color="auto" w:sz="12" w:space="0"/>
              <w:bottom w:val="dotted" w:color="auto" w:sz="4" w:space="0"/>
              <w:right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序号</w:t>
            </w:r>
          </w:p>
        </w:tc>
        <w:tc>
          <w:tcPr>
            <w:tcW w:w="3188" w:type="dxa"/>
            <w:tcBorders>
              <w:top w:val="single" w:color="auto" w:sz="12" w:space="0"/>
              <w:left w:val="nil"/>
              <w:bottom w:val="dotted" w:color="auto" w:sz="4" w:space="0"/>
              <w:right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三级指标内容</w:t>
            </w:r>
          </w:p>
        </w:tc>
        <w:tc>
          <w:tcPr>
            <w:tcW w:w="1080" w:type="dxa"/>
            <w:tcBorders>
              <w:top w:val="single" w:color="auto" w:sz="12" w:space="0"/>
              <w:left w:val="nil"/>
              <w:bottom w:val="dotted" w:color="auto" w:sz="4" w:space="0"/>
              <w:right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权重</w:t>
            </w:r>
          </w:p>
        </w:tc>
        <w:tc>
          <w:tcPr>
            <w:tcW w:w="1080" w:type="dxa"/>
            <w:tcBorders>
              <w:top w:val="single" w:color="auto" w:sz="12" w:space="0"/>
              <w:left w:val="nil"/>
              <w:bottom w:val="dotted" w:color="auto" w:sz="4" w:space="0"/>
              <w:right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目标值</w:t>
            </w:r>
          </w:p>
        </w:tc>
        <w:tc>
          <w:tcPr>
            <w:tcW w:w="1080" w:type="dxa"/>
            <w:tcBorders>
              <w:top w:val="single" w:color="auto" w:sz="12" w:space="0"/>
              <w:left w:val="nil"/>
              <w:bottom w:val="dotted" w:color="auto" w:sz="4" w:space="0"/>
              <w:right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得分</w:t>
            </w:r>
          </w:p>
        </w:tc>
        <w:tc>
          <w:tcPr>
            <w:tcW w:w="1154" w:type="dxa"/>
            <w:tcBorders>
              <w:top w:val="single" w:color="auto" w:sz="12" w:space="0"/>
              <w:left w:val="nil"/>
              <w:bottom w:val="dotted" w:color="auto" w:sz="4" w:space="0"/>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90" w:hRule="atLeast"/>
        </w:trPr>
        <w:tc>
          <w:tcPr>
            <w:tcW w:w="1080" w:type="dxa"/>
            <w:tcBorders>
              <w:top w:val="dotted" w:color="auto" w:sz="4" w:space="0"/>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1</w:t>
            </w:r>
          </w:p>
        </w:tc>
        <w:tc>
          <w:tcPr>
            <w:tcW w:w="3188"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立项依据充分性</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4</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充分</w:t>
            </w:r>
          </w:p>
        </w:tc>
        <w:tc>
          <w:tcPr>
            <w:tcW w:w="1080" w:type="dxa"/>
            <w:tcBorders>
              <w:top w:val="dotted" w:color="auto" w:sz="4" w:space="0"/>
              <w:left w:val="nil"/>
              <w:bottom w:val="dotted" w:color="auto" w:sz="4" w:space="0"/>
              <w:right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 xml:space="preserve"> 4.00 </w:t>
            </w:r>
          </w:p>
        </w:tc>
        <w:tc>
          <w:tcPr>
            <w:tcW w:w="1154" w:type="dxa"/>
            <w:tcBorders>
              <w:top w:val="dotted" w:color="auto" w:sz="4" w:space="0"/>
              <w:left w:val="nil"/>
              <w:bottom w:val="dotted" w:color="auto" w:sz="4" w:space="0"/>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100.00%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op w:val="dotted" w:color="auto" w:sz="4" w:space="0"/>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2</w:t>
            </w:r>
          </w:p>
        </w:tc>
        <w:tc>
          <w:tcPr>
            <w:tcW w:w="3188"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立项程序规范性</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4</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规范</w:t>
            </w:r>
          </w:p>
        </w:tc>
        <w:tc>
          <w:tcPr>
            <w:tcW w:w="1080" w:type="dxa"/>
            <w:tcBorders>
              <w:top w:val="dotted" w:color="auto" w:sz="4" w:space="0"/>
              <w:left w:val="nil"/>
              <w:bottom w:val="dotted" w:color="auto" w:sz="4" w:space="0"/>
              <w:right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 xml:space="preserve"> 3.30 </w:t>
            </w:r>
          </w:p>
        </w:tc>
        <w:tc>
          <w:tcPr>
            <w:tcW w:w="1154" w:type="dxa"/>
            <w:tcBorders>
              <w:top w:val="dotted" w:color="auto" w:sz="4" w:space="0"/>
              <w:left w:val="nil"/>
              <w:bottom w:val="dotted" w:color="auto" w:sz="4" w:space="0"/>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82.50%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op w:val="dotted" w:color="auto" w:sz="4" w:space="0"/>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3</w:t>
            </w:r>
          </w:p>
        </w:tc>
        <w:tc>
          <w:tcPr>
            <w:tcW w:w="3188"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绩效目标合理性</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4</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合理</w:t>
            </w:r>
          </w:p>
        </w:tc>
        <w:tc>
          <w:tcPr>
            <w:tcW w:w="1080" w:type="dxa"/>
            <w:tcBorders>
              <w:top w:val="dotted" w:color="auto" w:sz="4" w:space="0"/>
              <w:left w:val="nil"/>
              <w:bottom w:val="dotted" w:color="auto" w:sz="4" w:space="0"/>
              <w:right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 xml:space="preserve"> 3.48 </w:t>
            </w:r>
          </w:p>
        </w:tc>
        <w:tc>
          <w:tcPr>
            <w:tcW w:w="1154" w:type="dxa"/>
            <w:tcBorders>
              <w:top w:val="dotted" w:color="auto" w:sz="4" w:space="0"/>
              <w:left w:val="nil"/>
              <w:bottom w:val="dotted" w:color="auto" w:sz="4" w:space="0"/>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87.00%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2" w:hRule="atLeast"/>
        </w:trPr>
        <w:tc>
          <w:tcPr>
            <w:tcW w:w="1080" w:type="dxa"/>
            <w:tcBorders>
              <w:top w:val="dotted" w:color="auto" w:sz="4" w:space="0"/>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4</w:t>
            </w:r>
          </w:p>
        </w:tc>
        <w:tc>
          <w:tcPr>
            <w:tcW w:w="3188"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绩效指标明确性</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4</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明确</w:t>
            </w:r>
          </w:p>
        </w:tc>
        <w:tc>
          <w:tcPr>
            <w:tcW w:w="1080" w:type="dxa"/>
            <w:tcBorders>
              <w:top w:val="dotted" w:color="auto" w:sz="4" w:space="0"/>
              <w:left w:val="nil"/>
              <w:bottom w:val="dotted" w:color="auto" w:sz="4" w:space="0"/>
              <w:right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 xml:space="preserve"> 3.12 </w:t>
            </w:r>
          </w:p>
        </w:tc>
        <w:tc>
          <w:tcPr>
            <w:tcW w:w="1154" w:type="dxa"/>
            <w:tcBorders>
              <w:top w:val="dotted" w:color="auto" w:sz="4" w:space="0"/>
              <w:left w:val="nil"/>
              <w:bottom w:val="dotted" w:color="auto" w:sz="4" w:space="0"/>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78.00%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op w:val="dotted" w:color="auto" w:sz="4" w:space="0"/>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5</w:t>
            </w:r>
          </w:p>
        </w:tc>
        <w:tc>
          <w:tcPr>
            <w:tcW w:w="3188"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预算编制科学性</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4</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科学</w:t>
            </w:r>
          </w:p>
        </w:tc>
        <w:tc>
          <w:tcPr>
            <w:tcW w:w="1080" w:type="dxa"/>
            <w:tcBorders>
              <w:top w:val="dotted" w:color="auto" w:sz="4" w:space="0"/>
              <w:left w:val="nil"/>
              <w:bottom w:val="dotted" w:color="auto" w:sz="4" w:space="0"/>
              <w:right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 xml:space="preserve"> 3.10 </w:t>
            </w:r>
          </w:p>
        </w:tc>
        <w:tc>
          <w:tcPr>
            <w:tcW w:w="1154" w:type="dxa"/>
            <w:tcBorders>
              <w:top w:val="dotted" w:color="auto" w:sz="4" w:space="0"/>
              <w:left w:val="nil"/>
              <w:bottom w:val="dotted" w:color="auto" w:sz="4" w:space="0"/>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77.50%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85" w:hRule="atLeast"/>
        </w:trPr>
        <w:tc>
          <w:tcPr>
            <w:tcW w:w="1080" w:type="dxa"/>
            <w:tcBorders>
              <w:top w:val="dotted" w:color="auto" w:sz="4" w:space="0"/>
              <w:right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　</w:t>
            </w:r>
          </w:p>
        </w:tc>
        <w:tc>
          <w:tcPr>
            <w:tcW w:w="3188" w:type="dxa"/>
            <w:tcBorders>
              <w:top w:val="dotted" w:color="auto" w:sz="4" w:space="0"/>
              <w:left w:val="nil"/>
              <w:right w:val="nil"/>
            </w:tcBorders>
            <w:shd w:val="clear" w:color="auto" w:fill="auto"/>
            <w:vAlign w:val="center"/>
          </w:tcPr>
          <w:p>
            <w:pPr>
              <w:jc w:val="center"/>
              <w:rPr>
                <w:rFonts w:ascii="仿宋" w:hAnsi="仿宋" w:eastAsia="仿宋" w:cs="宋体"/>
                <w:b/>
                <w:bCs/>
                <w:sz w:val="24"/>
                <w:szCs w:val="24"/>
                <w:highlight w:val="none"/>
              </w:rPr>
            </w:pPr>
            <w:r>
              <w:rPr>
                <w:rFonts w:hint="eastAsia" w:ascii="仿宋" w:hAnsi="仿宋" w:eastAsia="仿宋" w:cs="宋体"/>
                <w:b/>
                <w:bCs/>
                <w:sz w:val="24"/>
                <w:szCs w:val="24"/>
                <w:highlight w:val="none"/>
              </w:rPr>
              <w:t>分值合计</w:t>
            </w:r>
          </w:p>
        </w:tc>
        <w:tc>
          <w:tcPr>
            <w:tcW w:w="1080" w:type="dxa"/>
            <w:tcBorders>
              <w:top w:val="dotted" w:color="auto" w:sz="4" w:space="0"/>
              <w:left w:val="nil"/>
              <w:right w:val="nil"/>
            </w:tcBorders>
            <w:shd w:val="clear" w:color="auto" w:fill="auto"/>
            <w:vAlign w:val="center"/>
          </w:tcPr>
          <w:p>
            <w:pPr>
              <w:jc w:val="center"/>
              <w:rPr>
                <w:rFonts w:ascii="仿宋" w:hAnsi="仿宋" w:eastAsia="仿宋" w:cs="宋体"/>
                <w:b/>
                <w:bCs/>
                <w:sz w:val="24"/>
                <w:szCs w:val="24"/>
                <w:highlight w:val="none"/>
              </w:rPr>
            </w:pPr>
            <w:r>
              <w:rPr>
                <w:rFonts w:hint="eastAsia" w:ascii="仿宋" w:hAnsi="仿宋" w:eastAsia="仿宋" w:cs="宋体"/>
                <w:b/>
                <w:bCs/>
                <w:sz w:val="24"/>
                <w:szCs w:val="24"/>
                <w:highlight w:val="none"/>
              </w:rPr>
              <w:t>20</w:t>
            </w:r>
          </w:p>
        </w:tc>
        <w:tc>
          <w:tcPr>
            <w:tcW w:w="1080" w:type="dxa"/>
            <w:tcBorders>
              <w:top w:val="dotted" w:color="auto" w:sz="4" w:space="0"/>
              <w:left w:val="nil"/>
              <w:right w:val="nil"/>
            </w:tcBorders>
            <w:shd w:val="clear" w:color="auto" w:fill="auto"/>
            <w:vAlign w:val="center"/>
          </w:tcPr>
          <w:p>
            <w:pPr>
              <w:jc w:val="center"/>
              <w:rPr>
                <w:rFonts w:ascii="仿宋" w:hAnsi="仿宋" w:eastAsia="仿宋" w:cs="宋体"/>
                <w:b/>
                <w:bCs/>
                <w:sz w:val="24"/>
                <w:szCs w:val="24"/>
                <w:highlight w:val="none"/>
              </w:rPr>
            </w:pPr>
          </w:p>
        </w:tc>
        <w:tc>
          <w:tcPr>
            <w:tcW w:w="1080" w:type="dxa"/>
            <w:tcBorders>
              <w:top w:val="dotted" w:color="auto" w:sz="4" w:space="0"/>
              <w:left w:val="nil"/>
              <w:right w:val="nil"/>
            </w:tcBorders>
            <w:shd w:val="clear" w:color="auto" w:fill="auto"/>
            <w:vAlign w:val="center"/>
          </w:tcPr>
          <w:p>
            <w:pPr>
              <w:keepNext w:val="0"/>
              <w:keepLines w:val="0"/>
              <w:widowControl/>
              <w:suppressLineNumbers w:val="0"/>
              <w:jc w:val="center"/>
              <w:textAlignment w:val="center"/>
              <w:rPr>
                <w:rFonts w:ascii="仿宋" w:hAnsi="仿宋" w:eastAsia="仿宋" w:cs="宋体"/>
                <w:b/>
                <w:bCs/>
                <w:sz w:val="24"/>
                <w:szCs w:val="24"/>
                <w:highlight w:val="none"/>
              </w:rPr>
            </w:pPr>
            <w:r>
              <w:rPr>
                <w:rFonts w:hint="eastAsia" w:ascii="仿宋" w:hAnsi="仿宋" w:eastAsia="仿宋" w:cs="仿宋"/>
                <w:b/>
                <w:bCs/>
                <w:i w:val="0"/>
                <w:iCs w:val="0"/>
                <w:snapToGrid w:val="0"/>
                <w:color w:val="000000"/>
                <w:kern w:val="0"/>
                <w:sz w:val="24"/>
                <w:szCs w:val="24"/>
                <w:u w:val="none"/>
                <w:lang w:val="en-US" w:eastAsia="zh-CN" w:bidi="ar"/>
              </w:rPr>
              <w:t xml:space="preserve"> 17.00 </w:t>
            </w:r>
          </w:p>
        </w:tc>
        <w:tc>
          <w:tcPr>
            <w:tcW w:w="1154" w:type="dxa"/>
            <w:tcBorders>
              <w:top w:val="dotted" w:color="auto" w:sz="4" w:space="0"/>
              <w:left w:val="nil"/>
            </w:tcBorders>
            <w:shd w:val="clear" w:color="auto" w:fill="auto"/>
            <w:vAlign w:val="center"/>
          </w:tcPr>
          <w:p>
            <w:pPr>
              <w:keepNext w:val="0"/>
              <w:keepLines w:val="0"/>
              <w:widowControl/>
              <w:suppressLineNumbers w:val="0"/>
              <w:jc w:val="center"/>
              <w:textAlignment w:val="center"/>
              <w:rPr>
                <w:rFonts w:ascii="仿宋" w:hAnsi="仿宋" w:eastAsia="仿宋" w:cs="宋体"/>
                <w:b/>
                <w:bCs/>
                <w:sz w:val="24"/>
                <w:szCs w:val="24"/>
                <w:highlight w:val="none"/>
              </w:rPr>
            </w:pPr>
            <w:r>
              <w:rPr>
                <w:rFonts w:hint="eastAsia" w:ascii="仿宋" w:hAnsi="仿宋" w:eastAsia="仿宋" w:cs="仿宋"/>
                <w:b/>
                <w:bCs/>
                <w:i w:val="0"/>
                <w:iCs w:val="0"/>
                <w:snapToGrid w:val="0"/>
                <w:color w:val="000000"/>
                <w:kern w:val="0"/>
                <w:sz w:val="24"/>
                <w:szCs w:val="24"/>
                <w:u w:val="none"/>
                <w:lang w:val="en-US" w:eastAsia="zh-CN" w:bidi="ar"/>
              </w:rPr>
              <w:t>85.00%</w:t>
            </w:r>
          </w:p>
        </w:tc>
      </w:tr>
    </w:tbl>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1．项目立项分析</w:t>
      </w:r>
    </w:p>
    <w:p>
      <w:pPr>
        <w:spacing w:line="600" w:lineRule="exact"/>
        <w:ind w:firstLine="320" w:firstLineChars="100"/>
        <w:rPr>
          <w:rFonts w:hint="eastAsia" w:ascii="仿宋" w:hAnsi="仿宋" w:eastAsia="仿宋" w:cs="仿宋"/>
          <w:sz w:val="32"/>
          <w:szCs w:val="32"/>
          <w:highlight w:val="none"/>
        </w:rPr>
      </w:pPr>
      <w:r>
        <w:rPr>
          <w:rFonts w:hint="eastAsia" w:ascii="仿宋" w:hAnsi="仿宋" w:eastAsia="仿宋" w:cs="仿宋"/>
          <w:sz w:val="32"/>
          <w:szCs w:val="32"/>
          <w:highlight w:val="none"/>
        </w:rPr>
        <w:t>（1）立项依据充分性分析</w:t>
      </w:r>
    </w:p>
    <w:p>
      <w:pPr>
        <w:spacing w:line="600" w:lineRule="exact"/>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rPr>
        <w:t>项目依据北京市人民检察院《关于印发&lt;全市法院检察院财物统一管理改革专项工作组第四次会议会议纪要&gt;的通知》（京财公检法[2018]362 号）“关于全市法院、检察院向社会力量购买司法辅助服务改革试点工作……原则同意在北京知识产权法院和西城区人民法院等单位开展购买服务试点工作”，以及最高人民法院2019年8号文《最高人民法院关于深化人民法院司法体制综合配套改革的意见——人民法院第五个五年改革纲要（2019——2023）》“推动部分事务集约化、社会化管理”来设立，符合国家和北京市的相关规定，与项目单位职责密切相关</w:t>
      </w:r>
      <w:r>
        <w:rPr>
          <w:rFonts w:hint="eastAsia" w:ascii="仿宋" w:hAnsi="仿宋" w:eastAsia="仿宋" w:cs="仿宋"/>
          <w:sz w:val="32"/>
          <w:szCs w:val="32"/>
          <w:highlight w:val="none"/>
          <w:lang w:eastAsia="zh-CN"/>
        </w:rPr>
        <w:t>。</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该项指标权重分为4分，根据评分规则评价得</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分。</w:t>
      </w:r>
    </w:p>
    <w:p>
      <w:pPr>
        <w:spacing w:line="600" w:lineRule="exact"/>
        <w:ind w:firstLine="320" w:firstLineChars="100"/>
        <w:rPr>
          <w:rFonts w:hint="eastAsia" w:ascii="仿宋" w:hAnsi="仿宋" w:eastAsia="仿宋" w:cs="仿宋"/>
          <w:sz w:val="32"/>
          <w:szCs w:val="32"/>
          <w:highlight w:val="none"/>
        </w:rPr>
      </w:pPr>
      <w:r>
        <w:rPr>
          <w:rFonts w:hint="eastAsia" w:ascii="仿宋" w:hAnsi="仿宋" w:eastAsia="仿宋" w:cs="仿宋"/>
          <w:sz w:val="32"/>
          <w:szCs w:val="32"/>
          <w:highlight w:val="none"/>
        </w:rPr>
        <w:t>（2）立项程序规范性分析</w:t>
      </w:r>
    </w:p>
    <w:p>
      <w:pPr>
        <w:spacing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项目为延续性项目，项目立项</w:t>
      </w:r>
      <w:r>
        <w:rPr>
          <w:rFonts w:hint="eastAsia" w:ascii="仿宋" w:hAnsi="仿宋" w:eastAsia="仿宋" w:cs="仿宋"/>
          <w:sz w:val="32"/>
          <w:szCs w:val="32"/>
          <w:highlight w:val="none"/>
          <w:lang w:val="en-US" w:eastAsia="zh-CN"/>
        </w:rPr>
        <w:t>申报</w:t>
      </w:r>
      <w:r>
        <w:rPr>
          <w:rFonts w:hint="eastAsia" w:ascii="仿宋" w:hAnsi="仿宋" w:eastAsia="仿宋" w:cs="仿宋"/>
          <w:sz w:val="32"/>
          <w:szCs w:val="32"/>
          <w:highlight w:val="none"/>
        </w:rPr>
        <w:t>书、可研报告、实施方案不够明晰和充分</w:t>
      </w:r>
      <w:r>
        <w:rPr>
          <w:rFonts w:hint="eastAsia" w:ascii="仿宋" w:hAnsi="仿宋" w:eastAsia="仿宋" w:cs="仿宋"/>
          <w:sz w:val="32"/>
          <w:szCs w:val="32"/>
          <w:highlight w:val="none"/>
          <w:lang w:val="en-US" w:eastAsia="zh-CN"/>
        </w:rPr>
        <w:t>,工作量确定的相关决策信息不足。</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该项指标权重分为4分，根据评分规则评价得3</w:t>
      </w:r>
      <w:r>
        <w:rPr>
          <w:rFonts w:hint="eastAsia" w:ascii="仿宋" w:hAnsi="仿宋" w:eastAsia="仿宋" w:cs="仿宋"/>
          <w:sz w:val="32"/>
          <w:szCs w:val="32"/>
          <w:highlight w:val="none"/>
          <w:lang w:val="en-US" w:eastAsia="zh-CN"/>
        </w:rPr>
        <w:t>.30</w:t>
      </w:r>
      <w:r>
        <w:rPr>
          <w:rFonts w:hint="eastAsia" w:ascii="仿宋" w:hAnsi="仿宋" w:eastAsia="仿宋" w:cs="仿宋"/>
          <w:sz w:val="32"/>
          <w:szCs w:val="32"/>
          <w:highlight w:val="none"/>
        </w:rPr>
        <w:t>分。</w:t>
      </w:r>
    </w:p>
    <w:p>
      <w:pPr>
        <w:spacing w:line="600" w:lineRule="exact"/>
        <w:ind w:firstLine="640" w:firstLineChars="200"/>
        <w:rPr>
          <w:rFonts w:hint="eastAsia" w:ascii="仿宋" w:hAnsi="仿宋" w:eastAsia="仿宋" w:cs="仿宋"/>
          <w:sz w:val="32"/>
          <w:szCs w:val="32"/>
          <w:highlight w:val="none"/>
        </w:rPr>
      </w:pPr>
      <w:bookmarkStart w:id="72" w:name="_Toc32625"/>
      <w:bookmarkStart w:id="73" w:name="_Toc30046"/>
      <w:bookmarkStart w:id="74" w:name="_Toc7603"/>
      <w:bookmarkStart w:id="75" w:name="_Toc77203356"/>
      <w:r>
        <w:rPr>
          <w:rFonts w:hint="eastAsia" w:ascii="仿宋" w:hAnsi="仿宋" w:eastAsia="仿宋" w:cs="仿宋"/>
          <w:sz w:val="32"/>
          <w:szCs w:val="32"/>
          <w:highlight w:val="none"/>
        </w:rPr>
        <w:t>2.绩效目标分析</w:t>
      </w:r>
      <w:bookmarkEnd w:id="72"/>
      <w:bookmarkEnd w:id="73"/>
      <w:bookmarkEnd w:id="74"/>
      <w:bookmarkEnd w:id="75"/>
    </w:p>
    <w:p>
      <w:pPr>
        <w:spacing w:line="600" w:lineRule="exact"/>
        <w:ind w:firstLine="320" w:firstLineChars="100"/>
        <w:rPr>
          <w:rFonts w:hint="eastAsia" w:ascii="仿宋" w:hAnsi="仿宋" w:eastAsia="仿宋" w:cs="仿宋"/>
          <w:sz w:val="32"/>
          <w:szCs w:val="32"/>
          <w:highlight w:val="none"/>
        </w:rPr>
      </w:pPr>
      <w:r>
        <w:rPr>
          <w:rFonts w:hint="eastAsia" w:ascii="仿宋" w:hAnsi="仿宋" w:eastAsia="仿宋" w:cs="仿宋"/>
          <w:sz w:val="32"/>
          <w:szCs w:val="32"/>
          <w:highlight w:val="none"/>
        </w:rPr>
        <w:t>（1）绩效目标合理性分析</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绩效目标设定</w:t>
      </w:r>
      <w:r>
        <w:rPr>
          <w:rFonts w:hint="eastAsia" w:ascii="仿宋" w:hAnsi="仿宋" w:eastAsia="仿宋" w:cs="仿宋"/>
          <w:sz w:val="32"/>
          <w:szCs w:val="32"/>
          <w:highlight w:val="none"/>
          <w:lang w:val="en-US" w:eastAsia="zh-CN"/>
        </w:rPr>
        <w:t>基本</w:t>
      </w:r>
      <w:r>
        <w:rPr>
          <w:rFonts w:hint="eastAsia" w:ascii="仿宋" w:hAnsi="仿宋" w:eastAsia="仿宋" w:cs="仿宋"/>
          <w:sz w:val="32"/>
          <w:szCs w:val="32"/>
          <w:highlight w:val="none"/>
        </w:rPr>
        <w:t>合理，</w:t>
      </w:r>
      <w:r>
        <w:rPr>
          <w:rFonts w:hint="eastAsia" w:ascii="仿宋" w:hAnsi="仿宋" w:eastAsia="仿宋" w:cs="仿宋"/>
          <w:sz w:val="32"/>
          <w:szCs w:val="32"/>
          <w:highlight w:val="none"/>
          <w:lang w:val="en-US" w:eastAsia="zh-CN"/>
        </w:rPr>
        <w:t>但</w:t>
      </w:r>
      <w:r>
        <w:rPr>
          <w:rFonts w:hint="eastAsia" w:ascii="仿宋" w:hAnsi="仿宋" w:eastAsia="仿宋" w:cs="仿宋"/>
          <w:sz w:val="32"/>
          <w:szCs w:val="32"/>
          <w:highlight w:val="none"/>
        </w:rPr>
        <w:t>绩效目标阐述不充分，未突出年度特征。</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该项指标权重分为4分，根据评分规则评价得3.</w:t>
      </w:r>
      <w:r>
        <w:rPr>
          <w:rFonts w:hint="eastAsia" w:ascii="仿宋" w:hAnsi="仿宋" w:eastAsia="仿宋" w:cs="仿宋"/>
          <w:sz w:val="32"/>
          <w:szCs w:val="32"/>
          <w:highlight w:val="none"/>
          <w:lang w:val="en-US" w:eastAsia="zh-CN"/>
        </w:rPr>
        <w:t>48</w:t>
      </w:r>
      <w:r>
        <w:rPr>
          <w:rFonts w:hint="eastAsia" w:ascii="仿宋" w:hAnsi="仿宋" w:eastAsia="仿宋" w:cs="仿宋"/>
          <w:sz w:val="32"/>
          <w:szCs w:val="32"/>
          <w:highlight w:val="none"/>
        </w:rPr>
        <w:t>分。</w:t>
      </w:r>
    </w:p>
    <w:p>
      <w:pPr>
        <w:spacing w:line="600" w:lineRule="exact"/>
        <w:ind w:firstLine="320" w:firstLineChars="100"/>
        <w:rPr>
          <w:rFonts w:hint="eastAsia" w:ascii="仿宋" w:hAnsi="仿宋" w:eastAsia="仿宋" w:cs="仿宋"/>
          <w:sz w:val="32"/>
          <w:szCs w:val="32"/>
          <w:highlight w:val="none"/>
        </w:rPr>
      </w:pPr>
      <w:r>
        <w:rPr>
          <w:rFonts w:hint="eastAsia" w:ascii="仿宋" w:hAnsi="仿宋" w:eastAsia="仿宋" w:cs="仿宋"/>
          <w:sz w:val="32"/>
          <w:szCs w:val="32"/>
          <w:highlight w:val="none"/>
        </w:rPr>
        <w:t>（2）绩效指标明确性分析</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个别绩效指标的设定不够准确和</w:t>
      </w:r>
      <w:r>
        <w:rPr>
          <w:rFonts w:hint="eastAsia" w:ascii="仿宋" w:hAnsi="仿宋" w:eastAsia="仿宋" w:cs="仿宋"/>
          <w:sz w:val="32"/>
          <w:szCs w:val="32"/>
          <w:highlight w:val="none"/>
          <w:lang w:val="en-US" w:eastAsia="zh-CN"/>
        </w:rPr>
        <w:t>完整，</w:t>
      </w:r>
      <w:r>
        <w:rPr>
          <w:rFonts w:hint="eastAsia" w:ascii="仿宋" w:hAnsi="仿宋" w:eastAsia="仿宋" w:cs="仿宋"/>
          <w:sz w:val="32"/>
          <w:szCs w:val="32"/>
          <w:highlight w:val="none"/>
        </w:rPr>
        <w:t>项目绩效指标明确性不足。</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该项指标权重分为4分，根据评分规则评价得</w:t>
      </w:r>
      <w:r>
        <w:rPr>
          <w:rFonts w:hint="eastAsia" w:ascii="仿宋" w:hAnsi="仿宋" w:eastAsia="仿宋" w:cs="仿宋"/>
          <w:sz w:val="32"/>
          <w:szCs w:val="32"/>
          <w:highlight w:val="none"/>
          <w:lang w:val="en-US" w:eastAsia="zh-CN"/>
        </w:rPr>
        <w:t>3.12</w:t>
      </w:r>
      <w:r>
        <w:rPr>
          <w:rFonts w:hint="eastAsia" w:ascii="仿宋" w:hAnsi="仿宋" w:eastAsia="仿宋" w:cs="仿宋"/>
          <w:sz w:val="32"/>
          <w:szCs w:val="32"/>
          <w:highlight w:val="none"/>
        </w:rPr>
        <w:t>分。</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3.预算编制科学性分析</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预算编制依据不足，缺少测算过程、工作量测算不够准确。</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该项指标权重分为4分，根据评分规则评价得</w:t>
      </w:r>
      <w:r>
        <w:rPr>
          <w:rFonts w:hint="eastAsia" w:ascii="仿宋" w:hAnsi="仿宋" w:eastAsia="仿宋" w:cs="仿宋"/>
          <w:sz w:val="32"/>
          <w:szCs w:val="32"/>
          <w:highlight w:val="none"/>
          <w:lang w:val="en-US" w:eastAsia="zh-CN"/>
        </w:rPr>
        <w:t>3.10</w:t>
      </w:r>
      <w:r>
        <w:rPr>
          <w:rFonts w:hint="eastAsia" w:ascii="仿宋" w:hAnsi="仿宋" w:eastAsia="仿宋" w:cs="仿宋"/>
          <w:sz w:val="32"/>
          <w:szCs w:val="32"/>
          <w:highlight w:val="none"/>
        </w:rPr>
        <w:t>分。</w:t>
      </w:r>
    </w:p>
    <w:p>
      <w:pPr>
        <w:pStyle w:val="3"/>
        <w:numPr>
          <w:ilvl w:val="0"/>
          <w:numId w:val="5"/>
        </w:numPr>
        <w:spacing w:line="600" w:lineRule="exact"/>
        <w:ind w:left="0" w:leftChars="0" w:firstLine="420" w:firstLineChars="0"/>
        <w:rPr>
          <w:rFonts w:hint="eastAsia" w:ascii="楷体" w:hAnsi="楷体" w:eastAsia="楷体" w:cs="楷体"/>
          <w:b w:val="0"/>
          <w:bCs/>
          <w:highlight w:val="none"/>
        </w:rPr>
      </w:pPr>
      <w:bookmarkStart w:id="76" w:name="_Toc29395"/>
      <w:bookmarkStart w:id="77" w:name="_Toc5899"/>
      <w:bookmarkStart w:id="78" w:name="_Toc8680"/>
      <w:bookmarkStart w:id="79" w:name="_Toc30070"/>
      <w:bookmarkStart w:id="80" w:name="_Toc7296"/>
      <w:bookmarkStart w:id="81" w:name="_Toc11461"/>
      <w:r>
        <w:rPr>
          <w:rFonts w:hint="eastAsia" w:ascii="楷体" w:hAnsi="楷体" w:eastAsia="楷体" w:cs="楷体"/>
          <w:b w:val="0"/>
          <w:bCs/>
          <w:highlight w:val="none"/>
        </w:rPr>
        <w:t>项目过程情况</w:t>
      </w:r>
      <w:bookmarkEnd w:id="76"/>
      <w:bookmarkEnd w:id="77"/>
      <w:bookmarkEnd w:id="78"/>
      <w:bookmarkEnd w:id="79"/>
      <w:bookmarkEnd w:id="80"/>
      <w:bookmarkEnd w:id="81"/>
    </w:p>
    <w:p>
      <w:pPr>
        <w:spacing w:line="600" w:lineRule="exact"/>
        <w:ind w:firstLine="640" w:firstLineChars="200"/>
        <w:rPr>
          <w:rFonts w:hint="eastAsia" w:ascii="仿宋" w:hAnsi="仿宋" w:eastAsia="仿宋" w:cs="仿宋"/>
          <w:sz w:val="32"/>
          <w:szCs w:val="32"/>
          <w:highlight w:val="none"/>
        </w:rPr>
      </w:pPr>
      <w:bookmarkStart w:id="82" w:name="_Toc30255"/>
      <w:r>
        <w:rPr>
          <w:rFonts w:hint="eastAsia" w:ascii="仿宋" w:hAnsi="仿宋" w:eastAsia="仿宋" w:cs="仿宋"/>
          <w:sz w:val="32"/>
          <w:szCs w:val="32"/>
          <w:highlight w:val="none"/>
        </w:rPr>
        <w:t>过程部分从资金管理和组织实施两个方面四个三级指标对项目进行考察，过程类指标分值为20分，本项目实际得分1</w:t>
      </w: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60</w:t>
      </w:r>
      <w:r>
        <w:rPr>
          <w:rFonts w:hint="eastAsia" w:ascii="仿宋" w:hAnsi="仿宋" w:eastAsia="仿宋" w:cs="仿宋"/>
          <w:sz w:val="32"/>
          <w:szCs w:val="32"/>
          <w:highlight w:val="none"/>
        </w:rPr>
        <w:t>分，得分率</w:t>
      </w:r>
      <w:r>
        <w:rPr>
          <w:rFonts w:hint="eastAsia" w:ascii="仿宋" w:hAnsi="仿宋" w:eastAsia="仿宋" w:cs="仿宋"/>
          <w:sz w:val="32"/>
          <w:szCs w:val="32"/>
          <w:highlight w:val="none"/>
          <w:lang w:val="en-US" w:eastAsia="zh-CN"/>
        </w:rPr>
        <w:t>83</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0%。具体如下表：</w:t>
      </w:r>
    </w:p>
    <w:tbl>
      <w:tblPr>
        <w:tblStyle w:val="16"/>
        <w:tblW w:w="8517" w:type="dxa"/>
        <w:tblInd w:w="93"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055"/>
        <w:gridCol w:w="3071"/>
        <w:gridCol w:w="1055"/>
        <w:gridCol w:w="1067"/>
        <w:gridCol w:w="1073"/>
        <w:gridCol w:w="1196"/>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1" w:hRule="atLeast"/>
        </w:trPr>
        <w:tc>
          <w:tcPr>
            <w:tcW w:w="1055" w:type="dxa"/>
            <w:tcBorders>
              <w:tl2br w:val="nil"/>
              <w:tr2bl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序号</w:t>
            </w:r>
          </w:p>
        </w:tc>
        <w:tc>
          <w:tcPr>
            <w:tcW w:w="3071" w:type="dxa"/>
            <w:tcBorders>
              <w:tl2br w:val="nil"/>
              <w:tr2bl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三级指标内容</w:t>
            </w:r>
          </w:p>
        </w:tc>
        <w:tc>
          <w:tcPr>
            <w:tcW w:w="1055" w:type="dxa"/>
            <w:tcBorders>
              <w:tl2br w:val="nil"/>
              <w:tr2bl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权重</w:t>
            </w:r>
          </w:p>
        </w:tc>
        <w:tc>
          <w:tcPr>
            <w:tcW w:w="1067" w:type="dxa"/>
            <w:tcBorders>
              <w:tl2br w:val="nil"/>
              <w:tr2bl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目标值</w:t>
            </w:r>
          </w:p>
        </w:tc>
        <w:tc>
          <w:tcPr>
            <w:tcW w:w="1073" w:type="dxa"/>
            <w:tcBorders>
              <w:tl2br w:val="nil"/>
              <w:tr2bl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得分</w:t>
            </w:r>
          </w:p>
        </w:tc>
        <w:tc>
          <w:tcPr>
            <w:tcW w:w="1196" w:type="dxa"/>
            <w:tcBorders>
              <w:tl2br w:val="nil"/>
              <w:tr2bl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61" w:hRule="atLeast"/>
        </w:trPr>
        <w:tc>
          <w:tcPr>
            <w:tcW w:w="1055"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1</w:t>
            </w:r>
          </w:p>
        </w:tc>
        <w:tc>
          <w:tcPr>
            <w:tcW w:w="3071"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预算执行率</w:t>
            </w:r>
          </w:p>
        </w:tc>
        <w:tc>
          <w:tcPr>
            <w:tcW w:w="1055"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3</w:t>
            </w:r>
          </w:p>
        </w:tc>
        <w:tc>
          <w:tcPr>
            <w:tcW w:w="1067"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微软雅黑" w:hAnsi="微软雅黑" w:eastAsia="微软雅黑" w:cs="微软雅黑"/>
                <w:sz w:val="24"/>
                <w:szCs w:val="24"/>
                <w:highlight w:val="none"/>
              </w:rPr>
              <w:t>≤</w:t>
            </w:r>
            <w:r>
              <w:rPr>
                <w:rFonts w:hint="eastAsia" w:ascii="仿宋" w:hAnsi="仿宋" w:eastAsia="仿宋" w:cs="宋体"/>
                <w:sz w:val="24"/>
                <w:szCs w:val="24"/>
                <w:highlight w:val="none"/>
              </w:rPr>
              <w:t>100%</w:t>
            </w:r>
          </w:p>
        </w:tc>
        <w:tc>
          <w:tcPr>
            <w:tcW w:w="1073"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highlight w:val="none"/>
                <w:u w:val="none"/>
                <w:lang w:val="en-US" w:eastAsia="zh-CN" w:bidi="ar"/>
              </w:rPr>
              <w:t xml:space="preserve"> 3.00 </w:t>
            </w:r>
          </w:p>
        </w:tc>
        <w:tc>
          <w:tcPr>
            <w:tcW w:w="1196"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highlight w:val="none"/>
                <w:u w:val="none"/>
                <w:lang w:val="en-US" w:eastAsia="zh-CN" w:bidi="ar"/>
              </w:rPr>
              <w:t>100.00%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85" w:hRule="atLeast"/>
        </w:trPr>
        <w:tc>
          <w:tcPr>
            <w:tcW w:w="1055"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2</w:t>
            </w:r>
          </w:p>
        </w:tc>
        <w:tc>
          <w:tcPr>
            <w:tcW w:w="3071"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资金使用合规性</w:t>
            </w:r>
          </w:p>
        </w:tc>
        <w:tc>
          <w:tcPr>
            <w:tcW w:w="1055"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4</w:t>
            </w:r>
          </w:p>
        </w:tc>
        <w:tc>
          <w:tcPr>
            <w:tcW w:w="1067"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规范</w:t>
            </w:r>
          </w:p>
        </w:tc>
        <w:tc>
          <w:tcPr>
            <w:tcW w:w="1073"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highlight w:val="none"/>
                <w:u w:val="none"/>
                <w:lang w:val="en-US" w:eastAsia="zh-CN" w:bidi="ar"/>
              </w:rPr>
              <w:t xml:space="preserve"> 3.68 </w:t>
            </w:r>
          </w:p>
        </w:tc>
        <w:tc>
          <w:tcPr>
            <w:tcW w:w="1196"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highlight w:val="none"/>
                <w:u w:val="none"/>
                <w:lang w:val="en-US" w:eastAsia="zh-CN" w:bidi="ar"/>
              </w:rPr>
              <w:t>92.00%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5" w:hRule="atLeast"/>
        </w:trPr>
        <w:tc>
          <w:tcPr>
            <w:tcW w:w="1055"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3</w:t>
            </w:r>
          </w:p>
        </w:tc>
        <w:tc>
          <w:tcPr>
            <w:tcW w:w="3071"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管理制度健全性</w:t>
            </w:r>
          </w:p>
        </w:tc>
        <w:tc>
          <w:tcPr>
            <w:tcW w:w="1055"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3</w:t>
            </w:r>
          </w:p>
        </w:tc>
        <w:tc>
          <w:tcPr>
            <w:tcW w:w="1067"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健全</w:t>
            </w:r>
          </w:p>
        </w:tc>
        <w:tc>
          <w:tcPr>
            <w:tcW w:w="1073"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highlight w:val="none"/>
                <w:u w:val="none"/>
                <w:lang w:val="en-US" w:eastAsia="zh-CN" w:bidi="ar"/>
              </w:rPr>
              <w:t xml:space="preserve"> 2.24 </w:t>
            </w:r>
          </w:p>
        </w:tc>
        <w:tc>
          <w:tcPr>
            <w:tcW w:w="1196"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highlight w:val="none"/>
                <w:u w:val="none"/>
                <w:lang w:val="en-US" w:eastAsia="zh-CN" w:bidi="ar"/>
              </w:rPr>
              <w:t>74.67%</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5" w:hRule="atLeast"/>
        </w:trPr>
        <w:tc>
          <w:tcPr>
            <w:tcW w:w="1055"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4</w:t>
            </w:r>
          </w:p>
        </w:tc>
        <w:tc>
          <w:tcPr>
            <w:tcW w:w="3071"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制度执行有效性</w:t>
            </w:r>
          </w:p>
        </w:tc>
        <w:tc>
          <w:tcPr>
            <w:tcW w:w="1055"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10</w:t>
            </w:r>
          </w:p>
        </w:tc>
        <w:tc>
          <w:tcPr>
            <w:tcW w:w="1067"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有效</w:t>
            </w:r>
          </w:p>
        </w:tc>
        <w:tc>
          <w:tcPr>
            <w:tcW w:w="1073"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highlight w:val="none"/>
                <w:u w:val="none"/>
                <w:lang w:val="en-US" w:eastAsia="zh-CN" w:bidi="ar"/>
              </w:rPr>
              <w:t xml:space="preserve"> 7.68 </w:t>
            </w:r>
          </w:p>
        </w:tc>
        <w:tc>
          <w:tcPr>
            <w:tcW w:w="1196"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highlight w:val="none"/>
                <w:u w:val="none"/>
                <w:lang w:val="en-US" w:eastAsia="zh-CN" w:bidi="ar"/>
              </w:rPr>
              <w:t>76.80%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65" w:hRule="atLeast"/>
        </w:trPr>
        <w:tc>
          <w:tcPr>
            <w:tcW w:w="1055" w:type="dxa"/>
            <w:tcBorders>
              <w:tl2br w:val="nil"/>
              <w:tr2bl w:val="nil"/>
            </w:tcBorders>
            <w:shd w:val="clear" w:color="auto" w:fill="auto"/>
            <w:vAlign w:val="center"/>
          </w:tcPr>
          <w:p>
            <w:pPr>
              <w:rPr>
                <w:rFonts w:ascii="仿宋" w:hAnsi="仿宋" w:eastAsia="仿宋" w:cs="宋体"/>
                <w:sz w:val="24"/>
                <w:szCs w:val="24"/>
                <w:highlight w:val="none"/>
              </w:rPr>
            </w:pPr>
            <w:r>
              <w:rPr>
                <w:rFonts w:hint="eastAsia" w:ascii="仿宋" w:hAnsi="仿宋" w:eastAsia="仿宋" w:cs="宋体"/>
                <w:sz w:val="24"/>
                <w:szCs w:val="24"/>
                <w:highlight w:val="none"/>
              </w:rPr>
              <w:t>　</w:t>
            </w:r>
          </w:p>
        </w:tc>
        <w:tc>
          <w:tcPr>
            <w:tcW w:w="3071" w:type="dxa"/>
            <w:tcBorders>
              <w:tl2br w:val="nil"/>
              <w:tr2bl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分值合计</w:t>
            </w:r>
          </w:p>
        </w:tc>
        <w:tc>
          <w:tcPr>
            <w:tcW w:w="1055" w:type="dxa"/>
            <w:tcBorders>
              <w:tl2br w:val="nil"/>
              <w:tr2bl w:val="nil"/>
            </w:tcBorders>
            <w:shd w:val="clear" w:color="auto" w:fill="auto"/>
            <w:vAlign w:val="center"/>
          </w:tcPr>
          <w:p>
            <w:pPr>
              <w:jc w:val="center"/>
              <w:rPr>
                <w:rFonts w:ascii="仿宋" w:hAnsi="仿宋" w:eastAsia="仿宋" w:cs="宋体"/>
                <w:b/>
                <w:bCs/>
                <w:sz w:val="24"/>
                <w:szCs w:val="24"/>
                <w:highlight w:val="none"/>
              </w:rPr>
            </w:pPr>
            <w:r>
              <w:rPr>
                <w:rFonts w:hint="eastAsia" w:ascii="仿宋" w:hAnsi="仿宋" w:eastAsia="仿宋" w:cs="宋体"/>
                <w:b/>
                <w:bCs/>
                <w:sz w:val="24"/>
                <w:szCs w:val="24"/>
                <w:highlight w:val="none"/>
              </w:rPr>
              <w:t>20</w:t>
            </w:r>
          </w:p>
        </w:tc>
        <w:tc>
          <w:tcPr>
            <w:tcW w:w="1067" w:type="dxa"/>
            <w:tcBorders>
              <w:tl2br w:val="nil"/>
              <w:tr2bl w:val="nil"/>
            </w:tcBorders>
            <w:shd w:val="clear" w:color="auto" w:fill="auto"/>
            <w:vAlign w:val="center"/>
          </w:tcPr>
          <w:p>
            <w:pPr>
              <w:jc w:val="center"/>
              <w:rPr>
                <w:rFonts w:ascii="仿宋" w:hAnsi="仿宋" w:eastAsia="仿宋" w:cs="宋体"/>
                <w:b/>
                <w:bCs/>
                <w:sz w:val="24"/>
                <w:szCs w:val="24"/>
                <w:highlight w:val="none"/>
              </w:rPr>
            </w:pPr>
          </w:p>
        </w:tc>
        <w:tc>
          <w:tcPr>
            <w:tcW w:w="1073"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b/>
                <w:bCs/>
                <w:sz w:val="24"/>
                <w:szCs w:val="24"/>
                <w:highlight w:val="none"/>
              </w:rPr>
            </w:pPr>
            <w:r>
              <w:rPr>
                <w:rFonts w:hint="eastAsia" w:ascii="仿宋" w:hAnsi="仿宋" w:eastAsia="仿宋" w:cs="仿宋"/>
                <w:b/>
                <w:bCs/>
                <w:i w:val="0"/>
                <w:iCs w:val="0"/>
                <w:snapToGrid w:val="0"/>
                <w:color w:val="000000"/>
                <w:kern w:val="0"/>
                <w:sz w:val="24"/>
                <w:szCs w:val="24"/>
                <w:highlight w:val="none"/>
                <w:u w:val="none"/>
                <w:lang w:val="en-US" w:eastAsia="zh-CN" w:bidi="ar"/>
              </w:rPr>
              <w:t xml:space="preserve"> 16.60 </w:t>
            </w:r>
          </w:p>
        </w:tc>
        <w:tc>
          <w:tcPr>
            <w:tcW w:w="1196"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b/>
                <w:bCs/>
                <w:sz w:val="24"/>
                <w:szCs w:val="24"/>
                <w:highlight w:val="none"/>
              </w:rPr>
            </w:pPr>
            <w:r>
              <w:rPr>
                <w:rFonts w:hint="eastAsia" w:ascii="仿宋" w:hAnsi="仿宋" w:eastAsia="仿宋" w:cs="仿宋"/>
                <w:b/>
                <w:bCs/>
                <w:i w:val="0"/>
                <w:iCs w:val="0"/>
                <w:snapToGrid w:val="0"/>
                <w:color w:val="000000"/>
                <w:kern w:val="0"/>
                <w:sz w:val="24"/>
                <w:szCs w:val="24"/>
                <w:highlight w:val="none"/>
                <w:u w:val="none"/>
                <w:lang w:val="en-US" w:eastAsia="zh-CN" w:bidi="ar"/>
              </w:rPr>
              <w:t>83.00%</w:t>
            </w:r>
          </w:p>
        </w:tc>
      </w:tr>
    </w:tbl>
    <w:p>
      <w:pPr>
        <w:spacing w:line="240" w:lineRule="auto"/>
        <w:rPr>
          <w:rFonts w:ascii="仿宋_GB2312" w:hAnsi="宋体" w:eastAsia="仿宋_GB2312" w:cs="宋体"/>
          <w:sz w:val="32"/>
          <w:szCs w:val="32"/>
          <w:highlight w:val="none"/>
        </w:rPr>
      </w:pPr>
    </w:p>
    <w:p>
      <w:pPr>
        <w:spacing w:line="600" w:lineRule="exact"/>
        <w:ind w:firstLine="640"/>
        <w:rPr>
          <w:rFonts w:hint="eastAsia" w:ascii="仿宋" w:hAnsi="仿宋" w:eastAsia="仿宋" w:cs="仿宋"/>
          <w:sz w:val="32"/>
          <w:szCs w:val="32"/>
          <w:highlight w:val="none"/>
        </w:rPr>
      </w:pPr>
      <w:bookmarkStart w:id="83" w:name="_Toc77203359"/>
      <w:r>
        <w:rPr>
          <w:rFonts w:hint="eastAsia" w:ascii="仿宋" w:hAnsi="仿宋" w:eastAsia="仿宋" w:cs="仿宋"/>
          <w:sz w:val="32"/>
          <w:szCs w:val="32"/>
          <w:highlight w:val="none"/>
        </w:rPr>
        <w:t>1.资金使用及管理情况</w:t>
      </w:r>
      <w:bookmarkEnd w:id="83"/>
    </w:p>
    <w:p>
      <w:pPr>
        <w:spacing w:line="600" w:lineRule="exact"/>
        <w:ind w:firstLine="640"/>
        <w:rPr>
          <w:rFonts w:hint="eastAsia" w:ascii="仿宋" w:hAnsi="仿宋" w:eastAsia="仿宋" w:cs="仿宋"/>
          <w:sz w:val="32"/>
          <w:szCs w:val="32"/>
          <w:highlight w:val="none"/>
        </w:rPr>
      </w:pPr>
      <w:bookmarkStart w:id="84" w:name="_Toc32425"/>
      <w:bookmarkStart w:id="85" w:name="_Toc19603"/>
      <w:bookmarkStart w:id="86" w:name="_Toc26175"/>
      <w:r>
        <w:rPr>
          <w:rFonts w:hint="eastAsia" w:ascii="仿宋" w:hAnsi="仿宋" w:eastAsia="仿宋" w:cs="仿宋"/>
          <w:sz w:val="32"/>
          <w:szCs w:val="32"/>
          <w:highlight w:val="none"/>
        </w:rPr>
        <w:t>（1）预算执行率</w:t>
      </w:r>
      <w:bookmarkEnd w:id="84"/>
      <w:bookmarkEnd w:id="85"/>
      <w:bookmarkEnd w:id="86"/>
    </w:p>
    <w:p>
      <w:pPr>
        <w:spacing w:line="60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项目202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年最终获批资金预算19</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53</w:t>
      </w:r>
      <w:r>
        <w:rPr>
          <w:rFonts w:hint="eastAsia" w:ascii="仿宋" w:hAnsi="仿宋" w:eastAsia="仿宋" w:cs="仿宋"/>
          <w:sz w:val="32"/>
          <w:szCs w:val="32"/>
          <w:highlight w:val="none"/>
        </w:rPr>
        <w:t>万元，截至202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年12月31日，已实际支付资金19</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.5</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万元，结余资金0.03万元，预算资金执行率为99.98%，资金</w:t>
      </w:r>
      <w:r>
        <w:rPr>
          <w:rFonts w:hint="eastAsia" w:ascii="仿宋" w:hAnsi="仿宋" w:eastAsia="仿宋" w:cs="仿宋"/>
          <w:sz w:val="32"/>
          <w:szCs w:val="32"/>
          <w:highlight w:val="none"/>
          <w:lang w:val="en-US" w:eastAsia="zh-CN"/>
        </w:rPr>
        <w:t>节约</w:t>
      </w:r>
      <w:r>
        <w:rPr>
          <w:rFonts w:hint="eastAsia" w:ascii="仿宋" w:hAnsi="仿宋" w:eastAsia="仿宋" w:cs="仿宋"/>
          <w:sz w:val="32"/>
          <w:szCs w:val="32"/>
          <w:highlight w:val="none"/>
        </w:rPr>
        <w:t>率0.02%。</w:t>
      </w:r>
    </w:p>
    <w:p>
      <w:pPr>
        <w:spacing w:line="600" w:lineRule="exact"/>
        <w:ind w:firstLine="640"/>
        <w:rPr>
          <w:rFonts w:hint="eastAsia" w:ascii="仿宋" w:hAnsi="仿宋" w:eastAsia="仿宋" w:cs="仿宋"/>
          <w:kern w:val="44"/>
          <w:sz w:val="28"/>
          <w:szCs w:val="28"/>
          <w:highlight w:val="none"/>
        </w:rPr>
      </w:pPr>
      <w:r>
        <w:rPr>
          <w:rFonts w:hint="eastAsia" w:ascii="仿宋" w:hAnsi="仿宋" w:eastAsia="仿宋" w:cs="仿宋"/>
          <w:sz w:val="32"/>
          <w:szCs w:val="32"/>
          <w:highlight w:val="none"/>
        </w:rPr>
        <w:t>该项指标权重分3分，根据评分规则评价得3.00分。</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（2）资金使用合规性</w:t>
      </w:r>
    </w:p>
    <w:p>
      <w:pPr>
        <w:spacing w:line="60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项目</w:t>
      </w:r>
      <w:r>
        <w:rPr>
          <w:rFonts w:hint="eastAsia" w:ascii="仿宋" w:hAnsi="仿宋" w:eastAsia="仿宋" w:cs="仿宋"/>
          <w:sz w:val="32"/>
          <w:szCs w:val="32"/>
          <w:highlight w:val="none"/>
          <w:lang w:val="en-US" w:eastAsia="zh-CN"/>
        </w:rPr>
        <w:t>资金</w:t>
      </w:r>
      <w:r>
        <w:rPr>
          <w:rFonts w:hint="eastAsia" w:ascii="仿宋" w:hAnsi="仿宋" w:eastAsia="仿宋" w:cs="仿宋"/>
          <w:sz w:val="32"/>
          <w:szCs w:val="32"/>
          <w:highlight w:val="none"/>
        </w:rPr>
        <w:t>使用基本符合国家和本市财经法规，符合知产法院财务</w:t>
      </w:r>
      <w:r>
        <w:rPr>
          <w:rFonts w:hint="eastAsia" w:ascii="仿宋" w:hAnsi="仿宋" w:eastAsia="仿宋" w:cs="仿宋"/>
          <w:sz w:val="32"/>
          <w:szCs w:val="32"/>
          <w:highlight w:val="none"/>
          <w:lang w:val="en-US" w:eastAsia="zh-CN"/>
        </w:rPr>
        <w:t>管理</w:t>
      </w:r>
      <w:r>
        <w:rPr>
          <w:rFonts w:hint="eastAsia" w:ascii="仿宋" w:hAnsi="仿宋" w:eastAsia="仿宋" w:cs="仿宋"/>
          <w:sz w:val="32"/>
          <w:szCs w:val="32"/>
          <w:highlight w:val="none"/>
        </w:rPr>
        <w:t>规定</w:t>
      </w:r>
      <w:r>
        <w:rPr>
          <w:rFonts w:hint="eastAsia" w:ascii="仿宋" w:hAnsi="仿宋" w:eastAsia="仿宋" w:cs="仿宋"/>
          <w:sz w:val="32"/>
          <w:szCs w:val="32"/>
          <w:highlight w:val="none"/>
          <w:lang w:eastAsia="zh-CN"/>
        </w:rPr>
        <w:t>，凭证附件资料比较齐备，内控制度执行有效。</w:t>
      </w:r>
      <w:r>
        <w:rPr>
          <w:rFonts w:hint="eastAsia" w:ascii="仿宋" w:hAnsi="仿宋" w:eastAsia="仿宋" w:cs="仿宋"/>
          <w:sz w:val="32"/>
          <w:szCs w:val="32"/>
          <w:highlight w:val="none"/>
        </w:rPr>
        <w:t>但资金支付未与项目进度挂钩，尾款支付未体现项目终验要求和针对实际项目任务工作量的结算要求。</w:t>
      </w:r>
    </w:p>
    <w:p>
      <w:pPr>
        <w:spacing w:line="60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该项指标权重分4分，根据评分规则评价得3.</w:t>
      </w:r>
      <w:r>
        <w:rPr>
          <w:rFonts w:hint="eastAsia" w:ascii="仿宋" w:hAnsi="仿宋" w:eastAsia="仿宋" w:cs="仿宋"/>
          <w:sz w:val="32"/>
          <w:szCs w:val="32"/>
          <w:highlight w:val="none"/>
          <w:lang w:val="en-US" w:eastAsia="zh-CN"/>
        </w:rPr>
        <w:t>68</w:t>
      </w:r>
      <w:r>
        <w:rPr>
          <w:rFonts w:hint="eastAsia" w:ascii="仿宋" w:hAnsi="仿宋" w:eastAsia="仿宋" w:cs="仿宋"/>
          <w:sz w:val="32"/>
          <w:szCs w:val="32"/>
          <w:highlight w:val="none"/>
        </w:rPr>
        <w:t>分。</w:t>
      </w:r>
    </w:p>
    <w:p>
      <w:pPr>
        <w:spacing w:line="60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2.业务管理</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（1）管理制度健全性</w:t>
      </w:r>
    </w:p>
    <w:p>
      <w:pPr>
        <w:spacing w:line="600" w:lineRule="exact"/>
        <w:ind w:firstLine="640"/>
        <w:jc w:val="both"/>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知产法院</w:t>
      </w:r>
      <w:r>
        <w:rPr>
          <w:rFonts w:hint="eastAsia" w:ascii="仿宋" w:hAnsi="仿宋" w:eastAsia="仿宋" w:cs="仿宋"/>
          <w:sz w:val="32"/>
          <w:szCs w:val="32"/>
          <w:highlight w:val="none"/>
        </w:rPr>
        <w:t>提供了《北京知识产权法院</w:t>
      </w:r>
      <w:r>
        <w:rPr>
          <w:rFonts w:hint="eastAsia" w:ascii="仿宋" w:hAnsi="仿宋" w:eastAsia="仿宋" w:cs="仿宋"/>
          <w:sz w:val="32"/>
          <w:szCs w:val="32"/>
          <w:highlight w:val="none"/>
          <w:lang w:val="en-US" w:eastAsia="zh-CN"/>
        </w:rPr>
        <w:t>财务管理办法</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采购管理办法</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合同管理办法</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等相关的内控管理制度，管理制度合法、合规、健全。</w:t>
      </w:r>
    </w:p>
    <w:p>
      <w:pPr>
        <w:spacing w:line="600" w:lineRule="exact"/>
        <w:ind w:firstLine="640"/>
        <w:jc w:val="both"/>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为保障项目</w:t>
      </w:r>
      <w:r>
        <w:rPr>
          <w:rFonts w:hint="eastAsia" w:ascii="仿宋" w:hAnsi="仿宋" w:eastAsia="仿宋" w:cs="仿宋"/>
          <w:sz w:val="32"/>
          <w:szCs w:val="32"/>
          <w:highlight w:val="none"/>
          <w:lang w:eastAsia="zh-CN"/>
        </w:rPr>
        <w:t>按照进度计划、质量计划组织实施，确保项目风险可控</w:t>
      </w:r>
      <w:r>
        <w:rPr>
          <w:rFonts w:hint="eastAsia" w:ascii="仿宋" w:hAnsi="仿宋" w:eastAsia="仿宋" w:cs="仿宋"/>
          <w:sz w:val="32"/>
          <w:szCs w:val="32"/>
          <w:highlight w:val="none"/>
          <w:lang w:val="en-US" w:eastAsia="zh-CN"/>
        </w:rPr>
        <w:t>，服务公司依据合同约定的服务内容，制定了《试点外包服务项目管理通则》、《北京司法业务线现场管理行为规范》，包含人员管理、设备管理、作业标准流程、管理职能规范、岗位等级评定、管培生培养方案、培训方案、巡检制度、考核机制、应急预案等。在人员管理、质效标准和监督考核等方面实行一个标准，突出强调保密意识与责任落实，有效降低了风险隐患。</w:t>
      </w:r>
      <w:r>
        <w:rPr>
          <w:rFonts w:hint="eastAsia" w:ascii="仿宋" w:hAnsi="仿宋" w:eastAsia="仿宋" w:cs="仿宋"/>
          <w:sz w:val="32"/>
          <w:szCs w:val="32"/>
          <w:highlight w:val="none"/>
        </w:rPr>
        <w:t>在知产法院指导和要求下，项目</w:t>
      </w:r>
      <w:r>
        <w:rPr>
          <w:rFonts w:hint="eastAsia" w:ascii="仿宋" w:hAnsi="仿宋" w:eastAsia="仿宋" w:cs="仿宋"/>
          <w:sz w:val="32"/>
          <w:szCs w:val="32"/>
          <w:highlight w:val="none"/>
          <w:lang w:val="en-US" w:eastAsia="zh-CN"/>
        </w:rPr>
        <w:t>服务公司</w:t>
      </w:r>
      <w:r>
        <w:rPr>
          <w:rFonts w:hint="eastAsia" w:ascii="仿宋" w:hAnsi="仿宋" w:eastAsia="仿宋" w:cs="仿宋"/>
          <w:sz w:val="32"/>
          <w:szCs w:val="32"/>
          <w:highlight w:val="none"/>
        </w:rPr>
        <w:t>结合知产法院实际需求，在充分开展前期调研、职能梳理、程序设计的基础上，设计了一整套符合知产审判特点的卷宗“全过程、托管式”整理服务方案</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确保项目的顺利进行。</w:t>
      </w:r>
    </w:p>
    <w:p>
      <w:pPr>
        <w:spacing w:line="600" w:lineRule="exact"/>
        <w:ind w:firstLine="64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但项目未明确甲乙方之间档案交接、不同类别档案整理完成时限。</w:t>
      </w:r>
    </w:p>
    <w:p>
      <w:pPr>
        <w:spacing w:line="60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该项指标权重分3分，根据评分规则评价得分2.</w:t>
      </w:r>
      <w:r>
        <w:rPr>
          <w:rFonts w:hint="eastAsia" w:ascii="仿宋" w:hAnsi="仿宋" w:eastAsia="仿宋" w:cs="仿宋"/>
          <w:sz w:val="32"/>
          <w:szCs w:val="32"/>
          <w:highlight w:val="none"/>
          <w:lang w:val="en-US" w:eastAsia="zh-CN"/>
        </w:rPr>
        <w:t>24</w:t>
      </w:r>
      <w:r>
        <w:rPr>
          <w:rFonts w:hint="eastAsia" w:ascii="仿宋" w:hAnsi="仿宋" w:eastAsia="仿宋" w:cs="仿宋"/>
          <w:sz w:val="32"/>
          <w:szCs w:val="32"/>
          <w:highlight w:val="none"/>
        </w:rPr>
        <w:t>分。</w:t>
      </w:r>
    </w:p>
    <w:p>
      <w:pPr>
        <w:spacing w:line="600" w:lineRule="exact"/>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（2）制度执行有效性</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项目根据实际需求履行了采购审批和公开招标程序。在项目执行过程中，知产法院聚焦项目化管理模式，突出流水线设计理念，充分发挥审判助推器作用，做到“每月一梳理、每季一总结、年底有验收、全年见成效”。严格按照制定的验收标准进行验收，实时实地检查监督，定期检查档案质量，确保项目档案整理规范运行、提升档案信息化建设、切实达到为审判部门减负、提升审判质效的绩效目标。</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但合同订立的严谨性</w:t>
      </w:r>
      <w:r>
        <w:rPr>
          <w:rFonts w:hint="eastAsia" w:ascii="仿宋" w:hAnsi="仿宋" w:eastAsia="仿宋" w:cs="仿宋"/>
          <w:sz w:val="32"/>
          <w:szCs w:val="32"/>
          <w:highlight w:val="none"/>
          <w:lang w:eastAsia="zh-CN"/>
        </w:rPr>
        <w:t>、验收条款规范性和实际验收</w:t>
      </w:r>
      <w:r>
        <w:rPr>
          <w:rFonts w:hint="eastAsia" w:ascii="仿宋" w:hAnsi="仿宋" w:eastAsia="仿宋" w:cs="仿宋"/>
          <w:sz w:val="32"/>
          <w:szCs w:val="32"/>
          <w:highlight w:val="none"/>
          <w:lang w:val="en-US" w:eastAsia="zh-CN"/>
        </w:rPr>
        <w:t>执行</w:t>
      </w:r>
      <w:r>
        <w:rPr>
          <w:rFonts w:hint="eastAsia" w:ascii="仿宋" w:hAnsi="仿宋" w:eastAsia="仿宋" w:cs="仿宋"/>
          <w:sz w:val="32"/>
          <w:szCs w:val="32"/>
          <w:highlight w:val="none"/>
        </w:rPr>
        <w:t>的有效性、项目过程管理的严谨性、规范性、绩效资料的完整性呈现的不够充分。</w:t>
      </w:r>
      <w:bookmarkEnd w:id="82"/>
      <w:r>
        <w:rPr>
          <w:rFonts w:hint="eastAsia" w:ascii="仿宋" w:hAnsi="仿宋" w:eastAsia="仿宋" w:cs="仿宋"/>
          <w:sz w:val="32"/>
          <w:szCs w:val="32"/>
          <w:highlight w:val="none"/>
          <w:lang w:val="en-US" w:eastAsia="zh-CN"/>
        </w:rPr>
        <w:t>如</w:t>
      </w:r>
      <w:r>
        <w:rPr>
          <w:rFonts w:hint="eastAsia" w:ascii="仿宋" w:hAnsi="仿宋" w:eastAsia="仿宋" w:cs="仿宋"/>
          <w:sz w:val="32"/>
          <w:szCs w:val="32"/>
          <w:highlight w:val="none"/>
        </w:rPr>
        <w:t>缺少</w:t>
      </w:r>
      <w:r>
        <w:rPr>
          <w:rFonts w:hint="eastAsia" w:ascii="仿宋" w:hAnsi="仿宋" w:eastAsia="仿宋" w:cs="仿宋"/>
          <w:sz w:val="32"/>
          <w:szCs w:val="32"/>
          <w:highlight w:val="none"/>
          <w:lang w:val="en-US" w:eastAsia="zh-CN"/>
        </w:rPr>
        <w:t>服务公司到位人员</w:t>
      </w:r>
      <w:r>
        <w:rPr>
          <w:rFonts w:hint="eastAsia" w:ascii="仿宋" w:hAnsi="仿宋" w:eastAsia="仿宋" w:cs="仿宋"/>
          <w:sz w:val="32"/>
          <w:szCs w:val="32"/>
          <w:highlight w:val="none"/>
        </w:rPr>
        <w:t>劳务分配方案等管控资料</w:t>
      </w:r>
      <w:r>
        <w:rPr>
          <w:rFonts w:hint="eastAsia" w:ascii="仿宋" w:hAnsi="仿宋" w:eastAsia="仿宋" w:cs="仿宋"/>
          <w:sz w:val="32"/>
          <w:szCs w:val="32"/>
          <w:highlight w:val="none"/>
          <w:lang w:eastAsia="zh-CN"/>
        </w:rPr>
        <w:t>，劳务方案安排的合理性难以判断</w:t>
      </w:r>
      <w:r>
        <w:rPr>
          <w:rFonts w:hint="eastAsia" w:ascii="仿宋" w:hAnsi="仿宋" w:eastAsia="仿宋" w:cs="仿宋"/>
          <w:sz w:val="32"/>
          <w:szCs w:val="32"/>
          <w:highlight w:val="none"/>
        </w:rPr>
        <w:t>。</w:t>
      </w:r>
    </w:p>
    <w:p>
      <w:pPr>
        <w:spacing w:line="60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该项指标权重分10分，根据评分规则评价得分</w:t>
      </w:r>
      <w:r>
        <w:rPr>
          <w:rFonts w:hint="eastAsia" w:ascii="仿宋" w:hAnsi="仿宋" w:eastAsia="仿宋" w:cs="仿宋"/>
          <w:sz w:val="32"/>
          <w:szCs w:val="32"/>
          <w:highlight w:val="none"/>
          <w:lang w:val="en-US" w:eastAsia="zh-CN"/>
        </w:rPr>
        <w:t>7.68</w:t>
      </w:r>
      <w:r>
        <w:rPr>
          <w:rFonts w:hint="eastAsia" w:ascii="仿宋" w:hAnsi="仿宋" w:eastAsia="仿宋" w:cs="仿宋"/>
          <w:sz w:val="32"/>
          <w:szCs w:val="32"/>
          <w:highlight w:val="none"/>
        </w:rPr>
        <w:t>分。</w:t>
      </w:r>
    </w:p>
    <w:p>
      <w:pPr>
        <w:pStyle w:val="3"/>
        <w:numPr>
          <w:ilvl w:val="0"/>
          <w:numId w:val="5"/>
        </w:numPr>
        <w:spacing w:line="600" w:lineRule="exact"/>
        <w:ind w:left="0" w:leftChars="0" w:firstLine="420" w:firstLineChars="0"/>
        <w:rPr>
          <w:rFonts w:hint="eastAsia" w:ascii="楷体" w:hAnsi="楷体" w:eastAsia="楷体" w:cs="楷体"/>
          <w:b w:val="0"/>
          <w:bCs/>
          <w:highlight w:val="none"/>
        </w:rPr>
      </w:pPr>
      <w:bookmarkStart w:id="87" w:name="_Toc11362"/>
      <w:bookmarkStart w:id="88" w:name="_Toc3353"/>
      <w:bookmarkStart w:id="89" w:name="_Toc10285"/>
      <w:bookmarkStart w:id="90" w:name="_Toc17226"/>
      <w:bookmarkStart w:id="91" w:name="_Toc14792"/>
      <w:bookmarkStart w:id="92" w:name="_Toc12377"/>
      <w:r>
        <w:rPr>
          <w:rFonts w:hint="eastAsia" w:ascii="楷体" w:hAnsi="楷体" w:eastAsia="楷体" w:cs="楷体"/>
          <w:b w:val="0"/>
          <w:bCs/>
          <w:highlight w:val="none"/>
        </w:rPr>
        <w:t>项目产出情况</w:t>
      </w:r>
      <w:bookmarkEnd w:id="87"/>
      <w:bookmarkEnd w:id="88"/>
      <w:bookmarkEnd w:id="89"/>
      <w:bookmarkEnd w:id="90"/>
      <w:bookmarkEnd w:id="91"/>
      <w:bookmarkEnd w:id="92"/>
    </w:p>
    <w:p>
      <w:pPr>
        <w:spacing w:line="600" w:lineRule="exact"/>
        <w:ind w:firstLine="640" w:firstLineChars="200"/>
        <w:rPr>
          <w:rFonts w:hint="eastAsia" w:ascii="仿宋" w:hAnsi="仿宋" w:eastAsia="仿宋" w:cs="仿宋"/>
          <w:sz w:val="32"/>
          <w:szCs w:val="32"/>
          <w:highlight w:val="none"/>
        </w:rPr>
      </w:pPr>
      <w:bookmarkStart w:id="93" w:name="_Toc32337"/>
      <w:r>
        <w:rPr>
          <w:rFonts w:hint="eastAsia" w:ascii="仿宋" w:hAnsi="仿宋" w:eastAsia="仿宋" w:cs="仿宋"/>
          <w:sz w:val="32"/>
          <w:szCs w:val="32"/>
          <w:highlight w:val="none"/>
        </w:rPr>
        <w:t>产出部分从产出数量、产出质量、产出时效和产出成本四个方面共四个三级指标对项目进行考察，产出类指标分值共计30分，本项目得分2</w:t>
      </w:r>
      <w:r>
        <w:rPr>
          <w:rFonts w:hint="eastAsia" w:ascii="仿宋" w:hAnsi="仿宋" w:eastAsia="仿宋" w:cs="仿宋"/>
          <w:sz w:val="32"/>
          <w:szCs w:val="32"/>
          <w:highlight w:val="none"/>
          <w:lang w:val="en-US" w:eastAsia="zh-CN"/>
        </w:rPr>
        <w:t>7.30</w:t>
      </w:r>
      <w:r>
        <w:rPr>
          <w:rFonts w:hint="eastAsia" w:ascii="仿宋" w:hAnsi="仿宋" w:eastAsia="仿宋" w:cs="仿宋"/>
          <w:sz w:val="32"/>
          <w:szCs w:val="32"/>
          <w:highlight w:val="none"/>
        </w:rPr>
        <w:t>分，得分率为</w:t>
      </w:r>
      <w:r>
        <w:rPr>
          <w:rFonts w:hint="eastAsia" w:ascii="仿宋" w:hAnsi="仿宋" w:eastAsia="仿宋" w:cs="仿宋"/>
          <w:sz w:val="32"/>
          <w:szCs w:val="32"/>
          <w:highlight w:val="none"/>
          <w:lang w:val="en-US" w:eastAsia="zh-CN"/>
        </w:rPr>
        <w:t>91.00</w:t>
      </w:r>
      <w:r>
        <w:rPr>
          <w:rFonts w:hint="eastAsia" w:ascii="仿宋" w:hAnsi="仿宋" w:eastAsia="仿宋" w:cs="仿宋"/>
          <w:sz w:val="32"/>
          <w:szCs w:val="32"/>
          <w:highlight w:val="none"/>
        </w:rPr>
        <w:t>% ，具体得分情况如下表：</w:t>
      </w:r>
    </w:p>
    <w:p>
      <w:pPr>
        <w:spacing w:line="600" w:lineRule="exact"/>
        <w:ind w:firstLine="640" w:firstLineChars="200"/>
        <w:rPr>
          <w:rFonts w:hint="eastAsia" w:ascii="仿宋" w:hAnsi="仿宋" w:eastAsia="仿宋" w:cs="仿宋"/>
          <w:sz w:val="32"/>
          <w:szCs w:val="32"/>
          <w:highlight w:val="none"/>
        </w:rPr>
      </w:pPr>
    </w:p>
    <w:tbl>
      <w:tblPr>
        <w:tblStyle w:val="16"/>
        <w:tblW w:w="8698" w:type="dxa"/>
        <w:tblInd w:w="93"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080"/>
        <w:gridCol w:w="3188"/>
        <w:gridCol w:w="1080"/>
        <w:gridCol w:w="1080"/>
        <w:gridCol w:w="1080"/>
        <w:gridCol w:w="1190"/>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80" w:hRule="atLeast"/>
        </w:trPr>
        <w:tc>
          <w:tcPr>
            <w:tcW w:w="1080" w:type="dxa"/>
            <w:tcBorders>
              <w:tl2br w:val="nil"/>
              <w:tr2bl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序号</w:t>
            </w:r>
          </w:p>
        </w:tc>
        <w:tc>
          <w:tcPr>
            <w:tcW w:w="3188" w:type="dxa"/>
            <w:tcBorders>
              <w:tl2br w:val="nil"/>
              <w:tr2bl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三级指标内容</w:t>
            </w:r>
          </w:p>
        </w:tc>
        <w:tc>
          <w:tcPr>
            <w:tcW w:w="1080" w:type="dxa"/>
            <w:tcBorders>
              <w:tl2br w:val="nil"/>
              <w:tr2bl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权重</w:t>
            </w:r>
          </w:p>
        </w:tc>
        <w:tc>
          <w:tcPr>
            <w:tcW w:w="1080" w:type="dxa"/>
            <w:tcBorders>
              <w:tl2br w:val="nil"/>
              <w:tr2bl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目标值</w:t>
            </w:r>
          </w:p>
        </w:tc>
        <w:tc>
          <w:tcPr>
            <w:tcW w:w="1080" w:type="dxa"/>
            <w:tcBorders>
              <w:tl2br w:val="nil"/>
              <w:tr2bl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得分</w:t>
            </w:r>
          </w:p>
        </w:tc>
        <w:tc>
          <w:tcPr>
            <w:tcW w:w="1190" w:type="dxa"/>
            <w:tcBorders>
              <w:tl2br w:val="nil"/>
              <w:tr2bl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1</w:t>
            </w:r>
          </w:p>
        </w:tc>
        <w:tc>
          <w:tcPr>
            <w:tcW w:w="3188"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实际完成率</w:t>
            </w:r>
          </w:p>
        </w:tc>
        <w:tc>
          <w:tcPr>
            <w:tcW w:w="1080"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10</w:t>
            </w:r>
          </w:p>
        </w:tc>
        <w:tc>
          <w:tcPr>
            <w:tcW w:w="1080"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100%</w:t>
            </w:r>
          </w:p>
        </w:tc>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 xml:space="preserve"> 9.02 </w:t>
            </w:r>
          </w:p>
        </w:tc>
        <w:tc>
          <w:tcPr>
            <w:tcW w:w="1190"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90.20%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2</w:t>
            </w:r>
          </w:p>
        </w:tc>
        <w:tc>
          <w:tcPr>
            <w:tcW w:w="3188"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质量达标率</w:t>
            </w:r>
          </w:p>
        </w:tc>
        <w:tc>
          <w:tcPr>
            <w:tcW w:w="1080"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10</w:t>
            </w:r>
          </w:p>
        </w:tc>
        <w:tc>
          <w:tcPr>
            <w:tcW w:w="1080"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100%</w:t>
            </w:r>
          </w:p>
        </w:tc>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 xml:space="preserve"> 8.68 </w:t>
            </w:r>
          </w:p>
        </w:tc>
        <w:tc>
          <w:tcPr>
            <w:tcW w:w="1190"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86.80%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3</w:t>
            </w:r>
          </w:p>
        </w:tc>
        <w:tc>
          <w:tcPr>
            <w:tcW w:w="3188"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完成及时性</w:t>
            </w:r>
          </w:p>
        </w:tc>
        <w:tc>
          <w:tcPr>
            <w:tcW w:w="1080"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5</w:t>
            </w:r>
          </w:p>
        </w:tc>
        <w:tc>
          <w:tcPr>
            <w:tcW w:w="1080"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及时</w:t>
            </w:r>
          </w:p>
        </w:tc>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仿宋" w:hAnsi="仿宋" w:eastAsia="仿宋" w:cs="宋体"/>
                <w:sz w:val="24"/>
                <w:szCs w:val="24"/>
                <w:highlight w:val="none"/>
                <w:lang w:val="en-US"/>
              </w:rPr>
            </w:pPr>
            <w:r>
              <w:rPr>
                <w:rFonts w:hint="eastAsia" w:ascii="仿宋" w:hAnsi="仿宋" w:eastAsia="仿宋" w:cs="仿宋"/>
                <w:i w:val="0"/>
                <w:iCs w:val="0"/>
                <w:snapToGrid w:val="0"/>
                <w:color w:val="000000"/>
                <w:kern w:val="0"/>
                <w:sz w:val="24"/>
                <w:szCs w:val="24"/>
                <w:u w:val="none"/>
                <w:lang w:val="en-US" w:eastAsia="zh-CN" w:bidi="ar"/>
              </w:rPr>
              <w:t xml:space="preserve"> 5.00 </w:t>
            </w:r>
          </w:p>
        </w:tc>
        <w:tc>
          <w:tcPr>
            <w:tcW w:w="1190"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100.00%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4</w:t>
            </w:r>
          </w:p>
        </w:tc>
        <w:tc>
          <w:tcPr>
            <w:tcW w:w="3188"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成本节约率</w:t>
            </w:r>
          </w:p>
        </w:tc>
        <w:tc>
          <w:tcPr>
            <w:tcW w:w="1080"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5</w:t>
            </w:r>
          </w:p>
        </w:tc>
        <w:tc>
          <w:tcPr>
            <w:tcW w:w="1080" w:type="dxa"/>
            <w:tcBorders>
              <w:tl2br w:val="nil"/>
              <w:tr2bl w:val="nil"/>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达标</w:t>
            </w:r>
          </w:p>
        </w:tc>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仿宋" w:hAnsi="仿宋" w:eastAsia="仿宋" w:cs="宋体"/>
                <w:sz w:val="24"/>
                <w:szCs w:val="24"/>
                <w:highlight w:val="none"/>
                <w:lang w:val="en-US"/>
              </w:rPr>
            </w:pPr>
            <w:r>
              <w:rPr>
                <w:rFonts w:hint="eastAsia" w:ascii="仿宋" w:hAnsi="仿宋" w:eastAsia="仿宋" w:cs="仿宋"/>
                <w:i w:val="0"/>
                <w:iCs w:val="0"/>
                <w:snapToGrid w:val="0"/>
                <w:color w:val="000000"/>
                <w:kern w:val="0"/>
                <w:sz w:val="24"/>
                <w:szCs w:val="24"/>
                <w:u w:val="none"/>
                <w:lang w:val="en-US" w:eastAsia="zh-CN" w:bidi="ar"/>
              </w:rPr>
              <w:t xml:space="preserve"> 4.60 </w:t>
            </w:r>
          </w:p>
        </w:tc>
        <w:tc>
          <w:tcPr>
            <w:tcW w:w="1190"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92.00%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85" w:hRule="atLeast"/>
        </w:trPr>
        <w:tc>
          <w:tcPr>
            <w:tcW w:w="1080" w:type="dxa"/>
            <w:tcBorders>
              <w:tl2br w:val="nil"/>
              <w:tr2bl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　</w:t>
            </w:r>
          </w:p>
        </w:tc>
        <w:tc>
          <w:tcPr>
            <w:tcW w:w="3188" w:type="dxa"/>
            <w:tcBorders>
              <w:tl2br w:val="nil"/>
              <w:tr2bl w:val="nil"/>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分值合计</w:t>
            </w:r>
          </w:p>
        </w:tc>
        <w:tc>
          <w:tcPr>
            <w:tcW w:w="1080" w:type="dxa"/>
            <w:tcBorders>
              <w:tl2br w:val="nil"/>
              <w:tr2bl w:val="nil"/>
            </w:tcBorders>
            <w:shd w:val="clear" w:color="auto" w:fill="auto"/>
            <w:vAlign w:val="center"/>
          </w:tcPr>
          <w:p>
            <w:pPr>
              <w:jc w:val="center"/>
              <w:rPr>
                <w:rFonts w:ascii="仿宋" w:hAnsi="仿宋" w:eastAsia="仿宋" w:cs="宋体"/>
                <w:b/>
                <w:bCs/>
                <w:sz w:val="24"/>
                <w:szCs w:val="24"/>
                <w:highlight w:val="none"/>
              </w:rPr>
            </w:pPr>
            <w:r>
              <w:rPr>
                <w:rFonts w:hint="eastAsia" w:ascii="仿宋" w:hAnsi="仿宋" w:eastAsia="仿宋" w:cs="宋体"/>
                <w:b/>
                <w:bCs/>
                <w:sz w:val="24"/>
                <w:szCs w:val="24"/>
                <w:highlight w:val="none"/>
              </w:rPr>
              <w:t>30</w:t>
            </w:r>
          </w:p>
        </w:tc>
        <w:tc>
          <w:tcPr>
            <w:tcW w:w="1080" w:type="dxa"/>
            <w:tcBorders>
              <w:tl2br w:val="nil"/>
              <w:tr2bl w:val="nil"/>
            </w:tcBorders>
            <w:shd w:val="clear" w:color="auto" w:fill="auto"/>
            <w:vAlign w:val="center"/>
          </w:tcPr>
          <w:p>
            <w:pPr>
              <w:jc w:val="center"/>
              <w:rPr>
                <w:rFonts w:ascii="仿宋" w:hAnsi="仿宋" w:eastAsia="仿宋" w:cs="宋体"/>
                <w:b/>
                <w:bCs/>
                <w:sz w:val="24"/>
                <w:szCs w:val="24"/>
                <w:highlight w:val="none"/>
              </w:rPr>
            </w:pPr>
          </w:p>
        </w:tc>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仿宋" w:hAnsi="仿宋" w:eastAsia="仿宋" w:cs="宋体"/>
                <w:b/>
                <w:bCs/>
                <w:sz w:val="24"/>
                <w:szCs w:val="24"/>
                <w:highlight w:val="none"/>
                <w:lang w:val="en-US"/>
              </w:rPr>
            </w:pPr>
            <w:r>
              <w:rPr>
                <w:rFonts w:hint="eastAsia" w:ascii="仿宋" w:hAnsi="仿宋" w:eastAsia="仿宋" w:cs="仿宋"/>
                <w:b/>
                <w:bCs/>
                <w:i w:val="0"/>
                <w:iCs w:val="0"/>
                <w:snapToGrid w:val="0"/>
                <w:color w:val="000000"/>
                <w:kern w:val="0"/>
                <w:sz w:val="24"/>
                <w:szCs w:val="24"/>
                <w:highlight w:val="none"/>
                <w:u w:val="none"/>
                <w:lang w:val="en-US" w:eastAsia="zh-CN" w:bidi="ar"/>
              </w:rPr>
              <w:t>27.30</w:t>
            </w:r>
          </w:p>
        </w:tc>
        <w:tc>
          <w:tcPr>
            <w:tcW w:w="1190" w:type="dxa"/>
            <w:tcBorders>
              <w:tl2br w:val="nil"/>
              <w:tr2bl w:val="nil"/>
            </w:tcBorders>
            <w:shd w:val="clear" w:color="auto" w:fill="auto"/>
            <w:vAlign w:val="center"/>
          </w:tcPr>
          <w:p>
            <w:pPr>
              <w:keepNext w:val="0"/>
              <w:keepLines w:val="0"/>
              <w:widowControl/>
              <w:suppressLineNumbers w:val="0"/>
              <w:jc w:val="center"/>
              <w:textAlignment w:val="center"/>
              <w:rPr>
                <w:rFonts w:ascii="仿宋" w:hAnsi="仿宋" w:eastAsia="仿宋" w:cs="宋体"/>
                <w:b/>
                <w:bCs/>
                <w:sz w:val="24"/>
                <w:szCs w:val="24"/>
                <w:highlight w:val="none"/>
              </w:rPr>
            </w:pPr>
            <w:r>
              <w:rPr>
                <w:rFonts w:hint="eastAsia" w:ascii="仿宋" w:hAnsi="仿宋" w:eastAsia="仿宋" w:cs="仿宋"/>
                <w:b/>
                <w:bCs/>
                <w:i w:val="0"/>
                <w:iCs w:val="0"/>
                <w:snapToGrid w:val="0"/>
                <w:color w:val="000000"/>
                <w:kern w:val="0"/>
                <w:sz w:val="24"/>
                <w:szCs w:val="24"/>
                <w:highlight w:val="none"/>
                <w:u w:val="none"/>
                <w:lang w:val="en-US" w:eastAsia="zh-CN" w:bidi="ar"/>
              </w:rPr>
              <w:t>91.00%</w:t>
            </w:r>
          </w:p>
        </w:tc>
      </w:tr>
    </w:tbl>
    <w:p>
      <w:pPr>
        <w:spacing w:line="600" w:lineRule="exact"/>
        <w:ind w:firstLine="640" w:firstLineChars="200"/>
        <w:rPr>
          <w:rFonts w:hint="eastAsia" w:ascii="仿宋" w:hAnsi="仿宋" w:eastAsia="仿宋" w:cs="仿宋"/>
          <w:sz w:val="32"/>
          <w:szCs w:val="32"/>
          <w:highlight w:val="none"/>
        </w:rPr>
      </w:pPr>
      <w:bookmarkStart w:id="94" w:name="_Toc30363"/>
      <w:bookmarkStart w:id="95" w:name="_Toc77203362"/>
      <w:bookmarkStart w:id="96" w:name="_Toc5885"/>
      <w:bookmarkStart w:id="97" w:name="_Toc23579"/>
      <w:bookmarkStart w:id="98" w:name="_Toc25502"/>
      <w:bookmarkStart w:id="99" w:name="_Toc12068"/>
      <w:bookmarkStart w:id="100" w:name="_Toc371"/>
      <w:r>
        <w:rPr>
          <w:rFonts w:hint="eastAsia" w:ascii="仿宋" w:hAnsi="仿宋" w:eastAsia="仿宋" w:cs="仿宋"/>
          <w:sz w:val="32"/>
          <w:szCs w:val="32"/>
          <w:highlight w:val="none"/>
        </w:rPr>
        <w:t>1.项目完成数量</w:t>
      </w:r>
      <w:bookmarkEnd w:id="94"/>
      <w:bookmarkEnd w:id="95"/>
      <w:bookmarkEnd w:id="96"/>
      <w:bookmarkEnd w:id="97"/>
      <w:bookmarkEnd w:id="98"/>
      <w:bookmarkEnd w:id="99"/>
      <w:bookmarkEnd w:id="100"/>
    </w:p>
    <w:p>
      <w:pPr>
        <w:spacing w:line="600" w:lineRule="exact"/>
        <w:ind w:firstLine="640" w:firstLineChars="200"/>
        <w:rPr>
          <w:rFonts w:hint="default" w:ascii="仿宋" w:hAnsi="仿宋" w:eastAsia="仿宋" w:cs="仿宋"/>
          <w:sz w:val="32"/>
          <w:szCs w:val="32"/>
          <w:highlight w:val="none"/>
          <w:lang w:val="en-US"/>
        </w:rPr>
      </w:pPr>
      <w:r>
        <w:rPr>
          <w:rFonts w:hint="eastAsia" w:ascii="仿宋" w:hAnsi="仿宋" w:eastAsia="仿宋" w:cs="仿宋"/>
          <w:sz w:val="32"/>
          <w:szCs w:val="32"/>
          <w:highlight w:val="none"/>
        </w:rPr>
        <w:t>项目数量指标</w:t>
      </w:r>
      <w:r>
        <w:rPr>
          <w:rFonts w:hint="eastAsia" w:ascii="仿宋" w:hAnsi="仿宋" w:eastAsia="仿宋" w:cs="仿宋"/>
          <w:sz w:val="32"/>
          <w:szCs w:val="32"/>
          <w:highlight w:val="none"/>
          <w:lang w:val="en-US" w:eastAsia="zh-CN"/>
        </w:rPr>
        <w:t>设定为</w:t>
      </w:r>
      <w:r>
        <w:rPr>
          <w:rFonts w:hint="eastAsia" w:ascii="仿宋" w:hAnsi="仿宋" w:eastAsia="仿宋" w:cs="仿宋"/>
          <w:sz w:val="32"/>
          <w:szCs w:val="32"/>
          <w:highlight w:val="none"/>
        </w:rPr>
        <w:t>完成案件卷宗整理数量不低于2.3万件</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2023年4月至2024年3月实际完成卷宗归档22864卷，全过程整理交付完成18400卷，交付率为80.48%，按合同约定“拟完成案卷数量为归档数量的80%”即视为完成了约定的工作量，但与绩效指标比，尚有差距。</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该项指标权重10分，根据评分规则评价得分</w:t>
      </w:r>
      <w:r>
        <w:rPr>
          <w:rFonts w:hint="eastAsia" w:ascii="仿宋" w:hAnsi="仿宋" w:eastAsia="仿宋" w:cs="仿宋"/>
          <w:sz w:val="32"/>
          <w:szCs w:val="32"/>
          <w:highlight w:val="none"/>
          <w:lang w:val="en-US" w:eastAsia="zh-CN"/>
        </w:rPr>
        <w:t>9.02</w:t>
      </w:r>
      <w:r>
        <w:rPr>
          <w:rFonts w:hint="eastAsia" w:ascii="仿宋" w:hAnsi="仿宋" w:eastAsia="仿宋" w:cs="仿宋"/>
          <w:sz w:val="32"/>
          <w:szCs w:val="32"/>
          <w:highlight w:val="none"/>
        </w:rPr>
        <w:t>分。</w:t>
      </w:r>
    </w:p>
    <w:p>
      <w:pPr>
        <w:spacing w:line="600" w:lineRule="exact"/>
        <w:ind w:firstLine="640" w:firstLineChars="200"/>
        <w:rPr>
          <w:rFonts w:hint="eastAsia" w:ascii="仿宋" w:hAnsi="仿宋" w:eastAsia="仿宋" w:cs="仿宋"/>
          <w:sz w:val="32"/>
          <w:szCs w:val="32"/>
          <w:highlight w:val="none"/>
        </w:rPr>
      </w:pPr>
      <w:bookmarkStart w:id="101" w:name="_Toc27027"/>
      <w:bookmarkStart w:id="102" w:name="_Toc384"/>
      <w:bookmarkStart w:id="103" w:name="_Toc7442"/>
      <w:bookmarkStart w:id="104" w:name="_Toc29327"/>
      <w:bookmarkStart w:id="105" w:name="_Toc77203363"/>
      <w:r>
        <w:rPr>
          <w:rFonts w:hint="eastAsia" w:ascii="仿宋" w:hAnsi="仿宋" w:eastAsia="仿宋" w:cs="仿宋"/>
          <w:sz w:val="32"/>
          <w:szCs w:val="32"/>
          <w:highlight w:val="none"/>
        </w:rPr>
        <w:t>2.项目效率性分析</w:t>
      </w:r>
      <w:bookmarkEnd w:id="101"/>
      <w:bookmarkEnd w:id="102"/>
      <w:bookmarkEnd w:id="103"/>
      <w:bookmarkEnd w:id="104"/>
      <w:bookmarkEnd w:id="105"/>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（1）项目完成质量</w:t>
      </w:r>
    </w:p>
    <w:p>
      <w:pPr>
        <w:keepNext w:val="0"/>
        <w:keepLines w:val="0"/>
        <w:pageBreakBefore w:val="0"/>
        <w:widowControl/>
        <w:kinsoku/>
        <w:wordWrap/>
        <w:overflowPunct/>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项目已于2024年5月9日验收通过，但项目</w:t>
      </w:r>
      <w:r>
        <w:rPr>
          <w:rFonts w:hint="eastAsia" w:ascii="仿宋" w:hAnsi="仿宋" w:eastAsia="仿宋" w:cs="仿宋"/>
          <w:sz w:val="32"/>
          <w:szCs w:val="32"/>
          <w:highlight w:val="none"/>
        </w:rPr>
        <w:t>质量指标</w:t>
      </w:r>
      <w:r>
        <w:rPr>
          <w:rFonts w:hint="eastAsia" w:ascii="仿宋" w:hAnsi="仿宋" w:eastAsia="仿宋" w:cs="仿宋"/>
          <w:sz w:val="32"/>
          <w:szCs w:val="32"/>
          <w:highlight w:val="none"/>
          <w:lang w:val="en-US" w:eastAsia="zh-CN"/>
        </w:rPr>
        <w:t>可衡量性不足，项目完成质量难以判断。如质量指标“</w:t>
      </w:r>
      <w:r>
        <w:rPr>
          <w:rFonts w:hint="eastAsia" w:ascii="仿宋" w:hAnsi="仿宋" w:eastAsia="仿宋" w:cs="仿宋"/>
          <w:sz w:val="32"/>
          <w:szCs w:val="32"/>
          <w:highlight w:val="none"/>
        </w:rPr>
        <w:t>卷宗整理各项工序完成进度</w:t>
      </w:r>
      <w:r>
        <w:rPr>
          <w:rFonts w:hint="eastAsia" w:ascii="仿宋" w:hAnsi="仿宋" w:eastAsia="仿宋" w:cs="仿宋"/>
          <w:sz w:val="32"/>
          <w:szCs w:val="32"/>
          <w:highlight w:val="none"/>
          <w:lang w:val="en-US" w:eastAsia="zh-CN"/>
        </w:rPr>
        <w:t>高”、“卷宗整理规范化优”</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指标不够明确。</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该项指标权重10分，根据评分规则评价得分8.</w:t>
      </w: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rPr>
        <w:t>8分。</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（2）项目的实施进度</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项目</w:t>
      </w:r>
      <w:r>
        <w:rPr>
          <w:rFonts w:hint="eastAsia" w:ascii="仿宋" w:hAnsi="仿宋" w:eastAsia="仿宋" w:cs="仿宋"/>
          <w:sz w:val="32"/>
          <w:szCs w:val="32"/>
          <w:highlight w:val="none"/>
          <w:lang w:val="en-US" w:eastAsia="zh-CN"/>
        </w:rPr>
        <w:t>合同期为2023年4月至2024年3月</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于</w:t>
      </w: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rPr>
        <w:t>日验收</w:t>
      </w:r>
      <w:r>
        <w:rPr>
          <w:rFonts w:hint="eastAsia" w:ascii="仿宋" w:hAnsi="仿宋" w:eastAsia="仿宋" w:cs="仿宋"/>
          <w:sz w:val="32"/>
          <w:szCs w:val="32"/>
          <w:highlight w:val="none"/>
          <w:lang w:val="en-US" w:eastAsia="zh-CN"/>
        </w:rPr>
        <w:t>通过，实际完成时间符合合同要求</w:t>
      </w:r>
      <w:r>
        <w:rPr>
          <w:rFonts w:hint="eastAsia" w:ascii="仿宋" w:hAnsi="仿宋" w:eastAsia="仿宋" w:cs="仿宋"/>
          <w:sz w:val="32"/>
          <w:szCs w:val="32"/>
          <w:highlight w:val="none"/>
        </w:rPr>
        <w:t>。</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该项指标权重5分，根据评分规则评价得分</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分。</w:t>
      </w:r>
    </w:p>
    <w:p>
      <w:pPr>
        <w:spacing w:line="600" w:lineRule="exact"/>
        <w:ind w:firstLine="640" w:firstLineChars="200"/>
        <w:rPr>
          <w:rFonts w:hint="eastAsia" w:ascii="仿宋" w:hAnsi="仿宋" w:eastAsia="仿宋" w:cs="仿宋"/>
          <w:sz w:val="32"/>
          <w:szCs w:val="32"/>
          <w:highlight w:val="none"/>
        </w:rPr>
      </w:pPr>
      <w:bookmarkStart w:id="106" w:name="_Toc1484"/>
      <w:bookmarkStart w:id="107" w:name="_Toc18244"/>
      <w:bookmarkStart w:id="108" w:name="_Toc25211"/>
      <w:bookmarkStart w:id="109" w:name="_Toc14040"/>
      <w:bookmarkStart w:id="110" w:name="_Toc4559"/>
      <w:bookmarkStart w:id="111" w:name="_Toc32143"/>
      <w:bookmarkStart w:id="112" w:name="_Toc77203364"/>
      <w:r>
        <w:rPr>
          <w:rFonts w:hint="eastAsia" w:ascii="仿宋" w:hAnsi="仿宋" w:eastAsia="仿宋" w:cs="仿宋"/>
          <w:sz w:val="32"/>
          <w:szCs w:val="32"/>
          <w:highlight w:val="none"/>
        </w:rPr>
        <w:t>3.项目产出成本</w:t>
      </w:r>
      <w:bookmarkEnd w:id="106"/>
      <w:bookmarkEnd w:id="107"/>
      <w:r>
        <w:rPr>
          <w:rFonts w:hint="eastAsia" w:ascii="仿宋" w:hAnsi="仿宋" w:eastAsia="仿宋" w:cs="仿宋"/>
          <w:sz w:val="32"/>
          <w:szCs w:val="32"/>
          <w:highlight w:val="none"/>
        </w:rPr>
        <w:t>节约率</w:t>
      </w:r>
      <w:bookmarkEnd w:id="108"/>
      <w:bookmarkEnd w:id="109"/>
      <w:bookmarkEnd w:id="110"/>
      <w:bookmarkEnd w:id="111"/>
      <w:bookmarkEnd w:id="112"/>
    </w:p>
    <w:p>
      <w:pPr>
        <w:spacing w:line="600" w:lineRule="exact"/>
        <w:ind w:firstLine="640" w:firstLineChars="200"/>
        <w:jc w:val="both"/>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年批复项目资金19</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53</w:t>
      </w:r>
      <w:r>
        <w:rPr>
          <w:rFonts w:hint="eastAsia" w:ascii="仿宋" w:hAnsi="仿宋" w:eastAsia="仿宋" w:cs="仿宋"/>
          <w:sz w:val="32"/>
          <w:szCs w:val="32"/>
          <w:highlight w:val="none"/>
        </w:rPr>
        <w:t>万元，截至202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年12月31日已实际支付资金19</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50</w:t>
      </w:r>
      <w:r>
        <w:rPr>
          <w:rFonts w:hint="eastAsia" w:ascii="仿宋" w:hAnsi="仿宋" w:eastAsia="仿宋" w:cs="仿宋"/>
          <w:sz w:val="32"/>
          <w:szCs w:val="32"/>
          <w:highlight w:val="none"/>
        </w:rPr>
        <w:t>万元，结余资金</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03</w:t>
      </w:r>
      <w:r>
        <w:rPr>
          <w:rFonts w:hint="eastAsia" w:ascii="仿宋" w:hAnsi="仿宋" w:eastAsia="仿宋" w:cs="仿宋"/>
          <w:sz w:val="32"/>
          <w:szCs w:val="32"/>
          <w:highlight w:val="none"/>
        </w:rPr>
        <w:t>万元，资金节约率为0.</w:t>
      </w:r>
      <w:r>
        <w:rPr>
          <w:rFonts w:hint="eastAsia" w:ascii="仿宋" w:hAnsi="仿宋" w:eastAsia="仿宋" w:cs="仿宋"/>
          <w:sz w:val="32"/>
          <w:szCs w:val="32"/>
          <w:highlight w:val="none"/>
          <w:lang w:val="en-US" w:eastAsia="zh-CN"/>
        </w:rPr>
        <w:t>02</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但项目</w:t>
      </w:r>
      <w:r>
        <w:rPr>
          <w:rFonts w:hint="eastAsia" w:ascii="仿宋" w:hAnsi="仿宋" w:eastAsia="仿宋" w:cs="仿宋"/>
          <w:sz w:val="32"/>
          <w:szCs w:val="32"/>
          <w:highlight w:val="none"/>
        </w:rPr>
        <w:t>预算细化不足，2023年仅对新增1万卷进行了测算，未按照本年新增和上年遗留卷宗需要的服务人员</w:t>
      </w:r>
      <w:r>
        <w:rPr>
          <w:rFonts w:hint="eastAsia" w:ascii="仿宋" w:hAnsi="仿宋" w:eastAsia="仿宋" w:cs="仿宋"/>
          <w:sz w:val="32"/>
          <w:szCs w:val="32"/>
          <w:highlight w:val="none"/>
          <w:lang w:val="en-US" w:eastAsia="zh-CN"/>
        </w:rPr>
        <w:t>数量、</w:t>
      </w:r>
      <w:r>
        <w:rPr>
          <w:rFonts w:hint="eastAsia" w:ascii="仿宋" w:hAnsi="仿宋" w:eastAsia="仿宋" w:cs="仿宋"/>
          <w:sz w:val="32"/>
          <w:szCs w:val="32"/>
          <w:highlight w:val="none"/>
        </w:rPr>
        <w:t>技术能力、人员工资标准等进行人力成本测算，</w:t>
      </w:r>
      <w:r>
        <w:rPr>
          <w:rFonts w:hint="eastAsia" w:ascii="仿宋" w:hAnsi="仿宋" w:eastAsia="仿宋" w:cs="仿宋"/>
          <w:sz w:val="32"/>
          <w:szCs w:val="32"/>
          <w:highlight w:val="none"/>
          <w:lang w:eastAsia="zh-CN"/>
        </w:rPr>
        <w:t>项目整体预算投入的合理性与经济性呈现不清晰，</w:t>
      </w:r>
      <w:r>
        <w:rPr>
          <w:rFonts w:hint="eastAsia" w:ascii="仿宋" w:hAnsi="仿宋" w:eastAsia="仿宋" w:cs="仿宋"/>
          <w:sz w:val="32"/>
          <w:szCs w:val="32"/>
          <w:highlight w:val="none"/>
          <w:lang w:val="en-US" w:eastAsia="zh-CN"/>
        </w:rPr>
        <w:t>成本控制不足。</w:t>
      </w:r>
    </w:p>
    <w:p>
      <w:pPr>
        <w:spacing w:line="600" w:lineRule="exact"/>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该项指标权重分5分，根据评分规则评价得分</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rPr>
        <w:t>0分。</w:t>
      </w:r>
      <w:bookmarkEnd w:id="93"/>
    </w:p>
    <w:p>
      <w:pPr>
        <w:pStyle w:val="3"/>
        <w:numPr>
          <w:ilvl w:val="0"/>
          <w:numId w:val="5"/>
        </w:numPr>
        <w:spacing w:line="600" w:lineRule="exact"/>
        <w:ind w:left="0" w:leftChars="0" w:firstLine="420" w:firstLineChars="0"/>
        <w:rPr>
          <w:rFonts w:hint="eastAsia" w:ascii="楷体" w:hAnsi="楷体" w:eastAsia="楷体" w:cs="楷体"/>
          <w:b w:val="0"/>
          <w:bCs/>
          <w:highlight w:val="none"/>
        </w:rPr>
      </w:pPr>
      <w:bookmarkStart w:id="113" w:name="_Toc7232"/>
      <w:bookmarkStart w:id="114" w:name="_Toc5630"/>
      <w:bookmarkStart w:id="115" w:name="_Toc21899"/>
      <w:bookmarkStart w:id="116" w:name="_Toc24604"/>
      <w:bookmarkStart w:id="117" w:name="_Toc24828"/>
      <w:bookmarkStart w:id="118" w:name="_Toc27838"/>
      <w:r>
        <w:rPr>
          <w:rFonts w:hint="eastAsia" w:ascii="楷体" w:hAnsi="楷体" w:eastAsia="楷体" w:cs="楷体"/>
          <w:b w:val="0"/>
          <w:bCs/>
          <w:highlight w:val="none"/>
        </w:rPr>
        <w:t>项目效益情况</w:t>
      </w:r>
      <w:bookmarkEnd w:id="113"/>
      <w:bookmarkEnd w:id="114"/>
      <w:bookmarkEnd w:id="115"/>
      <w:bookmarkEnd w:id="116"/>
      <w:bookmarkEnd w:id="117"/>
      <w:bookmarkEnd w:id="118"/>
    </w:p>
    <w:p>
      <w:pPr>
        <w:spacing w:line="600" w:lineRule="exact"/>
        <w:ind w:firstLine="640" w:firstLineChars="200"/>
        <w:jc w:val="both"/>
        <w:rPr>
          <w:rFonts w:hint="eastAsia" w:ascii="仿宋" w:hAnsi="仿宋" w:eastAsia="仿宋" w:cs="仿宋"/>
          <w:sz w:val="32"/>
          <w:szCs w:val="32"/>
          <w:highlight w:val="none"/>
        </w:rPr>
      </w:pPr>
      <w:bookmarkStart w:id="119" w:name="_Toc12795"/>
      <w:r>
        <w:rPr>
          <w:rFonts w:hint="eastAsia" w:ascii="仿宋" w:hAnsi="仿宋" w:eastAsia="仿宋" w:cs="仿宋"/>
          <w:sz w:val="32"/>
          <w:szCs w:val="32"/>
          <w:highlight w:val="none"/>
        </w:rPr>
        <w:t>效益部分从实施效益和服务对象满意度两个方面三个三级指标对项目进行考察，其中实施效益包括经济、社会效益</w:t>
      </w:r>
      <w:r>
        <w:rPr>
          <w:rFonts w:hint="eastAsia" w:ascii="仿宋" w:hAnsi="仿宋" w:eastAsia="仿宋" w:cs="仿宋"/>
          <w:sz w:val="32"/>
          <w:szCs w:val="32"/>
          <w:highlight w:val="none"/>
          <w:lang w:val="en-US" w:eastAsia="zh-CN"/>
        </w:rPr>
        <w:t>两个指标</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效益类指标共计30分，本项目实际得分2</w:t>
      </w:r>
      <w:r>
        <w:rPr>
          <w:rFonts w:hint="eastAsia" w:ascii="仿宋" w:hAnsi="仿宋" w:eastAsia="仿宋" w:cs="仿宋"/>
          <w:sz w:val="32"/>
          <w:szCs w:val="32"/>
          <w:highlight w:val="none"/>
          <w:lang w:val="en-US" w:eastAsia="zh-CN"/>
        </w:rPr>
        <w:t>7.04</w:t>
      </w:r>
      <w:r>
        <w:rPr>
          <w:rFonts w:hint="eastAsia" w:ascii="仿宋" w:hAnsi="仿宋" w:eastAsia="仿宋" w:cs="仿宋"/>
          <w:sz w:val="32"/>
          <w:szCs w:val="32"/>
          <w:highlight w:val="none"/>
        </w:rPr>
        <w:t>分，得分率</w:t>
      </w:r>
      <w:r>
        <w:rPr>
          <w:rFonts w:hint="eastAsia" w:ascii="仿宋" w:hAnsi="仿宋" w:eastAsia="仿宋" w:cs="仿宋"/>
          <w:sz w:val="32"/>
          <w:szCs w:val="32"/>
          <w:highlight w:val="none"/>
          <w:lang w:val="en-US" w:eastAsia="zh-CN"/>
        </w:rPr>
        <w:t>90.13</w:t>
      </w:r>
      <w:r>
        <w:rPr>
          <w:rFonts w:hint="eastAsia" w:ascii="仿宋" w:hAnsi="仿宋" w:eastAsia="仿宋" w:cs="仿宋"/>
          <w:sz w:val="32"/>
          <w:szCs w:val="32"/>
          <w:highlight w:val="none"/>
        </w:rPr>
        <w:t>%。各指标的实际得分情况如下表：</w:t>
      </w:r>
    </w:p>
    <w:tbl>
      <w:tblPr>
        <w:tblStyle w:val="16"/>
        <w:tblW w:w="8379" w:type="dxa"/>
        <w:tblInd w:w="93"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080"/>
        <w:gridCol w:w="2763"/>
        <w:gridCol w:w="1080"/>
        <w:gridCol w:w="1080"/>
        <w:gridCol w:w="1080"/>
        <w:gridCol w:w="1296"/>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80" w:hRule="atLeast"/>
        </w:trPr>
        <w:tc>
          <w:tcPr>
            <w:tcW w:w="1080" w:type="dxa"/>
            <w:tcBorders>
              <w:top w:val="single" w:color="auto" w:sz="12" w:space="0"/>
              <w:bottom w:val="single" w:color="auto" w:sz="6" w:space="0"/>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序号</w:t>
            </w:r>
          </w:p>
        </w:tc>
        <w:tc>
          <w:tcPr>
            <w:tcW w:w="2763" w:type="dxa"/>
            <w:tcBorders>
              <w:top w:val="single" w:color="auto" w:sz="12" w:space="0"/>
              <w:bottom w:val="single" w:color="auto" w:sz="6" w:space="0"/>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三级指标内容</w:t>
            </w:r>
          </w:p>
        </w:tc>
        <w:tc>
          <w:tcPr>
            <w:tcW w:w="1080" w:type="dxa"/>
            <w:tcBorders>
              <w:top w:val="single" w:color="auto" w:sz="12" w:space="0"/>
              <w:bottom w:val="single" w:color="auto" w:sz="6" w:space="0"/>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权重</w:t>
            </w:r>
          </w:p>
        </w:tc>
        <w:tc>
          <w:tcPr>
            <w:tcW w:w="1080" w:type="dxa"/>
            <w:tcBorders>
              <w:top w:val="single" w:color="auto" w:sz="12" w:space="0"/>
              <w:bottom w:val="single" w:color="auto" w:sz="6" w:space="0"/>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目标值</w:t>
            </w:r>
          </w:p>
        </w:tc>
        <w:tc>
          <w:tcPr>
            <w:tcW w:w="1080" w:type="dxa"/>
            <w:tcBorders>
              <w:top w:val="single" w:color="auto" w:sz="12" w:space="0"/>
              <w:bottom w:val="single" w:color="auto" w:sz="6" w:space="0"/>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得分</w:t>
            </w:r>
          </w:p>
        </w:tc>
        <w:tc>
          <w:tcPr>
            <w:tcW w:w="1296" w:type="dxa"/>
            <w:tcBorders>
              <w:top w:val="single" w:color="auto" w:sz="12" w:space="0"/>
              <w:bottom w:val="single" w:color="auto" w:sz="6" w:space="0"/>
            </w:tcBorders>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op w:val="single" w:color="auto" w:sz="6" w:space="0"/>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1</w:t>
            </w:r>
          </w:p>
        </w:tc>
        <w:tc>
          <w:tcPr>
            <w:tcW w:w="2763" w:type="dxa"/>
            <w:tcBorders>
              <w:top w:val="single" w:color="auto" w:sz="6" w:space="0"/>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实施效益</w:t>
            </w:r>
          </w:p>
        </w:tc>
        <w:tc>
          <w:tcPr>
            <w:tcW w:w="1080" w:type="dxa"/>
            <w:tcBorders>
              <w:top w:val="single" w:color="auto" w:sz="6" w:space="0"/>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10</w:t>
            </w:r>
          </w:p>
        </w:tc>
        <w:tc>
          <w:tcPr>
            <w:tcW w:w="1080" w:type="dxa"/>
            <w:tcBorders>
              <w:top w:val="single" w:color="auto" w:sz="6" w:space="0"/>
            </w:tcBorders>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100%</w:t>
            </w:r>
          </w:p>
        </w:tc>
        <w:tc>
          <w:tcPr>
            <w:tcW w:w="1080" w:type="dxa"/>
            <w:tcBorders>
              <w:top w:val="single" w:color="auto" w:sz="6" w:space="0"/>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 xml:space="preserve"> 9.44 </w:t>
            </w:r>
          </w:p>
        </w:tc>
        <w:tc>
          <w:tcPr>
            <w:tcW w:w="1296" w:type="dxa"/>
            <w:tcBorders>
              <w:top w:val="single" w:color="auto" w:sz="6" w:space="0"/>
            </w:tcBorders>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94.40%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2</w:t>
            </w:r>
          </w:p>
        </w:tc>
        <w:tc>
          <w:tcPr>
            <w:tcW w:w="2763" w:type="dxa"/>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满意度</w:t>
            </w:r>
          </w:p>
        </w:tc>
        <w:tc>
          <w:tcPr>
            <w:tcW w:w="1080" w:type="dxa"/>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20</w:t>
            </w:r>
          </w:p>
        </w:tc>
        <w:tc>
          <w:tcPr>
            <w:tcW w:w="1080" w:type="dxa"/>
            <w:shd w:val="clear" w:color="auto" w:fill="auto"/>
            <w:vAlign w:val="center"/>
          </w:tcPr>
          <w:p>
            <w:pPr>
              <w:jc w:val="center"/>
              <w:rPr>
                <w:rFonts w:ascii="仿宋" w:hAnsi="仿宋" w:eastAsia="仿宋" w:cs="宋体"/>
                <w:sz w:val="24"/>
                <w:szCs w:val="24"/>
                <w:highlight w:val="none"/>
              </w:rPr>
            </w:pPr>
            <w:r>
              <w:rPr>
                <w:rFonts w:hint="eastAsia" w:ascii="仿宋" w:hAnsi="仿宋" w:eastAsia="仿宋" w:cs="宋体"/>
                <w:sz w:val="24"/>
                <w:szCs w:val="24"/>
                <w:highlight w:val="none"/>
              </w:rPr>
              <w:t>100%</w:t>
            </w:r>
          </w:p>
        </w:tc>
        <w:tc>
          <w:tcPr>
            <w:tcW w:w="1080" w:type="dxa"/>
            <w:shd w:val="clear" w:color="auto" w:fill="auto"/>
            <w:vAlign w:val="center"/>
          </w:tcPr>
          <w:p>
            <w:pPr>
              <w:keepNext w:val="0"/>
              <w:keepLines w:val="0"/>
              <w:widowControl/>
              <w:suppressLineNumbers w:val="0"/>
              <w:jc w:val="center"/>
              <w:textAlignment w:val="center"/>
              <w:rPr>
                <w:rFonts w:hint="default" w:ascii="仿宋" w:hAnsi="仿宋" w:eastAsia="仿宋" w:cs="宋体"/>
                <w:sz w:val="24"/>
                <w:szCs w:val="24"/>
                <w:highlight w:val="none"/>
                <w:lang w:val="en-US"/>
              </w:rPr>
            </w:pPr>
            <w:r>
              <w:rPr>
                <w:rFonts w:hint="eastAsia" w:ascii="仿宋" w:hAnsi="仿宋" w:eastAsia="仿宋" w:cs="仿宋"/>
                <w:i w:val="0"/>
                <w:iCs w:val="0"/>
                <w:snapToGrid w:val="0"/>
                <w:color w:val="000000"/>
                <w:kern w:val="0"/>
                <w:sz w:val="24"/>
                <w:szCs w:val="24"/>
                <w:u w:val="none"/>
                <w:lang w:val="en-US" w:eastAsia="zh-CN" w:bidi="ar"/>
              </w:rPr>
              <w:t xml:space="preserve"> 17.60 </w:t>
            </w:r>
          </w:p>
        </w:tc>
        <w:tc>
          <w:tcPr>
            <w:tcW w:w="1296" w:type="dxa"/>
            <w:shd w:val="clear" w:color="auto" w:fill="auto"/>
            <w:vAlign w:val="center"/>
          </w:tcPr>
          <w:p>
            <w:pPr>
              <w:keepNext w:val="0"/>
              <w:keepLines w:val="0"/>
              <w:widowControl/>
              <w:suppressLineNumbers w:val="0"/>
              <w:jc w:val="center"/>
              <w:textAlignment w:val="center"/>
              <w:rPr>
                <w:rFonts w:ascii="仿宋" w:hAnsi="仿宋" w:eastAsia="仿宋" w:cs="宋体"/>
                <w:sz w:val="24"/>
                <w:szCs w:val="24"/>
                <w:highlight w:val="none"/>
              </w:rPr>
            </w:pPr>
            <w:r>
              <w:rPr>
                <w:rFonts w:hint="eastAsia" w:ascii="仿宋" w:hAnsi="仿宋" w:eastAsia="仿宋" w:cs="仿宋"/>
                <w:i w:val="0"/>
                <w:iCs w:val="0"/>
                <w:snapToGrid w:val="0"/>
                <w:color w:val="000000"/>
                <w:kern w:val="0"/>
                <w:sz w:val="24"/>
                <w:szCs w:val="24"/>
                <w:u w:val="none"/>
                <w:lang w:val="en-US" w:eastAsia="zh-CN" w:bidi="ar"/>
              </w:rPr>
              <w:t>88.00%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85" w:hRule="atLeast"/>
        </w:trPr>
        <w:tc>
          <w:tcPr>
            <w:tcW w:w="1080" w:type="dxa"/>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　</w:t>
            </w:r>
          </w:p>
        </w:tc>
        <w:tc>
          <w:tcPr>
            <w:tcW w:w="2763" w:type="dxa"/>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分值合计</w:t>
            </w:r>
          </w:p>
        </w:tc>
        <w:tc>
          <w:tcPr>
            <w:tcW w:w="1080" w:type="dxa"/>
            <w:shd w:val="clear" w:color="auto" w:fill="auto"/>
            <w:vAlign w:val="center"/>
          </w:tcPr>
          <w:p>
            <w:pPr>
              <w:jc w:val="center"/>
              <w:rPr>
                <w:rFonts w:ascii="仿宋" w:hAnsi="仿宋" w:eastAsia="仿宋" w:cs="宋体"/>
                <w:b/>
                <w:sz w:val="24"/>
                <w:szCs w:val="24"/>
                <w:highlight w:val="none"/>
              </w:rPr>
            </w:pPr>
            <w:r>
              <w:rPr>
                <w:rFonts w:hint="eastAsia" w:ascii="仿宋" w:hAnsi="仿宋" w:eastAsia="仿宋" w:cs="宋体"/>
                <w:b/>
                <w:sz w:val="24"/>
                <w:szCs w:val="24"/>
                <w:highlight w:val="none"/>
              </w:rPr>
              <w:t>30</w:t>
            </w:r>
          </w:p>
        </w:tc>
        <w:tc>
          <w:tcPr>
            <w:tcW w:w="1080" w:type="dxa"/>
            <w:shd w:val="clear" w:color="auto" w:fill="auto"/>
            <w:vAlign w:val="center"/>
          </w:tcPr>
          <w:p>
            <w:pPr>
              <w:rPr>
                <w:rFonts w:ascii="仿宋" w:hAnsi="仿宋" w:eastAsia="仿宋" w:cs="宋体"/>
                <w:b/>
                <w:sz w:val="24"/>
                <w:szCs w:val="24"/>
                <w:highlight w:val="none"/>
              </w:rPr>
            </w:pPr>
            <w:r>
              <w:rPr>
                <w:rFonts w:hint="eastAsia" w:ascii="仿宋" w:hAnsi="仿宋" w:eastAsia="仿宋" w:cs="宋体"/>
                <w:b/>
                <w:sz w:val="24"/>
                <w:szCs w:val="24"/>
                <w:highlight w:val="none"/>
              </w:rPr>
              <w:t>　</w:t>
            </w:r>
          </w:p>
        </w:tc>
        <w:tc>
          <w:tcPr>
            <w:tcW w:w="1080" w:type="dxa"/>
            <w:shd w:val="clear" w:color="auto" w:fill="auto"/>
            <w:vAlign w:val="center"/>
          </w:tcPr>
          <w:p>
            <w:pPr>
              <w:keepNext w:val="0"/>
              <w:keepLines w:val="0"/>
              <w:widowControl/>
              <w:suppressLineNumbers w:val="0"/>
              <w:jc w:val="center"/>
              <w:textAlignment w:val="center"/>
              <w:rPr>
                <w:rFonts w:ascii="仿宋" w:hAnsi="仿宋" w:eastAsia="仿宋" w:cs="宋体"/>
                <w:b/>
                <w:bCs/>
                <w:sz w:val="24"/>
                <w:szCs w:val="24"/>
                <w:highlight w:val="none"/>
              </w:rPr>
            </w:pPr>
            <w:r>
              <w:rPr>
                <w:rFonts w:hint="eastAsia" w:ascii="仿宋" w:hAnsi="仿宋" w:eastAsia="仿宋" w:cs="仿宋"/>
                <w:b/>
                <w:bCs/>
                <w:i w:val="0"/>
                <w:iCs w:val="0"/>
                <w:snapToGrid w:val="0"/>
                <w:color w:val="000000"/>
                <w:kern w:val="0"/>
                <w:sz w:val="24"/>
                <w:szCs w:val="24"/>
                <w:u w:val="none"/>
                <w:lang w:val="en-US" w:eastAsia="zh-CN" w:bidi="ar"/>
              </w:rPr>
              <w:t>27.04</w:t>
            </w:r>
          </w:p>
        </w:tc>
        <w:tc>
          <w:tcPr>
            <w:tcW w:w="1296" w:type="dxa"/>
            <w:shd w:val="clear" w:color="auto" w:fill="auto"/>
            <w:vAlign w:val="center"/>
          </w:tcPr>
          <w:p>
            <w:pPr>
              <w:keepNext w:val="0"/>
              <w:keepLines w:val="0"/>
              <w:widowControl/>
              <w:suppressLineNumbers w:val="0"/>
              <w:jc w:val="center"/>
              <w:textAlignment w:val="center"/>
              <w:rPr>
                <w:rFonts w:ascii="仿宋" w:hAnsi="仿宋" w:eastAsia="仿宋" w:cs="宋体"/>
                <w:b/>
                <w:bCs/>
                <w:sz w:val="24"/>
                <w:szCs w:val="24"/>
                <w:highlight w:val="none"/>
              </w:rPr>
            </w:pPr>
            <w:r>
              <w:rPr>
                <w:rFonts w:hint="eastAsia" w:ascii="仿宋" w:hAnsi="仿宋" w:eastAsia="仿宋" w:cs="仿宋"/>
                <w:b/>
                <w:bCs/>
                <w:i w:val="0"/>
                <w:iCs w:val="0"/>
                <w:snapToGrid w:val="0"/>
                <w:color w:val="000000"/>
                <w:kern w:val="0"/>
                <w:sz w:val="24"/>
                <w:szCs w:val="24"/>
                <w:u w:val="none"/>
                <w:lang w:val="en-US" w:eastAsia="zh-CN" w:bidi="ar"/>
              </w:rPr>
              <w:t>90.13%</w:t>
            </w:r>
          </w:p>
        </w:tc>
      </w:tr>
    </w:tbl>
    <w:p>
      <w:pPr>
        <w:spacing w:line="600" w:lineRule="exact"/>
        <w:jc w:val="both"/>
        <w:rPr>
          <w:rFonts w:hint="eastAsia" w:ascii="仿宋" w:hAnsi="仿宋" w:eastAsia="仿宋" w:cs="仿宋"/>
          <w:sz w:val="32"/>
          <w:szCs w:val="32"/>
          <w:highlight w:val="none"/>
        </w:rPr>
      </w:pPr>
    </w:p>
    <w:p>
      <w:pPr>
        <w:spacing w:line="60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1.实施效益</w:t>
      </w:r>
    </w:p>
    <w:bookmarkEnd w:id="119"/>
    <w:p>
      <w:pPr>
        <w:spacing w:line="600" w:lineRule="exact"/>
        <w:ind w:firstLine="640"/>
        <w:jc w:val="both"/>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知产法院</w:t>
      </w:r>
      <w:r>
        <w:rPr>
          <w:rFonts w:hint="eastAsia" w:ascii="仿宋" w:hAnsi="仿宋" w:eastAsia="仿宋" w:cs="仿宋"/>
          <w:sz w:val="32"/>
          <w:szCs w:val="32"/>
          <w:highlight w:val="none"/>
        </w:rPr>
        <w:t>目前收案数量已相当于建院时预估量的近十倍。</w:t>
      </w:r>
      <w:r>
        <w:rPr>
          <w:rFonts w:hint="eastAsia" w:ascii="仿宋" w:hAnsi="仿宋" w:eastAsia="仿宋" w:cs="仿宋"/>
          <w:sz w:val="32"/>
          <w:szCs w:val="32"/>
          <w:highlight w:val="none"/>
          <w:lang w:val="en-US" w:eastAsia="zh-CN"/>
        </w:rPr>
        <w:t>由于</w:t>
      </w:r>
      <w:r>
        <w:rPr>
          <w:rFonts w:hint="eastAsia" w:ascii="仿宋" w:hAnsi="仿宋" w:eastAsia="仿宋" w:cs="仿宋"/>
          <w:sz w:val="32"/>
          <w:szCs w:val="32"/>
          <w:highlight w:val="none"/>
        </w:rPr>
        <w:t>案件本身事实复杂、程序繁琐</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加之</w:t>
      </w:r>
      <w:r>
        <w:rPr>
          <w:rFonts w:hint="eastAsia" w:ascii="仿宋" w:hAnsi="仿宋" w:eastAsia="仿宋" w:cs="仿宋"/>
          <w:sz w:val="32"/>
          <w:szCs w:val="32"/>
          <w:highlight w:val="none"/>
        </w:rPr>
        <w:t>一审案件</w:t>
      </w:r>
      <w:r>
        <w:rPr>
          <w:rFonts w:hint="eastAsia" w:ascii="仿宋" w:hAnsi="仿宋" w:eastAsia="仿宋" w:cs="仿宋"/>
          <w:sz w:val="32"/>
          <w:szCs w:val="32"/>
          <w:highlight w:val="none"/>
          <w:lang w:val="en-US" w:eastAsia="zh-CN"/>
        </w:rPr>
        <w:t>中</w:t>
      </w:r>
      <w:r>
        <w:rPr>
          <w:rFonts w:hint="eastAsia" w:ascii="仿宋" w:hAnsi="仿宋" w:eastAsia="仿宋" w:cs="仿宋"/>
          <w:sz w:val="32"/>
          <w:szCs w:val="32"/>
          <w:highlight w:val="none"/>
        </w:rPr>
        <w:t>涉外案件</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行政案件</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技术类案件比重大</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程序复杂，这些特点往往需要占用审判团队大量时间和精力。在此背景下，</w:t>
      </w:r>
      <w:r>
        <w:rPr>
          <w:rFonts w:hint="eastAsia" w:ascii="仿宋" w:hAnsi="仿宋" w:eastAsia="仿宋" w:cs="仿宋"/>
          <w:sz w:val="32"/>
          <w:szCs w:val="32"/>
          <w:highlight w:val="none"/>
          <w:lang w:val="en-US" w:eastAsia="zh-CN"/>
        </w:rPr>
        <w:t>知产法院</w:t>
      </w:r>
      <w:r>
        <w:rPr>
          <w:rFonts w:hint="eastAsia" w:ascii="仿宋" w:hAnsi="仿宋" w:eastAsia="仿宋" w:cs="仿宋"/>
          <w:sz w:val="32"/>
          <w:szCs w:val="32"/>
          <w:highlight w:val="none"/>
        </w:rPr>
        <w:t>试点推行了“卷宗全过程整理外包</w:t>
      </w:r>
      <w:r>
        <w:rPr>
          <w:rFonts w:hint="eastAsia" w:ascii="仿宋" w:hAnsi="仿宋" w:eastAsia="仿宋" w:cs="仿宋"/>
          <w:sz w:val="32"/>
          <w:szCs w:val="32"/>
          <w:highlight w:val="none"/>
          <w:lang w:val="en-US" w:eastAsia="zh-CN"/>
        </w:rPr>
        <w:t>服务</w:t>
      </w:r>
      <w:r>
        <w:rPr>
          <w:rFonts w:hint="eastAsia" w:ascii="仿宋" w:hAnsi="仿宋" w:eastAsia="仿宋" w:cs="仿宋"/>
          <w:sz w:val="32"/>
          <w:szCs w:val="32"/>
          <w:highlight w:val="none"/>
        </w:rPr>
        <w:t>项目”，很大程度上缓解了审判团队的工作压力，把法官助理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书记员从纷繁复杂的程序和事务性工作中解脱出来，充分体现法律专业人才的专业优势，确保审判核心职能作用最大限度发挥。2023年1至12月，</w:t>
      </w:r>
      <w:r>
        <w:rPr>
          <w:rFonts w:hint="eastAsia" w:ascii="仿宋" w:hAnsi="仿宋" w:eastAsia="仿宋" w:cs="仿宋"/>
          <w:sz w:val="32"/>
          <w:szCs w:val="32"/>
          <w:highlight w:val="none"/>
          <w:lang w:val="en-US" w:eastAsia="zh-CN"/>
        </w:rPr>
        <w:t>知产法院</w:t>
      </w:r>
      <w:r>
        <w:rPr>
          <w:rFonts w:hint="eastAsia" w:ascii="仿宋" w:hAnsi="仿宋" w:eastAsia="仿宋" w:cs="仿宋"/>
          <w:sz w:val="32"/>
          <w:szCs w:val="32"/>
          <w:highlight w:val="none"/>
        </w:rPr>
        <w:t>总收案43449件，结案30311件，服务公司总计完成卷宗归档 21765卷，卷宗数字化19500卷，完成数字化卷宗占全年归档工作量的90%</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加工量同比 2022年上涨13.72%，达到建院至今最高交付量。</w:t>
      </w:r>
      <w:r>
        <w:rPr>
          <w:rFonts w:hint="eastAsia" w:ascii="仿宋" w:hAnsi="仿宋" w:eastAsia="仿宋" w:cs="仿宋"/>
          <w:sz w:val="32"/>
          <w:szCs w:val="32"/>
          <w:highlight w:val="none"/>
          <w:lang w:val="en-US" w:eastAsia="zh-CN"/>
        </w:rPr>
        <w:t>对应合同期间</w:t>
      </w:r>
      <w:r>
        <w:rPr>
          <w:rFonts w:hint="eastAsia" w:ascii="仿宋" w:hAnsi="仿宋" w:eastAsia="仿宋" w:cs="仿宋"/>
          <w:sz w:val="32"/>
          <w:szCs w:val="32"/>
          <w:highlight w:val="none"/>
        </w:rPr>
        <w:t>2023年4月至2024年3月</w:t>
      </w:r>
      <w:r>
        <w:rPr>
          <w:rFonts w:hint="eastAsia" w:ascii="仿宋" w:hAnsi="仿宋" w:eastAsia="仿宋" w:cs="仿宋"/>
          <w:sz w:val="32"/>
          <w:szCs w:val="32"/>
          <w:highlight w:val="none"/>
          <w:lang w:val="en-US" w:eastAsia="zh-CN"/>
        </w:rPr>
        <w:t>服务公司已完成归档 22864 卷，交付验收18400卷，完成比例 80.5%（2023年合同要求完成归档总量的80%数字化加工工作）</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已通过验收。</w:t>
      </w:r>
    </w:p>
    <w:p>
      <w:pPr>
        <w:spacing w:line="600" w:lineRule="exact"/>
        <w:ind w:firstLine="640"/>
        <w:jc w:val="both"/>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在项目执行过程中除传统加工外，服务公司加入新的技术服务应用至项目中，新增档案识别枪：充分利用 RFID 感应码，手持扫码枪，卷宗示踪系统的应用，对部分调取无法 记录精确位置的批次卷宗进行查找定位，30分钟调取卷宗变 为10分钟完成库房调取，针对单卷更加节省人力、时间。</w:t>
      </w:r>
    </w:p>
    <w:p>
      <w:pPr>
        <w:spacing w:line="600" w:lineRule="exact"/>
        <w:ind w:firstLine="640"/>
        <w:jc w:val="both"/>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项目实施效果显著，但档案管理发挥的作用、运用情况，以及产生的效益等呈现的不够充分。</w:t>
      </w:r>
    </w:p>
    <w:p>
      <w:pPr>
        <w:spacing w:line="600" w:lineRule="exact"/>
        <w:ind w:firstLine="64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rPr>
        <w:t>该项指标权重分</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rPr>
        <w:t>分，根据评分规则评价得分</w:t>
      </w:r>
      <w:r>
        <w:rPr>
          <w:rFonts w:hint="eastAsia" w:ascii="仿宋" w:hAnsi="仿宋" w:eastAsia="仿宋" w:cs="仿宋"/>
          <w:sz w:val="32"/>
          <w:szCs w:val="32"/>
          <w:highlight w:val="none"/>
          <w:lang w:val="en-US" w:eastAsia="zh-CN"/>
        </w:rPr>
        <w:t>9.44</w:t>
      </w:r>
      <w:r>
        <w:rPr>
          <w:rFonts w:hint="eastAsia" w:ascii="仿宋" w:hAnsi="仿宋" w:eastAsia="仿宋" w:cs="仿宋"/>
          <w:sz w:val="32"/>
          <w:szCs w:val="32"/>
          <w:highlight w:val="none"/>
        </w:rPr>
        <w:t>分。</w:t>
      </w:r>
      <w:r>
        <w:rPr>
          <w:rFonts w:hint="eastAsia" w:ascii="仿宋" w:hAnsi="仿宋" w:eastAsia="仿宋" w:cs="仿宋"/>
          <w:sz w:val="32"/>
          <w:szCs w:val="32"/>
          <w:highlight w:val="none"/>
          <w:lang w:val="en-US" w:eastAsia="zh-CN"/>
        </w:rPr>
        <w:t xml:space="preserve">   </w:t>
      </w:r>
    </w:p>
    <w:p>
      <w:pPr>
        <w:spacing w:line="60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2.满意度方面</w:t>
      </w:r>
    </w:p>
    <w:p>
      <w:pPr>
        <w:spacing w:line="600" w:lineRule="exact"/>
        <w:ind w:firstLine="64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该项目满意度样本量过少，且调查对象单一，未涵盖外部档案使用人员。</w:t>
      </w:r>
    </w:p>
    <w:p>
      <w:pPr>
        <w:spacing w:line="60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该项指标权重分20分，根据评分规则评价得分</w:t>
      </w:r>
      <w:r>
        <w:rPr>
          <w:rFonts w:hint="eastAsia" w:ascii="仿宋" w:hAnsi="仿宋" w:eastAsia="仿宋" w:cs="仿宋"/>
          <w:sz w:val="32"/>
          <w:szCs w:val="32"/>
          <w:highlight w:val="none"/>
          <w:lang w:val="en-US" w:eastAsia="zh-CN"/>
        </w:rPr>
        <w:t>17.60</w:t>
      </w:r>
      <w:r>
        <w:rPr>
          <w:rFonts w:hint="eastAsia" w:ascii="仿宋" w:hAnsi="仿宋" w:eastAsia="仿宋" w:cs="仿宋"/>
          <w:sz w:val="32"/>
          <w:szCs w:val="32"/>
          <w:highlight w:val="none"/>
        </w:rPr>
        <w:t>分。</w:t>
      </w:r>
    </w:p>
    <w:p>
      <w:pPr>
        <w:pStyle w:val="2"/>
        <w:numPr>
          <w:ilvl w:val="0"/>
          <w:numId w:val="2"/>
        </w:numPr>
        <w:bidi w:val="0"/>
        <w:ind w:left="0" w:leftChars="0" w:firstLine="420" w:firstLineChars="0"/>
        <w:jc w:val="left"/>
        <w:rPr>
          <w:rFonts w:hint="eastAsia"/>
          <w:highlight w:val="none"/>
        </w:rPr>
      </w:pPr>
      <w:bookmarkStart w:id="120" w:name="_Toc60"/>
      <w:bookmarkStart w:id="121" w:name="_Toc25549"/>
      <w:bookmarkStart w:id="122" w:name="_Toc11271"/>
      <w:bookmarkStart w:id="123" w:name="_Toc22484"/>
      <w:bookmarkStart w:id="124" w:name="_Toc21196"/>
      <w:bookmarkStart w:id="125" w:name="_Toc13789"/>
      <w:r>
        <w:rPr>
          <w:rFonts w:hint="eastAsia"/>
          <w:highlight w:val="none"/>
        </w:rPr>
        <w:t>存在的问题及原因分析</w:t>
      </w:r>
      <w:bookmarkEnd w:id="120"/>
      <w:bookmarkEnd w:id="121"/>
      <w:bookmarkEnd w:id="122"/>
      <w:bookmarkEnd w:id="123"/>
      <w:bookmarkEnd w:id="124"/>
      <w:bookmarkEnd w:id="125"/>
    </w:p>
    <w:p>
      <w:pPr>
        <w:numPr>
          <w:ilvl w:val="0"/>
          <w:numId w:val="6"/>
        </w:numPr>
        <w:spacing w:line="600" w:lineRule="exact"/>
        <w:ind w:left="0" w:leftChars="0" w:firstLine="420" w:firstLineChars="0"/>
        <w:outlineLvl w:val="1"/>
        <w:rPr>
          <w:rFonts w:ascii="楷体" w:hAnsi="楷体" w:eastAsia="楷体" w:cs="楷体"/>
          <w:bCs/>
          <w:kern w:val="2"/>
          <w:sz w:val="32"/>
          <w:szCs w:val="24"/>
          <w:highlight w:val="none"/>
        </w:rPr>
      </w:pPr>
      <w:bookmarkStart w:id="126" w:name="_Toc28697"/>
      <w:bookmarkStart w:id="127" w:name="_Toc11659"/>
      <w:bookmarkStart w:id="128" w:name="_Toc6237"/>
      <w:bookmarkStart w:id="129" w:name="_Toc24467"/>
      <w:bookmarkStart w:id="130" w:name="_Toc24236"/>
      <w:bookmarkStart w:id="131" w:name="_Toc32167"/>
      <w:r>
        <w:rPr>
          <w:rFonts w:hint="eastAsia" w:ascii="楷体" w:hAnsi="楷体" w:eastAsia="楷体" w:cs="楷体"/>
          <w:bCs/>
          <w:kern w:val="2"/>
          <w:sz w:val="32"/>
          <w:szCs w:val="24"/>
          <w:highlight w:val="none"/>
        </w:rPr>
        <w:t>项目存在的问题</w:t>
      </w:r>
      <w:bookmarkEnd w:id="126"/>
      <w:bookmarkEnd w:id="127"/>
      <w:bookmarkEnd w:id="128"/>
      <w:bookmarkEnd w:id="129"/>
      <w:bookmarkEnd w:id="130"/>
      <w:bookmarkEnd w:id="131"/>
    </w:p>
    <w:p>
      <w:pPr>
        <w:spacing w:line="60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1.决策方面</w:t>
      </w:r>
    </w:p>
    <w:p>
      <w:pPr>
        <w:keepNext w:val="0"/>
        <w:keepLines w:val="0"/>
        <w:pageBreakBefore w:val="0"/>
        <w:widowControl/>
        <w:kinsoku/>
        <w:wordWrap/>
        <w:overflowPunct/>
        <w:topLinePunct w:val="0"/>
        <w:autoSpaceDE w:val="0"/>
        <w:autoSpaceDN w:val="0"/>
        <w:bidi w:val="0"/>
        <w:adjustRightInd w:val="0"/>
        <w:snapToGrid w:val="0"/>
        <w:spacing w:line="600" w:lineRule="exact"/>
        <w:ind w:firstLine="640"/>
        <w:textAlignment w:val="baseline"/>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项目</w:t>
      </w:r>
      <w:r>
        <w:rPr>
          <w:rFonts w:hint="eastAsia" w:ascii="仿宋" w:hAnsi="仿宋" w:eastAsia="仿宋" w:cs="仿宋"/>
          <w:sz w:val="32"/>
          <w:szCs w:val="32"/>
          <w:highlight w:val="none"/>
        </w:rPr>
        <w:t>立项的论证、分析和决策信息呈现的不够充分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项目立项书、可研报告不够明晰</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工作量确定的相关决策信息不足。</w:t>
      </w:r>
    </w:p>
    <w:p>
      <w:pPr>
        <w:keepNext w:val="0"/>
        <w:keepLines w:val="0"/>
        <w:pageBreakBefore w:val="0"/>
        <w:widowControl/>
        <w:kinsoku/>
        <w:wordWrap/>
        <w:overflowPunct/>
        <w:topLinePunct w:val="0"/>
        <w:autoSpaceDE w:val="0"/>
        <w:autoSpaceDN w:val="0"/>
        <w:bidi w:val="0"/>
        <w:adjustRightInd w:val="0"/>
        <w:snapToGrid w:val="0"/>
        <w:spacing w:line="600" w:lineRule="exact"/>
        <w:ind w:firstLine="640"/>
        <w:textAlignment w:val="baseline"/>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绩效指标填报欠规范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绩效</w:t>
      </w:r>
      <w:r>
        <w:rPr>
          <w:rFonts w:hint="eastAsia" w:ascii="仿宋" w:hAnsi="仿宋" w:eastAsia="仿宋" w:cs="仿宋"/>
          <w:sz w:val="32"/>
          <w:szCs w:val="32"/>
          <w:highlight w:val="none"/>
        </w:rPr>
        <w:t>指标设定</w:t>
      </w:r>
      <w:r>
        <w:rPr>
          <w:rFonts w:hint="eastAsia" w:ascii="仿宋" w:hAnsi="仿宋" w:eastAsia="仿宋" w:cs="仿宋"/>
          <w:sz w:val="32"/>
          <w:szCs w:val="32"/>
          <w:highlight w:val="none"/>
          <w:lang w:val="en-US" w:eastAsia="zh-CN"/>
        </w:rPr>
        <w:t>范围不够完整，准</w:t>
      </w:r>
      <w:r>
        <w:rPr>
          <w:rFonts w:hint="eastAsia" w:ascii="仿宋" w:hAnsi="仿宋" w:eastAsia="仿宋" w:cs="仿宋"/>
          <w:sz w:val="32"/>
          <w:szCs w:val="32"/>
          <w:highlight w:val="none"/>
        </w:rPr>
        <w:t>确性不足。如服务对象满意度指标为“审判团队对卷宗整理满意度≥95%</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满意度范围较小，未体现该服务的公共属性。</w:t>
      </w:r>
      <w:r>
        <w:rPr>
          <w:rFonts w:hint="eastAsia" w:ascii="仿宋" w:hAnsi="仿宋" w:eastAsia="仿宋" w:cs="仿宋"/>
          <w:sz w:val="32"/>
          <w:szCs w:val="32"/>
          <w:highlight w:val="none"/>
          <w:lang w:val="en-US" w:eastAsia="zh-CN"/>
        </w:rPr>
        <w:t>绩效指标缺少进度指标，指标完整性不足。</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val="en-US" w:eastAsia="zh-CN"/>
        </w:rPr>
        <w:t>过程</w:t>
      </w:r>
      <w:r>
        <w:rPr>
          <w:rFonts w:hint="eastAsia" w:ascii="仿宋" w:hAnsi="仿宋" w:eastAsia="仿宋" w:cs="仿宋"/>
          <w:sz w:val="32"/>
          <w:szCs w:val="32"/>
          <w:highlight w:val="none"/>
        </w:rPr>
        <w:t>方面</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实施方案不够明晰和充分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合同管理的规范性</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项目过程管理的留痕</w:t>
      </w:r>
      <w:r>
        <w:rPr>
          <w:rFonts w:hint="eastAsia" w:ascii="仿宋" w:hAnsi="仿宋" w:eastAsia="仿宋" w:cs="仿宋"/>
          <w:sz w:val="32"/>
          <w:szCs w:val="32"/>
          <w:highlight w:val="none"/>
          <w:lang w:val="en-US" w:eastAsia="zh-CN"/>
        </w:rPr>
        <w:t>和验收的规范性</w:t>
      </w:r>
      <w:r>
        <w:rPr>
          <w:rFonts w:hint="eastAsia" w:ascii="仿宋" w:hAnsi="仿宋" w:eastAsia="仿宋" w:cs="仿宋"/>
          <w:sz w:val="32"/>
          <w:szCs w:val="32"/>
          <w:highlight w:val="none"/>
        </w:rPr>
        <w:t>还需要提高</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如，与第三</w:t>
      </w:r>
      <w:r>
        <w:rPr>
          <w:rFonts w:hint="eastAsia" w:ascii="仿宋" w:hAnsi="仿宋" w:eastAsia="仿宋" w:cs="仿宋"/>
          <w:sz w:val="32"/>
          <w:szCs w:val="32"/>
          <w:highlight w:val="none"/>
          <w:lang w:val="en-US" w:eastAsia="zh-CN"/>
        </w:rPr>
        <w:t>方</w:t>
      </w:r>
      <w:r>
        <w:rPr>
          <w:rFonts w:hint="eastAsia" w:ascii="仿宋" w:hAnsi="仿宋" w:eastAsia="仿宋" w:cs="仿宋"/>
          <w:sz w:val="32"/>
          <w:szCs w:val="32"/>
          <w:highlight w:val="none"/>
        </w:rPr>
        <w:t>签订的服务合同期限为2023.4.1-2024.3.31，订立时间为2023年4月23日，合同履行期限在订立之前</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项目各季度绩效考评结果与质量缺少必要的关联</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按季度支付的服务费，缺少对相关服务项目的功能和运行检验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相关管理留痕需要进一步加强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验收中未能结合工作量，验收的规范性、严谨性还需要提高。</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3.产出方面</w:t>
      </w:r>
    </w:p>
    <w:p>
      <w:pPr>
        <w:spacing w:line="600" w:lineRule="exact"/>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rPr>
        <w:t>对照项目绩效目标表，实际完成度存在一定不足。如，数量指标案件卷宗整理数量 ≥2.3万卷，实际完成2.29万卷，存在一定负偏差</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设定的</w:t>
      </w:r>
      <w:r>
        <w:rPr>
          <w:rFonts w:hint="eastAsia" w:ascii="仿宋" w:hAnsi="仿宋" w:eastAsia="仿宋" w:cs="仿宋"/>
          <w:sz w:val="32"/>
          <w:szCs w:val="32"/>
          <w:highlight w:val="none"/>
          <w:lang w:val="en-US" w:eastAsia="zh-CN"/>
        </w:rPr>
        <w:t>数量绩效</w:t>
      </w:r>
      <w:r>
        <w:rPr>
          <w:rFonts w:hint="eastAsia" w:ascii="仿宋" w:hAnsi="仿宋" w:eastAsia="仿宋" w:cs="仿宋"/>
          <w:sz w:val="32"/>
          <w:szCs w:val="32"/>
          <w:highlight w:val="none"/>
        </w:rPr>
        <w:t>指标</w:t>
      </w:r>
      <w:r>
        <w:rPr>
          <w:rFonts w:hint="eastAsia" w:ascii="仿宋" w:hAnsi="仿宋" w:eastAsia="仿宋" w:cs="仿宋"/>
          <w:sz w:val="32"/>
          <w:szCs w:val="32"/>
          <w:highlight w:val="none"/>
          <w:lang w:val="en-US" w:eastAsia="zh-CN"/>
        </w:rPr>
        <w:t>尚有部分</w:t>
      </w:r>
      <w:r>
        <w:rPr>
          <w:rFonts w:hint="eastAsia" w:ascii="仿宋" w:hAnsi="仿宋" w:eastAsia="仿宋" w:cs="仿宋"/>
          <w:sz w:val="32"/>
          <w:szCs w:val="32"/>
          <w:highlight w:val="none"/>
        </w:rPr>
        <w:t>未达成。</w:t>
      </w:r>
      <w:r>
        <w:rPr>
          <w:rFonts w:hint="eastAsia" w:ascii="仿宋" w:hAnsi="仿宋" w:eastAsia="仿宋" w:cs="仿宋"/>
          <w:sz w:val="32"/>
          <w:szCs w:val="32"/>
          <w:highlight w:val="none"/>
          <w:lang w:val="en-US" w:eastAsia="zh-CN"/>
        </w:rPr>
        <w:t>成本管控措施有待提高。</w:t>
      </w:r>
    </w:p>
    <w:p>
      <w:pPr>
        <w:spacing w:line="600" w:lineRule="exact"/>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4.效益方面</w:t>
      </w:r>
    </w:p>
    <w:p>
      <w:pPr>
        <w:numPr>
          <w:ilvl w:val="0"/>
          <w:numId w:val="0"/>
        </w:numPr>
        <w:spacing w:line="600" w:lineRule="exact"/>
        <w:ind w:firstLine="640" w:firstLineChars="200"/>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档案</w:t>
      </w:r>
      <w:r>
        <w:rPr>
          <w:rFonts w:hint="eastAsia" w:ascii="仿宋" w:hAnsi="仿宋" w:eastAsia="仿宋" w:cs="仿宋"/>
          <w:sz w:val="32"/>
          <w:szCs w:val="32"/>
          <w:highlight w:val="none"/>
        </w:rPr>
        <w:t>管理发挥的作用、运用情况，以及产生的效益等呈现的不够充分。</w:t>
      </w:r>
    </w:p>
    <w:p>
      <w:pPr>
        <w:numPr>
          <w:ilvl w:val="0"/>
          <w:numId w:val="0"/>
        </w:numPr>
        <w:spacing w:line="600" w:lineRule="exact"/>
        <w:ind w:firstLine="640" w:firstLineChars="200"/>
        <w:outlineLvl w:val="9"/>
        <w:rPr>
          <w:rFonts w:hint="eastAsia" w:ascii="仿宋" w:hAnsi="仿宋" w:eastAsia="仿宋" w:cs="仿宋"/>
          <w:bCs/>
          <w:kern w:val="2"/>
          <w:sz w:val="32"/>
          <w:szCs w:val="24"/>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满意度调查以庭为单位只有6份，调查的样本量较少，调查不够深入和细化</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且缺少满意度分析</w:t>
      </w:r>
      <w:r>
        <w:rPr>
          <w:rFonts w:hint="eastAsia" w:ascii="仿宋" w:hAnsi="仿宋" w:eastAsia="仿宋" w:cs="仿宋"/>
          <w:sz w:val="32"/>
          <w:szCs w:val="32"/>
          <w:highlight w:val="none"/>
        </w:rPr>
        <w:t>。</w:t>
      </w:r>
    </w:p>
    <w:p>
      <w:pPr>
        <w:numPr>
          <w:ilvl w:val="0"/>
          <w:numId w:val="6"/>
        </w:numPr>
        <w:spacing w:line="600" w:lineRule="exact"/>
        <w:ind w:left="0" w:leftChars="0" w:firstLine="420" w:firstLineChars="0"/>
        <w:outlineLvl w:val="1"/>
        <w:rPr>
          <w:rFonts w:hint="eastAsia" w:ascii="楷体" w:hAnsi="楷体" w:eastAsia="楷体" w:cs="楷体"/>
          <w:bCs/>
          <w:kern w:val="2"/>
          <w:sz w:val="32"/>
          <w:szCs w:val="24"/>
          <w:highlight w:val="none"/>
        </w:rPr>
      </w:pPr>
      <w:bookmarkStart w:id="132" w:name="_Toc31925"/>
      <w:bookmarkStart w:id="133" w:name="_Toc9091"/>
      <w:bookmarkStart w:id="134" w:name="_Toc16079"/>
      <w:bookmarkStart w:id="135" w:name="_Toc4370"/>
      <w:bookmarkStart w:id="136" w:name="_Toc8415"/>
      <w:bookmarkStart w:id="137" w:name="_Toc3302"/>
      <w:r>
        <w:rPr>
          <w:rFonts w:hint="eastAsia" w:ascii="楷体" w:hAnsi="楷体" w:eastAsia="楷体" w:cs="楷体"/>
          <w:bCs/>
          <w:kern w:val="2"/>
          <w:sz w:val="32"/>
          <w:szCs w:val="24"/>
          <w:highlight w:val="none"/>
        </w:rPr>
        <w:t>原因分析</w:t>
      </w:r>
      <w:bookmarkEnd w:id="132"/>
      <w:bookmarkEnd w:id="133"/>
      <w:bookmarkEnd w:id="134"/>
      <w:bookmarkEnd w:id="135"/>
      <w:bookmarkEnd w:id="136"/>
      <w:bookmarkEnd w:id="137"/>
    </w:p>
    <w:p>
      <w:pPr>
        <w:spacing w:line="600" w:lineRule="exact"/>
        <w:ind w:firstLine="640" w:firstLineChars="200"/>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1.关于预算依据及细化不足的原因分析</w:t>
      </w:r>
    </w:p>
    <w:p>
      <w:pPr>
        <w:spacing w:line="600" w:lineRule="exact"/>
        <w:ind w:firstLine="640" w:firstLineChars="200"/>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知产法院自201</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年开展</w:t>
      </w:r>
      <w:r>
        <w:rPr>
          <w:rFonts w:hint="eastAsia" w:ascii="仿宋" w:hAnsi="仿宋" w:eastAsia="仿宋" w:cs="仿宋"/>
          <w:sz w:val="32"/>
          <w:szCs w:val="32"/>
          <w:highlight w:val="none"/>
          <w:lang w:val="en-US" w:eastAsia="zh-CN"/>
        </w:rPr>
        <w:t>卷宗全过程整理运维</w:t>
      </w:r>
      <w:r>
        <w:rPr>
          <w:rFonts w:hint="eastAsia" w:ascii="仿宋" w:hAnsi="仿宋" w:eastAsia="仿宋" w:cs="仿宋"/>
          <w:sz w:val="32"/>
          <w:szCs w:val="32"/>
          <w:highlight w:val="none"/>
        </w:rPr>
        <w:t>外包</w:t>
      </w:r>
      <w:r>
        <w:rPr>
          <w:rFonts w:hint="eastAsia" w:ascii="仿宋" w:hAnsi="仿宋" w:eastAsia="仿宋" w:cs="仿宋"/>
          <w:sz w:val="32"/>
          <w:szCs w:val="32"/>
          <w:highlight w:val="none"/>
          <w:lang w:val="en-US" w:eastAsia="zh-CN"/>
        </w:rPr>
        <w:t>服务</w:t>
      </w:r>
      <w:r>
        <w:rPr>
          <w:rFonts w:hint="eastAsia" w:ascii="仿宋" w:hAnsi="仿宋" w:eastAsia="仿宋" w:cs="仿宋"/>
          <w:sz w:val="32"/>
          <w:szCs w:val="32"/>
          <w:highlight w:val="none"/>
        </w:rPr>
        <w:t>项目以来，每年按照19</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53</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左右</w:t>
      </w:r>
      <w:r>
        <w:rPr>
          <w:rFonts w:hint="eastAsia" w:ascii="仿宋" w:hAnsi="仿宋" w:eastAsia="仿宋" w:cs="仿宋"/>
          <w:sz w:val="32"/>
          <w:szCs w:val="32"/>
          <w:highlight w:val="none"/>
        </w:rPr>
        <w:t>向财政申请该项目资金。近几年知产法院的收案量逐年上升，与201</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年相比已翻倍增长，但卷宗全过程整理运维外包服务项目资金并未增加。关于预算细化问题确实存在，在今后的预算编制中尽可能做到</w:t>
      </w:r>
      <w:r>
        <w:rPr>
          <w:rFonts w:hint="eastAsia" w:ascii="仿宋" w:hAnsi="仿宋" w:eastAsia="仿宋" w:cs="仿宋"/>
          <w:sz w:val="32"/>
          <w:szCs w:val="32"/>
          <w:highlight w:val="none"/>
          <w:lang w:val="en-US" w:eastAsia="zh-CN"/>
        </w:rPr>
        <w:t>准确测算工作量，</w:t>
      </w:r>
      <w:r>
        <w:rPr>
          <w:rFonts w:hint="eastAsia" w:ascii="仿宋" w:hAnsi="仿宋" w:eastAsia="仿宋" w:cs="仿宋"/>
          <w:sz w:val="32"/>
          <w:szCs w:val="32"/>
          <w:highlight w:val="none"/>
        </w:rPr>
        <w:t>预算</w:t>
      </w:r>
      <w:r>
        <w:rPr>
          <w:rFonts w:hint="eastAsia" w:ascii="仿宋" w:hAnsi="仿宋" w:eastAsia="仿宋" w:cs="仿宋"/>
          <w:sz w:val="32"/>
          <w:szCs w:val="32"/>
          <w:highlight w:val="none"/>
          <w:lang w:val="en-US" w:eastAsia="zh-CN"/>
        </w:rPr>
        <w:t>编制依据明确，</w:t>
      </w:r>
      <w:r>
        <w:rPr>
          <w:rFonts w:hint="eastAsia" w:ascii="仿宋" w:hAnsi="仿宋" w:eastAsia="仿宋" w:cs="仿宋"/>
          <w:sz w:val="32"/>
          <w:szCs w:val="32"/>
          <w:highlight w:val="none"/>
        </w:rPr>
        <w:t>内容细化。</w:t>
      </w:r>
    </w:p>
    <w:p>
      <w:pPr>
        <w:spacing w:line="600" w:lineRule="exact"/>
        <w:ind w:firstLine="640" w:firstLineChars="200"/>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2.关于满意度的原因分析</w:t>
      </w:r>
    </w:p>
    <w:p>
      <w:pPr>
        <w:spacing w:line="600" w:lineRule="exact"/>
        <w:outlineLvl w:val="9"/>
        <w:rPr>
          <w:rFonts w:ascii="仿宋_GB2312" w:hAnsi="宋体" w:eastAsia="仿宋_GB2312" w:cs="宋体"/>
          <w:sz w:val="32"/>
          <w:szCs w:val="32"/>
          <w:highlight w:val="none"/>
        </w:rPr>
      </w:pPr>
      <w:r>
        <w:rPr>
          <w:rFonts w:hint="eastAsia" w:ascii="仿宋" w:hAnsi="仿宋" w:eastAsia="仿宋" w:cs="仿宋"/>
          <w:sz w:val="32"/>
          <w:szCs w:val="32"/>
          <w:highlight w:val="none"/>
        </w:rPr>
        <w:t xml:space="preserve">   满意度调查样本量低、调查</w:t>
      </w:r>
      <w:r>
        <w:rPr>
          <w:rFonts w:hint="eastAsia" w:ascii="仿宋" w:hAnsi="仿宋" w:eastAsia="仿宋" w:cs="仿宋"/>
          <w:sz w:val="32"/>
          <w:szCs w:val="32"/>
          <w:highlight w:val="none"/>
          <w:lang w:val="en-US" w:eastAsia="zh-CN"/>
        </w:rPr>
        <w:t>不够深入、细化</w:t>
      </w:r>
      <w:r>
        <w:rPr>
          <w:rFonts w:hint="eastAsia" w:ascii="仿宋" w:hAnsi="仿宋" w:eastAsia="仿宋" w:cs="仿宋"/>
          <w:sz w:val="32"/>
          <w:szCs w:val="32"/>
          <w:highlight w:val="none"/>
        </w:rPr>
        <w:t>、缺少满意度分析等问题，今后要</w:t>
      </w:r>
      <w:r>
        <w:rPr>
          <w:rFonts w:hint="eastAsia" w:ascii="仿宋" w:hAnsi="仿宋" w:eastAsia="仿宋" w:cs="仿宋"/>
          <w:sz w:val="32"/>
          <w:szCs w:val="32"/>
          <w:highlight w:val="none"/>
          <w:lang w:val="en-US" w:eastAsia="zh-CN"/>
        </w:rPr>
        <w:t>提高对满意度的重视程度，充分</w:t>
      </w:r>
      <w:r>
        <w:rPr>
          <w:rFonts w:hint="eastAsia" w:ascii="仿宋" w:hAnsi="仿宋" w:eastAsia="仿宋" w:cs="仿宋"/>
          <w:sz w:val="32"/>
          <w:szCs w:val="32"/>
          <w:highlight w:val="none"/>
        </w:rPr>
        <w:t>利用信息技术、发放调查问卷等手段加强对</w:t>
      </w:r>
      <w:r>
        <w:rPr>
          <w:rFonts w:hint="eastAsia" w:ascii="仿宋" w:hAnsi="仿宋" w:eastAsia="仿宋" w:cs="仿宋"/>
          <w:sz w:val="32"/>
          <w:szCs w:val="32"/>
          <w:highlight w:val="none"/>
          <w:lang w:val="en-US" w:eastAsia="zh-CN"/>
        </w:rPr>
        <w:t>各类</w:t>
      </w:r>
      <w:r>
        <w:rPr>
          <w:rFonts w:hint="eastAsia" w:ascii="仿宋" w:hAnsi="仿宋" w:eastAsia="仿宋" w:cs="仿宋"/>
          <w:sz w:val="32"/>
          <w:szCs w:val="32"/>
          <w:highlight w:val="none"/>
        </w:rPr>
        <w:t>服务对象的满意度信息收集，细化调查问卷内容，以此作为改进工作的契机，更好促进卷宗全过程整理运维外包</w:t>
      </w:r>
      <w:r>
        <w:rPr>
          <w:rFonts w:hint="eastAsia" w:ascii="仿宋" w:hAnsi="仿宋" w:eastAsia="仿宋" w:cs="仿宋"/>
          <w:sz w:val="32"/>
          <w:szCs w:val="32"/>
          <w:highlight w:val="none"/>
          <w:lang w:val="en-US" w:eastAsia="zh-CN"/>
        </w:rPr>
        <w:t>服务</w:t>
      </w:r>
      <w:r>
        <w:rPr>
          <w:rFonts w:hint="eastAsia" w:ascii="仿宋" w:hAnsi="仿宋" w:eastAsia="仿宋" w:cs="仿宋"/>
          <w:sz w:val="32"/>
          <w:szCs w:val="32"/>
          <w:highlight w:val="none"/>
        </w:rPr>
        <w:t>工作。</w:t>
      </w:r>
      <w:r>
        <w:rPr>
          <w:rFonts w:hint="eastAsia" w:ascii="仿宋_GB2312" w:hAnsi="宋体" w:eastAsia="仿宋_GB2312" w:cs="宋体"/>
          <w:sz w:val="32"/>
          <w:szCs w:val="32"/>
          <w:highlight w:val="none"/>
        </w:rPr>
        <w:t xml:space="preserve">   </w:t>
      </w:r>
    </w:p>
    <w:p>
      <w:pPr>
        <w:pStyle w:val="2"/>
        <w:numPr>
          <w:ilvl w:val="0"/>
          <w:numId w:val="2"/>
        </w:numPr>
        <w:spacing w:line="240" w:lineRule="auto"/>
        <w:ind w:left="0" w:firstLine="420" w:firstLineChars="0"/>
        <w:jc w:val="left"/>
        <w:outlineLvl w:val="0"/>
        <w:rPr>
          <w:rFonts w:hint="eastAsia" w:ascii="Times New Roman" w:hAnsi="Times New Roman" w:eastAsia="黑体" w:cs="Times New Roman"/>
          <w:szCs w:val="24"/>
          <w:highlight w:val="none"/>
        </w:rPr>
      </w:pPr>
      <w:bookmarkStart w:id="138" w:name="_Toc14751"/>
      <w:bookmarkStart w:id="139" w:name="_Toc31912"/>
      <w:bookmarkStart w:id="140" w:name="_Toc7433"/>
      <w:bookmarkStart w:id="141" w:name="_Toc9141"/>
      <w:bookmarkStart w:id="142" w:name="_Toc5375"/>
      <w:r>
        <w:rPr>
          <w:rFonts w:hint="default"/>
          <w:highlight w:val="none"/>
        </w:rPr>
        <w:t>有关建议</w:t>
      </w:r>
      <w:bookmarkEnd w:id="138"/>
      <w:bookmarkEnd w:id="139"/>
      <w:bookmarkEnd w:id="140"/>
      <w:bookmarkEnd w:id="141"/>
      <w:bookmarkEnd w:id="142"/>
    </w:p>
    <w:p>
      <w:pPr>
        <w:spacing w:line="600" w:lineRule="exact"/>
        <w:ind w:firstLine="640" w:firstLineChars="200"/>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.优化购买服务工作。健全管理制度，明确购买服务与部门履职的界限；对于购买服务人员的方式、模式等进行论证分析，</w:t>
      </w:r>
      <w:r>
        <w:rPr>
          <w:rFonts w:hint="eastAsia" w:ascii="仿宋" w:hAnsi="仿宋" w:eastAsia="仿宋" w:cs="仿宋"/>
          <w:sz w:val="32"/>
          <w:szCs w:val="32"/>
          <w:highlight w:val="none"/>
          <w:lang w:val="en-US" w:eastAsia="zh-CN"/>
        </w:rPr>
        <w:t>做好项目</w:t>
      </w:r>
      <w:r>
        <w:rPr>
          <w:rFonts w:hint="eastAsia" w:ascii="仿宋" w:hAnsi="仿宋" w:eastAsia="仿宋" w:cs="仿宋"/>
          <w:sz w:val="32"/>
          <w:szCs w:val="32"/>
          <w:highlight w:val="none"/>
        </w:rPr>
        <w:t>可行性</w:t>
      </w:r>
      <w:r>
        <w:rPr>
          <w:rFonts w:hint="eastAsia" w:ascii="仿宋" w:hAnsi="仿宋" w:eastAsia="仿宋" w:cs="仿宋"/>
          <w:sz w:val="32"/>
          <w:szCs w:val="32"/>
          <w:highlight w:val="none"/>
          <w:lang w:val="en-US" w:eastAsia="zh-CN"/>
        </w:rPr>
        <w:t>研究</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进一步</w:t>
      </w:r>
      <w:r>
        <w:rPr>
          <w:rFonts w:hint="eastAsia" w:ascii="仿宋" w:hAnsi="仿宋" w:eastAsia="仿宋" w:cs="仿宋"/>
          <w:sz w:val="32"/>
          <w:szCs w:val="32"/>
          <w:highlight w:val="none"/>
        </w:rPr>
        <w:t>细化预算编制</w:t>
      </w:r>
      <w:r>
        <w:rPr>
          <w:rFonts w:hint="eastAsia" w:ascii="仿宋" w:hAnsi="仿宋" w:eastAsia="仿宋" w:cs="仿宋"/>
          <w:sz w:val="32"/>
          <w:szCs w:val="32"/>
          <w:highlight w:val="none"/>
          <w:lang w:val="en-US" w:eastAsia="zh-CN"/>
        </w:rPr>
        <w:t>工作</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合理测算人员工作量</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提高项目管理的科学性和合理性。</w:t>
      </w:r>
    </w:p>
    <w:p>
      <w:pPr>
        <w:spacing w:line="600" w:lineRule="exact"/>
        <w:ind w:firstLine="640" w:firstLineChars="200"/>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.提高项目绩效目标和指标设定的准确性和</w:t>
      </w:r>
      <w:r>
        <w:rPr>
          <w:rFonts w:hint="eastAsia" w:ascii="仿宋" w:hAnsi="仿宋" w:eastAsia="仿宋" w:cs="仿宋"/>
          <w:sz w:val="32"/>
          <w:szCs w:val="32"/>
          <w:highlight w:val="none"/>
          <w:lang w:val="en-US" w:eastAsia="zh-CN"/>
        </w:rPr>
        <w:t>完整</w:t>
      </w:r>
      <w:r>
        <w:rPr>
          <w:rFonts w:hint="eastAsia" w:ascii="仿宋" w:hAnsi="仿宋" w:eastAsia="仿宋" w:cs="仿宋"/>
          <w:sz w:val="32"/>
          <w:szCs w:val="32"/>
          <w:highlight w:val="none"/>
        </w:rPr>
        <w:t>性。对照2024年财政制定的政府购买服务的绩效评价指标，</w:t>
      </w:r>
      <w:r>
        <w:rPr>
          <w:rFonts w:hint="eastAsia" w:ascii="仿宋" w:hAnsi="仿宋" w:eastAsia="仿宋" w:cs="仿宋"/>
          <w:sz w:val="32"/>
          <w:szCs w:val="32"/>
          <w:highlight w:val="none"/>
          <w:lang w:val="en-US" w:eastAsia="zh-CN"/>
        </w:rPr>
        <w:t>科学</w:t>
      </w:r>
      <w:r>
        <w:rPr>
          <w:rFonts w:hint="eastAsia" w:ascii="仿宋" w:hAnsi="仿宋" w:eastAsia="仿宋" w:cs="仿宋"/>
          <w:sz w:val="32"/>
          <w:szCs w:val="32"/>
          <w:highlight w:val="none"/>
        </w:rPr>
        <w:t>设定指标。</w:t>
      </w:r>
    </w:p>
    <w:p>
      <w:pPr>
        <w:spacing w:line="600" w:lineRule="exact"/>
        <w:ind w:firstLine="640" w:firstLineChars="200"/>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.强化密级管理，加强项目过程管控。明确档案的密级分级</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加强合同管理和采购管理。</w:t>
      </w:r>
      <w:r>
        <w:rPr>
          <w:rFonts w:hint="eastAsia" w:ascii="仿宋" w:hAnsi="仿宋" w:eastAsia="仿宋" w:cs="仿宋"/>
          <w:sz w:val="32"/>
          <w:szCs w:val="32"/>
          <w:highlight w:val="none"/>
        </w:rPr>
        <w:t>如，在合同中约定服务质量标准，并将于服务费与服务质量挂钩等</w:t>
      </w:r>
      <w:r>
        <w:rPr>
          <w:rFonts w:hint="eastAsia" w:ascii="仿宋" w:hAnsi="仿宋" w:eastAsia="仿宋" w:cs="仿宋"/>
          <w:sz w:val="32"/>
          <w:szCs w:val="32"/>
          <w:highlight w:val="none"/>
          <w:lang w:val="en-US" w:eastAsia="zh-CN"/>
        </w:rPr>
        <w:t>；强化投标人资格审查；</w:t>
      </w:r>
      <w:r>
        <w:rPr>
          <w:rFonts w:hint="eastAsia" w:ascii="仿宋" w:hAnsi="仿宋" w:eastAsia="仿宋" w:cs="仿宋"/>
          <w:sz w:val="32"/>
          <w:szCs w:val="32"/>
          <w:highlight w:val="none"/>
        </w:rPr>
        <w:t>强化对第三方</w:t>
      </w:r>
      <w:r>
        <w:rPr>
          <w:rFonts w:hint="eastAsia" w:ascii="仿宋" w:hAnsi="仿宋" w:eastAsia="仿宋" w:cs="仿宋"/>
          <w:sz w:val="32"/>
          <w:szCs w:val="32"/>
          <w:highlight w:val="none"/>
          <w:lang w:val="en-US" w:eastAsia="zh-CN"/>
        </w:rPr>
        <w:t>服务公司</w:t>
      </w:r>
      <w:r>
        <w:rPr>
          <w:rFonts w:hint="eastAsia" w:ascii="仿宋" w:hAnsi="仿宋" w:eastAsia="仿宋" w:cs="仿宋"/>
          <w:sz w:val="32"/>
          <w:szCs w:val="32"/>
          <w:highlight w:val="none"/>
        </w:rPr>
        <w:t>的</w:t>
      </w:r>
      <w:r>
        <w:rPr>
          <w:rFonts w:hint="eastAsia" w:ascii="仿宋" w:hAnsi="仿宋" w:eastAsia="仿宋" w:cs="仿宋"/>
          <w:sz w:val="32"/>
          <w:szCs w:val="32"/>
          <w:highlight w:val="none"/>
          <w:lang w:val="en-US" w:eastAsia="zh-CN"/>
        </w:rPr>
        <w:t>日常</w:t>
      </w:r>
      <w:r>
        <w:rPr>
          <w:rFonts w:hint="eastAsia" w:ascii="仿宋" w:hAnsi="仿宋" w:eastAsia="仿宋" w:cs="仿宋"/>
          <w:sz w:val="32"/>
          <w:szCs w:val="32"/>
          <w:highlight w:val="none"/>
        </w:rPr>
        <w:t>监管</w:t>
      </w:r>
      <w:r>
        <w:rPr>
          <w:rFonts w:hint="eastAsia" w:ascii="仿宋" w:hAnsi="仿宋" w:eastAsia="仿宋" w:cs="仿宋"/>
          <w:sz w:val="32"/>
          <w:szCs w:val="32"/>
          <w:highlight w:val="none"/>
          <w:lang w:val="en-US" w:eastAsia="zh-CN"/>
        </w:rPr>
        <w:t>和工作成效的评价</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制定项目实施方案</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加强监管留痕，</w:t>
      </w:r>
      <w:r>
        <w:rPr>
          <w:rFonts w:hint="eastAsia" w:ascii="仿宋" w:hAnsi="仿宋" w:eastAsia="仿宋" w:cs="仿宋"/>
          <w:sz w:val="32"/>
          <w:szCs w:val="32"/>
          <w:highlight w:val="none"/>
        </w:rPr>
        <w:t>规范验收管理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提高管理的规范性。</w:t>
      </w:r>
    </w:p>
    <w:p>
      <w:pPr>
        <w:spacing w:line="600" w:lineRule="exact"/>
        <w:ind w:firstLine="640" w:firstLineChars="200"/>
        <w:outlineLvl w:val="9"/>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4.持续不断加强成本控制。建议项目单位深入探讨不同类别档案数字化的操作规律，探讨投入成本与档案页数、技术要求、难度系数等关系，逐步探索自行完成与对外委托档案的定额成本。</w:t>
      </w:r>
    </w:p>
    <w:p>
      <w:pPr>
        <w:spacing w:line="600" w:lineRule="exact"/>
        <w:ind w:firstLine="640" w:firstLineChars="200"/>
        <w:outlineLvl w:val="9"/>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加强档案管理绩效成果资料收集和呈现，</w:t>
      </w:r>
      <w:r>
        <w:rPr>
          <w:rFonts w:hint="eastAsia" w:ascii="仿宋" w:hAnsi="仿宋" w:eastAsia="仿宋" w:cs="仿宋"/>
          <w:sz w:val="32"/>
          <w:szCs w:val="32"/>
          <w:highlight w:val="none"/>
        </w:rPr>
        <w:t>深化项目绩效成果的运用，深化满意度调查。以此为契机，加强对第三服务质量的约束和要求，不断提高服务质量和水平。</w:t>
      </w:r>
    </w:p>
    <w:p>
      <w:pPr>
        <w:pStyle w:val="2"/>
        <w:numPr>
          <w:ilvl w:val="0"/>
          <w:numId w:val="2"/>
        </w:numPr>
        <w:spacing w:line="240" w:lineRule="auto"/>
        <w:ind w:firstLine="420" w:firstLineChars="0"/>
        <w:jc w:val="left"/>
        <w:outlineLvl w:val="0"/>
        <w:rPr>
          <w:rFonts w:hint="eastAsia" w:ascii="Times New Roman" w:hAnsi="Times New Roman" w:eastAsia="黑体"/>
          <w:kern w:val="44"/>
          <w:sz w:val="32"/>
          <w:szCs w:val="24"/>
          <w:highlight w:val="none"/>
        </w:rPr>
      </w:pPr>
      <w:bookmarkStart w:id="143" w:name="_Toc8266"/>
      <w:bookmarkStart w:id="144" w:name="_Toc11593"/>
      <w:bookmarkStart w:id="145" w:name="_Toc13017"/>
      <w:bookmarkStart w:id="146" w:name="_Toc22768"/>
      <w:bookmarkStart w:id="147" w:name="_Toc7338"/>
      <w:r>
        <w:rPr>
          <w:rFonts w:hint="default" w:ascii="Times New Roman" w:hAnsi="Times New Roman" w:eastAsia="黑体"/>
          <w:kern w:val="44"/>
          <w:sz w:val="32"/>
          <w:szCs w:val="24"/>
          <w:highlight w:val="none"/>
        </w:rPr>
        <w:t>其他需要说明的问题</w:t>
      </w:r>
      <w:bookmarkEnd w:id="143"/>
      <w:bookmarkEnd w:id="144"/>
      <w:bookmarkEnd w:id="145"/>
      <w:bookmarkEnd w:id="146"/>
      <w:bookmarkEnd w:id="147"/>
    </w:p>
    <w:p>
      <w:pPr>
        <w:spacing w:line="600" w:lineRule="exact"/>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无。</w:t>
      </w:r>
    </w:p>
    <w:p>
      <w:pPr>
        <w:pStyle w:val="2"/>
        <w:numPr>
          <w:ilvl w:val="0"/>
          <w:numId w:val="2"/>
        </w:numPr>
        <w:spacing w:line="240" w:lineRule="auto"/>
        <w:ind w:firstLine="420" w:firstLineChars="0"/>
        <w:outlineLvl w:val="0"/>
        <w:rPr>
          <w:rFonts w:ascii="Times New Roman" w:hAnsi="Times New Roman" w:eastAsia="黑体"/>
          <w:kern w:val="44"/>
          <w:sz w:val="32"/>
          <w:szCs w:val="24"/>
          <w:highlight w:val="none"/>
        </w:rPr>
      </w:pPr>
      <w:bookmarkStart w:id="148" w:name="_Toc6951"/>
      <w:bookmarkStart w:id="149" w:name="_Toc22400"/>
      <w:bookmarkStart w:id="150" w:name="_Toc16355"/>
      <w:bookmarkStart w:id="151" w:name="_Toc2616"/>
      <w:bookmarkStart w:id="152" w:name="_Toc12400"/>
      <w:r>
        <w:rPr>
          <w:rFonts w:hint="eastAsia" w:ascii="Times New Roman" w:hAnsi="Times New Roman" w:eastAsia="黑体"/>
          <w:kern w:val="44"/>
          <w:sz w:val="32"/>
          <w:szCs w:val="24"/>
          <w:highlight w:val="none"/>
        </w:rPr>
        <w:t>附件</w:t>
      </w:r>
      <w:bookmarkEnd w:id="148"/>
      <w:bookmarkEnd w:id="149"/>
      <w:bookmarkEnd w:id="150"/>
      <w:bookmarkEnd w:id="151"/>
      <w:bookmarkEnd w:id="152"/>
    </w:p>
    <w:p>
      <w:pPr>
        <w:spacing w:line="360"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项目支出绩效评价指标体系评分表</w:t>
      </w:r>
    </w:p>
    <w:p>
      <w:pPr>
        <w:ind w:firstLine="960" w:firstLineChars="300"/>
        <w:rPr>
          <w:highlight w:val="none"/>
        </w:rPr>
      </w:pPr>
      <w:r>
        <w:rPr>
          <w:rFonts w:hint="eastAsia" w:ascii="仿宋" w:hAnsi="仿宋" w:eastAsia="仿宋" w:cs="仿宋"/>
          <w:sz w:val="32"/>
          <w:szCs w:val="32"/>
          <w:highlight w:val="none"/>
          <w:lang w:val="en-US" w:eastAsia="zh-CN"/>
        </w:rPr>
        <w:t>2.专家意见汇总书</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Arial Narrow">
    <w:panose1 w:val="020B0606020202030204"/>
    <w:charset w:val="00"/>
    <w:family w:val="swiss"/>
    <w:pitch w:val="default"/>
    <w:sig w:usb0="00000287" w:usb1="00000800" w:usb2="00000000" w:usb3="00000000" w:csb0="2000009F" w:csb1="DFD70000"/>
  </w:font>
  <w:font w:name="方正小标宋简体">
    <w:panose1 w:val="02000000000000000000"/>
    <w:charset w:val="86"/>
    <w:family w:val="script"/>
    <w:pitch w:val="default"/>
    <w:sig w:usb0="A00002BF" w:usb1="184F6CFA" w:usb2="00000012" w:usb3="00000000" w:csb0="00040001" w:csb1="00000000"/>
  </w:font>
  <w:font w:name="方正仿宋_GB2312">
    <w:altName w:val="方正仿宋_GBK"/>
    <w:panose1 w:val="02000000000000000000"/>
    <w:charset w:val="86"/>
    <w:family w:val="auto"/>
    <w:pitch w:val="default"/>
    <w:sig w:usb0="00000000" w:usb1="00000000"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A0000287" w:usb1="28CF3C52" w:usb2="00000016" w:usb3="00000000" w:csb0="0004001F"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24" w:lineRule="exact"/>
      <w:ind w:firstLine="405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2"/>
                          </w:pPr>
                          <w:r>
                            <w:fldChar w:fldCharType="begin"/>
                          </w:r>
                          <w:r>
                            <w:instrText xml:space="preserve"> PAGE  \* MERGEFORMAT </w:instrText>
                          </w:r>
                          <w:r>
                            <w:fldChar w:fldCharType="separate"/>
                          </w:r>
                          <w:r>
                            <w:t>2</w:t>
                          </w:r>
                          <w:r>
                            <w:fldChar w:fldCharType="end"/>
                          </w:r>
                        </w:p>
                      </w:txbxContent>
                    </wps:txbx>
                    <wps:bodyPr wrap="none" lIns="0" tIns="0" rIns="0" bIns="0" upright="false">
                      <a:spAutoFit/>
                    </wps:bodyPr>
                  </wps:wsp>
                </a:graphicData>
              </a:graphic>
            </wp:anchor>
          </w:drawing>
        </mc:Choice>
        <mc:Fallback>
          <w:pict>
            <v:shape id="文本框 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bn3+A7QBAABSAwAADgAAAAAAAAABACAAAAA0AQAAZHJzL2Uyb0Rv&#10;Yy54bWxQSwUGAAAAAAYABgBZAQAAWgUAAAAA&#10;">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ED6B6A"/>
    <w:multiLevelType w:val="singleLevel"/>
    <w:tmpl w:val="EEED6B6A"/>
    <w:lvl w:ilvl="0" w:tentative="0">
      <w:start w:val="1"/>
      <w:numFmt w:val="decimal"/>
      <w:suff w:val="nothing"/>
      <w:lvlText w:val="%1．"/>
      <w:lvlJc w:val="left"/>
      <w:pPr>
        <w:ind w:left="0" w:firstLine="400"/>
      </w:pPr>
      <w:rPr>
        <w:rFonts w:hint="default"/>
      </w:rPr>
    </w:lvl>
  </w:abstractNum>
  <w:abstractNum w:abstractNumId="1">
    <w:nsid w:val="2E8699AA"/>
    <w:multiLevelType w:val="singleLevel"/>
    <w:tmpl w:val="2E8699AA"/>
    <w:lvl w:ilvl="0" w:tentative="0">
      <w:start w:val="1"/>
      <w:numFmt w:val="chineseCounting"/>
      <w:suff w:val="nothing"/>
      <w:lvlText w:val="%1、"/>
      <w:lvlJc w:val="left"/>
      <w:pPr>
        <w:ind w:left="0" w:firstLine="420"/>
      </w:pPr>
      <w:rPr>
        <w:rFonts w:hint="eastAsia"/>
      </w:rPr>
    </w:lvl>
  </w:abstractNum>
  <w:abstractNum w:abstractNumId="2">
    <w:nsid w:val="2F19A73A"/>
    <w:multiLevelType w:val="singleLevel"/>
    <w:tmpl w:val="2F19A73A"/>
    <w:lvl w:ilvl="0" w:tentative="0">
      <w:start w:val="1"/>
      <w:numFmt w:val="chineseCounting"/>
      <w:suff w:val="nothing"/>
      <w:lvlText w:val="（%1）"/>
      <w:lvlJc w:val="left"/>
      <w:pPr>
        <w:ind w:left="0" w:firstLine="420"/>
      </w:pPr>
      <w:rPr>
        <w:rFonts w:hint="eastAsia"/>
      </w:rPr>
    </w:lvl>
  </w:abstractNum>
  <w:abstractNum w:abstractNumId="3">
    <w:nsid w:val="4458BDEC"/>
    <w:multiLevelType w:val="singleLevel"/>
    <w:tmpl w:val="4458BDEC"/>
    <w:lvl w:ilvl="0" w:tentative="0">
      <w:start w:val="1"/>
      <w:numFmt w:val="chineseCounting"/>
      <w:suff w:val="nothing"/>
      <w:lvlText w:val="（%1）"/>
      <w:lvlJc w:val="left"/>
      <w:pPr>
        <w:ind w:left="0" w:firstLine="420"/>
      </w:pPr>
      <w:rPr>
        <w:rFonts w:hint="eastAsia"/>
      </w:rPr>
    </w:lvl>
  </w:abstractNum>
  <w:abstractNum w:abstractNumId="4">
    <w:nsid w:val="471806C7"/>
    <w:multiLevelType w:val="multilevel"/>
    <w:tmpl w:val="471806C7"/>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abstractNum w:abstractNumId="5">
    <w:nsid w:val="7FCA949B"/>
    <w:multiLevelType w:val="singleLevel"/>
    <w:tmpl w:val="7FCA949B"/>
    <w:lvl w:ilvl="0" w:tentative="0">
      <w:start w:val="1"/>
      <w:numFmt w:val="chineseCounting"/>
      <w:suff w:val="nothing"/>
      <w:lvlText w:val="（%1）"/>
      <w:lvlJc w:val="left"/>
      <w:pPr>
        <w:ind w:left="0" w:firstLine="420"/>
      </w:pPr>
      <w:rPr>
        <w:rFonts w:hint="eastAsia"/>
      </w:r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false"/>
  <w:bordersDoNotSurroundFooter w:val="false"/>
  <w:revisionView w:markup="0"/>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OWIxODA5ZTg3YjJiOGNhYWJiMDQwMjZlZjRjODYifQ=="/>
  </w:docVars>
  <w:rsids>
    <w:rsidRoot w:val="00FD4620"/>
    <w:rsid w:val="00022ED3"/>
    <w:rsid w:val="00032AA4"/>
    <w:rsid w:val="000568B6"/>
    <w:rsid w:val="000728CB"/>
    <w:rsid w:val="000D4097"/>
    <w:rsid w:val="00105624"/>
    <w:rsid w:val="001A2968"/>
    <w:rsid w:val="00262198"/>
    <w:rsid w:val="00287389"/>
    <w:rsid w:val="002935CE"/>
    <w:rsid w:val="002F73B0"/>
    <w:rsid w:val="00441EE0"/>
    <w:rsid w:val="00452DAC"/>
    <w:rsid w:val="005E7E44"/>
    <w:rsid w:val="00666584"/>
    <w:rsid w:val="00705A5B"/>
    <w:rsid w:val="007251EF"/>
    <w:rsid w:val="0076131B"/>
    <w:rsid w:val="007B0A12"/>
    <w:rsid w:val="0080473E"/>
    <w:rsid w:val="00815A48"/>
    <w:rsid w:val="00850134"/>
    <w:rsid w:val="00891E2A"/>
    <w:rsid w:val="00902B58"/>
    <w:rsid w:val="009335C2"/>
    <w:rsid w:val="00A43468"/>
    <w:rsid w:val="00AE3484"/>
    <w:rsid w:val="00B027E1"/>
    <w:rsid w:val="00B47CC5"/>
    <w:rsid w:val="00B77F68"/>
    <w:rsid w:val="00D4511B"/>
    <w:rsid w:val="00D62597"/>
    <w:rsid w:val="00E15865"/>
    <w:rsid w:val="00EA73DE"/>
    <w:rsid w:val="00F439CC"/>
    <w:rsid w:val="00F907CF"/>
    <w:rsid w:val="00FD4620"/>
    <w:rsid w:val="010540EB"/>
    <w:rsid w:val="01144597"/>
    <w:rsid w:val="0127637F"/>
    <w:rsid w:val="012D0479"/>
    <w:rsid w:val="015B4FE6"/>
    <w:rsid w:val="016519C1"/>
    <w:rsid w:val="01F62F61"/>
    <w:rsid w:val="022B3571"/>
    <w:rsid w:val="02842793"/>
    <w:rsid w:val="029B1FB9"/>
    <w:rsid w:val="02B250DA"/>
    <w:rsid w:val="02BF2B94"/>
    <w:rsid w:val="03101E00"/>
    <w:rsid w:val="03506456"/>
    <w:rsid w:val="035B751F"/>
    <w:rsid w:val="037F6180"/>
    <w:rsid w:val="03C07382"/>
    <w:rsid w:val="03CE5F43"/>
    <w:rsid w:val="03DE36BA"/>
    <w:rsid w:val="03FC2775"/>
    <w:rsid w:val="040000C7"/>
    <w:rsid w:val="041871BE"/>
    <w:rsid w:val="04335DA6"/>
    <w:rsid w:val="046D3D0D"/>
    <w:rsid w:val="047D281B"/>
    <w:rsid w:val="04893782"/>
    <w:rsid w:val="04A942BA"/>
    <w:rsid w:val="04C358B8"/>
    <w:rsid w:val="04C56D40"/>
    <w:rsid w:val="04DF5C8D"/>
    <w:rsid w:val="04EF53D6"/>
    <w:rsid w:val="050F15EC"/>
    <w:rsid w:val="052508C3"/>
    <w:rsid w:val="05265A5F"/>
    <w:rsid w:val="052838F5"/>
    <w:rsid w:val="059D5FA3"/>
    <w:rsid w:val="05D259CE"/>
    <w:rsid w:val="05E76E48"/>
    <w:rsid w:val="060D6A17"/>
    <w:rsid w:val="06170CBC"/>
    <w:rsid w:val="06173E88"/>
    <w:rsid w:val="06190FCC"/>
    <w:rsid w:val="065A1D10"/>
    <w:rsid w:val="0668088B"/>
    <w:rsid w:val="067F7EC9"/>
    <w:rsid w:val="06F57DB9"/>
    <w:rsid w:val="07036F81"/>
    <w:rsid w:val="071038F9"/>
    <w:rsid w:val="073F0AA4"/>
    <w:rsid w:val="0767339E"/>
    <w:rsid w:val="0773272F"/>
    <w:rsid w:val="08411AD2"/>
    <w:rsid w:val="085E6A12"/>
    <w:rsid w:val="086E1B1D"/>
    <w:rsid w:val="0912466A"/>
    <w:rsid w:val="09722ECD"/>
    <w:rsid w:val="097F1A8E"/>
    <w:rsid w:val="09890463"/>
    <w:rsid w:val="098D483B"/>
    <w:rsid w:val="09995992"/>
    <w:rsid w:val="09E05FC1"/>
    <w:rsid w:val="09F14AFC"/>
    <w:rsid w:val="0A110938"/>
    <w:rsid w:val="0A34470F"/>
    <w:rsid w:val="0A620A23"/>
    <w:rsid w:val="0AA21403"/>
    <w:rsid w:val="0AA51080"/>
    <w:rsid w:val="0B246C54"/>
    <w:rsid w:val="0B3D3995"/>
    <w:rsid w:val="0B667159"/>
    <w:rsid w:val="0B683274"/>
    <w:rsid w:val="0BE172E1"/>
    <w:rsid w:val="0BE34556"/>
    <w:rsid w:val="0C140B52"/>
    <w:rsid w:val="0C89421E"/>
    <w:rsid w:val="0CBC64F0"/>
    <w:rsid w:val="0CF46EE0"/>
    <w:rsid w:val="0CFA4995"/>
    <w:rsid w:val="0D3C216F"/>
    <w:rsid w:val="0DAB30E5"/>
    <w:rsid w:val="0DDD7B8C"/>
    <w:rsid w:val="0DFF319D"/>
    <w:rsid w:val="0E2665CC"/>
    <w:rsid w:val="0E981D4C"/>
    <w:rsid w:val="0EC12F65"/>
    <w:rsid w:val="0ECF43E4"/>
    <w:rsid w:val="0EF72CD9"/>
    <w:rsid w:val="0F766A21"/>
    <w:rsid w:val="0FB3423F"/>
    <w:rsid w:val="0FB35260"/>
    <w:rsid w:val="0FD67878"/>
    <w:rsid w:val="106C43E8"/>
    <w:rsid w:val="10806817"/>
    <w:rsid w:val="10925D9C"/>
    <w:rsid w:val="10C92312"/>
    <w:rsid w:val="10D8401C"/>
    <w:rsid w:val="10DA0579"/>
    <w:rsid w:val="11101261"/>
    <w:rsid w:val="113948A0"/>
    <w:rsid w:val="114420F0"/>
    <w:rsid w:val="11C2064E"/>
    <w:rsid w:val="12080872"/>
    <w:rsid w:val="127A530E"/>
    <w:rsid w:val="1286002B"/>
    <w:rsid w:val="129640D0"/>
    <w:rsid w:val="12E62705"/>
    <w:rsid w:val="13192368"/>
    <w:rsid w:val="13247688"/>
    <w:rsid w:val="138161D5"/>
    <w:rsid w:val="139B5716"/>
    <w:rsid w:val="13C65FB8"/>
    <w:rsid w:val="13D21250"/>
    <w:rsid w:val="13ED636A"/>
    <w:rsid w:val="14067545"/>
    <w:rsid w:val="1408006A"/>
    <w:rsid w:val="142B6741"/>
    <w:rsid w:val="143234E8"/>
    <w:rsid w:val="144A3269"/>
    <w:rsid w:val="147547BA"/>
    <w:rsid w:val="14BA0618"/>
    <w:rsid w:val="14D76DE3"/>
    <w:rsid w:val="15400323"/>
    <w:rsid w:val="155E2E9F"/>
    <w:rsid w:val="1571672E"/>
    <w:rsid w:val="15786550"/>
    <w:rsid w:val="15B036FB"/>
    <w:rsid w:val="15D373E9"/>
    <w:rsid w:val="15EE7D7F"/>
    <w:rsid w:val="161847D1"/>
    <w:rsid w:val="1631326B"/>
    <w:rsid w:val="16900E36"/>
    <w:rsid w:val="16907088"/>
    <w:rsid w:val="16C667B9"/>
    <w:rsid w:val="16CC5925"/>
    <w:rsid w:val="16F355C9"/>
    <w:rsid w:val="173914CE"/>
    <w:rsid w:val="173D7210"/>
    <w:rsid w:val="174B375D"/>
    <w:rsid w:val="17544C14"/>
    <w:rsid w:val="17634CAE"/>
    <w:rsid w:val="17C438ED"/>
    <w:rsid w:val="17FF6EC3"/>
    <w:rsid w:val="18095209"/>
    <w:rsid w:val="1840798C"/>
    <w:rsid w:val="185F7A24"/>
    <w:rsid w:val="189A12EB"/>
    <w:rsid w:val="18E3721C"/>
    <w:rsid w:val="190B1BEE"/>
    <w:rsid w:val="19566815"/>
    <w:rsid w:val="1971169E"/>
    <w:rsid w:val="197E141A"/>
    <w:rsid w:val="198D0237"/>
    <w:rsid w:val="1A202A12"/>
    <w:rsid w:val="1A4F231D"/>
    <w:rsid w:val="1A846F04"/>
    <w:rsid w:val="1AE91AF7"/>
    <w:rsid w:val="1AFB2F3F"/>
    <w:rsid w:val="1B1A33C4"/>
    <w:rsid w:val="1B605CA9"/>
    <w:rsid w:val="1B8371BB"/>
    <w:rsid w:val="1BD27EE3"/>
    <w:rsid w:val="1BE45652"/>
    <w:rsid w:val="1C2F4C4D"/>
    <w:rsid w:val="1C412D36"/>
    <w:rsid w:val="1C422BD3"/>
    <w:rsid w:val="1C811FB6"/>
    <w:rsid w:val="1C9B5D51"/>
    <w:rsid w:val="1CD032BD"/>
    <w:rsid w:val="1CD034C4"/>
    <w:rsid w:val="1CDA5DDD"/>
    <w:rsid w:val="1D036806"/>
    <w:rsid w:val="1D1E7B6A"/>
    <w:rsid w:val="1D5F0D01"/>
    <w:rsid w:val="1D681973"/>
    <w:rsid w:val="1D6F7B8D"/>
    <w:rsid w:val="1D710888"/>
    <w:rsid w:val="1E3356E2"/>
    <w:rsid w:val="1E3E561C"/>
    <w:rsid w:val="1E92221F"/>
    <w:rsid w:val="1EB13C30"/>
    <w:rsid w:val="1EDD4E34"/>
    <w:rsid w:val="1EE2069D"/>
    <w:rsid w:val="1EFA5674"/>
    <w:rsid w:val="1F0979D8"/>
    <w:rsid w:val="1F617814"/>
    <w:rsid w:val="1F672950"/>
    <w:rsid w:val="1F875BC4"/>
    <w:rsid w:val="1FFF1C0E"/>
    <w:rsid w:val="1FFF5D2A"/>
    <w:rsid w:val="200A7EAB"/>
    <w:rsid w:val="202655C4"/>
    <w:rsid w:val="20270A5D"/>
    <w:rsid w:val="203D04C0"/>
    <w:rsid w:val="203D067B"/>
    <w:rsid w:val="205E04E8"/>
    <w:rsid w:val="20AE3A57"/>
    <w:rsid w:val="20E8395F"/>
    <w:rsid w:val="214F3105"/>
    <w:rsid w:val="21505A9C"/>
    <w:rsid w:val="215C1EAB"/>
    <w:rsid w:val="21771643"/>
    <w:rsid w:val="21840AEC"/>
    <w:rsid w:val="21A64071"/>
    <w:rsid w:val="21F462DF"/>
    <w:rsid w:val="22156F08"/>
    <w:rsid w:val="222C202B"/>
    <w:rsid w:val="227E692E"/>
    <w:rsid w:val="229C4156"/>
    <w:rsid w:val="22CA1B74"/>
    <w:rsid w:val="230E72DC"/>
    <w:rsid w:val="232E369E"/>
    <w:rsid w:val="23582CDC"/>
    <w:rsid w:val="235F22BC"/>
    <w:rsid w:val="236F4231"/>
    <w:rsid w:val="23746834"/>
    <w:rsid w:val="23863CED"/>
    <w:rsid w:val="24140636"/>
    <w:rsid w:val="2451290B"/>
    <w:rsid w:val="246D27B7"/>
    <w:rsid w:val="24F44C86"/>
    <w:rsid w:val="251C3103"/>
    <w:rsid w:val="254A6BC8"/>
    <w:rsid w:val="25567215"/>
    <w:rsid w:val="259A582D"/>
    <w:rsid w:val="25D376E6"/>
    <w:rsid w:val="25F2519F"/>
    <w:rsid w:val="266473C0"/>
    <w:rsid w:val="26840989"/>
    <w:rsid w:val="26A450DA"/>
    <w:rsid w:val="26CB5281"/>
    <w:rsid w:val="270F224B"/>
    <w:rsid w:val="273D4164"/>
    <w:rsid w:val="27547F6A"/>
    <w:rsid w:val="27781D7E"/>
    <w:rsid w:val="2781513A"/>
    <w:rsid w:val="27FF6A5E"/>
    <w:rsid w:val="289E2F7F"/>
    <w:rsid w:val="28E64F76"/>
    <w:rsid w:val="29B358C9"/>
    <w:rsid w:val="29DE65B1"/>
    <w:rsid w:val="29E277A3"/>
    <w:rsid w:val="29E86C2F"/>
    <w:rsid w:val="2A092F82"/>
    <w:rsid w:val="2A160B03"/>
    <w:rsid w:val="2A511AEE"/>
    <w:rsid w:val="2A6423D0"/>
    <w:rsid w:val="2A8639D0"/>
    <w:rsid w:val="2A9E1416"/>
    <w:rsid w:val="2AAB4C62"/>
    <w:rsid w:val="2AC944BF"/>
    <w:rsid w:val="2B0F6376"/>
    <w:rsid w:val="2B327E86"/>
    <w:rsid w:val="2B3F3CF8"/>
    <w:rsid w:val="2B524E33"/>
    <w:rsid w:val="2B9C3591"/>
    <w:rsid w:val="2C156DC8"/>
    <w:rsid w:val="2C1B7415"/>
    <w:rsid w:val="2C1B760D"/>
    <w:rsid w:val="2C1E3346"/>
    <w:rsid w:val="2C347DB3"/>
    <w:rsid w:val="2C474247"/>
    <w:rsid w:val="2C624BCB"/>
    <w:rsid w:val="2C731026"/>
    <w:rsid w:val="2C840054"/>
    <w:rsid w:val="2C9254B0"/>
    <w:rsid w:val="2CB52E8B"/>
    <w:rsid w:val="2D4717EE"/>
    <w:rsid w:val="2D684463"/>
    <w:rsid w:val="2D7035AD"/>
    <w:rsid w:val="2DBF7206"/>
    <w:rsid w:val="2DEC0BF0"/>
    <w:rsid w:val="2E0A5087"/>
    <w:rsid w:val="2E575F17"/>
    <w:rsid w:val="2E593EBC"/>
    <w:rsid w:val="2E6375E1"/>
    <w:rsid w:val="2E6A453A"/>
    <w:rsid w:val="2E840B59"/>
    <w:rsid w:val="2E913546"/>
    <w:rsid w:val="2EA06A0C"/>
    <w:rsid w:val="2F204FF5"/>
    <w:rsid w:val="2F5C7FF7"/>
    <w:rsid w:val="2F6B1FE9"/>
    <w:rsid w:val="2F786719"/>
    <w:rsid w:val="2F981172"/>
    <w:rsid w:val="2FDB2C37"/>
    <w:rsid w:val="3005729F"/>
    <w:rsid w:val="30267762"/>
    <w:rsid w:val="307E341A"/>
    <w:rsid w:val="30A60F94"/>
    <w:rsid w:val="30B55449"/>
    <w:rsid w:val="30C9346B"/>
    <w:rsid w:val="30DC65A0"/>
    <w:rsid w:val="30DE65B0"/>
    <w:rsid w:val="311F7463"/>
    <w:rsid w:val="3175201B"/>
    <w:rsid w:val="31760099"/>
    <w:rsid w:val="31C47B44"/>
    <w:rsid w:val="31CD6F8B"/>
    <w:rsid w:val="31E95901"/>
    <w:rsid w:val="321F1E2E"/>
    <w:rsid w:val="32244627"/>
    <w:rsid w:val="32411AAF"/>
    <w:rsid w:val="324350F5"/>
    <w:rsid w:val="325D75B7"/>
    <w:rsid w:val="32911D66"/>
    <w:rsid w:val="32B14B65"/>
    <w:rsid w:val="335C4612"/>
    <w:rsid w:val="33AA20E8"/>
    <w:rsid w:val="33BF38F6"/>
    <w:rsid w:val="33C7359B"/>
    <w:rsid w:val="33CF20E1"/>
    <w:rsid w:val="33F00D0E"/>
    <w:rsid w:val="34050C5E"/>
    <w:rsid w:val="342D0BA2"/>
    <w:rsid w:val="34326617"/>
    <w:rsid w:val="34370E4F"/>
    <w:rsid w:val="344A041F"/>
    <w:rsid w:val="344D7F0F"/>
    <w:rsid w:val="34A145AC"/>
    <w:rsid w:val="34A5288B"/>
    <w:rsid w:val="34E26531"/>
    <w:rsid w:val="34FF745B"/>
    <w:rsid w:val="350F7B44"/>
    <w:rsid w:val="35CF5207"/>
    <w:rsid w:val="35F01AE8"/>
    <w:rsid w:val="35FC110A"/>
    <w:rsid w:val="36050AA1"/>
    <w:rsid w:val="36231561"/>
    <w:rsid w:val="3641719B"/>
    <w:rsid w:val="364E5008"/>
    <w:rsid w:val="367050A6"/>
    <w:rsid w:val="367242E1"/>
    <w:rsid w:val="36A202B9"/>
    <w:rsid w:val="36A93B22"/>
    <w:rsid w:val="36BA2B7C"/>
    <w:rsid w:val="371C7A56"/>
    <w:rsid w:val="371E4853"/>
    <w:rsid w:val="373D24BC"/>
    <w:rsid w:val="379F0A81"/>
    <w:rsid w:val="37B445BF"/>
    <w:rsid w:val="37E0030E"/>
    <w:rsid w:val="3861123D"/>
    <w:rsid w:val="38701833"/>
    <w:rsid w:val="38740160"/>
    <w:rsid w:val="38894EE8"/>
    <w:rsid w:val="388C6E40"/>
    <w:rsid w:val="38A81BB8"/>
    <w:rsid w:val="39244FB7"/>
    <w:rsid w:val="39614DA4"/>
    <w:rsid w:val="39683691"/>
    <w:rsid w:val="3A4054C3"/>
    <w:rsid w:val="3A8231C3"/>
    <w:rsid w:val="3AA70C32"/>
    <w:rsid w:val="3AC1463F"/>
    <w:rsid w:val="3AC45A18"/>
    <w:rsid w:val="3AD13648"/>
    <w:rsid w:val="3AD859ED"/>
    <w:rsid w:val="3AE01ADD"/>
    <w:rsid w:val="3AFC56D5"/>
    <w:rsid w:val="3B6D6769"/>
    <w:rsid w:val="3B7570F3"/>
    <w:rsid w:val="3B98549A"/>
    <w:rsid w:val="3BA9564D"/>
    <w:rsid w:val="3BCE6993"/>
    <w:rsid w:val="3C396F70"/>
    <w:rsid w:val="3C7009D7"/>
    <w:rsid w:val="3C8C5A84"/>
    <w:rsid w:val="3CDA565B"/>
    <w:rsid w:val="3CDD29C1"/>
    <w:rsid w:val="3D3F3F7F"/>
    <w:rsid w:val="3D5719D3"/>
    <w:rsid w:val="3D5E18A5"/>
    <w:rsid w:val="3D7F5F68"/>
    <w:rsid w:val="3D9F4BE4"/>
    <w:rsid w:val="3DFE365A"/>
    <w:rsid w:val="3E130B31"/>
    <w:rsid w:val="3E2216AC"/>
    <w:rsid w:val="3E5A1BA6"/>
    <w:rsid w:val="3E75253C"/>
    <w:rsid w:val="3E9230EE"/>
    <w:rsid w:val="3EAC29A7"/>
    <w:rsid w:val="3EC03128"/>
    <w:rsid w:val="3ED00DE5"/>
    <w:rsid w:val="3EED3706"/>
    <w:rsid w:val="3F6962C4"/>
    <w:rsid w:val="3F95703D"/>
    <w:rsid w:val="3F9D283E"/>
    <w:rsid w:val="3FB51199"/>
    <w:rsid w:val="3FD71F83"/>
    <w:rsid w:val="4013200C"/>
    <w:rsid w:val="40280169"/>
    <w:rsid w:val="405F2098"/>
    <w:rsid w:val="407F67D3"/>
    <w:rsid w:val="40E10003"/>
    <w:rsid w:val="412853A8"/>
    <w:rsid w:val="416C793F"/>
    <w:rsid w:val="41C550CA"/>
    <w:rsid w:val="41D9226F"/>
    <w:rsid w:val="42092CD9"/>
    <w:rsid w:val="425D1E08"/>
    <w:rsid w:val="42AF2A0D"/>
    <w:rsid w:val="431343C9"/>
    <w:rsid w:val="434C29EA"/>
    <w:rsid w:val="43506F55"/>
    <w:rsid w:val="438B3F62"/>
    <w:rsid w:val="43BC29BB"/>
    <w:rsid w:val="43E73EDC"/>
    <w:rsid w:val="441F6B78"/>
    <w:rsid w:val="44406040"/>
    <w:rsid w:val="44410D96"/>
    <w:rsid w:val="44990FA0"/>
    <w:rsid w:val="44995889"/>
    <w:rsid w:val="44B25EF4"/>
    <w:rsid w:val="44F248E6"/>
    <w:rsid w:val="451231DA"/>
    <w:rsid w:val="453821B0"/>
    <w:rsid w:val="4538696C"/>
    <w:rsid w:val="455776A4"/>
    <w:rsid w:val="4558626A"/>
    <w:rsid w:val="45861388"/>
    <w:rsid w:val="45C53268"/>
    <w:rsid w:val="461F4CCB"/>
    <w:rsid w:val="46941456"/>
    <w:rsid w:val="46B300A5"/>
    <w:rsid w:val="46D92B01"/>
    <w:rsid w:val="46F679D0"/>
    <w:rsid w:val="46FE765B"/>
    <w:rsid w:val="47146532"/>
    <w:rsid w:val="471E338A"/>
    <w:rsid w:val="47214898"/>
    <w:rsid w:val="472C2566"/>
    <w:rsid w:val="472D6A0F"/>
    <w:rsid w:val="474E7DCE"/>
    <w:rsid w:val="476F66C2"/>
    <w:rsid w:val="47A46F27"/>
    <w:rsid w:val="47C00975"/>
    <w:rsid w:val="48064139"/>
    <w:rsid w:val="48220BFF"/>
    <w:rsid w:val="48D03190"/>
    <w:rsid w:val="48F03833"/>
    <w:rsid w:val="48F46B3C"/>
    <w:rsid w:val="492359B6"/>
    <w:rsid w:val="49240872"/>
    <w:rsid w:val="49436A40"/>
    <w:rsid w:val="49731A9A"/>
    <w:rsid w:val="49D65677"/>
    <w:rsid w:val="49DA0FF1"/>
    <w:rsid w:val="4A8E63F2"/>
    <w:rsid w:val="4AAC19DB"/>
    <w:rsid w:val="4AAF1213"/>
    <w:rsid w:val="4AB4263E"/>
    <w:rsid w:val="4ABF1076"/>
    <w:rsid w:val="4AC62A9D"/>
    <w:rsid w:val="4ADA6548"/>
    <w:rsid w:val="4B06733D"/>
    <w:rsid w:val="4B18204F"/>
    <w:rsid w:val="4B2D1C74"/>
    <w:rsid w:val="4B40445C"/>
    <w:rsid w:val="4BAE52DF"/>
    <w:rsid w:val="4BB9443B"/>
    <w:rsid w:val="4BEC729F"/>
    <w:rsid w:val="4C1C74A7"/>
    <w:rsid w:val="4C2669EE"/>
    <w:rsid w:val="4C3102C2"/>
    <w:rsid w:val="4C3E34B4"/>
    <w:rsid w:val="4C602A7D"/>
    <w:rsid w:val="4C8147A2"/>
    <w:rsid w:val="4CEF7D92"/>
    <w:rsid w:val="4CFA4905"/>
    <w:rsid w:val="4D0141AC"/>
    <w:rsid w:val="4D575FDD"/>
    <w:rsid w:val="4D5F758C"/>
    <w:rsid w:val="4D670558"/>
    <w:rsid w:val="4D902EEE"/>
    <w:rsid w:val="4D9714B3"/>
    <w:rsid w:val="4DA04C48"/>
    <w:rsid w:val="4DC13C60"/>
    <w:rsid w:val="4DCE57D9"/>
    <w:rsid w:val="4DF358C2"/>
    <w:rsid w:val="4E240622"/>
    <w:rsid w:val="4E573A0C"/>
    <w:rsid w:val="4E663163"/>
    <w:rsid w:val="4E686288"/>
    <w:rsid w:val="4E823815"/>
    <w:rsid w:val="4E9308D2"/>
    <w:rsid w:val="4EA81D39"/>
    <w:rsid w:val="4EA92E89"/>
    <w:rsid w:val="4EB96BFE"/>
    <w:rsid w:val="4EBB0D6F"/>
    <w:rsid w:val="4EBF104B"/>
    <w:rsid w:val="4EFB083B"/>
    <w:rsid w:val="4F3F4BCC"/>
    <w:rsid w:val="4F400944"/>
    <w:rsid w:val="4F9670A9"/>
    <w:rsid w:val="4FC13393"/>
    <w:rsid w:val="50040E37"/>
    <w:rsid w:val="50281B04"/>
    <w:rsid w:val="504011DB"/>
    <w:rsid w:val="50811214"/>
    <w:rsid w:val="510A745C"/>
    <w:rsid w:val="511F2F07"/>
    <w:rsid w:val="512C1180"/>
    <w:rsid w:val="5141620C"/>
    <w:rsid w:val="51586365"/>
    <w:rsid w:val="515B3813"/>
    <w:rsid w:val="51702654"/>
    <w:rsid w:val="51AB5AD3"/>
    <w:rsid w:val="51B51175"/>
    <w:rsid w:val="51B71039"/>
    <w:rsid w:val="51E65DE0"/>
    <w:rsid w:val="520E3552"/>
    <w:rsid w:val="52133782"/>
    <w:rsid w:val="525849B8"/>
    <w:rsid w:val="52616038"/>
    <w:rsid w:val="52630BD1"/>
    <w:rsid w:val="527E1633"/>
    <w:rsid w:val="52AE05D0"/>
    <w:rsid w:val="52C06171"/>
    <w:rsid w:val="52C53D8A"/>
    <w:rsid w:val="53232755"/>
    <w:rsid w:val="533D1847"/>
    <w:rsid w:val="53471C7D"/>
    <w:rsid w:val="53507BBB"/>
    <w:rsid w:val="535350EA"/>
    <w:rsid w:val="5396048D"/>
    <w:rsid w:val="53C60EE0"/>
    <w:rsid w:val="542F633E"/>
    <w:rsid w:val="544635D9"/>
    <w:rsid w:val="54B94AEC"/>
    <w:rsid w:val="54E87AB4"/>
    <w:rsid w:val="54F0598E"/>
    <w:rsid w:val="54F46B9E"/>
    <w:rsid w:val="550B64CF"/>
    <w:rsid w:val="55281A3E"/>
    <w:rsid w:val="55587B3B"/>
    <w:rsid w:val="557F21C6"/>
    <w:rsid w:val="56346071"/>
    <w:rsid w:val="56A311AE"/>
    <w:rsid w:val="56AF6ADB"/>
    <w:rsid w:val="56BA5808"/>
    <w:rsid w:val="56F3629C"/>
    <w:rsid w:val="56F6302C"/>
    <w:rsid w:val="5715703C"/>
    <w:rsid w:val="57160908"/>
    <w:rsid w:val="572E6A8D"/>
    <w:rsid w:val="57433F22"/>
    <w:rsid w:val="57636D0B"/>
    <w:rsid w:val="57A31AED"/>
    <w:rsid w:val="57DF0482"/>
    <w:rsid w:val="58847AF3"/>
    <w:rsid w:val="589F6F4C"/>
    <w:rsid w:val="58E601D8"/>
    <w:rsid w:val="58FD3402"/>
    <w:rsid w:val="59061D3A"/>
    <w:rsid w:val="590C1A18"/>
    <w:rsid w:val="593F5180"/>
    <w:rsid w:val="59537200"/>
    <w:rsid w:val="59C15707"/>
    <w:rsid w:val="59CD6956"/>
    <w:rsid w:val="59CF08FA"/>
    <w:rsid w:val="59E9398B"/>
    <w:rsid w:val="5A0231BD"/>
    <w:rsid w:val="5A0407DB"/>
    <w:rsid w:val="5A0802B0"/>
    <w:rsid w:val="5A124AF7"/>
    <w:rsid w:val="5A1F7AD4"/>
    <w:rsid w:val="5B906B75"/>
    <w:rsid w:val="5B933B9A"/>
    <w:rsid w:val="5B9D10A1"/>
    <w:rsid w:val="5BAB2C3A"/>
    <w:rsid w:val="5BD54F5E"/>
    <w:rsid w:val="5BD66A68"/>
    <w:rsid w:val="5BF058F0"/>
    <w:rsid w:val="5C4E7563"/>
    <w:rsid w:val="5C78171D"/>
    <w:rsid w:val="5C810CDA"/>
    <w:rsid w:val="5D26561D"/>
    <w:rsid w:val="5D283143"/>
    <w:rsid w:val="5D57238D"/>
    <w:rsid w:val="5D5854FF"/>
    <w:rsid w:val="5D887403"/>
    <w:rsid w:val="5DA402F0"/>
    <w:rsid w:val="5DB26EB1"/>
    <w:rsid w:val="5E0C6A73"/>
    <w:rsid w:val="5E37085C"/>
    <w:rsid w:val="5E371164"/>
    <w:rsid w:val="5E43177A"/>
    <w:rsid w:val="5E4F64AE"/>
    <w:rsid w:val="5E6E5AF4"/>
    <w:rsid w:val="5E964DB8"/>
    <w:rsid w:val="5EA872C6"/>
    <w:rsid w:val="5EAF5F88"/>
    <w:rsid w:val="5EBA786C"/>
    <w:rsid w:val="5EC7073A"/>
    <w:rsid w:val="5EC83EE4"/>
    <w:rsid w:val="5EED2D1F"/>
    <w:rsid w:val="5F4723AF"/>
    <w:rsid w:val="5F4F2D45"/>
    <w:rsid w:val="5F717DB0"/>
    <w:rsid w:val="5F870159"/>
    <w:rsid w:val="5F950838"/>
    <w:rsid w:val="5FA03155"/>
    <w:rsid w:val="5FDA624B"/>
    <w:rsid w:val="5FE5356E"/>
    <w:rsid w:val="60357FFF"/>
    <w:rsid w:val="60820DBC"/>
    <w:rsid w:val="6094289E"/>
    <w:rsid w:val="61406582"/>
    <w:rsid w:val="61475B62"/>
    <w:rsid w:val="615D620D"/>
    <w:rsid w:val="6212795C"/>
    <w:rsid w:val="622B4990"/>
    <w:rsid w:val="62A10AED"/>
    <w:rsid w:val="62C05BCC"/>
    <w:rsid w:val="63224F28"/>
    <w:rsid w:val="63B35731"/>
    <w:rsid w:val="63E661CC"/>
    <w:rsid w:val="63FA5BD2"/>
    <w:rsid w:val="640C11F9"/>
    <w:rsid w:val="64286E80"/>
    <w:rsid w:val="64664551"/>
    <w:rsid w:val="64833355"/>
    <w:rsid w:val="64D12312"/>
    <w:rsid w:val="64E17F3B"/>
    <w:rsid w:val="6522587A"/>
    <w:rsid w:val="6534348B"/>
    <w:rsid w:val="653603C7"/>
    <w:rsid w:val="65474F7E"/>
    <w:rsid w:val="65E530E5"/>
    <w:rsid w:val="65F52031"/>
    <w:rsid w:val="65FD3F88"/>
    <w:rsid w:val="660427F2"/>
    <w:rsid w:val="66263F98"/>
    <w:rsid w:val="662D69E6"/>
    <w:rsid w:val="669B3FDE"/>
    <w:rsid w:val="66CF31D5"/>
    <w:rsid w:val="67165294"/>
    <w:rsid w:val="67171224"/>
    <w:rsid w:val="67447F1A"/>
    <w:rsid w:val="67550FD9"/>
    <w:rsid w:val="676C1E7F"/>
    <w:rsid w:val="679A7B2F"/>
    <w:rsid w:val="67A240C9"/>
    <w:rsid w:val="67DF6AF4"/>
    <w:rsid w:val="67FB0AC9"/>
    <w:rsid w:val="68502E31"/>
    <w:rsid w:val="68581AAE"/>
    <w:rsid w:val="68FE10B1"/>
    <w:rsid w:val="695266C0"/>
    <w:rsid w:val="6959083E"/>
    <w:rsid w:val="69643755"/>
    <w:rsid w:val="697A7431"/>
    <w:rsid w:val="698A2A90"/>
    <w:rsid w:val="699F3F31"/>
    <w:rsid w:val="69CE6E20"/>
    <w:rsid w:val="69D847A3"/>
    <w:rsid w:val="69E00539"/>
    <w:rsid w:val="69F1044F"/>
    <w:rsid w:val="6A034B6C"/>
    <w:rsid w:val="6A355DD2"/>
    <w:rsid w:val="6A7D0DBF"/>
    <w:rsid w:val="6A7D43A3"/>
    <w:rsid w:val="6A836A1F"/>
    <w:rsid w:val="6AA162E3"/>
    <w:rsid w:val="6AA33E09"/>
    <w:rsid w:val="6AA54025"/>
    <w:rsid w:val="6AA5788F"/>
    <w:rsid w:val="6AAA7FB9"/>
    <w:rsid w:val="6AD9782B"/>
    <w:rsid w:val="6AFD0C95"/>
    <w:rsid w:val="6B59096C"/>
    <w:rsid w:val="6B826114"/>
    <w:rsid w:val="6BBA225C"/>
    <w:rsid w:val="6BC20220"/>
    <w:rsid w:val="6BF560C9"/>
    <w:rsid w:val="6C027255"/>
    <w:rsid w:val="6C64581A"/>
    <w:rsid w:val="6C7960EF"/>
    <w:rsid w:val="6CBD1ABA"/>
    <w:rsid w:val="6CDA4803"/>
    <w:rsid w:val="6CDE3D88"/>
    <w:rsid w:val="6D234F5F"/>
    <w:rsid w:val="6D2A0A99"/>
    <w:rsid w:val="6D5A4730"/>
    <w:rsid w:val="6D6E2A94"/>
    <w:rsid w:val="6D7871C6"/>
    <w:rsid w:val="6D95184A"/>
    <w:rsid w:val="6D981C1F"/>
    <w:rsid w:val="6D9E040B"/>
    <w:rsid w:val="6DAB05B3"/>
    <w:rsid w:val="6DC92E6F"/>
    <w:rsid w:val="6DD938C7"/>
    <w:rsid w:val="6E201C15"/>
    <w:rsid w:val="6E47236C"/>
    <w:rsid w:val="6E4D05F9"/>
    <w:rsid w:val="6E795BCA"/>
    <w:rsid w:val="6EA24E1B"/>
    <w:rsid w:val="6EE24EE2"/>
    <w:rsid w:val="6F201566"/>
    <w:rsid w:val="6F5B6D86"/>
    <w:rsid w:val="6F616041"/>
    <w:rsid w:val="6F683B8E"/>
    <w:rsid w:val="6F877872"/>
    <w:rsid w:val="6F8A37EA"/>
    <w:rsid w:val="6FDB438A"/>
    <w:rsid w:val="70052F7C"/>
    <w:rsid w:val="70622071"/>
    <w:rsid w:val="706E76F4"/>
    <w:rsid w:val="70716758"/>
    <w:rsid w:val="70891CF3"/>
    <w:rsid w:val="708B7819"/>
    <w:rsid w:val="70922801"/>
    <w:rsid w:val="709E4F80"/>
    <w:rsid w:val="71123A97"/>
    <w:rsid w:val="714C3197"/>
    <w:rsid w:val="716472F6"/>
    <w:rsid w:val="717C3606"/>
    <w:rsid w:val="71D84668"/>
    <w:rsid w:val="71F51C4A"/>
    <w:rsid w:val="7242063E"/>
    <w:rsid w:val="7251652F"/>
    <w:rsid w:val="72620A4E"/>
    <w:rsid w:val="726C4F2B"/>
    <w:rsid w:val="727A7B45"/>
    <w:rsid w:val="72BB7AF8"/>
    <w:rsid w:val="72CA36C3"/>
    <w:rsid w:val="72DD1E82"/>
    <w:rsid w:val="73080A93"/>
    <w:rsid w:val="73840550"/>
    <w:rsid w:val="73DC213A"/>
    <w:rsid w:val="7451372C"/>
    <w:rsid w:val="747732CB"/>
    <w:rsid w:val="74827185"/>
    <w:rsid w:val="74D62BB8"/>
    <w:rsid w:val="75313B64"/>
    <w:rsid w:val="756E372B"/>
    <w:rsid w:val="75723B19"/>
    <w:rsid w:val="75A14901"/>
    <w:rsid w:val="7615456C"/>
    <w:rsid w:val="76206D49"/>
    <w:rsid w:val="762E45D2"/>
    <w:rsid w:val="768852C2"/>
    <w:rsid w:val="768A0F6F"/>
    <w:rsid w:val="76A83C0A"/>
    <w:rsid w:val="76A921ED"/>
    <w:rsid w:val="76A96DF0"/>
    <w:rsid w:val="76B23C71"/>
    <w:rsid w:val="76BF0E5B"/>
    <w:rsid w:val="7732017F"/>
    <w:rsid w:val="77364257"/>
    <w:rsid w:val="775D7383"/>
    <w:rsid w:val="776A55B2"/>
    <w:rsid w:val="777F7AE7"/>
    <w:rsid w:val="778C2B37"/>
    <w:rsid w:val="77A66726"/>
    <w:rsid w:val="77A92A74"/>
    <w:rsid w:val="77B03419"/>
    <w:rsid w:val="77C21B57"/>
    <w:rsid w:val="77E6E903"/>
    <w:rsid w:val="78127B67"/>
    <w:rsid w:val="78213333"/>
    <w:rsid w:val="78213844"/>
    <w:rsid w:val="78BB00A6"/>
    <w:rsid w:val="78E864B5"/>
    <w:rsid w:val="791D6B1E"/>
    <w:rsid w:val="79497EA1"/>
    <w:rsid w:val="796E1C5B"/>
    <w:rsid w:val="79882B42"/>
    <w:rsid w:val="7A067F11"/>
    <w:rsid w:val="7A351ECF"/>
    <w:rsid w:val="7A3526F3"/>
    <w:rsid w:val="7A3B22B0"/>
    <w:rsid w:val="7B067E6C"/>
    <w:rsid w:val="7B136D89"/>
    <w:rsid w:val="7B333058"/>
    <w:rsid w:val="7B6A2721"/>
    <w:rsid w:val="7B6C46EB"/>
    <w:rsid w:val="7B783508"/>
    <w:rsid w:val="7B8F17F0"/>
    <w:rsid w:val="7BA75326"/>
    <w:rsid w:val="7BC65BA9"/>
    <w:rsid w:val="7BD17D9B"/>
    <w:rsid w:val="7C036B11"/>
    <w:rsid w:val="7C5F5AAB"/>
    <w:rsid w:val="7C8E296E"/>
    <w:rsid w:val="7CA60557"/>
    <w:rsid w:val="7D021916"/>
    <w:rsid w:val="7D1868D9"/>
    <w:rsid w:val="7D3A2F04"/>
    <w:rsid w:val="7DC0487A"/>
    <w:rsid w:val="7E3215A1"/>
    <w:rsid w:val="7E3B4D6A"/>
    <w:rsid w:val="7E402F77"/>
    <w:rsid w:val="7E981323"/>
    <w:rsid w:val="7EA838EA"/>
    <w:rsid w:val="7ECF1219"/>
    <w:rsid w:val="7F4703DD"/>
    <w:rsid w:val="7F5B1166"/>
    <w:rsid w:val="7F7C5144"/>
    <w:rsid w:val="7F8362E6"/>
    <w:rsid w:val="7F8B5D1C"/>
    <w:rsid w:val="7FED524F"/>
    <w:rsid w:val="987CF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0"/>
    <w:pPr>
      <w:keepNext/>
      <w:keepLines/>
      <w:widowControl w:val="0"/>
      <w:numPr>
        <w:ilvl w:val="0"/>
        <w:numId w:val="1"/>
      </w:numPr>
      <w:kinsoku/>
      <w:autoSpaceDE/>
      <w:autoSpaceDN/>
      <w:adjustRightInd/>
      <w:snapToGrid/>
      <w:spacing w:line="576" w:lineRule="auto"/>
      <w:jc w:val="both"/>
      <w:textAlignment w:val="auto"/>
      <w:outlineLvl w:val="0"/>
    </w:pPr>
    <w:rPr>
      <w:rFonts w:ascii="Times New Roman" w:hAnsi="Times New Roman" w:eastAsia="黑体" w:cs="Times New Roman"/>
      <w:snapToGrid/>
      <w:kern w:val="44"/>
      <w:sz w:val="32"/>
      <w:szCs w:val="24"/>
    </w:rPr>
  </w:style>
  <w:style w:type="paragraph" w:styleId="3">
    <w:name w:val="heading 2"/>
    <w:basedOn w:val="1"/>
    <w:next w:val="1"/>
    <w:unhideWhenUsed/>
    <w:qFormat/>
    <w:uiPriority w:val="0"/>
    <w:pPr>
      <w:keepNext/>
      <w:keepLines/>
      <w:widowControl w:val="0"/>
      <w:numPr>
        <w:ilvl w:val="1"/>
        <w:numId w:val="1"/>
      </w:numPr>
      <w:kinsoku/>
      <w:autoSpaceDE/>
      <w:autoSpaceDN/>
      <w:adjustRightInd/>
      <w:snapToGrid/>
      <w:spacing w:line="413" w:lineRule="auto"/>
      <w:jc w:val="both"/>
      <w:textAlignment w:val="auto"/>
      <w:outlineLvl w:val="1"/>
    </w:pPr>
    <w:rPr>
      <w:rFonts w:eastAsia="黑体" w:cs="Times New Roman"/>
      <w:b/>
      <w:snapToGrid/>
      <w:kern w:val="2"/>
      <w:sz w:val="32"/>
      <w:szCs w:val="24"/>
    </w:rPr>
  </w:style>
  <w:style w:type="paragraph" w:styleId="4">
    <w:name w:val="heading 3"/>
    <w:basedOn w:val="1"/>
    <w:next w:val="1"/>
    <w:unhideWhenUsed/>
    <w:qFormat/>
    <w:uiPriority w:val="0"/>
    <w:pPr>
      <w:keepNext/>
      <w:keepLines/>
      <w:numPr>
        <w:ilvl w:val="2"/>
        <w:numId w:val="1"/>
      </w:numPr>
      <w:spacing w:before="260" w:beforeLines="0" w:beforeAutospacing="0" w:after="260" w:afterLines="0" w:afterAutospacing="0" w:line="413" w:lineRule="auto"/>
      <w:ind w:firstLine="400"/>
      <w:outlineLvl w:val="2"/>
    </w:pPr>
    <w:rPr>
      <w:b/>
      <w:sz w:val="32"/>
    </w:rPr>
  </w:style>
  <w:style w:type="paragraph" w:styleId="5">
    <w:name w:val="heading 4"/>
    <w:basedOn w:val="1"/>
    <w:next w:val="1"/>
    <w:unhideWhenUsed/>
    <w:qFormat/>
    <w:uiPriority w:val="0"/>
    <w:pPr>
      <w:keepNext/>
      <w:keepLines/>
      <w:numPr>
        <w:ilvl w:val="3"/>
        <w:numId w:val="1"/>
      </w:numPr>
      <w:spacing w:before="280" w:beforeLines="0" w:beforeAutospacing="0" w:after="290" w:afterLines="0" w:afterAutospacing="0" w:line="372" w:lineRule="auto"/>
      <w:ind w:firstLine="402"/>
      <w:outlineLvl w:val="3"/>
    </w:pPr>
    <w:rPr>
      <w:rFonts w:ascii="Arial" w:hAnsi="Arial" w:eastAsia="黑体"/>
      <w:b/>
      <w:sz w:val="28"/>
    </w:rPr>
  </w:style>
  <w:style w:type="paragraph" w:styleId="6">
    <w:name w:val="heading 5"/>
    <w:basedOn w:val="1"/>
    <w:next w:val="1"/>
    <w:unhideWhenUsed/>
    <w:qFormat/>
    <w:uiPriority w:val="0"/>
    <w:pPr>
      <w:keepNext/>
      <w:keepLines/>
      <w:numPr>
        <w:ilvl w:val="4"/>
        <w:numId w:val="1"/>
      </w:numPr>
      <w:spacing w:before="280" w:beforeLines="0" w:beforeAutospacing="0" w:after="290" w:afterLines="0" w:afterAutospacing="0" w:line="372" w:lineRule="auto"/>
      <w:ind w:firstLine="402"/>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firstLine="402"/>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firstLine="402"/>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firstLine="402"/>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firstLine="402"/>
      <w:outlineLvl w:val="8"/>
    </w:pPr>
    <w:rPr>
      <w:rFonts w:ascii="Arial" w:hAnsi="Arial" w:eastAsia="黑体"/>
      <w:sz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spacing w:after="200" w:line="360" w:lineRule="atLeast"/>
      <w:ind w:firstLine="420"/>
    </w:pPr>
    <w:rPr>
      <w:rFonts w:ascii="宋体" w:eastAsia="宋体"/>
      <w:sz w:val="24"/>
    </w:rPr>
  </w:style>
  <w:style w:type="paragraph" w:styleId="12">
    <w:name w:val="footer"/>
    <w:basedOn w:val="1"/>
    <w:qFormat/>
    <w:uiPriority w:val="99"/>
    <w:pPr>
      <w:widowControl w:val="0"/>
      <w:tabs>
        <w:tab w:val="center" w:pos="4153"/>
        <w:tab w:val="right" w:pos="8306"/>
      </w:tabs>
      <w:kinsoku/>
      <w:autoSpaceDE/>
      <w:autoSpaceDN/>
      <w:adjustRightInd/>
      <w:textAlignment w:val="auto"/>
    </w:pPr>
    <w:rPr>
      <w:rFonts w:ascii="Times New Roman" w:hAnsi="Times New Roman" w:eastAsia="宋体" w:cs="Times New Roman"/>
      <w:snapToGrid/>
      <w:kern w:val="2"/>
      <w:sz w:val="18"/>
      <w:szCs w:val="20"/>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4">
    <w:name w:val="toc 1"/>
    <w:basedOn w:val="1"/>
    <w:next w:val="1"/>
    <w:qFormat/>
    <w:uiPriority w:val="0"/>
    <w:pPr>
      <w:widowControl w:val="0"/>
      <w:kinsoku/>
      <w:autoSpaceDE/>
      <w:autoSpaceDN/>
      <w:adjustRightInd/>
      <w:snapToGrid/>
      <w:jc w:val="both"/>
      <w:textAlignment w:val="auto"/>
    </w:pPr>
    <w:rPr>
      <w:rFonts w:ascii="Times New Roman" w:hAnsi="Times New Roman" w:eastAsia="宋体" w:cs="Times New Roman"/>
      <w:snapToGrid/>
      <w:kern w:val="2"/>
      <w:szCs w:val="24"/>
    </w:rPr>
  </w:style>
  <w:style w:type="paragraph" w:styleId="15">
    <w:name w:val="toc 2"/>
    <w:basedOn w:val="1"/>
    <w:next w:val="1"/>
    <w:qFormat/>
    <w:uiPriority w:val="0"/>
    <w:pPr>
      <w:widowControl w:val="0"/>
      <w:kinsoku/>
      <w:autoSpaceDE/>
      <w:autoSpaceDN/>
      <w:adjustRightInd/>
      <w:snapToGrid/>
      <w:ind w:left="420" w:leftChars="200"/>
      <w:jc w:val="both"/>
      <w:textAlignment w:val="auto"/>
    </w:pPr>
    <w:rPr>
      <w:rFonts w:ascii="Times New Roman" w:hAnsi="Times New Roman" w:eastAsia="宋体" w:cs="Times New Roman"/>
      <w:snapToGrid/>
      <w:kern w:val="2"/>
      <w:szCs w:val="24"/>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0">
    <w:name w:val="WPSOffice手动目录 1"/>
    <w:qFormat/>
    <w:uiPriority w:val="0"/>
    <w:rPr>
      <w:rFonts w:ascii="Times New Roman" w:hAnsi="Times New Roman" w:eastAsia="宋体" w:cs="Times New Roman"/>
      <w:lang w:val="en-US" w:eastAsia="zh-CN" w:bidi="ar-SA"/>
    </w:rPr>
  </w:style>
  <w:style w:type="character" w:customStyle="1" w:styleId="21">
    <w:name w:val="font51"/>
    <w:qFormat/>
    <w:uiPriority w:val="0"/>
    <w:rPr>
      <w:rFonts w:hint="default" w:ascii="Arial Narrow" w:hAnsi="Arial Narrow" w:eastAsia="Arial Narrow" w:cs="Arial Narrow"/>
      <w:b/>
      <w:bCs/>
      <w:color w:val="000000"/>
      <w:sz w:val="18"/>
      <w:szCs w:val="18"/>
      <w:u w:val="none"/>
    </w:rPr>
  </w:style>
  <w:style w:type="character" w:customStyle="1" w:styleId="22">
    <w:name w:val="font41"/>
    <w:basedOn w:val="18"/>
    <w:qFormat/>
    <w:uiPriority w:val="0"/>
    <w:rPr>
      <w:rFonts w:ascii="Arial Narrow" w:hAnsi="Arial Narrow" w:eastAsia="Arial Narrow" w:cs="Arial Narrow"/>
      <w:b/>
      <w:color w:val="000000"/>
      <w:sz w:val="18"/>
      <w:szCs w:val="18"/>
      <w:u w:val="none"/>
    </w:rPr>
  </w:style>
  <w:style w:type="character" w:customStyle="1" w:styleId="23">
    <w:name w:val="font31"/>
    <w:qFormat/>
    <w:uiPriority w:val="0"/>
    <w:rPr>
      <w:rFonts w:hint="eastAsia" w:ascii="宋体" w:hAnsi="宋体" w:eastAsia="宋体" w:cs="宋体"/>
      <w:b/>
      <w:bCs/>
      <w:color w:val="000000"/>
      <w:sz w:val="18"/>
      <w:szCs w:val="18"/>
      <w:u w:val="none"/>
    </w:rPr>
  </w:style>
  <w:style w:type="character" w:customStyle="1" w:styleId="24">
    <w:name w:val="font61"/>
    <w:qFormat/>
    <w:uiPriority w:val="0"/>
    <w:rPr>
      <w:rFonts w:hint="eastAsia" w:ascii="宋体" w:hAnsi="宋体" w:eastAsia="宋体" w:cs="宋体"/>
      <w:color w:val="000000"/>
      <w:sz w:val="18"/>
      <w:szCs w:val="18"/>
      <w:u w:val="none"/>
    </w:rPr>
  </w:style>
  <w:style w:type="character" w:customStyle="1" w:styleId="25">
    <w:name w:val="font21"/>
    <w:basedOn w:val="18"/>
    <w:qFormat/>
    <w:uiPriority w:val="0"/>
    <w:rPr>
      <w:rFonts w:hint="eastAsia" w:ascii="宋体" w:hAnsi="宋体" w:eastAsia="宋体" w:cs="宋体"/>
      <w:b/>
      <w:color w:val="000000"/>
      <w:sz w:val="18"/>
      <w:szCs w:val="18"/>
      <w:u w:val="none"/>
    </w:rPr>
  </w:style>
  <w:style w:type="character" w:customStyle="1" w:styleId="26">
    <w:name w:val="font01"/>
    <w:basedOn w:val="18"/>
    <w:qFormat/>
    <w:uiPriority w:val="0"/>
    <w:rPr>
      <w:rFonts w:hint="default" w:ascii="Arial Narrow" w:hAnsi="Arial Narrow" w:eastAsia="Arial Narrow" w:cs="Arial Narrow"/>
      <w:b/>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10845</Words>
  <Characters>11723</Characters>
  <Lines>26</Lines>
  <Paragraphs>31</Paragraphs>
  <TotalTime>5</TotalTime>
  <ScaleCrop>false</ScaleCrop>
  <LinksUpToDate>false</LinksUpToDate>
  <CharactersWithSpaces>11974</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Administrator.X02AZ1PPVZHJ4RC</dc:creator>
  <cp:lastModifiedBy>user</cp:lastModifiedBy>
  <dcterms:modified xsi:type="dcterms:W3CDTF">2024-08-16T17:15:15Z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7CA3F8D81DF94053BFF454CDBECD4DDA_13</vt:lpwstr>
  </property>
  <property fmtid="{D5CDD505-2E9C-101B-9397-08002B2CF9AE}" pid="4" name="KSOSaveFontToCloudKey">
    <vt:lpwstr>385843251_cloud</vt:lpwstr>
  </property>
</Properties>
</file>