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0" w:firstLineChars="200"/>
        <w:jc w:val="center"/>
        <w:rPr>
          <w:rFonts w:ascii="黑体" w:eastAsia="黑体"/>
          <w:sz w:val="32"/>
          <w:szCs w:val="32"/>
        </w:rPr>
      </w:pPr>
      <w:r>
        <w:rPr>
          <w:rFonts w:hint="eastAsia" w:ascii="黑体" w:eastAsia="黑体"/>
          <w:sz w:val="32"/>
          <w:szCs w:val="32"/>
        </w:rPr>
        <w:t xml:space="preserve">第四部分  </w:t>
      </w:r>
      <w:r>
        <w:rPr>
          <w:rFonts w:hint="eastAsia" w:ascii="黑体" w:eastAsia="黑体"/>
          <w:sz w:val="32"/>
          <w:szCs w:val="32"/>
          <w:lang w:eastAsia="zh-CN"/>
        </w:rPr>
        <w:t>2023年</w:t>
      </w:r>
      <w:r>
        <w:rPr>
          <w:rFonts w:hint="eastAsia" w:ascii="黑体" w:eastAsia="黑体"/>
          <w:sz w:val="32"/>
          <w:szCs w:val="32"/>
        </w:rPr>
        <w:t>度部门绩效评价情况</w:t>
      </w:r>
    </w:p>
    <w:p>
      <w:pPr>
        <w:pStyle w:val="2"/>
        <w:ind w:firstLine="0" w:firstLineChars="0"/>
      </w:pPr>
    </w:p>
    <w:p>
      <w:pPr>
        <w:rPr>
          <w:rFonts w:ascii="黑体" w:eastAsia="黑体"/>
          <w:sz w:val="28"/>
          <w:szCs w:val="28"/>
        </w:rPr>
      </w:pPr>
      <w:r>
        <w:rPr>
          <w:rFonts w:hint="eastAsia" w:ascii="黑体" w:eastAsia="黑体"/>
          <w:sz w:val="28"/>
          <w:szCs w:val="28"/>
        </w:rPr>
        <w:t>二、项目支出绩效评价报告</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（一）基本情况</w:t>
      </w:r>
    </w:p>
    <w:p>
      <w:pPr>
        <w:spacing w:line="360" w:lineRule="auto"/>
        <w:ind w:firstLine="560" w:firstLineChars="200"/>
        <w:rPr>
          <w:rFonts w:ascii="仿宋" w:hAnsi="仿宋" w:eastAsia="仿宋"/>
          <w:sz w:val="28"/>
          <w:szCs w:val="28"/>
        </w:rPr>
      </w:pPr>
      <w:r>
        <w:rPr>
          <w:rFonts w:hint="eastAsia" w:ascii="仿宋" w:hAnsi="仿宋" w:eastAsia="仿宋"/>
          <w:sz w:val="28"/>
          <w:szCs w:val="28"/>
        </w:rPr>
        <w:t>1.项目背景</w:t>
      </w:r>
    </w:p>
    <w:p>
      <w:pPr>
        <w:spacing w:line="360" w:lineRule="auto"/>
        <w:ind w:firstLine="560" w:firstLineChars="200"/>
        <w:rPr>
          <w:rFonts w:ascii="仿宋" w:hAnsi="仿宋" w:eastAsia="仿宋"/>
          <w:sz w:val="28"/>
          <w:szCs w:val="28"/>
        </w:rPr>
      </w:pPr>
      <w:r>
        <w:rPr>
          <w:rFonts w:hint="eastAsia" w:ascii="仿宋" w:hAnsi="仿宋" w:eastAsia="仿宋"/>
          <w:sz w:val="28"/>
          <w:szCs w:val="28"/>
        </w:rPr>
        <w:t>北京北燃实业集团有限公司所属2个部门预算单位分别为北京北燃特种设备检验检测有限公司（</w:t>
      </w:r>
      <w:r>
        <w:rPr>
          <w:rFonts w:hint="eastAsia" w:ascii="仿宋" w:hAnsi="仿宋" w:eastAsia="仿宋"/>
          <w:sz w:val="28"/>
          <w:szCs w:val="28"/>
          <w:lang w:val="en-US" w:eastAsia="zh-CN"/>
        </w:rPr>
        <w:t>以下</w:t>
      </w:r>
      <w:r>
        <w:rPr>
          <w:rFonts w:hint="eastAsia" w:ascii="仿宋" w:hAnsi="仿宋" w:eastAsia="仿宋"/>
          <w:sz w:val="28"/>
          <w:szCs w:val="28"/>
        </w:rPr>
        <w:t>简称北燃特检）。和北京市公用事业科学研究所有限公司有限公司（以下简称</w:t>
      </w:r>
      <w:r>
        <w:rPr>
          <w:rFonts w:hint="eastAsia" w:ascii="仿宋" w:hAnsi="仿宋" w:eastAsia="仿宋"/>
          <w:sz w:val="28"/>
          <w:szCs w:val="28"/>
          <w:lang w:eastAsia="zh-CN"/>
        </w:rPr>
        <w:t>科研所公司</w:t>
      </w:r>
      <w:bookmarkStart w:id="1" w:name="_GoBack"/>
      <w:bookmarkEnd w:id="1"/>
      <w:r>
        <w:rPr>
          <w:rFonts w:hint="eastAsia" w:ascii="仿宋" w:hAnsi="仿宋" w:eastAsia="仿宋"/>
          <w:sz w:val="28"/>
          <w:szCs w:val="28"/>
        </w:rPr>
        <w:t>）。</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根据《北京市关于从事生产经营活动事业单位改革的实施意见》、《中共北京市委机构编制委员会关于深化市属事业单位改革试点实施方案》、《深化市属事业单位改革试点实施方案》、《中共北京市机构编制委员会关于北京控股集团有限公司所属事业单位改革有关事项的批复》（京编委 (2021) 59号）等文件的要求，</w:t>
      </w:r>
      <w:r>
        <w:rPr>
          <w:rFonts w:hint="eastAsia" w:ascii="仿宋" w:hAnsi="仿宋" w:eastAsia="仿宋"/>
          <w:sz w:val="28"/>
          <w:szCs w:val="28"/>
          <w:lang w:eastAsia="zh-CN"/>
        </w:rPr>
        <w:t>科研所公司</w:t>
      </w:r>
      <w:r>
        <w:rPr>
          <w:rFonts w:hint="eastAsia" w:ascii="仿宋" w:hAnsi="仿宋" w:eastAsia="仿宋"/>
          <w:sz w:val="28"/>
          <w:szCs w:val="28"/>
        </w:rPr>
        <w:t>和</w:t>
      </w:r>
      <w:r>
        <w:rPr>
          <w:rFonts w:hint="eastAsia" w:ascii="仿宋" w:hAnsi="仿宋" w:eastAsia="仿宋"/>
          <w:sz w:val="28"/>
          <w:szCs w:val="28"/>
          <w:lang w:eastAsia="zh-CN"/>
        </w:rPr>
        <w:t>北燃特检</w:t>
      </w:r>
      <w:r>
        <w:rPr>
          <w:rFonts w:hint="eastAsia" w:ascii="仿宋" w:hAnsi="仿宋" w:eastAsia="仿宋"/>
          <w:sz w:val="28"/>
          <w:szCs w:val="28"/>
        </w:rPr>
        <w:t>进行转企改制，在此背景下，编制了</w:t>
      </w:r>
      <w:r>
        <w:rPr>
          <w:rFonts w:hint="eastAsia" w:ascii="仿宋" w:hAnsi="仿宋" w:eastAsia="仿宋"/>
          <w:sz w:val="28"/>
          <w:szCs w:val="28"/>
          <w:lang w:eastAsia="zh-CN"/>
        </w:rPr>
        <w:t>2023年</w:t>
      </w:r>
      <w:r>
        <w:rPr>
          <w:rFonts w:hint="eastAsia" w:ascii="仿宋" w:hAnsi="仿宋" w:eastAsia="仿宋"/>
          <w:sz w:val="28"/>
          <w:szCs w:val="28"/>
        </w:rPr>
        <w:t>项目支出预算。</w:t>
      </w:r>
    </w:p>
    <w:p>
      <w:pPr>
        <w:spacing w:line="360" w:lineRule="auto"/>
        <w:ind w:firstLine="560" w:firstLineChars="200"/>
        <w:rPr>
          <w:rFonts w:ascii="仿宋" w:hAnsi="仿宋" w:eastAsia="仿宋"/>
          <w:sz w:val="28"/>
          <w:szCs w:val="28"/>
        </w:rPr>
      </w:pPr>
      <w:r>
        <w:rPr>
          <w:rFonts w:hint="eastAsia" w:ascii="仿宋" w:hAnsi="仿宋" w:eastAsia="仿宋"/>
          <w:sz w:val="28"/>
          <w:szCs w:val="28"/>
        </w:rPr>
        <w:t>主要内容：改革过渡期政策保障经费</w:t>
      </w:r>
    </w:p>
    <w:p>
      <w:pPr>
        <w:spacing w:line="360" w:lineRule="auto"/>
        <w:ind w:firstLine="560" w:firstLineChars="200"/>
        <w:rPr>
          <w:rFonts w:ascii="仿宋" w:hAnsi="仿宋" w:eastAsia="仿宋"/>
          <w:sz w:val="28"/>
          <w:szCs w:val="28"/>
        </w:rPr>
      </w:pPr>
      <w:r>
        <w:rPr>
          <w:rFonts w:hint="eastAsia" w:ascii="仿宋" w:hAnsi="仿宋" w:eastAsia="仿宋"/>
          <w:sz w:val="28"/>
          <w:szCs w:val="28"/>
        </w:rPr>
        <w:t>资金投入：转企改制前三年基本经费平均数。经费总额为3169.98万元，其中</w:t>
      </w:r>
      <w:r>
        <w:rPr>
          <w:rFonts w:hint="eastAsia" w:ascii="仿宋" w:hAnsi="仿宋" w:eastAsia="仿宋"/>
          <w:sz w:val="28"/>
          <w:szCs w:val="28"/>
          <w:lang w:eastAsia="zh-CN"/>
        </w:rPr>
        <w:t>北燃特检</w:t>
      </w:r>
      <w:r>
        <w:rPr>
          <w:rFonts w:hint="eastAsia" w:ascii="仿宋" w:hAnsi="仿宋" w:eastAsia="仿宋"/>
          <w:sz w:val="28"/>
          <w:szCs w:val="28"/>
        </w:rPr>
        <w:t>为827.80万元，</w:t>
      </w:r>
      <w:r>
        <w:rPr>
          <w:rFonts w:hint="eastAsia" w:ascii="仿宋" w:hAnsi="仿宋" w:eastAsia="仿宋"/>
          <w:sz w:val="28"/>
          <w:szCs w:val="28"/>
          <w:lang w:eastAsia="zh-CN"/>
        </w:rPr>
        <w:t>科研所公司</w:t>
      </w:r>
      <w:r>
        <w:rPr>
          <w:rFonts w:hint="eastAsia" w:ascii="仿宋" w:hAnsi="仿宋" w:eastAsia="仿宋"/>
          <w:sz w:val="28"/>
          <w:szCs w:val="28"/>
        </w:rPr>
        <w:t>为2342.18万元。</w:t>
      </w:r>
    </w:p>
    <w:p>
      <w:pPr>
        <w:spacing w:line="360" w:lineRule="auto"/>
        <w:ind w:firstLine="560" w:firstLineChars="200"/>
        <w:rPr>
          <w:rFonts w:ascii="仿宋" w:hAnsi="仿宋" w:eastAsia="仿宋"/>
          <w:sz w:val="28"/>
          <w:szCs w:val="28"/>
        </w:rPr>
      </w:pPr>
      <w:r>
        <w:rPr>
          <w:rFonts w:hint="eastAsia" w:ascii="仿宋" w:hAnsi="仿宋" w:eastAsia="仿宋"/>
          <w:sz w:val="28"/>
          <w:szCs w:val="28"/>
        </w:rPr>
        <w:t>2.项目主要内容</w:t>
      </w:r>
    </w:p>
    <w:p>
      <w:pPr>
        <w:spacing w:line="360" w:lineRule="auto"/>
        <w:ind w:firstLine="560" w:firstLineChars="200"/>
        <w:rPr>
          <w:rFonts w:ascii="仿宋" w:hAnsi="仿宋" w:eastAsia="仿宋"/>
          <w:sz w:val="28"/>
          <w:szCs w:val="28"/>
        </w:rPr>
      </w:pPr>
      <w:r>
        <w:rPr>
          <w:rFonts w:hint="eastAsia" w:ascii="仿宋" w:hAnsi="仿宋" w:eastAsia="仿宋"/>
          <w:sz w:val="28"/>
          <w:szCs w:val="28"/>
          <w:lang w:eastAsia="zh-CN"/>
        </w:rPr>
        <w:t>北燃特检</w:t>
      </w:r>
      <w:r>
        <w:rPr>
          <w:rFonts w:hint="eastAsia" w:ascii="仿宋" w:hAnsi="仿宋" w:eastAsia="仿宋"/>
          <w:sz w:val="28"/>
          <w:szCs w:val="28"/>
        </w:rPr>
        <w:t>：改革过渡期政策保障经费</w:t>
      </w:r>
    </w:p>
    <w:p>
      <w:pPr>
        <w:pStyle w:val="2"/>
        <w:spacing w:line="360" w:lineRule="auto"/>
        <w:ind w:firstLine="420"/>
        <w:rPr>
          <w:rFonts w:ascii="仿宋" w:hAnsi="仿宋" w:eastAsia="仿宋"/>
          <w:sz w:val="28"/>
          <w:szCs w:val="28"/>
        </w:rPr>
      </w:pPr>
      <w:r>
        <w:rPr>
          <w:rFonts w:hint="eastAsia"/>
        </w:rPr>
        <w:t xml:space="preserve"> </w:t>
      </w:r>
      <w:r>
        <w:t xml:space="preserve"> </w:t>
      </w:r>
      <w:r>
        <w:rPr>
          <w:rFonts w:hint="eastAsia" w:ascii="仿宋" w:hAnsi="仿宋" w:eastAsia="仿宋"/>
          <w:sz w:val="28"/>
          <w:szCs w:val="28"/>
          <w:lang w:eastAsia="zh-CN"/>
        </w:rPr>
        <w:t>科研所公司</w:t>
      </w:r>
      <w:r>
        <w:rPr>
          <w:rFonts w:hint="eastAsia" w:ascii="仿宋" w:hAnsi="仿宋" w:eastAsia="仿宋"/>
          <w:sz w:val="28"/>
          <w:szCs w:val="28"/>
        </w:rPr>
        <w:t>：改革过渡期政策保障经费</w:t>
      </w:r>
    </w:p>
    <w:p>
      <w:pPr>
        <w:spacing w:line="360" w:lineRule="auto"/>
        <w:ind w:firstLine="560" w:firstLineChars="200"/>
        <w:rPr>
          <w:rFonts w:ascii="仿宋" w:hAnsi="仿宋" w:eastAsia="仿宋"/>
          <w:sz w:val="28"/>
          <w:szCs w:val="28"/>
        </w:rPr>
      </w:pPr>
      <w:r>
        <w:rPr>
          <w:rFonts w:hint="eastAsia" w:ascii="仿宋" w:hAnsi="仿宋" w:eastAsia="仿宋"/>
          <w:sz w:val="28"/>
          <w:szCs w:val="28"/>
        </w:rPr>
        <w:t>3.项目实施情况</w:t>
      </w:r>
    </w:p>
    <w:p>
      <w:pPr>
        <w:spacing w:line="360" w:lineRule="auto"/>
        <w:ind w:firstLine="560" w:firstLineChars="200"/>
        <w:rPr>
          <w:rFonts w:ascii="仿宋" w:hAnsi="仿宋" w:eastAsia="仿宋"/>
          <w:sz w:val="28"/>
          <w:szCs w:val="28"/>
        </w:rPr>
      </w:pPr>
      <w:r>
        <w:rPr>
          <w:rFonts w:hint="eastAsia" w:ascii="仿宋" w:hAnsi="仿宋" w:eastAsia="仿宋"/>
          <w:sz w:val="28"/>
          <w:szCs w:val="28"/>
          <w:lang w:eastAsia="zh-CN"/>
        </w:rPr>
        <w:t>2023年</w:t>
      </w:r>
      <w:r>
        <w:rPr>
          <w:rFonts w:hint="eastAsia" w:ascii="仿宋" w:hAnsi="仿宋" w:eastAsia="仿宋"/>
          <w:sz w:val="28"/>
          <w:szCs w:val="28"/>
        </w:rPr>
        <w:t>上述项目按时、按质</w:t>
      </w:r>
      <w:r>
        <w:rPr>
          <w:rFonts w:hint="eastAsia" w:ascii="仿宋" w:hAnsi="仿宋" w:eastAsia="仿宋"/>
          <w:sz w:val="28"/>
          <w:szCs w:val="28"/>
          <w:lang w:val="en-US" w:eastAsia="zh-CN"/>
        </w:rPr>
        <w:t>完</w:t>
      </w:r>
      <w:r>
        <w:rPr>
          <w:rFonts w:hint="eastAsia" w:ascii="仿宋" w:hAnsi="仿宋" w:eastAsia="仿宋"/>
          <w:sz w:val="28"/>
          <w:szCs w:val="28"/>
        </w:rPr>
        <w:t>成。</w:t>
      </w:r>
    </w:p>
    <w:p>
      <w:pPr>
        <w:spacing w:line="360" w:lineRule="auto"/>
        <w:ind w:firstLine="560" w:firstLineChars="200"/>
        <w:rPr>
          <w:rFonts w:ascii="仿宋" w:hAnsi="仿宋" w:eastAsia="仿宋"/>
          <w:sz w:val="28"/>
          <w:szCs w:val="28"/>
        </w:rPr>
      </w:pPr>
      <w:r>
        <w:rPr>
          <w:rFonts w:hint="eastAsia" w:ascii="仿宋" w:hAnsi="仿宋" w:eastAsia="仿宋"/>
          <w:sz w:val="28"/>
          <w:szCs w:val="28"/>
        </w:rPr>
        <w:t>4.资金投入和使用情况</w:t>
      </w:r>
    </w:p>
    <w:p>
      <w:pPr>
        <w:spacing w:line="360" w:lineRule="auto"/>
        <w:ind w:firstLine="560" w:firstLineChars="200"/>
        <w:rPr>
          <w:rFonts w:ascii="宋体" w:hAnsi="宋体"/>
          <w:sz w:val="32"/>
          <w:szCs w:val="40"/>
        </w:rPr>
      </w:pPr>
      <w:r>
        <w:rPr>
          <w:rFonts w:hint="eastAsia" w:ascii="仿宋" w:hAnsi="仿宋" w:eastAsia="仿宋"/>
          <w:sz w:val="28"/>
          <w:szCs w:val="28"/>
        </w:rPr>
        <w:t>该项目申报预算资金</w:t>
      </w:r>
      <w:r>
        <w:rPr>
          <w:rFonts w:ascii="仿宋" w:hAnsi="仿宋" w:eastAsia="仿宋"/>
          <w:sz w:val="28"/>
          <w:szCs w:val="28"/>
        </w:rPr>
        <w:t>3169.98</w:t>
      </w:r>
      <w:r>
        <w:rPr>
          <w:rFonts w:hint="eastAsia" w:ascii="仿宋" w:hAnsi="仿宋" w:eastAsia="仿宋"/>
          <w:sz w:val="28"/>
          <w:szCs w:val="28"/>
        </w:rPr>
        <w:t>万元，预算明细如下</w:t>
      </w:r>
      <w:r>
        <w:rPr>
          <w:rFonts w:hint="eastAsia" w:ascii="宋体" w:hAnsi="宋体"/>
          <w:sz w:val="32"/>
          <w:szCs w:val="40"/>
        </w:rPr>
        <w:t>：</w:t>
      </w:r>
    </w:p>
    <w:tbl>
      <w:tblPr>
        <w:tblStyle w:val="10"/>
        <w:tblW w:w="8364" w:type="dxa"/>
        <w:jc w:val="center"/>
        <w:tblLayout w:type="autofit"/>
        <w:tblCellMar>
          <w:top w:w="0" w:type="dxa"/>
          <w:left w:w="108" w:type="dxa"/>
          <w:bottom w:w="0" w:type="dxa"/>
          <w:right w:w="108" w:type="dxa"/>
        </w:tblCellMar>
      </w:tblPr>
      <w:tblGrid>
        <w:gridCol w:w="4892"/>
        <w:gridCol w:w="3472"/>
      </w:tblGrid>
      <w:tr>
        <w:tblPrEx>
          <w:tblCellMar>
            <w:top w:w="0" w:type="dxa"/>
            <w:left w:w="108" w:type="dxa"/>
            <w:bottom w:w="0" w:type="dxa"/>
            <w:right w:w="108" w:type="dxa"/>
          </w:tblCellMar>
        </w:tblPrEx>
        <w:trPr>
          <w:trHeight w:val="600" w:hRule="atLeast"/>
          <w:jc w:val="center"/>
        </w:trPr>
        <w:tc>
          <w:tcPr>
            <w:tcW w:w="8364" w:type="dxa"/>
            <w:gridSpan w:val="2"/>
            <w:tcBorders>
              <w:top w:val="nil"/>
              <w:left w:val="nil"/>
              <w:bottom w:val="nil"/>
              <w:right w:val="nil"/>
            </w:tcBorders>
            <w:shd w:val="clear" w:color="FFFFCC" w:fill="FFFFFF"/>
            <w:noWrap/>
            <w:vAlign w:val="center"/>
          </w:tcPr>
          <w:p>
            <w:pPr>
              <w:widowControl/>
              <w:jc w:val="center"/>
              <w:rPr>
                <w:rFonts w:ascii="宋体" w:hAnsi="宋体" w:cs="宋体"/>
                <w:color w:val="000000"/>
                <w:kern w:val="0"/>
                <w:sz w:val="24"/>
                <w:szCs w:val="36"/>
              </w:rPr>
            </w:pPr>
            <w:r>
              <w:rPr>
                <w:rFonts w:hint="eastAsia" w:ascii="宋体" w:hAnsi="宋体" w:cs="宋体"/>
                <w:color w:val="000000"/>
                <w:kern w:val="0"/>
                <w:sz w:val="24"/>
                <w:szCs w:val="36"/>
              </w:rPr>
              <w:t>项目预算明细表</w:t>
            </w:r>
          </w:p>
        </w:tc>
      </w:tr>
      <w:tr>
        <w:tblPrEx>
          <w:tblCellMar>
            <w:top w:w="0" w:type="dxa"/>
            <w:left w:w="108" w:type="dxa"/>
            <w:bottom w:w="0" w:type="dxa"/>
            <w:right w:w="108" w:type="dxa"/>
          </w:tblCellMar>
        </w:tblPrEx>
        <w:trPr>
          <w:trHeight w:val="390" w:hRule="atLeast"/>
          <w:jc w:val="center"/>
        </w:trPr>
        <w:tc>
          <w:tcPr>
            <w:tcW w:w="4892" w:type="dxa"/>
            <w:tcBorders>
              <w:top w:val="nil"/>
              <w:left w:val="nil"/>
              <w:bottom w:val="nil"/>
              <w:right w:val="nil"/>
            </w:tcBorders>
            <w:shd w:val="clear" w:color="FFFFCC" w:fill="FFFFFF"/>
            <w:noWrap/>
          </w:tcPr>
          <w:p>
            <w:pPr>
              <w:widowControl/>
              <w:jc w:val="left"/>
              <w:rPr>
                <w:rFonts w:ascii="宋体" w:hAnsi="宋体" w:cs="宋体"/>
                <w:color w:val="000000"/>
                <w:kern w:val="0"/>
                <w:sz w:val="24"/>
                <w:szCs w:val="36"/>
              </w:rPr>
            </w:pPr>
          </w:p>
        </w:tc>
        <w:tc>
          <w:tcPr>
            <w:tcW w:w="3472" w:type="dxa"/>
            <w:tcBorders>
              <w:top w:val="nil"/>
              <w:left w:val="nil"/>
              <w:bottom w:val="nil"/>
              <w:right w:val="nil"/>
            </w:tcBorders>
            <w:shd w:val="clear" w:color="FFFFCC" w:fill="FFFFFF"/>
            <w:noWrap/>
          </w:tcPr>
          <w:p>
            <w:pPr>
              <w:widowControl/>
              <w:jc w:val="left"/>
              <w:rPr>
                <w:rFonts w:ascii="宋体" w:hAnsi="宋体" w:cs="宋体"/>
                <w:color w:val="000000"/>
                <w:kern w:val="0"/>
                <w:sz w:val="24"/>
                <w:szCs w:val="36"/>
              </w:rPr>
            </w:pPr>
            <w:r>
              <w:rPr>
                <w:rFonts w:hint="eastAsia" w:ascii="宋体" w:hAnsi="宋体" w:cs="宋体"/>
                <w:color w:val="000000"/>
                <w:kern w:val="0"/>
                <w:sz w:val="24"/>
                <w:szCs w:val="36"/>
              </w:rPr>
              <w:t xml:space="preserve">            </w:t>
            </w:r>
            <w:r>
              <w:rPr>
                <w:rFonts w:ascii="宋体" w:hAnsi="宋体" w:cs="宋体"/>
                <w:color w:val="000000"/>
                <w:kern w:val="0"/>
                <w:sz w:val="24"/>
                <w:szCs w:val="36"/>
              </w:rPr>
              <w:t xml:space="preserve">     </w:t>
            </w:r>
            <w:r>
              <w:rPr>
                <w:rFonts w:hint="eastAsia" w:ascii="宋体" w:hAnsi="宋体" w:cs="宋体"/>
                <w:color w:val="000000"/>
                <w:kern w:val="0"/>
                <w:sz w:val="24"/>
                <w:szCs w:val="36"/>
              </w:rPr>
              <w:t xml:space="preserve"> 单位：万元</w:t>
            </w:r>
          </w:p>
        </w:tc>
      </w:tr>
      <w:tr>
        <w:tblPrEx>
          <w:tblCellMar>
            <w:top w:w="0" w:type="dxa"/>
            <w:left w:w="108" w:type="dxa"/>
            <w:bottom w:w="0" w:type="dxa"/>
            <w:right w:w="108" w:type="dxa"/>
          </w:tblCellMar>
        </w:tblPrEx>
        <w:trPr>
          <w:trHeight w:val="300" w:hRule="atLeast"/>
          <w:jc w:val="center"/>
        </w:trPr>
        <w:tc>
          <w:tcPr>
            <w:tcW w:w="4892" w:type="dxa"/>
            <w:tcBorders>
              <w:top w:val="single" w:color="auto" w:sz="4" w:space="0"/>
              <w:left w:val="single" w:color="auto" w:sz="4" w:space="0"/>
              <w:bottom w:val="single" w:color="auto" w:sz="4" w:space="0"/>
              <w:right w:val="single" w:color="auto" w:sz="4" w:space="0"/>
            </w:tcBorders>
            <w:shd w:val="clear" w:color="FFFFCC" w:fill="FFFFFF"/>
            <w:vAlign w:val="center"/>
          </w:tcPr>
          <w:p>
            <w:pPr>
              <w:widowControl/>
              <w:jc w:val="center"/>
              <w:rPr>
                <w:rFonts w:ascii="仿宋" w:hAnsi="仿宋" w:eastAsia="仿宋"/>
                <w:b/>
                <w:sz w:val="28"/>
                <w:szCs w:val="28"/>
              </w:rPr>
            </w:pPr>
            <w:r>
              <w:rPr>
                <w:rFonts w:hint="eastAsia" w:ascii="仿宋" w:hAnsi="仿宋" w:eastAsia="仿宋"/>
                <w:b/>
                <w:sz w:val="28"/>
                <w:szCs w:val="28"/>
              </w:rPr>
              <w:t>明细项目名称</w:t>
            </w:r>
          </w:p>
        </w:tc>
        <w:tc>
          <w:tcPr>
            <w:tcW w:w="3472" w:type="dxa"/>
            <w:tcBorders>
              <w:top w:val="single" w:color="auto" w:sz="4" w:space="0"/>
              <w:left w:val="nil"/>
              <w:bottom w:val="single" w:color="auto" w:sz="4" w:space="0"/>
              <w:right w:val="single" w:color="auto" w:sz="4" w:space="0"/>
            </w:tcBorders>
            <w:shd w:val="clear" w:color="FFFFCC" w:fill="FFFFFF"/>
            <w:vAlign w:val="center"/>
          </w:tcPr>
          <w:p>
            <w:pPr>
              <w:widowControl/>
              <w:jc w:val="center"/>
              <w:rPr>
                <w:rFonts w:ascii="仿宋" w:hAnsi="仿宋" w:eastAsia="仿宋"/>
                <w:b/>
                <w:sz w:val="28"/>
                <w:szCs w:val="28"/>
              </w:rPr>
            </w:pPr>
            <w:r>
              <w:rPr>
                <w:rFonts w:hint="eastAsia" w:ascii="仿宋" w:hAnsi="仿宋" w:eastAsia="仿宋"/>
                <w:b/>
                <w:sz w:val="28"/>
                <w:szCs w:val="28"/>
                <w:lang w:eastAsia="zh-CN"/>
              </w:rPr>
              <w:t>2023年</w:t>
            </w:r>
            <w:r>
              <w:rPr>
                <w:rFonts w:hint="eastAsia" w:ascii="仿宋" w:hAnsi="仿宋" w:eastAsia="仿宋"/>
                <w:b/>
                <w:sz w:val="28"/>
                <w:szCs w:val="28"/>
              </w:rPr>
              <w:t>预算</w:t>
            </w:r>
          </w:p>
        </w:tc>
      </w:tr>
      <w:tr>
        <w:tblPrEx>
          <w:tblCellMar>
            <w:top w:w="0" w:type="dxa"/>
            <w:left w:w="108" w:type="dxa"/>
            <w:bottom w:w="0" w:type="dxa"/>
            <w:right w:w="108" w:type="dxa"/>
          </w:tblCellMar>
        </w:tblPrEx>
        <w:trPr>
          <w:trHeight w:val="300" w:hRule="atLeast"/>
          <w:jc w:val="center"/>
        </w:trPr>
        <w:tc>
          <w:tcPr>
            <w:tcW w:w="489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sz w:val="28"/>
                <w:szCs w:val="28"/>
              </w:rPr>
            </w:pPr>
            <w:r>
              <w:rPr>
                <w:rFonts w:hint="eastAsia" w:ascii="仿宋" w:hAnsi="仿宋" w:eastAsia="仿宋"/>
                <w:sz w:val="28"/>
                <w:szCs w:val="28"/>
                <w:lang w:eastAsia="zh-CN"/>
              </w:rPr>
              <w:t>北燃特检</w:t>
            </w:r>
            <w:r>
              <w:rPr>
                <w:rFonts w:hint="eastAsia" w:ascii="仿宋" w:hAnsi="仿宋" w:eastAsia="仿宋"/>
                <w:sz w:val="28"/>
                <w:szCs w:val="28"/>
              </w:rPr>
              <w:t>：改革过渡期政策保障经费</w:t>
            </w:r>
          </w:p>
        </w:tc>
        <w:tc>
          <w:tcPr>
            <w:tcW w:w="3472" w:type="dxa"/>
            <w:tcBorders>
              <w:top w:val="nil"/>
              <w:left w:val="nil"/>
              <w:bottom w:val="single" w:color="auto" w:sz="4" w:space="0"/>
              <w:right w:val="single" w:color="auto" w:sz="4" w:space="0"/>
            </w:tcBorders>
            <w:shd w:val="clear" w:color="FFFFCC" w:fill="FFFFFF"/>
            <w:vAlign w:val="center"/>
          </w:tcPr>
          <w:p>
            <w:pPr>
              <w:widowControl/>
              <w:jc w:val="right"/>
              <w:rPr>
                <w:rFonts w:ascii="仿宋" w:hAnsi="仿宋" w:eastAsia="仿宋"/>
                <w:sz w:val="28"/>
                <w:szCs w:val="28"/>
              </w:rPr>
            </w:pPr>
            <w:r>
              <w:rPr>
                <w:rFonts w:hint="eastAsia" w:ascii="仿宋" w:hAnsi="仿宋" w:eastAsia="仿宋"/>
                <w:sz w:val="28"/>
                <w:szCs w:val="28"/>
              </w:rPr>
              <w:t>8</w:t>
            </w:r>
            <w:r>
              <w:rPr>
                <w:rFonts w:ascii="仿宋" w:hAnsi="仿宋" w:eastAsia="仿宋"/>
                <w:sz w:val="28"/>
                <w:szCs w:val="28"/>
              </w:rPr>
              <w:t>27.80</w:t>
            </w:r>
          </w:p>
        </w:tc>
      </w:tr>
      <w:tr>
        <w:tblPrEx>
          <w:tblCellMar>
            <w:top w:w="0" w:type="dxa"/>
            <w:left w:w="108" w:type="dxa"/>
            <w:bottom w:w="0" w:type="dxa"/>
            <w:right w:w="108" w:type="dxa"/>
          </w:tblCellMar>
        </w:tblPrEx>
        <w:trPr>
          <w:trHeight w:val="300" w:hRule="atLeast"/>
          <w:jc w:val="center"/>
        </w:trPr>
        <w:tc>
          <w:tcPr>
            <w:tcW w:w="489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 w:hAnsi="仿宋" w:eastAsia="仿宋"/>
                <w:sz w:val="28"/>
                <w:szCs w:val="28"/>
              </w:rPr>
            </w:pPr>
            <w:r>
              <w:rPr>
                <w:rFonts w:hint="eastAsia" w:ascii="仿宋" w:hAnsi="仿宋" w:eastAsia="仿宋"/>
                <w:sz w:val="28"/>
                <w:szCs w:val="28"/>
                <w:lang w:eastAsia="zh-CN"/>
              </w:rPr>
              <w:t>科研所公司</w:t>
            </w:r>
            <w:r>
              <w:rPr>
                <w:rFonts w:hint="eastAsia" w:ascii="仿宋" w:hAnsi="仿宋" w:eastAsia="仿宋"/>
                <w:sz w:val="28"/>
                <w:szCs w:val="28"/>
              </w:rPr>
              <w:t>：改革过渡期政策保障经费</w:t>
            </w:r>
          </w:p>
        </w:tc>
        <w:tc>
          <w:tcPr>
            <w:tcW w:w="3472" w:type="dxa"/>
            <w:tcBorders>
              <w:top w:val="nil"/>
              <w:left w:val="nil"/>
              <w:bottom w:val="single" w:color="auto" w:sz="4" w:space="0"/>
              <w:right w:val="single" w:color="auto" w:sz="4" w:space="0"/>
            </w:tcBorders>
            <w:shd w:val="clear" w:color="FFFFCC" w:fill="FFFFFF"/>
            <w:vAlign w:val="center"/>
          </w:tcPr>
          <w:p>
            <w:pPr>
              <w:widowControl/>
              <w:jc w:val="right"/>
              <w:rPr>
                <w:rFonts w:ascii="仿宋" w:hAnsi="仿宋" w:eastAsia="仿宋"/>
                <w:sz w:val="28"/>
                <w:szCs w:val="28"/>
              </w:rPr>
            </w:pPr>
            <w:r>
              <w:rPr>
                <w:rFonts w:hint="eastAsia" w:ascii="仿宋" w:hAnsi="仿宋" w:eastAsia="仿宋"/>
                <w:sz w:val="28"/>
                <w:szCs w:val="28"/>
              </w:rPr>
              <w:t>2</w:t>
            </w:r>
            <w:r>
              <w:rPr>
                <w:rFonts w:ascii="仿宋" w:hAnsi="仿宋" w:eastAsia="仿宋"/>
                <w:sz w:val="28"/>
                <w:szCs w:val="28"/>
              </w:rPr>
              <w:t>342.18</w:t>
            </w:r>
          </w:p>
        </w:tc>
      </w:tr>
      <w:tr>
        <w:tblPrEx>
          <w:tblCellMar>
            <w:top w:w="0" w:type="dxa"/>
            <w:left w:w="108" w:type="dxa"/>
            <w:bottom w:w="0" w:type="dxa"/>
            <w:right w:w="108" w:type="dxa"/>
          </w:tblCellMar>
        </w:tblPrEx>
        <w:trPr>
          <w:trHeight w:val="300" w:hRule="atLeast"/>
          <w:jc w:val="center"/>
        </w:trPr>
        <w:tc>
          <w:tcPr>
            <w:tcW w:w="489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sz w:val="28"/>
                <w:szCs w:val="28"/>
              </w:rPr>
            </w:pPr>
            <w:r>
              <w:rPr>
                <w:rFonts w:hint="eastAsia" w:ascii="仿宋" w:hAnsi="仿宋" w:eastAsia="仿宋"/>
                <w:sz w:val="28"/>
                <w:szCs w:val="28"/>
              </w:rPr>
              <w:t>合计</w:t>
            </w:r>
          </w:p>
        </w:tc>
        <w:tc>
          <w:tcPr>
            <w:tcW w:w="3472" w:type="dxa"/>
            <w:tcBorders>
              <w:top w:val="nil"/>
              <w:left w:val="nil"/>
              <w:bottom w:val="single" w:color="auto" w:sz="4" w:space="0"/>
              <w:right w:val="single" w:color="auto" w:sz="4" w:space="0"/>
            </w:tcBorders>
            <w:shd w:val="clear" w:color="FFFFCC" w:fill="FFFFFF"/>
            <w:vAlign w:val="center"/>
          </w:tcPr>
          <w:p>
            <w:pPr>
              <w:widowControl/>
              <w:jc w:val="right"/>
              <w:rPr>
                <w:rFonts w:ascii="仿宋" w:hAnsi="仿宋" w:eastAsia="仿宋"/>
                <w:sz w:val="28"/>
                <w:szCs w:val="28"/>
              </w:rPr>
            </w:pPr>
            <w:r>
              <w:rPr>
                <w:rFonts w:ascii="仿宋" w:hAnsi="仿宋" w:eastAsia="仿宋"/>
                <w:sz w:val="28"/>
                <w:szCs w:val="28"/>
              </w:rPr>
              <w:t>3169.98</w:t>
            </w:r>
          </w:p>
        </w:tc>
      </w:tr>
    </w:tbl>
    <w:p>
      <w:pPr>
        <w:spacing w:line="360" w:lineRule="auto"/>
        <w:ind w:firstLine="560" w:firstLineChars="200"/>
        <w:rPr>
          <w:rFonts w:ascii="仿宋_GB2312" w:hAnsi="仿宋_GB2312" w:eastAsia="仿宋_GB2312" w:cs="仿宋_GB2312"/>
          <w:color w:val="FF0000"/>
          <w:sz w:val="28"/>
          <w:szCs w:val="28"/>
        </w:rPr>
      </w:pPr>
    </w:p>
    <w:p>
      <w:pPr>
        <w:spacing w:line="360" w:lineRule="auto"/>
        <w:ind w:firstLine="560" w:firstLineChars="200"/>
        <w:rPr>
          <w:rFonts w:ascii="仿宋_GB2312" w:hAnsi="仿宋_GB2312" w:eastAsia="仿宋_GB2312" w:cs="仿宋_GB2312"/>
          <w:color w:val="000000"/>
          <w:sz w:val="28"/>
          <w:szCs w:val="28"/>
        </w:rPr>
      </w:pPr>
      <w:r>
        <w:rPr>
          <w:rFonts w:ascii="仿宋_GB2312" w:hAnsi="仿宋_GB2312" w:eastAsia="仿宋_GB2312" w:cs="仿宋_GB2312"/>
          <w:color w:val="000000"/>
          <w:sz w:val="28"/>
          <w:szCs w:val="28"/>
        </w:rPr>
        <w:t>5</w:t>
      </w:r>
      <w:r>
        <w:rPr>
          <w:rFonts w:hint="eastAsia" w:ascii="仿宋_GB2312" w:hAnsi="仿宋_GB2312" w:eastAsia="仿宋_GB2312" w:cs="仿宋_GB2312"/>
          <w:color w:val="000000"/>
          <w:sz w:val="28"/>
          <w:szCs w:val="28"/>
        </w:rPr>
        <w:t>.项目绩效目标。</w:t>
      </w:r>
    </w:p>
    <w:p>
      <w:pPr>
        <w:pStyle w:val="2"/>
        <w:spacing w:line="360" w:lineRule="auto"/>
        <w:ind w:firstLine="560"/>
      </w:pPr>
      <w:r>
        <w:rPr>
          <w:rFonts w:hint="eastAsia" w:ascii="仿宋" w:hAnsi="仿宋" w:eastAsia="仿宋"/>
          <w:color w:val="000000"/>
          <w:sz w:val="28"/>
          <w:szCs w:val="28"/>
        </w:rPr>
        <w:t>为锅炉、压力容器与管道安全提供监督检验保障，为政府部门对特种设备的监管提供技术服务；为所辖各单位的锅炉、压力容器、压力管道等特种设备提供满意的定期检验服务，保证特种设备定期检验的按时完成；为特种设备使用单位提供支持，为特种设备的安全运行提供检验技术保障与服务。 全面提升北京市公用事业领域装备现代化。</w:t>
      </w:r>
      <w:r>
        <w:rPr>
          <w:rFonts w:hint="eastAsia" w:ascii="仿宋" w:hAnsi="仿宋" w:eastAsia="仿宋"/>
          <w:color w:val="FF0000"/>
          <w:sz w:val="28"/>
          <w:szCs w:val="28"/>
        </w:rPr>
        <w:tab/>
      </w:r>
      <w:r>
        <w:rPr>
          <w:rFonts w:hint="eastAsia" w:ascii="仿宋" w:hAnsi="仿宋" w:eastAsia="仿宋"/>
          <w:sz w:val="28"/>
          <w:szCs w:val="28"/>
        </w:rPr>
        <w:tab/>
      </w:r>
      <w:r>
        <w:rPr>
          <w:rFonts w:hint="eastAsia" w:ascii="仿宋" w:hAnsi="仿宋" w:eastAsia="仿宋"/>
          <w:sz w:val="28"/>
          <w:szCs w:val="28"/>
        </w:rPr>
        <w:tab/>
      </w:r>
      <w:r>
        <w:rPr>
          <w:rFonts w:hint="eastAsia" w:ascii="仿宋" w:hAnsi="仿宋" w:eastAsia="仿宋"/>
          <w:sz w:val="28"/>
          <w:szCs w:val="28"/>
        </w:rPr>
        <w:tab/>
      </w:r>
      <w:r>
        <w:rPr>
          <w:rFonts w:hint="eastAsia" w:ascii="仿宋" w:hAnsi="仿宋" w:eastAsia="仿宋"/>
          <w:sz w:val="28"/>
          <w:szCs w:val="28"/>
        </w:rPr>
        <w:tab/>
      </w:r>
      <w:r>
        <w:rPr>
          <w:rFonts w:hint="eastAsia" w:ascii="仿宋" w:hAnsi="仿宋" w:eastAsia="仿宋"/>
          <w:sz w:val="28"/>
          <w:szCs w:val="28"/>
        </w:rPr>
        <w:tab/>
      </w:r>
    </w:p>
    <w:p>
      <w:p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（二）绩效评价工作开展情况</w:t>
      </w:r>
    </w:p>
    <w:p>
      <w:p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1.绩效评价目的、对象和范围。</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为进一步加强财政预算绩效管理，强化支出责任，提高财政资金使用效益和部门管理水平，依据《中共北京市委北京市人民政府关于全面实施预算绩效管理的实施意见》（京发〔2019〕12号）、《北京市预算绩效管理办法》（京财绩效〔2019〕2129号）和《北京市项目支出绩效评价管理办法》（京财绩效〔2020〕2146号），结合《</w:t>
      </w:r>
      <w:r>
        <w:rPr>
          <w:rFonts w:ascii="仿宋" w:hAnsi="仿宋" w:eastAsia="仿宋"/>
          <w:bCs/>
          <w:sz w:val="28"/>
          <w:szCs w:val="28"/>
        </w:rPr>
        <w:t>北京市财政局关于开展</w:t>
      </w:r>
      <w:r>
        <w:rPr>
          <w:rFonts w:hint="eastAsia" w:ascii="仿宋" w:hAnsi="仿宋" w:eastAsia="仿宋"/>
          <w:bCs/>
          <w:sz w:val="28"/>
          <w:szCs w:val="28"/>
          <w:lang w:eastAsia="zh-CN"/>
        </w:rPr>
        <w:t>2023年</w:t>
      </w:r>
      <w:r>
        <w:rPr>
          <w:rFonts w:ascii="仿宋" w:hAnsi="仿宋" w:eastAsia="仿宋"/>
          <w:bCs/>
          <w:sz w:val="28"/>
          <w:szCs w:val="28"/>
        </w:rPr>
        <w:t>全面预算绩效管理工作的通知</w:t>
      </w:r>
      <w:r>
        <w:rPr>
          <w:rFonts w:hint="eastAsia" w:ascii="仿宋" w:hAnsi="仿宋" w:eastAsia="仿宋"/>
          <w:sz w:val="28"/>
          <w:szCs w:val="28"/>
        </w:rPr>
        <w:t>》（京财绩效〔2022〕669号）的具体工作要求，北京市公用事业科学研究所开展</w:t>
      </w:r>
      <w:r>
        <w:rPr>
          <w:rFonts w:hint="eastAsia" w:ascii="仿宋" w:hAnsi="仿宋" w:eastAsia="仿宋"/>
          <w:sz w:val="28"/>
          <w:szCs w:val="28"/>
          <w:lang w:eastAsia="zh-CN"/>
        </w:rPr>
        <w:t>2023年</w:t>
      </w:r>
      <w:r>
        <w:rPr>
          <w:rFonts w:hint="eastAsia" w:ascii="仿宋" w:hAnsi="仿宋" w:eastAsia="仿宋"/>
          <w:sz w:val="28"/>
          <w:szCs w:val="28"/>
        </w:rPr>
        <w:t>度绩效自评工作。</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财政支出绩效评价旨在通过评价改善预算部门的财政支出管理，优化资源配置及提高公共服务水平。本次绩效评价的目的是对该项目的财政资金使用效率和效益进行评价分析，从中总结出项目管理部门在项目实施过程中的经验和不足之处，提出改善项目管理的建议和措施，帮助提高项目实施单位的管理水平。具体目标如下:</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（1）通过评价，了解该项目的基本情况，对项目背景、项目意义、项目现状和项目内容做深入调研和分析；</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（2）通过评价，了解该项目的产出和效果情况以及整体绩效状况；</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（3）通过评价，了解该项目的资金使用情况，从绩效管理角度梳理该项目决策、实施和管理过程中存在的问题并寻求解决方案，促进其管理水平不断提高。</w:t>
      </w:r>
    </w:p>
    <w:p>
      <w:p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2.绩效评价原则、评价指标体系（附表说明）、评价方法、评价标准等。</w:t>
      </w:r>
    </w:p>
    <w:p>
      <w:pPr>
        <w:spacing w:line="600" w:lineRule="exact"/>
        <w:ind w:firstLine="840" w:firstLineChars="300"/>
        <w:rPr>
          <w:rFonts w:ascii="仿宋" w:hAnsi="仿宋" w:eastAsia="仿宋"/>
          <w:sz w:val="28"/>
          <w:szCs w:val="28"/>
        </w:rPr>
      </w:pPr>
      <w:r>
        <w:rPr>
          <w:rFonts w:hint="eastAsia" w:ascii="仿宋" w:hAnsi="仿宋" w:eastAsia="仿宋"/>
          <w:sz w:val="28"/>
          <w:szCs w:val="28"/>
        </w:rPr>
        <w:t>评价原则：</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（1）科学公正。绩效评价应当运用科学合理的方法，按照规范的程序，对项目绩效进行客观、公正的反映。</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（2）统筹兼顾。单位自评、部门评价和财政评价应职责明确，各有侧重，相互衔接。单位自评应由项目单位自主实施,即“谁支出,谁自评”。部门评价和财政评价应在单位自评的基础上开展。</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（3）激励约束。绩效评价结果应用与预算安排、政策调整、改进管理实质性挂钩，体现奖优罚劣和激励相容导向，有效要安排、低效要减压、无效要问责。</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（4）公开透明。绩效评价结果应依法依规公开，并自觉接受社会监督。</w:t>
      </w:r>
    </w:p>
    <w:p>
      <w:pPr>
        <w:spacing w:line="600" w:lineRule="exact"/>
        <w:ind w:firstLine="840" w:firstLineChars="300"/>
        <w:rPr>
          <w:rFonts w:ascii="仿宋" w:hAnsi="仿宋" w:eastAsia="仿宋"/>
          <w:sz w:val="28"/>
          <w:szCs w:val="28"/>
        </w:rPr>
      </w:pPr>
      <w:r>
        <w:rPr>
          <w:rFonts w:hint="eastAsia" w:ascii="仿宋" w:hAnsi="仿宋" w:eastAsia="仿宋"/>
          <w:sz w:val="28"/>
          <w:szCs w:val="28"/>
        </w:rPr>
        <w:t xml:space="preserve">评价方法： </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（1）成本效益分析法。是指将投入与产出、效益进行关联性分析的方法。</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（2）比较法。是指将实施情况与绩效目标、历史情况、不同部门和地区同类支出情况进行比较的方法。</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（3）因素分析法。是指综合分析影响绩效目标实现、实施效果的内外部因素的方法。</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（4）最低成本法。是指在绩效目标确定的前提下，成本最小者为优的方法。</w:t>
      </w:r>
    </w:p>
    <w:p>
      <w:pPr>
        <w:spacing w:line="600" w:lineRule="exact"/>
        <w:ind w:firstLine="840" w:firstLineChars="300"/>
        <w:rPr>
          <w:rFonts w:ascii="仿宋" w:hAnsi="仿宋" w:eastAsia="仿宋"/>
          <w:sz w:val="28"/>
          <w:szCs w:val="28"/>
        </w:rPr>
      </w:pPr>
      <w:r>
        <w:rPr>
          <w:rFonts w:hint="eastAsia" w:ascii="仿宋" w:hAnsi="仿宋" w:eastAsia="仿宋"/>
          <w:sz w:val="28"/>
          <w:szCs w:val="28"/>
        </w:rPr>
        <w:t>评价标准：</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（1）计划标准。指以预先制定的目标、计划、预算、定额作为评价标准。</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（2）行业标准。指参照国家公布的行业指标数据制定的评价标准。</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（3）历史标准。指参照历史数据制定的评价标准，为体现绩效改进的原则，在可实现的条件下应当确定相对较高的评价标准。</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（4）财政部门和预算部门确认或认可的其他标准。</w:t>
      </w:r>
    </w:p>
    <w:p>
      <w:pPr>
        <w:spacing w:line="58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3.绩效评价工作过程。</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（1）前期准备</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一是</w:t>
      </w:r>
      <w:r>
        <w:rPr>
          <w:rFonts w:hint="eastAsia" w:ascii="仿宋" w:hAnsi="仿宋" w:eastAsia="仿宋"/>
          <w:sz w:val="28"/>
          <w:szCs w:val="28"/>
          <w:lang w:eastAsia="zh-CN"/>
        </w:rPr>
        <w:t>科研所公司</w:t>
      </w:r>
      <w:r>
        <w:rPr>
          <w:rFonts w:hint="eastAsia" w:ascii="仿宋" w:hAnsi="仿宋" w:eastAsia="仿宋"/>
          <w:sz w:val="28"/>
          <w:szCs w:val="28"/>
        </w:rPr>
        <w:t>负责组建评价工作组，由科研主管领导负责，成员包括财务、科研管理、设备管理、安全管理和专业技术人员组成。</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二是编制评价方案。为了保证评价方案的可操作性，评价工作组了解项目实施背景、立项依据、绩效目标、项目管理及目标完成情况，确定评价工作重点和拟采用的评价方法，对相关资料进行认真分析，结合市财政对绩效评价工作相关要求，合理安排评价工作进度，形成评价工作方案。</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三是拟定详细的资料清单，指导项目单位按照绩效评价要求提供相关资料。</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（2）现场核查</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一是了解绩效目标设立及完成情况。通过查阅该项目的立项依据文件及该项目申报文本等资料，了解预期绩效目标设立情况，并将反映项目完成结果的相关资料与各项预期绩效目标进行比对，评价项目绩效目标完成情况。</w:t>
      </w:r>
    </w:p>
    <w:p>
      <w:pPr>
        <w:spacing w:line="600" w:lineRule="exact"/>
        <w:ind w:firstLine="560" w:firstLineChars="200"/>
        <w:rPr>
          <w:rFonts w:ascii="仿宋" w:hAnsi="仿宋" w:eastAsia="仿宋"/>
          <w:sz w:val="28"/>
          <w:szCs w:val="28"/>
        </w:rPr>
      </w:pPr>
      <w:r>
        <w:rPr>
          <w:rFonts w:hint="eastAsia" w:ascii="仿宋" w:hAnsi="仿宋" w:eastAsia="仿宋"/>
          <w:sz w:val="28"/>
          <w:szCs w:val="28"/>
        </w:rPr>
        <w:t>二是了解项目效益实现情况。主要是通过查阅相关业务资料以及评价重点工作完成情况，了解项目实施情况，并对项目社会效益、项目可持续性等进行分析、评价。</w:t>
      </w:r>
    </w:p>
    <w:p>
      <w:pPr>
        <w:spacing w:line="360" w:lineRule="auto"/>
        <w:ind w:firstLine="560" w:firstLineChars="200"/>
        <w:rPr>
          <w:rFonts w:ascii="仿宋" w:hAnsi="仿宋" w:eastAsia="仿宋"/>
          <w:sz w:val="28"/>
          <w:szCs w:val="28"/>
        </w:rPr>
      </w:pPr>
      <w:r>
        <w:rPr>
          <w:rFonts w:hint="eastAsia" w:ascii="仿宋" w:hAnsi="仿宋" w:eastAsia="仿宋"/>
          <w:sz w:val="28"/>
          <w:szCs w:val="28"/>
        </w:rPr>
        <w:t>三是了解项目预算执行及财务核算情况。收集、核对、检查、分析该项目财务资料，评价该项目预算执行情况及相关财务数据的准确性。</w:t>
      </w:r>
    </w:p>
    <w:p>
      <w:pPr>
        <w:spacing w:line="360" w:lineRule="auto"/>
        <w:ind w:firstLine="560" w:firstLineChars="200"/>
        <w:rPr>
          <w:rFonts w:ascii="仿宋" w:hAnsi="仿宋" w:eastAsia="仿宋"/>
          <w:sz w:val="28"/>
          <w:szCs w:val="28"/>
        </w:rPr>
      </w:pPr>
      <w:r>
        <w:rPr>
          <w:rFonts w:hint="eastAsia" w:ascii="仿宋" w:hAnsi="仿宋" w:eastAsia="仿宋"/>
          <w:sz w:val="28"/>
          <w:szCs w:val="28"/>
        </w:rPr>
        <w:t>四是选取面对面沟通、查阅资料，了解设备实际使用情况。</w:t>
      </w:r>
    </w:p>
    <w:p>
      <w:pPr>
        <w:spacing w:line="360" w:lineRule="auto"/>
        <w:ind w:firstLine="560" w:firstLineChars="200"/>
        <w:rPr>
          <w:rFonts w:ascii="仿宋" w:hAnsi="仿宋" w:eastAsia="仿宋"/>
          <w:sz w:val="28"/>
          <w:szCs w:val="28"/>
        </w:rPr>
      </w:pPr>
      <w:r>
        <w:rPr>
          <w:rFonts w:hint="eastAsia" w:ascii="仿宋" w:hAnsi="仿宋" w:eastAsia="仿宋"/>
          <w:sz w:val="28"/>
          <w:szCs w:val="28"/>
        </w:rPr>
        <w:t>（3）综合评议</w:t>
      </w:r>
    </w:p>
    <w:p>
      <w:pPr>
        <w:spacing w:line="360" w:lineRule="auto"/>
        <w:ind w:firstLine="560" w:firstLineChars="200"/>
        <w:rPr>
          <w:rFonts w:ascii="仿宋" w:hAnsi="仿宋" w:eastAsia="仿宋"/>
          <w:sz w:val="28"/>
          <w:szCs w:val="28"/>
        </w:rPr>
      </w:pPr>
      <w:r>
        <w:rPr>
          <w:rFonts w:hint="eastAsia" w:ascii="仿宋" w:hAnsi="仿宋" w:eastAsia="仿宋"/>
          <w:sz w:val="28"/>
          <w:szCs w:val="28"/>
        </w:rPr>
        <w:t>评价工作组在充分调研的基础上，对项目资料进行逐一核实，按照指标体系内容和评价重点，工作组对资料进行分类整理，共同评议，出具评价意见。</w:t>
      </w:r>
    </w:p>
    <w:p>
      <w:pPr>
        <w:spacing w:line="360" w:lineRule="auto"/>
        <w:ind w:firstLine="560" w:firstLineChars="200"/>
        <w:rPr>
          <w:rFonts w:ascii="仿宋" w:hAnsi="仿宋" w:eastAsia="仿宋"/>
          <w:sz w:val="28"/>
          <w:szCs w:val="28"/>
        </w:rPr>
      </w:pPr>
      <w:r>
        <w:rPr>
          <w:rFonts w:hint="eastAsia" w:ascii="仿宋" w:hAnsi="仿宋" w:eastAsia="仿宋"/>
          <w:sz w:val="28"/>
          <w:szCs w:val="28"/>
        </w:rPr>
        <w:t>（4）评价报告</w:t>
      </w:r>
    </w:p>
    <w:p>
      <w:pPr>
        <w:spacing w:line="360" w:lineRule="auto"/>
        <w:ind w:firstLine="560" w:firstLineChars="200"/>
        <w:rPr>
          <w:rFonts w:ascii="仿宋" w:hAnsi="仿宋" w:eastAsia="仿宋"/>
          <w:sz w:val="28"/>
          <w:szCs w:val="28"/>
        </w:rPr>
      </w:pPr>
      <w:r>
        <w:rPr>
          <w:rFonts w:hint="eastAsia" w:ascii="仿宋" w:hAnsi="仿宋" w:eastAsia="仿宋"/>
          <w:sz w:val="28"/>
          <w:szCs w:val="28"/>
        </w:rPr>
        <w:t>评价工作组在汇总评价意见的基础上，撰写该项目绩效评价报告。</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（三）综合评价情况及评价结论（附相关评分表）</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（四）绩效评价指标分析</w:t>
      </w:r>
    </w:p>
    <w:p>
      <w:pPr>
        <w:spacing w:line="360" w:lineRule="auto"/>
        <w:ind w:firstLine="560" w:firstLineChars="200"/>
        <w:outlineLvl w:val="0"/>
        <w:rPr>
          <w:rFonts w:ascii="仿宋" w:hAnsi="仿宋" w:eastAsia="仿宋"/>
          <w:sz w:val="28"/>
          <w:szCs w:val="28"/>
        </w:rPr>
      </w:pPr>
      <w:r>
        <w:rPr>
          <w:rFonts w:hint="eastAsia" w:ascii="仿宋_GB2312" w:hAnsi="仿宋_GB2312" w:eastAsia="仿宋_GB2312" w:cs="仿宋_GB2312"/>
          <w:sz w:val="28"/>
          <w:szCs w:val="28"/>
        </w:rPr>
        <w:t>1.</w:t>
      </w:r>
      <w:r>
        <w:rPr>
          <w:rFonts w:hint="eastAsia" w:ascii="仿宋" w:hAnsi="仿宋" w:eastAsia="仿宋"/>
          <w:sz w:val="28"/>
          <w:szCs w:val="28"/>
        </w:rPr>
        <w:t>项目决策情况。</w:t>
      </w:r>
    </w:p>
    <w:p>
      <w:pPr>
        <w:spacing w:line="360" w:lineRule="auto"/>
        <w:ind w:firstLine="560" w:firstLineChars="200"/>
        <w:rPr>
          <w:rFonts w:ascii="仿宋" w:hAnsi="仿宋" w:eastAsia="仿宋"/>
          <w:sz w:val="28"/>
          <w:szCs w:val="28"/>
        </w:rPr>
      </w:pPr>
      <w:r>
        <w:rPr>
          <w:rFonts w:hint="eastAsia" w:ascii="仿宋" w:hAnsi="仿宋" w:eastAsia="仿宋"/>
          <w:sz w:val="28"/>
          <w:szCs w:val="28"/>
        </w:rPr>
        <w:t>项目立项前期经过了深入调研，组织了多专业的业内专家进行了论证，参照往年的评价要求兼顾未来事业发展需要，以量化打分的方法优中选优，最终确定立项清单。通过领导班子集体决策，确定该项目预算并向财政申报。</w:t>
      </w:r>
    </w:p>
    <w:p>
      <w:pPr>
        <w:spacing w:line="360" w:lineRule="auto"/>
        <w:ind w:firstLine="560" w:firstLineChars="200"/>
        <w:outlineLvl w:val="0"/>
        <w:rPr>
          <w:rFonts w:ascii="仿宋" w:hAnsi="仿宋" w:eastAsia="仿宋"/>
          <w:sz w:val="28"/>
          <w:szCs w:val="28"/>
        </w:rPr>
      </w:pPr>
      <w:r>
        <w:rPr>
          <w:rFonts w:hint="eastAsia" w:ascii="仿宋" w:hAnsi="仿宋" w:eastAsia="仿宋"/>
          <w:sz w:val="28"/>
          <w:szCs w:val="28"/>
        </w:rPr>
        <w:t>2.项目过程情况。</w:t>
      </w:r>
    </w:p>
    <w:p>
      <w:pPr>
        <w:spacing w:line="360" w:lineRule="auto"/>
        <w:ind w:firstLine="560" w:firstLineChars="200"/>
        <w:outlineLvl w:val="0"/>
        <w:rPr>
          <w:rFonts w:ascii="仿宋" w:hAnsi="仿宋" w:eastAsia="仿宋"/>
          <w:sz w:val="28"/>
          <w:szCs w:val="28"/>
        </w:rPr>
      </w:pPr>
      <w:r>
        <w:rPr>
          <w:rFonts w:hint="eastAsia" w:ascii="仿宋" w:hAnsi="仿宋" w:eastAsia="仿宋"/>
          <w:sz w:val="28"/>
          <w:szCs w:val="28"/>
        </w:rPr>
        <w:t>对项目年初要求项目负责人根据今年的工作情况对指标进行分解，编制了分月用款计划，明确个人的任务和责任，财务根据每月用款计划申报用款额度，从申报到具体执行财务进行全程实时跟踪，保证预算的完成进度。</w:t>
      </w:r>
    </w:p>
    <w:p>
      <w:pPr>
        <w:spacing w:line="360" w:lineRule="auto"/>
        <w:ind w:firstLine="560" w:firstLineChars="200"/>
        <w:outlineLvl w:val="0"/>
        <w:rPr>
          <w:rFonts w:ascii="仿宋" w:hAnsi="仿宋" w:eastAsia="仿宋"/>
          <w:sz w:val="28"/>
          <w:szCs w:val="28"/>
        </w:rPr>
      </w:pPr>
      <w:r>
        <w:rPr>
          <w:rFonts w:hint="eastAsia" w:ascii="仿宋" w:hAnsi="仿宋" w:eastAsia="仿宋"/>
          <w:sz w:val="28"/>
          <w:szCs w:val="28"/>
        </w:rPr>
        <w:t>3.项目产出情况。</w:t>
      </w:r>
    </w:p>
    <w:p>
      <w:pPr>
        <w:spacing w:line="360" w:lineRule="auto"/>
        <w:ind w:firstLine="560" w:firstLineChars="200"/>
        <w:outlineLvl w:val="0"/>
        <w:rPr>
          <w:rFonts w:ascii="仿宋" w:hAnsi="仿宋" w:eastAsia="仿宋"/>
          <w:sz w:val="28"/>
          <w:szCs w:val="28"/>
        </w:rPr>
      </w:pPr>
      <w:r>
        <w:rPr>
          <w:rFonts w:hint="eastAsia" w:ascii="仿宋" w:hAnsi="仿宋" w:eastAsia="仿宋"/>
          <w:sz w:val="28"/>
          <w:szCs w:val="28"/>
        </w:rPr>
        <w:t>改革过渡期政策保障经费项目：质量合格率100%；成本控制在预算合理范围内，进度计划执行率100%。</w:t>
      </w:r>
    </w:p>
    <w:p>
      <w:pPr>
        <w:spacing w:line="360" w:lineRule="auto"/>
        <w:ind w:firstLine="560" w:firstLineChars="200"/>
        <w:outlineLvl w:val="0"/>
        <w:rPr>
          <w:rFonts w:ascii="仿宋" w:hAnsi="仿宋" w:eastAsia="仿宋"/>
          <w:sz w:val="28"/>
          <w:szCs w:val="28"/>
        </w:rPr>
      </w:pPr>
      <w:r>
        <w:rPr>
          <w:rFonts w:hint="eastAsia" w:ascii="仿宋" w:hAnsi="仿宋" w:eastAsia="仿宋"/>
          <w:sz w:val="28"/>
          <w:szCs w:val="28"/>
        </w:rPr>
        <w:t>4.项目效益情况。</w:t>
      </w:r>
    </w:p>
    <w:p>
      <w:pPr>
        <w:pStyle w:val="2"/>
        <w:ind w:firstLine="560"/>
        <w:rPr>
          <w:rFonts w:hint="eastAsia"/>
        </w:rPr>
      </w:pPr>
      <w:bookmarkStart w:id="0" w:name="_Hlk144112437"/>
      <w:r>
        <w:rPr>
          <w:rFonts w:hint="eastAsia" w:ascii="仿宋" w:hAnsi="仿宋" w:eastAsia="仿宋"/>
          <w:sz w:val="28"/>
          <w:szCs w:val="28"/>
        </w:rPr>
        <w:t>通过项目的实施，保障了离退人员的基本待遇，稳定了</w:t>
      </w:r>
      <w:r>
        <w:rPr>
          <w:rFonts w:hint="eastAsia" w:ascii="仿宋" w:hAnsi="仿宋" w:eastAsia="仿宋"/>
          <w:sz w:val="28"/>
          <w:szCs w:val="28"/>
          <w:lang w:eastAsia="zh-CN"/>
        </w:rPr>
        <w:t>科研所公司</w:t>
      </w:r>
      <w:r>
        <w:rPr>
          <w:rFonts w:hint="eastAsia" w:ascii="仿宋" w:hAnsi="仿宋" w:eastAsia="仿宋"/>
          <w:sz w:val="28"/>
          <w:szCs w:val="28"/>
        </w:rPr>
        <w:t>和</w:t>
      </w:r>
      <w:r>
        <w:rPr>
          <w:rFonts w:hint="eastAsia" w:ascii="仿宋" w:hAnsi="仿宋" w:eastAsia="仿宋"/>
          <w:sz w:val="28"/>
          <w:szCs w:val="28"/>
          <w:lang w:eastAsia="zh-CN"/>
        </w:rPr>
        <w:t>北燃特检</w:t>
      </w:r>
      <w:r>
        <w:rPr>
          <w:rFonts w:hint="eastAsia" w:ascii="仿宋" w:hAnsi="仿宋" w:eastAsia="仿宋"/>
          <w:sz w:val="28"/>
          <w:szCs w:val="28"/>
        </w:rPr>
        <w:t>员工情绪，化解多项矛盾，确保</w:t>
      </w:r>
      <w:r>
        <w:rPr>
          <w:rFonts w:hint="eastAsia" w:ascii="仿宋" w:hAnsi="仿宋" w:eastAsia="仿宋"/>
          <w:sz w:val="28"/>
          <w:szCs w:val="28"/>
          <w:lang w:eastAsia="zh-CN"/>
        </w:rPr>
        <w:t>科研所公司</w:t>
      </w:r>
      <w:r>
        <w:rPr>
          <w:rFonts w:hint="eastAsia" w:ascii="仿宋" w:hAnsi="仿宋" w:eastAsia="仿宋"/>
          <w:sz w:val="28"/>
          <w:szCs w:val="28"/>
        </w:rPr>
        <w:t>和</w:t>
      </w:r>
      <w:r>
        <w:rPr>
          <w:rFonts w:hint="eastAsia" w:ascii="仿宋" w:hAnsi="仿宋" w:eastAsia="仿宋"/>
          <w:sz w:val="28"/>
          <w:szCs w:val="28"/>
          <w:lang w:eastAsia="zh-CN"/>
        </w:rPr>
        <w:t>北燃特检</w:t>
      </w:r>
      <w:r>
        <w:rPr>
          <w:rFonts w:hint="eastAsia" w:ascii="仿宋" w:hAnsi="仿宋" w:eastAsia="仿宋"/>
          <w:sz w:val="28"/>
          <w:szCs w:val="28"/>
        </w:rPr>
        <w:t>平稳完成事业单位转企改制，减少改革带来的阵痛，</w:t>
      </w:r>
      <w:r>
        <w:rPr>
          <w:rFonts w:hint="eastAsia" w:ascii="仿宋" w:hAnsi="仿宋" w:eastAsia="仿宋"/>
          <w:sz w:val="28"/>
          <w:szCs w:val="28"/>
          <w:lang w:eastAsia="zh-CN"/>
        </w:rPr>
        <w:t>科研所公司</w:t>
      </w:r>
      <w:r>
        <w:rPr>
          <w:rFonts w:hint="eastAsia" w:ascii="仿宋" w:hAnsi="仿宋" w:eastAsia="仿宋"/>
          <w:sz w:val="28"/>
          <w:szCs w:val="28"/>
        </w:rPr>
        <w:t>和</w:t>
      </w:r>
      <w:r>
        <w:rPr>
          <w:rFonts w:hint="eastAsia" w:ascii="仿宋" w:hAnsi="仿宋" w:eastAsia="仿宋"/>
          <w:sz w:val="28"/>
          <w:szCs w:val="28"/>
          <w:lang w:eastAsia="zh-CN"/>
        </w:rPr>
        <w:t>北燃特检</w:t>
      </w:r>
      <w:r>
        <w:rPr>
          <w:rFonts w:hint="eastAsia" w:ascii="仿宋" w:hAnsi="仿宋" w:eastAsia="仿宋"/>
          <w:sz w:val="28"/>
          <w:szCs w:val="28"/>
        </w:rPr>
        <w:t>得以正常运营，持续开展科研及检测业务，推进人才队伍建设和现代企业制度、市场化机制建立，为两个单位转企以后，参与市场竞争，提供了长期、可靠的资金保障。从收集的用户反馈意见并统计核实，用户满意度达到 100%</w:t>
      </w:r>
      <w:bookmarkEnd w:id="0"/>
      <w:r>
        <w:rPr>
          <w:rFonts w:hint="eastAsia"/>
        </w:rPr>
        <w:t>。</w:t>
      </w:r>
    </w:p>
    <w:p>
      <w:pPr>
        <w:spacing w:line="360" w:lineRule="auto"/>
        <w:ind w:firstLine="560" w:firstLineChars="200"/>
        <w:rPr>
          <w:rFonts w:ascii="仿宋" w:hAnsi="仿宋" w:eastAsia="仿宋"/>
          <w:sz w:val="28"/>
          <w:szCs w:val="28"/>
        </w:rPr>
      </w:pPr>
      <w:r>
        <w:rPr>
          <w:rFonts w:hint="eastAsia" w:ascii="仿宋" w:hAnsi="仿宋" w:eastAsia="仿宋"/>
          <w:sz w:val="28"/>
          <w:szCs w:val="28"/>
        </w:rPr>
        <w:t>（五）主要经验及做法、存在的问题及原因分析</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无</w:t>
      </w:r>
    </w:p>
    <w:p>
      <w:pPr>
        <w:spacing w:line="360" w:lineRule="auto"/>
        <w:ind w:firstLine="560" w:firstLineChars="200"/>
        <w:rPr>
          <w:rFonts w:ascii="仿宋" w:hAnsi="仿宋" w:eastAsia="仿宋"/>
          <w:sz w:val="28"/>
          <w:szCs w:val="28"/>
        </w:rPr>
      </w:pPr>
      <w:r>
        <w:rPr>
          <w:rFonts w:hint="eastAsia" w:ascii="仿宋" w:hAnsi="仿宋" w:eastAsia="仿宋"/>
          <w:sz w:val="28"/>
          <w:szCs w:val="28"/>
        </w:rPr>
        <w:t>（六）有关建议</w:t>
      </w:r>
    </w:p>
    <w:p>
      <w:pPr>
        <w:spacing w:line="360" w:lineRule="auto"/>
        <w:ind w:firstLine="560" w:firstLineChars="200"/>
        <w:rPr>
          <w:rFonts w:ascii="仿宋" w:hAnsi="仿宋" w:eastAsia="仿宋"/>
          <w:sz w:val="28"/>
          <w:szCs w:val="28"/>
        </w:rPr>
      </w:pPr>
      <w:r>
        <w:rPr>
          <w:rFonts w:hint="eastAsia" w:ascii="仿宋" w:hAnsi="仿宋" w:eastAsia="仿宋"/>
          <w:sz w:val="28"/>
          <w:szCs w:val="28"/>
        </w:rPr>
        <w:t>无</w:t>
      </w:r>
    </w:p>
    <w:p>
      <w:pPr>
        <w:spacing w:line="360" w:lineRule="auto"/>
        <w:ind w:firstLine="560" w:firstLineChars="200"/>
        <w:rPr>
          <w:rFonts w:ascii="仿宋" w:hAnsi="仿宋" w:eastAsia="仿宋"/>
          <w:sz w:val="28"/>
          <w:szCs w:val="28"/>
        </w:rPr>
      </w:pPr>
      <w:r>
        <w:rPr>
          <w:rFonts w:hint="eastAsia" w:ascii="仿宋" w:hAnsi="仿宋" w:eastAsia="仿宋"/>
          <w:sz w:val="28"/>
          <w:szCs w:val="28"/>
        </w:rPr>
        <w:t>（七）其他需要说明的问题</w:t>
      </w:r>
    </w:p>
    <w:p>
      <w:pPr>
        <w:spacing w:line="360" w:lineRule="auto"/>
        <w:ind w:firstLine="560" w:firstLineChars="200"/>
        <w:outlineLvl w:val="0"/>
        <w:rPr>
          <w:rFonts w:ascii="仿宋" w:hAnsi="仿宋" w:eastAsia="仿宋"/>
          <w:sz w:val="28"/>
          <w:szCs w:val="28"/>
        </w:rPr>
      </w:pPr>
      <w:r>
        <w:rPr>
          <w:rFonts w:hint="eastAsia" w:ascii="仿宋" w:hAnsi="仿宋" w:eastAsia="仿宋"/>
          <w:sz w:val="28"/>
          <w:szCs w:val="28"/>
        </w:rPr>
        <w:t>无</w:t>
      </w:r>
    </w:p>
    <w:p>
      <w:pPr>
        <w:pStyle w:val="2"/>
        <w:ind w:firstLine="0" w:firstLineChars="0"/>
      </w:pPr>
    </w:p>
    <w:sectPr>
      <w:footerReference r:id="rId3" w:type="default"/>
      <w:footerReference r:id="rId4" w:type="even"/>
      <w:pgSz w:w="16838" w:h="11906" w:orient="landscape"/>
      <w:pgMar w:top="1134" w:right="1134" w:bottom="1134" w:left="1134" w:header="851" w:footer="680"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28</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c0MjZlODQ0MDQyMTMyZjViNzNlMzQzMzhiODkyMmMifQ=="/>
  </w:docVars>
  <w:rsids>
    <w:rsidRoot w:val="009016A3"/>
    <w:rsid w:val="001F0BC6"/>
    <w:rsid w:val="00516642"/>
    <w:rsid w:val="005F42D4"/>
    <w:rsid w:val="0070636D"/>
    <w:rsid w:val="007B1CAC"/>
    <w:rsid w:val="008611A6"/>
    <w:rsid w:val="00872D49"/>
    <w:rsid w:val="009016A3"/>
    <w:rsid w:val="00931E21"/>
    <w:rsid w:val="00961311"/>
    <w:rsid w:val="00B51165"/>
    <w:rsid w:val="00C13EA3"/>
    <w:rsid w:val="00C24A8D"/>
    <w:rsid w:val="00C753E2"/>
    <w:rsid w:val="00D8658C"/>
    <w:rsid w:val="00F247AF"/>
    <w:rsid w:val="7B3B42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14:ligatures w14:val="none"/>
    </w:rPr>
  </w:style>
  <w:style w:type="paragraph" w:styleId="3">
    <w:name w:val="heading 2"/>
    <w:basedOn w:val="1"/>
    <w:next w:val="1"/>
    <w:link w:val="16"/>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link w:val="17"/>
    <w:uiPriority w:val="0"/>
    <w:pPr>
      <w:ind w:firstLine="645"/>
    </w:pPr>
    <w:rPr>
      <w:rFonts w:ascii="仿宋_GB2312" w:hAnsi="Calibri" w:eastAsia="仿宋_GB2312"/>
      <w:sz w:val="32"/>
      <w:szCs w:val="32"/>
    </w:rPr>
  </w:style>
  <w:style w:type="paragraph" w:styleId="5">
    <w:name w:val="Date"/>
    <w:basedOn w:val="1"/>
    <w:next w:val="1"/>
    <w:link w:val="18"/>
    <w:uiPriority w:val="0"/>
    <w:pPr>
      <w:ind w:left="100" w:leftChars="2500"/>
    </w:pPr>
  </w:style>
  <w:style w:type="paragraph" w:styleId="6">
    <w:name w:val="Balloon Text"/>
    <w:basedOn w:val="1"/>
    <w:link w:val="19"/>
    <w:semiHidden/>
    <w:uiPriority w:val="0"/>
    <w:rPr>
      <w:sz w:val="18"/>
      <w:szCs w:val="18"/>
    </w:rPr>
  </w:style>
  <w:style w:type="paragraph" w:styleId="7">
    <w:name w:val="footer"/>
    <w:basedOn w:val="1"/>
    <w:link w:val="15"/>
    <w:unhideWhenUsed/>
    <w:uiPriority w:val="0"/>
    <w:pPr>
      <w:tabs>
        <w:tab w:val="center" w:pos="4153"/>
        <w:tab w:val="right" w:pos="8306"/>
      </w:tabs>
      <w:snapToGrid w:val="0"/>
      <w:jc w:val="left"/>
    </w:pPr>
    <w:rPr>
      <w:sz w:val="18"/>
      <w:szCs w:val="18"/>
    </w:rPr>
  </w:style>
  <w:style w:type="paragraph" w:styleId="8">
    <w:name w:val="header"/>
    <w:basedOn w:val="1"/>
    <w:link w:val="14"/>
    <w:unhideWhenUsed/>
    <w:uiPriority w:val="0"/>
    <w:pPr>
      <w:tabs>
        <w:tab w:val="center" w:pos="4153"/>
        <w:tab w:val="right" w:pos="8306"/>
      </w:tabs>
      <w:snapToGrid w:val="0"/>
      <w:jc w:val="center"/>
    </w:pPr>
    <w:rPr>
      <w:sz w:val="18"/>
      <w:szCs w:val="18"/>
    </w:rPr>
  </w:style>
  <w:style w:type="paragraph" w:styleId="9">
    <w:name w:val="Normal (Web)"/>
    <w:basedOn w:val="1"/>
    <w:unhideWhenUsed/>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uiPriority w:val="0"/>
  </w:style>
  <w:style w:type="character" w:customStyle="1" w:styleId="14">
    <w:name w:val="页眉 字符"/>
    <w:basedOn w:val="11"/>
    <w:link w:val="8"/>
    <w:uiPriority w:val="99"/>
    <w:rPr>
      <w:sz w:val="18"/>
      <w:szCs w:val="18"/>
    </w:rPr>
  </w:style>
  <w:style w:type="character" w:customStyle="1" w:styleId="15">
    <w:name w:val="页脚 字符"/>
    <w:basedOn w:val="11"/>
    <w:link w:val="7"/>
    <w:uiPriority w:val="99"/>
    <w:rPr>
      <w:sz w:val="18"/>
      <w:szCs w:val="18"/>
    </w:rPr>
  </w:style>
  <w:style w:type="character" w:customStyle="1" w:styleId="16">
    <w:name w:val="标题 2 字符"/>
    <w:basedOn w:val="11"/>
    <w:link w:val="3"/>
    <w:uiPriority w:val="0"/>
    <w:rPr>
      <w:rFonts w:ascii="Cambria" w:hAnsi="Cambria" w:eastAsia="黑体" w:cs="Times New Roman"/>
      <w:b/>
      <w:bCs/>
      <w:kern w:val="0"/>
      <w:sz w:val="36"/>
      <w:szCs w:val="32"/>
      <w14:ligatures w14:val="none"/>
    </w:rPr>
  </w:style>
  <w:style w:type="character" w:customStyle="1" w:styleId="17">
    <w:name w:val="正文文本缩进 字符"/>
    <w:basedOn w:val="11"/>
    <w:link w:val="4"/>
    <w:uiPriority w:val="0"/>
    <w:rPr>
      <w:rFonts w:ascii="仿宋_GB2312" w:hAnsi="Calibri" w:eastAsia="仿宋_GB2312" w:cs="Times New Roman"/>
      <w:sz w:val="32"/>
      <w:szCs w:val="32"/>
      <w14:ligatures w14:val="none"/>
    </w:rPr>
  </w:style>
  <w:style w:type="character" w:customStyle="1" w:styleId="18">
    <w:name w:val="日期 字符"/>
    <w:basedOn w:val="11"/>
    <w:link w:val="5"/>
    <w:uiPriority w:val="0"/>
    <w:rPr>
      <w:rFonts w:ascii="Times New Roman" w:hAnsi="Times New Roman" w:eastAsia="宋体" w:cs="Times New Roman"/>
      <w:szCs w:val="24"/>
      <w14:ligatures w14:val="none"/>
    </w:rPr>
  </w:style>
  <w:style w:type="character" w:customStyle="1" w:styleId="19">
    <w:name w:val="批注框文本 字符"/>
    <w:basedOn w:val="11"/>
    <w:link w:val="6"/>
    <w:semiHidden/>
    <w:uiPriority w:val="0"/>
    <w:rPr>
      <w:rFonts w:ascii="Times New Roman" w:hAnsi="Times New Roman" w:eastAsia="宋体" w:cs="Times New Roman"/>
      <w:sz w:val="18"/>
      <w:szCs w:val="18"/>
      <w14:ligatures w14:val="none"/>
    </w:rPr>
  </w:style>
  <w:style w:type="character" w:customStyle="1" w:styleId="20">
    <w:name w:val="页脚 Char"/>
    <w:uiPriority w:val="0"/>
    <w:rPr>
      <w:rFonts w:eastAsia="宋体"/>
      <w:kern w:val="2"/>
      <w:sz w:val="18"/>
      <w:szCs w:val="18"/>
      <w:lang w:val="en-US" w:eastAsia="zh-CN" w:bidi="ar-SA"/>
    </w:rPr>
  </w:style>
  <w:style w:type="character" w:customStyle="1" w:styleId="21">
    <w:name w:val="页眉 Char"/>
    <w:uiPriority w:val="0"/>
    <w:rPr>
      <w:rFonts w:ascii="Calibri" w:hAnsi="Calibri" w:eastAsia="宋体"/>
      <w:kern w:val="2"/>
      <w:sz w:val="18"/>
      <w:szCs w:val="18"/>
      <w:lang w:val="en-US" w:eastAsia="zh-CN" w:bidi="ar-SA"/>
    </w:rPr>
  </w:style>
  <w:style w:type="paragraph" w:customStyle="1" w:styleId="22">
    <w:name w:val="Char Char Char Char Char Char Char"/>
    <w:basedOn w:val="1"/>
    <w:uiPriority w:val="0"/>
    <w:rPr>
      <w:rFonts w:ascii="Tahoma" w:hAnsi="Tahoma"/>
      <w:sz w:val="24"/>
      <w:szCs w:val="20"/>
    </w:rPr>
  </w:style>
  <w:style w:type="paragraph" w:customStyle="1" w:styleId="23">
    <w:name w:val="Char1 Char Char Char"/>
    <w:basedOn w:val="1"/>
    <w:uiPriority w:val="0"/>
    <w:pPr>
      <w:widowControl/>
      <w:spacing w:after="160" w:line="240" w:lineRule="exact"/>
      <w:jc w:val="left"/>
    </w:pPr>
    <w:rPr>
      <w:szCs w:val="20"/>
    </w:rPr>
  </w:style>
  <w:style w:type="paragraph" w:customStyle="1" w:styleId="24">
    <w:name w:val="Char"/>
    <w:basedOn w:val="1"/>
    <w:uiPriority w:val="0"/>
    <w:rPr>
      <w:rFonts w:ascii="Tahoma" w:hAnsi="Tahoma"/>
      <w:sz w:val="24"/>
      <w:szCs w:val="20"/>
    </w:rPr>
  </w:style>
  <w:style w:type="paragraph" w:customStyle="1" w:styleId="25">
    <w:name w:val="Char Char3 Char Char"/>
    <w:basedOn w:val="1"/>
    <w:uiPriority w:val="0"/>
    <w:rPr>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2881</Words>
  <Characters>2987</Characters>
  <Lines>22</Lines>
  <Paragraphs>6</Paragraphs>
  <TotalTime>16</TotalTime>
  <ScaleCrop>false</ScaleCrop>
  <LinksUpToDate>false</LinksUpToDate>
  <CharactersWithSpaces>3020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2023-06-14T09:10:00Z</dcterms:created>
  <dc:creator>ych</dc:creator>
  <cp:lastModifiedBy>企业用户_1410004247</cp:lastModifiedBy>
  <dcterms:modified xsi:type="dcterms:W3CDTF">2024-06-07T02:43:51Z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A193458439534728B288ABFE5DC04D90_12</vt:lpwstr>
  </property>
</Properties>
</file>