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2B7" w:rsidRDefault="00B41C23">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北京铁路运输检察院</w:t>
      </w:r>
    </w:p>
    <w:p w:rsidR="004822B7" w:rsidRDefault="00B41C23">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2023年度部门整体绩效评价报告</w:t>
      </w:r>
    </w:p>
    <w:p w:rsidR="004822B7" w:rsidRDefault="004822B7">
      <w:pPr>
        <w:jc w:val="center"/>
        <w:rPr>
          <w:rFonts w:ascii="仿宋_GB2312"/>
          <w:color w:val="000000" w:themeColor="text1"/>
          <w:szCs w:val="30"/>
        </w:rPr>
      </w:pPr>
    </w:p>
    <w:p w:rsidR="004822B7" w:rsidRDefault="00B41C23">
      <w:pPr>
        <w:spacing w:line="600" w:lineRule="exact"/>
        <w:ind w:firstLineChars="200" w:firstLine="640"/>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一、部门概况</w:t>
      </w:r>
    </w:p>
    <w:p w:rsidR="004822B7" w:rsidRDefault="00B41C23">
      <w:pPr>
        <w:spacing w:line="600" w:lineRule="exact"/>
        <w:ind w:firstLineChars="200" w:firstLine="640"/>
        <w:rPr>
          <w:rFonts w:ascii="楷体_GB2312" w:eastAsia="楷体_GB2312"/>
          <w:color w:val="000000" w:themeColor="text1"/>
          <w:sz w:val="32"/>
          <w:szCs w:val="32"/>
        </w:rPr>
      </w:pPr>
      <w:r>
        <w:rPr>
          <w:rFonts w:ascii="楷体_GB2312" w:eastAsia="楷体_GB2312" w:hint="eastAsia"/>
          <w:color w:val="000000" w:themeColor="text1"/>
          <w:sz w:val="32"/>
          <w:szCs w:val="32"/>
        </w:rPr>
        <w:t>（一）机构设置及职责工作任务情况</w:t>
      </w:r>
    </w:p>
    <w:p w:rsidR="004822B7" w:rsidRDefault="00B41C23">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1、机构设置：根据北京市政法委、北京市编办、北京市人民检察院印发的《北京市检察机关内设机构改革方案》（京</w:t>
      </w:r>
      <w:proofErr w:type="gramStart"/>
      <w:r>
        <w:rPr>
          <w:rFonts w:ascii="仿宋_GB2312" w:eastAsia="仿宋_GB2312" w:hAnsi="宋体" w:cs="宋体" w:hint="eastAsia"/>
          <w:color w:val="000000" w:themeColor="text1"/>
          <w:kern w:val="0"/>
          <w:sz w:val="32"/>
          <w:szCs w:val="32"/>
        </w:rPr>
        <w:t>政法发</w:t>
      </w:r>
      <w:proofErr w:type="gramEnd"/>
      <w:r>
        <w:rPr>
          <w:rFonts w:ascii="仿宋_GB2312" w:eastAsia="仿宋_GB2312" w:hAnsi="宋体" w:cs="宋体" w:hint="eastAsia"/>
          <w:color w:val="000000" w:themeColor="text1"/>
          <w:kern w:val="0"/>
          <w:sz w:val="32"/>
          <w:szCs w:val="32"/>
        </w:rPr>
        <w:t>[2019]8号），北京铁路运输检察院设置8个内设机构，分别为：办公室（行政事务管理部）、政治部（机关党委）、第一检察部、第二检察部、第三检察部、第四检察部、第五检察部和第六检察部（法律政策研究室）。</w:t>
      </w:r>
    </w:p>
    <w:p w:rsidR="004822B7" w:rsidRDefault="00B41C23">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机构职责：依法对北京铁路公安处提请批准逮捕、移送审查起诉的刑事案件进行审查，决定是否批准逮捕、提起公诉；依法对北京铁路公安处的立案活动、侦查活动进行监督；依法对海淀区人民法院审理铁路专门管辖刑事、民事案件的诉讼活动进行监督；依法对北京互联网法院的审判和执行活动及有关生效判决和裁定进行监督；办理全市范围内应由基层人民法院管辖的互联网民事、</w:t>
      </w:r>
      <w:proofErr w:type="gramStart"/>
      <w:r>
        <w:rPr>
          <w:rFonts w:ascii="仿宋_GB2312" w:eastAsia="仿宋_GB2312" w:hAnsi="宋体" w:cs="宋体" w:hint="eastAsia"/>
          <w:color w:val="000000" w:themeColor="text1"/>
          <w:kern w:val="0"/>
          <w:sz w:val="32"/>
          <w:szCs w:val="32"/>
        </w:rPr>
        <w:t>行政公益</w:t>
      </w:r>
      <w:proofErr w:type="gramEnd"/>
      <w:r>
        <w:rPr>
          <w:rFonts w:ascii="仿宋_GB2312" w:eastAsia="仿宋_GB2312" w:hAnsi="宋体" w:cs="宋体" w:hint="eastAsia"/>
          <w:color w:val="000000" w:themeColor="text1"/>
          <w:kern w:val="0"/>
          <w:sz w:val="32"/>
          <w:szCs w:val="32"/>
        </w:rPr>
        <w:t>诉讼案件；办理中国铁路北京局集团有限公司原北京铁路办事处管辖范围内涉及铁路安全的公益诉讼案件；办理上级人民检察院指定管辖的其他案件。</w:t>
      </w:r>
    </w:p>
    <w:p w:rsidR="004822B7" w:rsidRDefault="00B41C23">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3、单位性质：北京铁路运输检察院单位性质为国家法律监督机关。</w:t>
      </w:r>
    </w:p>
    <w:p w:rsidR="004822B7" w:rsidRDefault="00B41C23">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lastRenderedPageBreak/>
        <w:t>4、人员构成情况：北京铁路运输检察院部</w:t>
      </w:r>
      <w:proofErr w:type="gramStart"/>
      <w:r>
        <w:rPr>
          <w:rFonts w:ascii="仿宋_GB2312" w:eastAsia="仿宋_GB2312" w:hAnsi="宋体" w:cs="宋体" w:hint="eastAsia"/>
          <w:color w:val="000000" w:themeColor="text1"/>
          <w:kern w:val="0"/>
          <w:sz w:val="32"/>
          <w:szCs w:val="32"/>
        </w:rPr>
        <w:t>门行政</w:t>
      </w:r>
      <w:proofErr w:type="gramEnd"/>
      <w:r>
        <w:rPr>
          <w:rFonts w:ascii="仿宋_GB2312" w:eastAsia="仿宋_GB2312" w:hAnsi="宋体" w:cs="宋体" w:hint="eastAsia"/>
          <w:color w:val="000000" w:themeColor="text1"/>
          <w:kern w:val="0"/>
          <w:sz w:val="32"/>
          <w:szCs w:val="32"/>
        </w:rPr>
        <w:t>编制64人，实有人数5</w:t>
      </w:r>
      <w:r w:rsidR="00217FCD">
        <w:rPr>
          <w:rFonts w:ascii="仿宋_GB2312" w:eastAsia="仿宋_GB2312" w:hAnsi="宋体" w:cs="宋体" w:hint="eastAsia"/>
          <w:color w:val="000000" w:themeColor="text1"/>
          <w:kern w:val="0"/>
          <w:sz w:val="32"/>
          <w:szCs w:val="32"/>
        </w:rPr>
        <w:t>8</w:t>
      </w:r>
      <w:r>
        <w:rPr>
          <w:rFonts w:ascii="仿宋_GB2312" w:eastAsia="仿宋_GB2312" w:hAnsi="宋体" w:cs="宋体" w:hint="eastAsia"/>
          <w:color w:val="000000" w:themeColor="text1"/>
          <w:kern w:val="0"/>
          <w:sz w:val="32"/>
          <w:szCs w:val="32"/>
        </w:rPr>
        <w:t>人，事业编制0人，实有人数0人；聘用人员(检察院聘任书记员、聘用制司法警察、其他聘用人员--临时工)1</w:t>
      </w:r>
      <w:r w:rsidR="00217FCD">
        <w:rPr>
          <w:rFonts w:ascii="仿宋_GB2312" w:eastAsia="仿宋_GB2312" w:hAnsi="宋体" w:cs="宋体" w:hint="eastAsia"/>
          <w:color w:val="000000" w:themeColor="text1"/>
          <w:kern w:val="0"/>
          <w:sz w:val="32"/>
          <w:szCs w:val="32"/>
        </w:rPr>
        <w:t>0</w:t>
      </w:r>
      <w:r>
        <w:rPr>
          <w:rFonts w:ascii="仿宋_GB2312" w:eastAsia="仿宋_GB2312" w:hAnsi="宋体" w:cs="宋体" w:hint="eastAsia"/>
          <w:color w:val="000000" w:themeColor="text1"/>
          <w:kern w:val="0"/>
          <w:sz w:val="32"/>
          <w:szCs w:val="32"/>
        </w:rPr>
        <w:t>人。离退休人员3</w:t>
      </w:r>
      <w:r w:rsidR="00062449">
        <w:rPr>
          <w:rFonts w:ascii="仿宋_GB2312" w:eastAsia="仿宋_GB2312" w:hAnsi="宋体" w:cs="宋体" w:hint="eastAsia"/>
          <w:color w:val="000000" w:themeColor="text1"/>
          <w:kern w:val="0"/>
          <w:sz w:val="32"/>
          <w:szCs w:val="32"/>
        </w:rPr>
        <w:t>7</w:t>
      </w:r>
      <w:r>
        <w:rPr>
          <w:rFonts w:ascii="仿宋_GB2312" w:eastAsia="仿宋_GB2312" w:hAnsi="宋体" w:cs="宋体" w:hint="eastAsia"/>
          <w:color w:val="000000" w:themeColor="text1"/>
          <w:kern w:val="0"/>
          <w:sz w:val="32"/>
          <w:szCs w:val="32"/>
        </w:rPr>
        <w:t>人，其中：离休0人，退休3</w:t>
      </w:r>
      <w:r w:rsidR="00217FCD">
        <w:rPr>
          <w:rFonts w:ascii="仿宋_GB2312" w:eastAsia="仿宋_GB2312" w:hAnsi="宋体" w:cs="宋体" w:hint="eastAsia"/>
          <w:color w:val="000000" w:themeColor="text1"/>
          <w:kern w:val="0"/>
          <w:sz w:val="32"/>
          <w:szCs w:val="32"/>
        </w:rPr>
        <w:t>7</w:t>
      </w:r>
      <w:r>
        <w:rPr>
          <w:rFonts w:ascii="仿宋_GB2312" w:eastAsia="仿宋_GB2312" w:hAnsi="宋体" w:cs="宋体" w:hint="eastAsia"/>
          <w:color w:val="000000" w:themeColor="text1"/>
          <w:kern w:val="0"/>
          <w:sz w:val="32"/>
          <w:szCs w:val="32"/>
        </w:rPr>
        <w:t>人。</w:t>
      </w:r>
    </w:p>
    <w:p w:rsidR="004822B7" w:rsidRDefault="00B41C23">
      <w:pPr>
        <w:spacing w:line="600" w:lineRule="exact"/>
        <w:ind w:firstLineChars="200" w:firstLine="640"/>
        <w:rPr>
          <w:rFonts w:ascii="楷体_GB2312" w:eastAsia="楷体_GB2312"/>
          <w:color w:val="000000" w:themeColor="text1"/>
          <w:sz w:val="32"/>
          <w:szCs w:val="32"/>
        </w:rPr>
      </w:pPr>
      <w:r>
        <w:rPr>
          <w:rFonts w:ascii="楷体_GB2312" w:eastAsia="楷体_GB2312" w:hint="eastAsia"/>
          <w:color w:val="000000" w:themeColor="text1"/>
          <w:sz w:val="32"/>
          <w:szCs w:val="32"/>
        </w:rPr>
        <w:t>（二）部门整体绩效目标设立情况（包括绩效目标设立依据、目标</w:t>
      </w:r>
      <w:r>
        <w:rPr>
          <w:rFonts w:ascii="楷体_GB2312" w:eastAsia="楷体_GB2312"/>
          <w:color w:val="000000" w:themeColor="text1"/>
          <w:sz w:val="32"/>
          <w:szCs w:val="32"/>
        </w:rPr>
        <w:t>与</w:t>
      </w:r>
      <w:r>
        <w:rPr>
          <w:rFonts w:ascii="楷体_GB2312" w:eastAsia="楷体_GB2312" w:hint="eastAsia"/>
          <w:color w:val="000000" w:themeColor="text1"/>
          <w:sz w:val="32"/>
          <w:szCs w:val="32"/>
        </w:rPr>
        <w:t>职责任务匹配情况、目标合理性等）。</w:t>
      </w:r>
    </w:p>
    <w:p w:rsidR="004822B7" w:rsidRDefault="00B41C23">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1、绩效目标设立依据：</w:t>
      </w:r>
      <w:r w:rsidR="00425330" w:rsidRPr="00425330">
        <w:rPr>
          <w:rFonts w:ascii="仿宋_GB2312" w:eastAsia="仿宋_GB2312" w:hAnsi="宋体" w:cs="宋体" w:hint="eastAsia"/>
          <w:color w:val="000000" w:themeColor="text1"/>
          <w:kern w:val="0"/>
          <w:sz w:val="32"/>
          <w:szCs w:val="32"/>
        </w:rPr>
        <w:t>以习近平新时代中国特色社会主义思想为指导，领悟</w:t>
      </w:r>
      <w:proofErr w:type="gramStart"/>
      <w:r w:rsidR="00425330" w:rsidRPr="00425330">
        <w:rPr>
          <w:rFonts w:ascii="仿宋_GB2312" w:eastAsia="仿宋_GB2312" w:hAnsi="宋体" w:cs="宋体" w:hint="eastAsia"/>
          <w:color w:val="000000" w:themeColor="text1"/>
          <w:kern w:val="0"/>
          <w:sz w:val="32"/>
          <w:szCs w:val="32"/>
        </w:rPr>
        <w:t>践行</w:t>
      </w:r>
      <w:proofErr w:type="gramEnd"/>
      <w:r w:rsidR="00425330" w:rsidRPr="00425330">
        <w:rPr>
          <w:rFonts w:ascii="仿宋_GB2312" w:eastAsia="仿宋_GB2312" w:hAnsi="宋体" w:cs="宋体" w:hint="eastAsia"/>
          <w:color w:val="000000" w:themeColor="text1"/>
          <w:kern w:val="0"/>
          <w:sz w:val="32"/>
          <w:szCs w:val="32"/>
        </w:rPr>
        <w:t>习近平法治思想，全面贯彻落实党的二十大精神，对</w:t>
      </w:r>
      <w:proofErr w:type="gramStart"/>
      <w:r w:rsidR="00425330" w:rsidRPr="00425330">
        <w:rPr>
          <w:rFonts w:ascii="仿宋_GB2312" w:eastAsia="仿宋_GB2312" w:hAnsi="宋体" w:cs="宋体" w:hint="eastAsia"/>
          <w:color w:val="000000" w:themeColor="text1"/>
          <w:kern w:val="0"/>
          <w:sz w:val="32"/>
          <w:szCs w:val="32"/>
        </w:rPr>
        <w:t>标最高</w:t>
      </w:r>
      <w:proofErr w:type="gramEnd"/>
      <w:r w:rsidR="00425330" w:rsidRPr="00425330">
        <w:rPr>
          <w:rFonts w:ascii="仿宋_GB2312" w:eastAsia="仿宋_GB2312" w:hAnsi="宋体" w:cs="宋体" w:hint="eastAsia"/>
          <w:color w:val="000000" w:themeColor="text1"/>
          <w:kern w:val="0"/>
          <w:sz w:val="32"/>
          <w:szCs w:val="32"/>
        </w:rPr>
        <w:t>检和市</w:t>
      </w:r>
      <w:proofErr w:type="gramStart"/>
      <w:r w:rsidR="00425330" w:rsidRPr="00425330">
        <w:rPr>
          <w:rFonts w:ascii="仿宋_GB2312" w:eastAsia="仿宋_GB2312" w:hAnsi="宋体" w:cs="宋体" w:hint="eastAsia"/>
          <w:color w:val="000000" w:themeColor="text1"/>
          <w:kern w:val="0"/>
          <w:sz w:val="32"/>
          <w:szCs w:val="32"/>
        </w:rPr>
        <w:t>院部署</w:t>
      </w:r>
      <w:proofErr w:type="gramEnd"/>
      <w:r w:rsidR="00425330" w:rsidRPr="00425330">
        <w:rPr>
          <w:rFonts w:ascii="仿宋_GB2312" w:eastAsia="仿宋_GB2312" w:hAnsi="宋体" w:cs="宋体" w:hint="eastAsia"/>
          <w:color w:val="000000" w:themeColor="text1"/>
          <w:kern w:val="0"/>
          <w:sz w:val="32"/>
          <w:szCs w:val="32"/>
        </w:rPr>
        <w:t>要求，以贯彻《中共中央关于加强新时代检察机关法律监督工作的意见》及市委《实施意见》带动检察全局工作，围绕“铁路+互联网”检察职能强化履职自觉和行动自觉，一是坚持以党的政治建设统领检察发展实践，做实做精“</w:t>
      </w:r>
      <w:proofErr w:type="gramStart"/>
      <w:r w:rsidR="00425330" w:rsidRPr="00425330">
        <w:rPr>
          <w:rFonts w:ascii="仿宋_GB2312" w:eastAsia="仿宋_GB2312" w:hAnsi="宋体" w:cs="宋体" w:hint="eastAsia"/>
          <w:color w:val="000000" w:themeColor="text1"/>
          <w:kern w:val="0"/>
          <w:sz w:val="32"/>
          <w:szCs w:val="32"/>
        </w:rPr>
        <w:t>一</w:t>
      </w:r>
      <w:proofErr w:type="gramEnd"/>
      <w:r w:rsidR="00425330" w:rsidRPr="00425330">
        <w:rPr>
          <w:rFonts w:ascii="仿宋_GB2312" w:eastAsia="仿宋_GB2312" w:hAnsi="宋体" w:cs="宋体" w:hint="eastAsia"/>
          <w:color w:val="000000" w:themeColor="text1"/>
          <w:kern w:val="0"/>
          <w:sz w:val="32"/>
          <w:szCs w:val="32"/>
        </w:rPr>
        <w:t>支部</w:t>
      </w:r>
      <w:proofErr w:type="gramStart"/>
      <w:r w:rsidR="00425330" w:rsidRPr="00425330">
        <w:rPr>
          <w:rFonts w:ascii="仿宋_GB2312" w:eastAsia="仿宋_GB2312" w:hAnsi="宋体" w:cs="宋体" w:hint="eastAsia"/>
          <w:color w:val="000000" w:themeColor="text1"/>
          <w:kern w:val="0"/>
          <w:sz w:val="32"/>
          <w:szCs w:val="32"/>
        </w:rPr>
        <w:t>一</w:t>
      </w:r>
      <w:proofErr w:type="gramEnd"/>
      <w:r w:rsidR="00425330" w:rsidRPr="00425330">
        <w:rPr>
          <w:rFonts w:ascii="仿宋_GB2312" w:eastAsia="仿宋_GB2312" w:hAnsi="宋体" w:cs="宋体" w:hint="eastAsia"/>
          <w:color w:val="000000" w:themeColor="text1"/>
          <w:kern w:val="0"/>
          <w:sz w:val="32"/>
          <w:szCs w:val="32"/>
        </w:rPr>
        <w:t>品牌”建设，将党建工作优势转化为促进业务发展的动能；二是加强与外部联系合作，服务大局中找准履职切入点，系统性、有针对性地参与社会治理，提升服务保障大局的精准性和实效性；三是用“求极致”的工匠精神，抓好重点任务落实，全面提升办案质效，打造精品、品牌；四是全面加强队伍素质建设，不断提高驾驭复杂局面、处理专业问题的能力，以专业素养</w:t>
      </w:r>
      <w:proofErr w:type="gramStart"/>
      <w:r w:rsidR="00425330" w:rsidRPr="00425330">
        <w:rPr>
          <w:rFonts w:ascii="仿宋_GB2312" w:eastAsia="仿宋_GB2312" w:hAnsi="宋体" w:cs="宋体" w:hint="eastAsia"/>
          <w:color w:val="000000" w:themeColor="text1"/>
          <w:kern w:val="0"/>
          <w:sz w:val="32"/>
          <w:szCs w:val="32"/>
        </w:rPr>
        <w:t>促专业</w:t>
      </w:r>
      <w:proofErr w:type="gramEnd"/>
      <w:r w:rsidR="00425330" w:rsidRPr="00425330">
        <w:rPr>
          <w:rFonts w:ascii="仿宋_GB2312" w:eastAsia="仿宋_GB2312" w:hAnsi="宋体" w:cs="宋体" w:hint="eastAsia"/>
          <w:color w:val="000000" w:themeColor="text1"/>
          <w:kern w:val="0"/>
          <w:sz w:val="32"/>
          <w:szCs w:val="32"/>
        </w:rPr>
        <w:t>履职；五是压实全面从严治党主体责任，动态完善廉政风险防控体系，提升内部监督制约实效。</w:t>
      </w:r>
    </w:p>
    <w:p w:rsidR="004822B7" w:rsidRDefault="00B41C23">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2、目标与职责任务匹配情况：数量指标：</w:t>
      </w:r>
      <w:proofErr w:type="gramStart"/>
      <w:r>
        <w:rPr>
          <w:rFonts w:ascii="仿宋_GB2312" w:eastAsia="仿宋_GB2312" w:hAnsi="宋体" w:cs="宋体" w:hint="eastAsia"/>
          <w:color w:val="000000" w:themeColor="text1"/>
          <w:kern w:val="0"/>
          <w:sz w:val="32"/>
          <w:szCs w:val="32"/>
        </w:rPr>
        <w:t>保障铁检院</w:t>
      </w:r>
      <w:proofErr w:type="gramEnd"/>
      <w:r>
        <w:rPr>
          <w:rFonts w:ascii="仿宋_GB2312" w:eastAsia="仿宋_GB2312" w:hAnsi="宋体" w:cs="宋体" w:hint="eastAsia"/>
          <w:color w:val="000000" w:themeColor="text1"/>
          <w:kern w:val="0"/>
          <w:sz w:val="32"/>
          <w:szCs w:val="32"/>
        </w:rPr>
        <w:lastRenderedPageBreak/>
        <w:t>检察工作有序开展。质量指标：</w:t>
      </w:r>
      <w:r w:rsidR="00425330" w:rsidRPr="00425330">
        <w:rPr>
          <w:rFonts w:ascii="仿宋_GB2312" w:eastAsia="仿宋_GB2312" w:hAnsi="宋体" w:cs="宋体" w:hint="eastAsia"/>
          <w:color w:val="000000" w:themeColor="text1"/>
          <w:kern w:val="0"/>
          <w:sz w:val="32"/>
          <w:szCs w:val="32"/>
        </w:rPr>
        <w:t>聚焦党中央决策部署和市委、最高检、市院工作要求，把握好政策取向、改革方向、办案导向，紧紧依靠党的领导破解制约检察职能发挥和影响检察制度优势的突出问题，强化检察机关法律监督在完善党和国家监督体系中结构要素功能</w:t>
      </w:r>
      <w:r w:rsidR="00D67B52">
        <w:rPr>
          <w:rFonts w:ascii="仿宋_GB2312" w:eastAsia="仿宋_GB2312" w:hAnsi="宋体" w:cs="宋体" w:hint="eastAsia"/>
          <w:color w:val="000000" w:themeColor="text1"/>
          <w:kern w:val="0"/>
          <w:sz w:val="32"/>
          <w:szCs w:val="32"/>
        </w:rPr>
        <w:t>，</w:t>
      </w:r>
      <w:r w:rsidR="00D67B52" w:rsidRPr="00D67B52">
        <w:rPr>
          <w:rFonts w:ascii="仿宋_GB2312" w:eastAsia="仿宋_GB2312" w:hAnsi="宋体" w:cs="宋体" w:hint="eastAsia"/>
          <w:color w:val="000000" w:themeColor="text1"/>
          <w:kern w:val="0"/>
          <w:sz w:val="32"/>
          <w:szCs w:val="32"/>
        </w:rPr>
        <w:t>业务绩效考评保优争先</w:t>
      </w:r>
      <w:r>
        <w:rPr>
          <w:rFonts w:ascii="仿宋_GB2312" w:eastAsia="仿宋_GB2312" w:hAnsi="宋体" w:cs="宋体" w:hint="eastAsia"/>
          <w:color w:val="000000" w:themeColor="text1"/>
          <w:kern w:val="0"/>
          <w:sz w:val="32"/>
          <w:szCs w:val="32"/>
        </w:rPr>
        <w:t>。进度指标：按照年初执行进度计划。效益指标：</w:t>
      </w:r>
      <w:r w:rsidR="00425330" w:rsidRPr="00425330">
        <w:rPr>
          <w:rFonts w:ascii="仿宋_GB2312" w:eastAsia="仿宋_GB2312" w:hAnsi="宋体" w:cs="宋体" w:hint="eastAsia"/>
          <w:color w:val="000000" w:themeColor="text1"/>
          <w:kern w:val="0"/>
          <w:sz w:val="32"/>
          <w:szCs w:val="32"/>
        </w:rPr>
        <w:t>找准把握检察履职的切入点和着力点，在统筹发展和安全上下功夫，依法独立行使检察权，维护社会安全稳定</w:t>
      </w:r>
      <w:r>
        <w:rPr>
          <w:rFonts w:ascii="仿宋_GB2312" w:eastAsia="仿宋_GB2312" w:hAnsi="宋体" w:cs="宋体" w:hint="eastAsia"/>
          <w:color w:val="000000" w:themeColor="text1"/>
          <w:kern w:val="0"/>
          <w:sz w:val="32"/>
          <w:szCs w:val="32"/>
        </w:rPr>
        <w:t>。服务对象满意度指标：</w:t>
      </w:r>
      <w:r w:rsidR="00D67B52" w:rsidRPr="00D67B52">
        <w:rPr>
          <w:rFonts w:ascii="仿宋_GB2312" w:eastAsia="仿宋_GB2312" w:hAnsi="宋体" w:cs="宋体" w:hint="eastAsia"/>
          <w:color w:val="000000" w:themeColor="text1"/>
          <w:kern w:val="0"/>
          <w:sz w:val="32"/>
          <w:szCs w:val="32"/>
        </w:rPr>
        <w:t>增强检察工作影响力，让人民群众在每一个司法案件中感受公平正义</w:t>
      </w:r>
      <w:r>
        <w:rPr>
          <w:rFonts w:ascii="仿宋_GB2312" w:eastAsia="仿宋_GB2312" w:hAnsi="宋体" w:cs="宋体" w:hint="eastAsia"/>
          <w:color w:val="000000" w:themeColor="text1"/>
          <w:kern w:val="0"/>
          <w:sz w:val="32"/>
          <w:szCs w:val="32"/>
        </w:rPr>
        <w:t>。</w:t>
      </w:r>
    </w:p>
    <w:p w:rsidR="004822B7" w:rsidRDefault="00B41C23">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3、目标合理性：根据上述绩效目标设立依据和目标与职责任务匹配情况分析，我们认为设立的目标是合理的。</w:t>
      </w:r>
    </w:p>
    <w:p w:rsidR="004822B7" w:rsidRDefault="00B41C23">
      <w:pPr>
        <w:spacing w:line="600" w:lineRule="exact"/>
        <w:ind w:firstLineChars="200" w:firstLine="640"/>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二</w:t>
      </w:r>
      <w:r>
        <w:rPr>
          <w:rFonts w:ascii="黑体" w:eastAsia="黑体" w:hAnsi="黑体" w:cs="宋体"/>
          <w:color w:val="000000" w:themeColor="text1"/>
          <w:kern w:val="0"/>
          <w:sz w:val="32"/>
          <w:szCs w:val="32"/>
        </w:rPr>
        <w:t>、</w:t>
      </w:r>
      <w:r>
        <w:rPr>
          <w:rFonts w:ascii="黑体" w:eastAsia="黑体" w:hAnsi="黑体" w:cs="宋体" w:hint="eastAsia"/>
          <w:color w:val="000000" w:themeColor="text1"/>
          <w:kern w:val="0"/>
          <w:sz w:val="32"/>
          <w:szCs w:val="32"/>
        </w:rPr>
        <w:t>当年</w:t>
      </w:r>
      <w:r>
        <w:rPr>
          <w:rFonts w:ascii="黑体" w:eastAsia="黑体" w:hAnsi="黑体" w:cs="宋体"/>
          <w:color w:val="000000" w:themeColor="text1"/>
          <w:kern w:val="0"/>
          <w:sz w:val="32"/>
          <w:szCs w:val="32"/>
        </w:rPr>
        <w:t>预算执行情况</w:t>
      </w:r>
    </w:p>
    <w:p w:rsidR="004822B7" w:rsidRDefault="00B41C23">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2023年</w:t>
      </w:r>
      <w:r>
        <w:rPr>
          <w:rFonts w:ascii="仿宋_GB2312" w:eastAsia="仿宋_GB2312" w:hAnsi="宋体" w:cs="宋体"/>
          <w:color w:val="000000" w:themeColor="text1"/>
          <w:kern w:val="0"/>
          <w:sz w:val="32"/>
          <w:szCs w:val="32"/>
        </w:rPr>
        <w:t>全年</w:t>
      </w:r>
      <w:r>
        <w:rPr>
          <w:rFonts w:ascii="仿宋_GB2312" w:eastAsia="仿宋_GB2312" w:hAnsi="宋体" w:cs="宋体" w:hint="eastAsia"/>
          <w:color w:val="000000" w:themeColor="text1"/>
          <w:kern w:val="0"/>
          <w:sz w:val="32"/>
          <w:szCs w:val="32"/>
        </w:rPr>
        <w:t>预算数2,890.10万元</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其中</w:t>
      </w:r>
      <w:r>
        <w:rPr>
          <w:rFonts w:ascii="仿宋_GB2312" w:eastAsia="仿宋_GB2312" w:hAnsi="宋体" w:cs="宋体"/>
          <w:color w:val="000000" w:themeColor="text1"/>
          <w:kern w:val="0"/>
          <w:sz w:val="32"/>
          <w:szCs w:val="32"/>
        </w:rPr>
        <w:t>，基本</w:t>
      </w:r>
      <w:r>
        <w:rPr>
          <w:rFonts w:ascii="仿宋_GB2312" w:eastAsia="仿宋_GB2312" w:hAnsi="宋体" w:cs="宋体" w:hint="eastAsia"/>
          <w:color w:val="000000" w:themeColor="text1"/>
          <w:kern w:val="0"/>
          <w:sz w:val="32"/>
          <w:szCs w:val="32"/>
        </w:rPr>
        <w:t>支出</w:t>
      </w:r>
      <w:r>
        <w:rPr>
          <w:rFonts w:ascii="仿宋_GB2312" w:eastAsia="仿宋_GB2312" w:hAnsi="宋体" w:cs="宋体"/>
          <w:color w:val="000000" w:themeColor="text1"/>
          <w:kern w:val="0"/>
          <w:sz w:val="32"/>
          <w:szCs w:val="32"/>
        </w:rPr>
        <w:t>预算数</w:t>
      </w:r>
      <w:r>
        <w:rPr>
          <w:rFonts w:ascii="仿宋_GB2312" w:eastAsia="仿宋_GB2312" w:hAnsi="宋体" w:cs="宋体" w:hint="eastAsia"/>
          <w:color w:val="000000" w:themeColor="text1"/>
          <w:kern w:val="0"/>
          <w:sz w:val="32"/>
          <w:szCs w:val="32"/>
        </w:rPr>
        <w:t>2,646.51</w:t>
      </w:r>
      <w:r>
        <w:rPr>
          <w:rFonts w:ascii="仿宋_GB2312" w:eastAsia="仿宋_GB2312" w:hAnsi="宋体" w:cs="宋体"/>
          <w:color w:val="000000" w:themeColor="text1"/>
          <w:kern w:val="0"/>
          <w:sz w:val="32"/>
          <w:szCs w:val="32"/>
        </w:rPr>
        <w:t>万元，</w:t>
      </w:r>
      <w:r>
        <w:rPr>
          <w:rFonts w:ascii="仿宋_GB2312" w:eastAsia="仿宋_GB2312" w:hAnsi="宋体" w:cs="宋体" w:hint="eastAsia"/>
          <w:color w:val="000000" w:themeColor="text1"/>
          <w:kern w:val="0"/>
          <w:sz w:val="32"/>
          <w:szCs w:val="32"/>
        </w:rPr>
        <w:t>项目支出预算数243.59</w:t>
      </w:r>
      <w:r>
        <w:rPr>
          <w:rFonts w:ascii="仿宋_GB2312" w:eastAsia="仿宋_GB2312" w:hAnsi="宋体" w:cs="宋体"/>
          <w:color w:val="000000" w:themeColor="text1"/>
          <w:kern w:val="0"/>
          <w:sz w:val="32"/>
          <w:szCs w:val="32"/>
        </w:rPr>
        <w:t>万元，其他支出</w:t>
      </w:r>
      <w:r>
        <w:rPr>
          <w:rFonts w:ascii="仿宋_GB2312" w:eastAsia="仿宋_GB2312" w:hAnsi="宋体" w:cs="宋体" w:hint="eastAsia"/>
          <w:color w:val="000000" w:themeColor="text1"/>
          <w:kern w:val="0"/>
          <w:sz w:val="32"/>
          <w:szCs w:val="32"/>
        </w:rPr>
        <w:t>预算数0.00</w:t>
      </w:r>
      <w:r>
        <w:rPr>
          <w:rFonts w:ascii="仿宋_GB2312" w:eastAsia="仿宋_GB2312" w:hAnsi="宋体" w:cs="宋体"/>
          <w:color w:val="000000" w:themeColor="text1"/>
          <w:kern w:val="0"/>
          <w:sz w:val="32"/>
          <w:szCs w:val="32"/>
        </w:rPr>
        <w:t>万元</w:t>
      </w:r>
      <w:r>
        <w:rPr>
          <w:rFonts w:ascii="仿宋_GB2312" w:eastAsia="仿宋_GB2312" w:hAnsi="宋体" w:cs="宋体" w:hint="eastAsia"/>
          <w:color w:val="000000" w:themeColor="text1"/>
          <w:kern w:val="0"/>
          <w:sz w:val="32"/>
          <w:szCs w:val="32"/>
        </w:rPr>
        <w:t>。</w:t>
      </w:r>
      <w:r>
        <w:rPr>
          <w:rFonts w:ascii="仿宋_GB2312" w:eastAsia="仿宋_GB2312" w:hAnsi="宋体" w:cs="宋体"/>
          <w:color w:val="000000" w:themeColor="text1"/>
          <w:kern w:val="0"/>
          <w:sz w:val="32"/>
          <w:szCs w:val="32"/>
        </w:rPr>
        <w:t>资金总体</w:t>
      </w:r>
      <w:r>
        <w:rPr>
          <w:rFonts w:ascii="仿宋_GB2312" w:eastAsia="仿宋_GB2312" w:hAnsi="宋体" w:cs="宋体" w:hint="eastAsia"/>
          <w:color w:val="000000" w:themeColor="text1"/>
          <w:kern w:val="0"/>
          <w:sz w:val="32"/>
          <w:szCs w:val="32"/>
        </w:rPr>
        <w:t>支出2,853.10</w:t>
      </w:r>
      <w:r>
        <w:rPr>
          <w:rFonts w:ascii="仿宋_GB2312" w:eastAsia="仿宋_GB2312" w:hAnsi="宋体" w:cs="宋体"/>
          <w:color w:val="000000" w:themeColor="text1"/>
          <w:kern w:val="0"/>
          <w:sz w:val="32"/>
          <w:szCs w:val="32"/>
        </w:rPr>
        <w:t>万元，其中，基本支出</w:t>
      </w:r>
      <w:r>
        <w:rPr>
          <w:rFonts w:ascii="仿宋_GB2312" w:eastAsia="仿宋_GB2312" w:hAnsi="宋体" w:cs="宋体" w:hint="eastAsia"/>
          <w:color w:val="000000" w:themeColor="text1"/>
          <w:kern w:val="0"/>
          <w:sz w:val="32"/>
          <w:szCs w:val="32"/>
        </w:rPr>
        <w:t>2,623.61</w:t>
      </w:r>
      <w:r>
        <w:rPr>
          <w:rFonts w:ascii="仿宋_GB2312" w:eastAsia="仿宋_GB2312" w:hAnsi="宋体" w:cs="宋体"/>
          <w:color w:val="000000" w:themeColor="text1"/>
          <w:kern w:val="0"/>
          <w:sz w:val="32"/>
          <w:szCs w:val="32"/>
        </w:rPr>
        <w:t>万元，项目</w:t>
      </w:r>
      <w:r>
        <w:rPr>
          <w:rFonts w:ascii="仿宋_GB2312" w:eastAsia="仿宋_GB2312" w:hAnsi="宋体" w:cs="宋体" w:hint="eastAsia"/>
          <w:color w:val="000000" w:themeColor="text1"/>
          <w:kern w:val="0"/>
          <w:sz w:val="32"/>
          <w:szCs w:val="32"/>
        </w:rPr>
        <w:t>支出229.49</w:t>
      </w:r>
      <w:r>
        <w:rPr>
          <w:rFonts w:ascii="仿宋_GB2312" w:eastAsia="仿宋_GB2312" w:hAnsi="宋体" w:cs="宋体"/>
          <w:color w:val="000000" w:themeColor="text1"/>
          <w:kern w:val="0"/>
          <w:sz w:val="32"/>
          <w:szCs w:val="32"/>
        </w:rPr>
        <w:t>万元，其他支出</w:t>
      </w:r>
      <w:r>
        <w:rPr>
          <w:rFonts w:ascii="仿宋_GB2312" w:eastAsia="仿宋_GB2312" w:hAnsi="宋体" w:cs="宋体" w:hint="eastAsia"/>
          <w:color w:val="000000" w:themeColor="text1"/>
          <w:kern w:val="0"/>
          <w:sz w:val="32"/>
          <w:szCs w:val="32"/>
        </w:rPr>
        <w:t>0.00</w:t>
      </w:r>
      <w:r>
        <w:rPr>
          <w:rFonts w:ascii="仿宋_GB2312" w:eastAsia="仿宋_GB2312" w:hAnsi="宋体" w:cs="宋体"/>
          <w:color w:val="000000" w:themeColor="text1"/>
          <w:kern w:val="0"/>
          <w:sz w:val="32"/>
          <w:szCs w:val="32"/>
        </w:rPr>
        <w:t>万元。</w:t>
      </w:r>
      <w:r>
        <w:rPr>
          <w:rFonts w:ascii="仿宋_GB2312" w:eastAsia="仿宋_GB2312" w:hAnsi="宋体" w:cs="宋体" w:hint="eastAsia"/>
          <w:color w:val="000000" w:themeColor="text1"/>
          <w:kern w:val="0"/>
          <w:sz w:val="32"/>
          <w:szCs w:val="32"/>
        </w:rPr>
        <w:t>预算</w:t>
      </w:r>
      <w:r>
        <w:rPr>
          <w:rFonts w:ascii="仿宋_GB2312" w:eastAsia="仿宋_GB2312" w:hAnsi="宋体" w:cs="宋体"/>
          <w:color w:val="000000" w:themeColor="text1"/>
          <w:kern w:val="0"/>
          <w:sz w:val="32"/>
          <w:szCs w:val="32"/>
        </w:rPr>
        <w:t>执行率为98.</w:t>
      </w:r>
      <w:r>
        <w:rPr>
          <w:rFonts w:ascii="仿宋_GB2312" w:eastAsia="仿宋_GB2312" w:hAnsi="宋体" w:cs="宋体" w:hint="eastAsia"/>
          <w:color w:val="000000" w:themeColor="text1"/>
          <w:kern w:val="0"/>
          <w:sz w:val="32"/>
          <w:szCs w:val="32"/>
        </w:rPr>
        <w:t>72</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w:t>
      </w:r>
    </w:p>
    <w:p w:rsidR="004822B7" w:rsidRDefault="00B41C23">
      <w:pPr>
        <w:spacing w:line="600" w:lineRule="exact"/>
        <w:ind w:leftChars="50" w:left="105" w:firstLineChars="150" w:firstLine="480"/>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三</w:t>
      </w:r>
      <w:r>
        <w:rPr>
          <w:rFonts w:ascii="黑体" w:eastAsia="黑体" w:hAnsi="黑体" w:cs="宋体"/>
          <w:color w:val="000000" w:themeColor="text1"/>
          <w:kern w:val="0"/>
          <w:sz w:val="32"/>
          <w:szCs w:val="32"/>
        </w:rPr>
        <w:t>、整体绩效目标实现情况</w:t>
      </w:r>
    </w:p>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（一）产出完成情况分析</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1.产出数量</w:t>
      </w:r>
    </w:p>
    <w:p w:rsidR="004822B7" w:rsidRDefault="00870E1C" w:rsidP="00870E1C">
      <w:pPr>
        <w:spacing w:line="600" w:lineRule="exact"/>
        <w:ind w:leftChars="50" w:left="105" w:firstLineChars="150" w:firstLine="480"/>
        <w:rPr>
          <w:rFonts w:ascii="仿宋_GB2312" w:eastAsia="仿宋_GB2312" w:hAnsi="宋体" w:cs="宋体"/>
          <w:color w:val="000000" w:themeColor="text1"/>
          <w:kern w:val="0"/>
          <w:sz w:val="32"/>
          <w:szCs w:val="32"/>
        </w:rPr>
      </w:pPr>
      <w:r w:rsidRPr="00870E1C">
        <w:rPr>
          <w:rFonts w:ascii="仿宋_GB2312" w:eastAsia="仿宋_GB2312" w:hAnsi="宋体" w:cs="宋体" w:hint="eastAsia"/>
          <w:color w:val="000000" w:themeColor="text1"/>
          <w:kern w:val="0"/>
          <w:sz w:val="32"/>
          <w:szCs w:val="32"/>
        </w:rPr>
        <w:t>全年四大检察案件受理数582件，同比增长94.65%；在办案总量大幅上升的情况下，非刑事检察结构占比上升至</w:t>
      </w:r>
      <w:r w:rsidRPr="00870E1C">
        <w:rPr>
          <w:rFonts w:ascii="仿宋_GB2312" w:eastAsia="仿宋_GB2312" w:hAnsi="宋体" w:cs="宋体" w:hint="eastAsia"/>
          <w:color w:val="000000" w:themeColor="text1"/>
          <w:kern w:val="0"/>
          <w:sz w:val="32"/>
          <w:szCs w:val="32"/>
        </w:rPr>
        <w:lastRenderedPageBreak/>
        <w:t>67.01%，监督办案数同比上升72.91%，占比80.25%，依职权监督受理数同比上升59.81%，占比70.45%。检察业务绩效增加27分，纠正漏捕漏诉率、刑罚执行和监管活动严重违法行为书面提出监督意见率、刑罚执行和监管活动严重违法行为书面提出监督采纳率、司法救助率等指标消灭空白；</w:t>
      </w:r>
      <w:proofErr w:type="gramStart"/>
      <w:r w:rsidRPr="00870E1C">
        <w:rPr>
          <w:rFonts w:ascii="仿宋_GB2312" w:eastAsia="仿宋_GB2312" w:hAnsi="宋体" w:cs="宋体" w:hint="eastAsia"/>
          <w:color w:val="000000" w:themeColor="text1"/>
          <w:kern w:val="0"/>
          <w:sz w:val="32"/>
          <w:szCs w:val="32"/>
        </w:rPr>
        <w:t>追赃挽损率</w:t>
      </w:r>
      <w:proofErr w:type="gramEnd"/>
      <w:r w:rsidRPr="00870E1C">
        <w:rPr>
          <w:rFonts w:ascii="仿宋_GB2312" w:eastAsia="仿宋_GB2312" w:hAnsi="宋体" w:cs="宋体" w:hint="eastAsia"/>
          <w:color w:val="000000" w:themeColor="text1"/>
          <w:kern w:val="0"/>
          <w:sz w:val="32"/>
          <w:szCs w:val="32"/>
        </w:rPr>
        <w:t>、监督撤案率等质</w:t>
      </w:r>
      <w:proofErr w:type="gramStart"/>
      <w:r w:rsidRPr="00870E1C">
        <w:rPr>
          <w:rFonts w:ascii="仿宋_GB2312" w:eastAsia="仿宋_GB2312" w:hAnsi="宋体" w:cs="宋体" w:hint="eastAsia"/>
          <w:color w:val="000000" w:themeColor="text1"/>
          <w:kern w:val="0"/>
          <w:sz w:val="32"/>
          <w:szCs w:val="32"/>
        </w:rPr>
        <w:t>效指标</w:t>
      </w:r>
      <w:proofErr w:type="gramEnd"/>
      <w:r w:rsidRPr="00870E1C">
        <w:rPr>
          <w:rFonts w:ascii="仿宋_GB2312" w:eastAsia="仿宋_GB2312" w:hAnsi="宋体" w:cs="宋体" w:hint="eastAsia"/>
          <w:color w:val="000000" w:themeColor="text1"/>
          <w:kern w:val="0"/>
          <w:sz w:val="32"/>
          <w:szCs w:val="32"/>
        </w:rPr>
        <w:t>上升明显。</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在市院统筹指导和调度指挥下，积极开展涉特种作业操作证网络空间溯源治理工作，发现处置假冒政府网站200余个，督促引导互联网平台优化搜索结果页面设置、清理各类违法违规信息6.4万余条、处置违规商品及店铺1200余个。</w:t>
      </w:r>
    </w:p>
    <w:p w:rsidR="004822B7" w:rsidRDefault="00B41C23">
      <w:pPr>
        <w:spacing w:line="600" w:lineRule="exact"/>
        <w:ind w:leftChars="50" w:left="105" w:firstLineChars="150" w:firstLine="480"/>
        <w:rPr>
          <w:rFonts w:ascii="仿宋_GB2312" w:eastAsia="仿宋_GB2312" w:hAnsi="仿宋_GB2312" w:cs="仿宋_GB2312"/>
          <w:sz w:val="32"/>
          <w:szCs w:val="32"/>
        </w:rPr>
      </w:pPr>
      <w:r>
        <w:rPr>
          <w:rFonts w:ascii="仿宋_GB2312" w:eastAsia="仿宋_GB2312" w:hAnsi="宋体" w:cs="宋体" w:hint="eastAsia"/>
          <w:color w:val="000000" w:themeColor="text1"/>
          <w:kern w:val="0"/>
          <w:sz w:val="32"/>
          <w:szCs w:val="32"/>
        </w:rPr>
        <w:t xml:space="preserve"> 主动融入京津冀协同发展，</w:t>
      </w:r>
      <w:proofErr w:type="gramStart"/>
      <w:r>
        <w:rPr>
          <w:rFonts w:ascii="仿宋_GB2312" w:eastAsia="仿宋_GB2312" w:hAnsi="仿宋_GB2312" w:cs="仿宋_GB2312" w:hint="eastAsia"/>
          <w:sz w:val="32"/>
          <w:szCs w:val="32"/>
        </w:rPr>
        <w:t>办理涉津冀</w:t>
      </w:r>
      <w:proofErr w:type="gramEnd"/>
      <w:r>
        <w:rPr>
          <w:rFonts w:ascii="仿宋_GB2312" w:eastAsia="仿宋_GB2312" w:hAnsi="仿宋_GB2312" w:cs="仿宋_GB2312" w:hint="eastAsia"/>
          <w:sz w:val="32"/>
          <w:szCs w:val="32"/>
        </w:rPr>
        <w:t>刑事案件27案65人。</w:t>
      </w:r>
    </w:p>
    <w:p w:rsidR="004822B7" w:rsidRDefault="00B41C23">
      <w:pPr>
        <w:spacing w:line="600" w:lineRule="exact"/>
        <w:ind w:leftChars="50" w:left="105"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lang w:bidi="ar"/>
        </w:rPr>
        <w:t>护航未成年人健康成长，依法打击侵害未成年人犯罪，办理盗窃罪和强奸、拐骗儿童罪刑事案件5件5人，针对互联网平台面向未成年人违规销售部分玩具和文具</w:t>
      </w:r>
      <w:r>
        <w:rPr>
          <w:rFonts w:hAnsi="仿宋_GB2312" w:cs="仿宋_GB2312" w:hint="eastAsia"/>
          <w:sz w:val="32"/>
          <w:szCs w:val="32"/>
          <w:lang w:bidi="ar"/>
        </w:rPr>
        <w:t>办理</w:t>
      </w:r>
      <w:proofErr w:type="gramStart"/>
      <w:r>
        <w:rPr>
          <w:rFonts w:ascii="仿宋_GB2312" w:eastAsia="仿宋_GB2312" w:hAnsi="仿宋_GB2312" w:cs="仿宋_GB2312" w:hint="eastAsia"/>
          <w:sz w:val="32"/>
          <w:szCs w:val="32"/>
          <w:lang w:bidi="ar"/>
        </w:rPr>
        <w:t>行政公益</w:t>
      </w:r>
      <w:proofErr w:type="gramEnd"/>
      <w:r>
        <w:rPr>
          <w:rFonts w:ascii="仿宋_GB2312" w:eastAsia="仿宋_GB2312" w:hAnsi="仿宋_GB2312" w:cs="仿宋_GB2312" w:hint="eastAsia"/>
          <w:sz w:val="32"/>
          <w:szCs w:val="32"/>
          <w:lang w:bidi="ar"/>
        </w:rPr>
        <w:t>诉讼案件3件，推动互联网平台下架违规商品464件。</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2.产出</w:t>
      </w:r>
      <w:r>
        <w:rPr>
          <w:rFonts w:ascii="仿宋_GB2312" w:eastAsia="仿宋_GB2312" w:hAnsi="宋体" w:cs="宋体"/>
          <w:color w:val="000000" w:themeColor="text1"/>
          <w:kern w:val="0"/>
          <w:sz w:val="32"/>
          <w:szCs w:val="32"/>
        </w:rPr>
        <w:t>质量</w:t>
      </w:r>
    </w:p>
    <w:p w:rsidR="00870E1C" w:rsidRDefault="00870E1C">
      <w:pPr>
        <w:pStyle w:val="2"/>
        <w:spacing w:line="560" w:lineRule="exact"/>
        <w:ind w:leftChars="0" w:left="0" w:firstLine="640"/>
        <w:rPr>
          <w:rFonts w:hAnsi="仿宋"/>
          <w:szCs w:val="32"/>
        </w:rPr>
      </w:pPr>
      <w:r w:rsidRPr="00870E1C">
        <w:rPr>
          <w:rFonts w:hAnsi="仿宋" w:hint="eastAsia"/>
          <w:szCs w:val="32"/>
        </w:rPr>
        <w:t>全年四大检察案件受理数582件，入选最高检公益诉讼检察典型案例2件，入选最高检公益诉讼研究基地“十大精品案例”1件，入选全市检察机关典型案例或优秀案例4件，另有1件案件入选北京市检察机关十大法律监督案件，1件案件入选北京市检察机关十大司法案件提名。</w:t>
      </w:r>
    </w:p>
    <w:p w:rsidR="00870E1C" w:rsidRPr="00870E1C" w:rsidRDefault="00870E1C" w:rsidP="00870E1C">
      <w:pPr>
        <w:pStyle w:val="2"/>
        <w:spacing w:line="560" w:lineRule="exact"/>
        <w:ind w:leftChars="0" w:left="0" w:firstLine="640"/>
        <w:rPr>
          <w:rFonts w:hAnsi="仿宋"/>
          <w:szCs w:val="32"/>
        </w:rPr>
      </w:pPr>
      <w:r w:rsidRPr="00870E1C">
        <w:rPr>
          <w:rFonts w:hAnsi="仿宋" w:hint="eastAsia"/>
          <w:szCs w:val="32"/>
        </w:rPr>
        <w:t>（一）维护首都安全稳定。依法打击刑事犯罪。刑事案</w:t>
      </w:r>
      <w:r w:rsidRPr="00870E1C">
        <w:rPr>
          <w:rFonts w:hAnsi="仿宋" w:hint="eastAsia"/>
          <w:szCs w:val="32"/>
        </w:rPr>
        <w:lastRenderedPageBreak/>
        <w:t>件类型更趋多元。全链条打击跨境网络赌博犯罪，办结最高检指定管辖的“3.10”专案，入选2023年度全市检察机关十大司法案件提名。检察长列席海淀法院审判委员会，就一起刑事案件定性问题发表意见，被审委会采纳，改变了合议庭意见。主动延伸法律监督触角，针对车站职工故意伤害案、盗窃案等反映出的铁路企业监管漏洞、风险防范意识不强问题，制发检察建议，积极开展“送法进企业”活动，助力提升铁路企业法治化管理。突出涉安全生产网络空间治理。在市院统筹指导和调度指挥下，积极开展涉特种作业操作证网络空间溯源治理工作，发现处置假冒政府网站200余个，督促引导互联网平台优化搜索结果页面设置、清理各类违法违规信息6.4万余条、处置违规商品及店铺1200余个，联合中国互联网协会倡导互联网行业加强自律、规范涉特种作业信息网络传播行为，被市院评定为“重点业务专项工作成效突出院”。另外，督促对互联网平台违法发布危害安全生产音视频信息履行监管职责</w:t>
      </w:r>
      <w:proofErr w:type="gramStart"/>
      <w:r w:rsidRPr="00870E1C">
        <w:rPr>
          <w:rFonts w:hAnsi="仿宋" w:hint="eastAsia"/>
          <w:szCs w:val="32"/>
        </w:rPr>
        <w:t>行政公益</w:t>
      </w:r>
      <w:proofErr w:type="gramEnd"/>
      <w:r w:rsidRPr="00870E1C">
        <w:rPr>
          <w:rFonts w:hAnsi="仿宋" w:hint="eastAsia"/>
          <w:szCs w:val="32"/>
        </w:rPr>
        <w:t>诉讼案入选最高</w:t>
      </w:r>
      <w:proofErr w:type="gramStart"/>
      <w:r w:rsidRPr="00870E1C">
        <w:rPr>
          <w:rFonts w:hAnsi="仿宋" w:hint="eastAsia"/>
          <w:szCs w:val="32"/>
        </w:rPr>
        <w:t>检发布</w:t>
      </w:r>
      <w:proofErr w:type="gramEnd"/>
      <w:r w:rsidRPr="00870E1C">
        <w:rPr>
          <w:rFonts w:hAnsi="仿宋" w:hint="eastAsia"/>
          <w:szCs w:val="32"/>
        </w:rPr>
        <w:t>的安全生产检察公益诉讼典型案例。</w:t>
      </w:r>
    </w:p>
    <w:p w:rsidR="00870E1C" w:rsidRPr="00870E1C" w:rsidRDefault="00870E1C" w:rsidP="00870E1C">
      <w:pPr>
        <w:pStyle w:val="2"/>
        <w:spacing w:line="560" w:lineRule="exact"/>
        <w:ind w:leftChars="0" w:left="0" w:firstLine="640"/>
        <w:rPr>
          <w:rFonts w:hAnsi="仿宋"/>
          <w:szCs w:val="32"/>
        </w:rPr>
      </w:pPr>
      <w:r w:rsidRPr="00870E1C">
        <w:rPr>
          <w:rFonts w:hAnsi="仿宋" w:hint="eastAsia"/>
          <w:szCs w:val="32"/>
        </w:rPr>
        <w:t>（二）服务京津冀协同发展。</w:t>
      </w:r>
      <w:proofErr w:type="gramStart"/>
      <w:r w:rsidRPr="00870E1C">
        <w:rPr>
          <w:rFonts w:hAnsi="仿宋" w:hint="eastAsia"/>
          <w:szCs w:val="32"/>
        </w:rPr>
        <w:t>办理涉津冀</w:t>
      </w:r>
      <w:proofErr w:type="gramEnd"/>
      <w:r w:rsidRPr="00870E1C">
        <w:rPr>
          <w:rFonts w:hAnsi="仿宋" w:hint="eastAsia"/>
          <w:szCs w:val="32"/>
        </w:rPr>
        <w:t>刑事案件27案65人。院领导带队</w:t>
      </w:r>
      <w:proofErr w:type="gramStart"/>
      <w:r w:rsidRPr="00870E1C">
        <w:rPr>
          <w:rFonts w:hAnsi="仿宋" w:hint="eastAsia"/>
          <w:szCs w:val="32"/>
        </w:rPr>
        <w:t>赴铁路</w:t>
      </w:r>
      <w:proofErr w:type="gramEnd"/>
      <w:r w:rsidRPr="00870E1C">
        <w:rPr>
          <w:rFonts w:hAnsi="仿宋" w:hint="eastAsia"/>
          <w:szCs w:val="32"/>
        </w:rPr>
        <w:t>站段就铁路沿线外部环境安全隐患整治、路材路料管理等问题开展专题调研，宪法宣传周期间前往涉铁路案件管辖范围内的廊坊、涿州火车站开展普法宣传，强化跨区划检察供给。为服务保障津兴城</w:t>
      </w:r>
      <w:proofErr w:type="gramStart"/>
      <w:r w:rsidRPr="00870E1C">
        <w:rPr>
          <w:rFonts w:hAnsi="仿宋" w:hint="eastAsia"/>
          <w:szCs w:val="32"/>
        </w:rPr>
        <w:t>际铁路</w:t>
      </w:r>
      <w:proofErr w:type="gramEnd"/>
      <w:r w:rsidRPr="00870E1C">
        <w:rPr>
          <w:rFonts w:hAnsi="仿宋" w:hint="eastAsia"/>
          <w:szCs w:val="32"/>
        </w:rPr>
        <w:t>运行安全，会同天津铁检院、</w:t>
      </w:r>
      <w:proofErr w:type="gramStart"/>
      <w:r w:rsidRPr="00870E1C">
        <w:rPr>
          <w:rFonts w:hAnsi="仿宋" w:hint="eastAsia"/>
          <w:szCs w:val="32"/>
        </w:rPr>
        <w:t>石家庄铁检院</w:t>
      </w:r>
      <w:proofErr w:type="gramEnd"/>
      <w:r w:rsidRPr="00870E1C">
        <w:rPr>
          <w:rFonts w:hAnsi="仿宋" w:hint="eastAsia"/>
          <w:szCs w:val="32"/>
        </w:rPr>
        <w:t>、廊坊市检察院等签署公益诉讼检察工作协作配合意见。常态</w:t>
      </w:r>
      <w:proofErr w:type="gramStart"/>
      <w:r w:rsidRPr="00870E1C">
        <w:rPr>
          <w:rFonts w:hAnsi="仿宋" w:hint="eastAsia"/>
          <w:szCs w:val="32"/>
        </w:rPr>
        <w:t>化参与</w:t>
      </w:r>
      <w:proofErr w:type="gramEnd"/>
      <w:r w:rsidRPr="00870E1C">
        <w:rPr>
          <w:rFonts w:hAnsi="仿宋" w:hint="eastAsia"/>
          <w:szCs w:val="32"/>
        </w:rPr>
        <w:t>铁路沿线</w:t>
      </w:r>
      <w:proofErr w:type="gramStart"/>
      <w:r w:rsidRPr="00870E1C">
        <w:rPr>
          <w:rFonts w:hAnsi="仿宋" w:hint="eastAsia"/>
          <w:szCs w:val="32"/>
        </w:rPr>
        <w:lastRenderedPageBreak/>
        <w:t>疏整促</w:t>
      </w:r>
      <w:proofErr w:type="gramEnd"/>
      <w:r w:rsidRPr="00870E1C">
        <w:rPr>
          <w:rFonts w:hAnsi="仿宋" w:hint="eastAsia"/>
          <w:szCs w:val="32"/>
        </w:rPr>
        <w:t>，对市域范围内的京哈、京沪、京广多条铁路线下安全问题开展摸排，针对群众反映的铁路沿线环境污染问题向属地政府制发检察建议，督促整治。</w:t>
      </w:r>
    </w:p>
    <w:p w:rsidR="00870E1C" w:rsidRPr="00870E1C" w:rsidRDefault="00870E1C" w:rsidP="00870E1C">
      <w:pPr>
        <w:pStyle w:val="2"/>
        <w:spacing w:line="560" w:lineRule="exact"/>
        <w:ind w:leftChars="0" w:left="0" w:firstLine="640"/>
        <w:rPr>
          <w:rFonts w:hAnsi="仿宋"/>
          <w:szCs w:val="32"/>
        </w:rPr>
      </w:pPr>
      <w:r w:rsidRPr="00870E1C">
        <w:rPr>
          <w:rFonts w:hAnsi="仿宋" w:hint="eastAsia"/>
          <w:szCs w:val="32"/>
        </w:rPr>
        <w:t>（三）优化法治化营商环境。落实最高检《关于加强新时代检察机关网络法治工作的意见》，突出网络公益保护重点问题治理。着力服务数字经济发展。以检察公益诉讼助力引导网络营销主体诚信经营，针对口碑营销公司干扰用户选择、影响市场正常经营秩序的不正当竞争行为，督促行政机关依法加强监管，入选</w:t>
      </w:r>
      <w:proofErr w:type="gramStart"/>
      <w:r w:rsidRPr="00870E1C">
        <w:rPr>
          <w:rFonts w:hAnsi="仿宋" w:hint="eastAsia"/>
          <w:szCs w:val="32"/>
        </w:rPr>
        <w:t>最高检五大</w:t>
      </w:r>
      <w:proofErr w:type="gramEnd"/>
      <w:r w:rsidRPr="00870E1C">
        <w:rPr>
          <w:rFonts w:hAnsi="仿宋" w:hint="eastAsia"/>
          <w:szCs w:val="32"/>
        </w:rPr>
        <w:t>检察公益诉讼研究基地共同评选的“2022年度检察公益诉讼十大精品案例”和市院评选的“北京市检察机关十大法律监督案件”“北京市检察机关充分履行检察职能服务保障全球数字经济标杆城市建设典型案例”。着力服务创新驱动发展。与北京互联网法院会签《关于共同推进网络法治工作的框架协议》，协同推进网络空间治理法治化。运用“滥用作品信息网络传播权恶意诉讼类案法律监督模型”，促成生效裁判监督案件77件，以此模型为原型创作剧本在市院“大数据赋能检察”</w:t>
      </w:r>
      <w:proofErr w:type="gramStart"/>
      <w:r w:rsidRPr="00870E1C">
        <w:rPr>
          <w:rFonts w:hAnsi="仿宋" w:hint="eastAsia"/>
          <w:szCs w:val="32"/>
        </w:rPr>
        <w:t>微电影</w:t>
      </w:r>
      <w:proofErr w:type="gramEnd"/>
      <w:r w:rsidRPr="00870E1C">
        <w:rPr>
          <w:rFonts w:hAnsi="仿宋" w:hint="eastAsia"/>
          <w:szCs w:val="32"/>
        </w:rPr>
        <w:t>主题剧本征集活动获评“最佳剧本奖”，成为首批拍摄项目。</w:t>
      </w:r>
    </w:p>
    <w:p w:rsidR="00870E1C" w:rsidRPr="00870E1C" w:rsidRDefault="00870E1C" w:rsidP="00870E1C">
      <w:pPr>
        <w:pStyle w:val="2"/>
        <w:spacing w:line="560" w:lineRule="exact"/>
        <w:ind w:leftChars="0" w:left="0" w:firstLine="640"/>
        <w:rPr>
          <w:rFonts w:hAnsi="仿宋"/>
          <w:szCs w:val="32"/>
        </w:rPr>
      </w:pPr>
      <w:r w:rsidRPr="00870E1C">
        <w:rPr>
          <w:rFonts w:hAnsi="仿宋" w:hint="eastAsia"/>
          <w:szCs w:val="32"/>
        </w:rPr>
        <w:t>（四）构筑生态保护法治屏障。着力保护生物多样性。针对互联网上从事动物运输服务中，对普通动物、野生动物和外来入侵物种不加辨别违法提供承运服务、托运人没有提供检疫证明的情况下予以承运等违法问题制发</w:t>
      </w:r>
      <w:proofErr w:type="gramStart"/>
      <w:r w:rsidRPr="00870E1C">
        <w:rPr>
          <w:rFonts w:hAnsi="仿宋" w:hint="eastAsia"/>
          <w:szCs w:val="32"/>
        </w:rPr>
        <w:t>行政公益</w:t>
      </w:r>
      <w:proofErr w:type="gramEnd"/>
      <w:r w:rsidRPr="00870E1C">
        <w:rPr>
          <w:rFonts w:hAnsi="仿宋" w:hint="eastAsia"/>
          <w:szCs w:val="32"/>
        </w:rPr>
        <w:t>诉讼检察建议，助力加强外来物种入侵防控，入选最高检“生物多样性保护检察公益诉讼典型案例”。针对电商平台销售</w:t>
      </w:r>
      <w:r w:rsidRPr="00870E1C">
        <w:rPr>
          <w:rFonts w:hAnsi="仿宋" w:hint="eastAsia"/>
          <w:szCs w:val="32"/>
        </w:rPr>
        <w:lastRenderedPageBreak/>
        <w:t>野生动物捕猎工具的违法行为，向行政机关制发检察建议，督促开展全网排查，建立健全长效机制，加强日常监管。着力保护水资源。对互联网平台上提供洗车服务未依法使用循环用水设施的行为，向运营公司所在地通州区水</w:t>
      </w:r>
      <w:proofErr w:type="gramStart"/>
      <w:r w:rsidRPr="00870E1C">
        <w:rPr>
          <w:rFonts w:hAnsi="仿宋" w:hint="eastAsia"/>
          <w:szCs w:val="32"/>
        </w:rPr>
        <w:t>务</w:t>
      </w:r>
      <w:proofErr w:type="gramEnd"/>
      <w:r w:rsidRPr="00870E1C">
        <w:rPr>
          <w:rFonts w:hAnsi="仿宋" w:hint="eastAsia"/>
          <w:szCs w:val="32"/>
        </w:rPr>
        <w:t>监管部门局制发检察建议，督促行政机关依法履职，整治规范互联网洗车行业，保障城市副中心水安全。</w:t>
      </w:r>
    </w:p>
    <w:p w:rsidR="00870E1C" w:rsidRPr="00870E1C" w:rsidRDefault="00870E1C" w:rsidP="00870E1C">
      <w:pPr>
        <w:pStyle w:val="2"/>
        <w:spacing w:line="560" w:lineRule="exact"/>
        <w:ind w:leftChars="0" w:left="0" w:firstLine="640"/>
        <w:rPr>
          <w:rFonts w:hAnsi="仿宋"/>
          <w:szCs w:val="32"/>
        </w:rPr>
      </w:pPr>
      <w:r w:rsidRPr="00870E1C">
        <w:rPr>
          <w:rFonts w:hAnsi="仿宋" w:hint="eastAsia"/>
          <w:szCs w:val="32"/>
        </w:rPr>
        <w:t>（五）护航未成年人健康成长。依法打击侵害未成年人犯罪，办理盗窃罪和强奸、拐骗儿童罪刑事案件5件5人。开展互联网平台未成年人玩具和文具销售专项监督，针对互联网平台面向未成年人违规销售部分玩具和文具办理</w:t>
      </w:r>
      <w:proofErr w:type="gramStart"/>
      <w:r w:rsidRPr="00870E1C">
        <w:rPr>
          <w:rFonts w:hAnsi="仿宋" w:hint="eastAsia"/>
          <w:szCs w:val="32"/>
        </w:rPr>
        <w:t>行政公益</w:t>
      </w:r>
      <w:proofErr w:type="gramEnd"/>
      <w:r w:rsidRPr="00870E1C">
        <w:rPr>
          <w:rFonts w:hAnsi="仿宋" w:hint="eastAsia"/>
          <w:szCs w:val="32"/>
        </w:rPr>
        <w:t>诉讼案件3件，推动互联网平台下架违规商品464件。诉前督促行政监管部门整治电商平台向未成年人无底线营销</w:t>
      </w:r>
      <w:proofErr w:type="gramStart"/>
      <w:r w:rsidRPr="00870E1C">
        <w:rPr>
          <w:rFonts w:hAnsi="仿宋" w:hint="eastAsia"/>
          <w:szCs w:val="32"/>
        </w:rPr>
        <w:t>食品案</w:t>
      </w:r>
      <w:proofErr w:type="gramEnd"/>
      <w:r w:rsidRPr="00870E1C">
        <w:rPr>
          <w:rFonts w:hAnsi="仿宋" w:hint="eastAsia"/>
          <w:szCs w:val="32"/>
        </w:rPr>
        <w:t>获评北京市检察机关未成年人检察典型案例。</w:t>
      </w:r>
    </w:p>
    <w:p w:rsidR="00870E1C" w:rsidRPr="00870E1C" w:rsidRDefault="00870E1C" w:rsidP="00870E1C">
      <w:pPr>
        <w:pStyle w:val="2"/>
        <w:spacing w:line="560" w:lineRule="exact"/>
        <w:ind w:leftChars="0" w:left="0" w:firstLine="640"/>
        <w:rPr>
          <w:rFonts w:hAnsi="仿宋"/>
          <w:szCs w:val="32"/>
        </w:rPr>
      </w:pPr>
      <w:r w:rsidRPr="00870E1C">
        <w:rPr>
          <w:rFonts w:hAnsi="仿宋" w:hint="eastAsia"/>
          <w:szCs w:val="32"/>
        </w:rPr>
        <w:t>（六）始终站稳检察为民立场。</w:t>
      </w:r>
      <w:proofErr w:type="gramStart"/>
      <w:r w:rsidRPr="00870E1C">
        <w:rPr>
          <w:rFonts w:hAnsi="仿宋" w:hint="eastAsia"/>
          <w:szCs w:val="32"/>
        </w:rPr>
        <w:t>践行</w:t>
      </w:r>
      <w:proofErr w:type="gramEnd"/>
      <w:r w:rsidRPr="00870E1C">
        <w:rPr>
          <w:rFonts w:hAnsi="仿宋" w:hint="eastAsia"/>
          <w:szCs w:val="32"/>
        </w:rPr>
        <w:t>新时代“枫桥经验”。对接落实“推动信访工作法治化、促进信访矛盾在法治轨道上解决”的要求，检察长包案化解重复信访积案。联合</w:t>
      </w:r>
      <w:proofErr w:type="gramStart"/>
      <w:r w:rsidRPr="00870E1C">
        <w:rPr>
          <w:rFonts w:hAnsi="仿宋" w:hint="eastAsia"/>
          <w:szCs w:val="32"/>
        </w:rPr>
        <w:t>市检四分院</w:t>
      </w:r>
      <w:proofErr w:type="gramEnd"/>
      <w:r w:rsidRPr="00870E1C">
        <w:rPr>
          <w:rFonts w:hAnsi="仿宋" w:hint="eastAsia"/>
          <w:szCs w:val="32"/>
        </w:rPr>
        <w:t>对申请人发放司法救助金，收到申请人锦旗致谢。高质</w:t>
      </w:r>
      <w:proofErr w:type="gramStart"/>
      <w:r w:rsidRPr="00870E1C">
        <w:rPr>
          <w:rFonts w:hAnsi="仿宋" w:hint="eastAsia"/>
          <w:szCs w:val="32"/>
        </w:rPr>
        <w:t>效</w:t>
      </w:r>
      <w:proofErr w:type="gramEnd"/>
      <w:r w:rsidRPr="00870E1C">
        <w:rPr>
          <w:rFonts w:hAnsi="仿宋" w:hint="eastAsia"/>
          <w:szCs w:val="32"/>
        </w:rPr>
        <w:t>办理刑事申诉案件，重新确定十余年前盗窃案件犯罪嫌疑人身份，还身份被冒用公民清白。优化普法产品供给，全年亮点工作被央视新闻、检察日报、法治日报、工人日报等主流媒体报道22次，首次召开互联网公益诉讼履职情况新闻发布会并发布白皮书，增进社会公众认知，进一步凝聚公益合力。围绕“3·15”消费者权益保护日、“双十一”购物节、“反诈法”实施一周年拍摄原创短视频，播放量近百万。</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lastRenderedPageBreak/>
        <w:t>3.产出</w:t>
      </w:r>
      <w:r>
        <w:rPr>
          <w:rFonts w:ascii="仿宋_GB2312" w:eastAsia="仿宋_GB2312" w:hAnsi="宋体" w:cs="宋体"/>
          <w:color w:val="000000" w:themeColor="text1"/>
          <w:kern w:val="0"/>
          <w:sz w:val="32"/>
          <w:szCs w:val="32"/>
        </w:rPr>
        <w:t>进度：</w:t>
      </w:r>
      <w:r>
        <w:rPr>
          <w:rFonts w:ascii="仿宋_GB2312" w:eastAsia="仿宋_GB2312" w:hAnsi="宋体" w:cs="宋体" w:hint="eastAsia"/>
          <w:color w:val="000000" w:themeColor="text1"/>
          <w:kern w:val="0"/>
          <w:sz w:val="32"/>
          <w:szCs w:val="32"/>
        </w:rPr>
        <w:t>按照年初执行进度计划。</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4.</w:t>
      </w:r>
      <w:r>
        <w:rPr>
          <w:rFonts w:ascii="仿宋_GB2312" w:eastAsia="仿宋_GB2312" w:hAnsi="宋体" w:cs="宋体" w:hint="eastAsia"/>
          <w:color w:val="000000" w:themeColor="text1"/>
          <w:kern w:val="0"/>
          <w:sz w:val="32"/>
          <w:szCs w:val="32"/>
        </w:rPr>
        <w:t>产出</w:t>
      </w:r>
      <w:r>
        <w:rPr>
          <w:rFonts w:ascii="仿宋_GB2312" w:eastAsia="仿宋_GB2312" w:hAnsi="宋体" w:cs="宋体"/>
          <w:color w:val="000000" w:themeColor="text1"/>
          <w:kern w:val="0"/>
          <w:sz w:val="32"/>
          <w:szCs w:val="32"/>
        </w:rPr>
        <w:t>成本</w:t>
      </w:r>
      <w:r>
        <w:rPr>
          <w:rFonts w:ascii="仿宋_GB2312" w:eastAsia="仿宋_GB2312" w:hAnsi="宋体" w:cs="宋体" w:hint="eastAsia"/>
          <w:color w:val="000000" w:themeColor="text1"/>
          <w:kern w:val="0"/>
          <w:sz w:val="32"/>
          <w:szCs w:val="32"/>
        </w:rPr>
        <w:t xml:space="preserve"> ：上年资金总体决算数2,852.71万元，本年资金总体决算数2,853.10万元，本年资金总体决算数</w:t>
      </w:r>
      <w:r w:rsidR="00B31FEF">
        <w:rPr>
          <w:rFonts w:ascii="仿宋_GB2312" w:eastAsia="仿宋_GB2312" w:hAnsi="宋体" w:cs="宋体" w:hint="eastAsia"/>
          <w:color w:val="000000" w:themeColor="text1"/>
          <w:kern w:val="0"/>
          <w:sz w:val="32"/>
          <w:szCs w:val="32"/>
        </w:rPr>
        <w:t>与</w:t>
      </w:r>
      <w:r>
        <w:rPr>
          <w:rFonts w:ascii="仿宋_GB2312" w:eastAsia="仿宋_GB2312" w:hAnsi="宋体" w:cs="宋体" w:hint="eastAsia"/>
          <w:color w:val="000000" w:themeColor="text1"/>
          <w:kern w:val="0"/>
          <w:sz w:val="32"/>
          <w:szCs w:val="32"/>
        </w:rPr>
        <w:t>上年</w:t>
      </w:r>
      <w:r w:rsidR="00B31FEF">
        <w:rPr>
          <w:rFonts w:ascii="仿宋_GB2312" w:eastAsia="仿宋_GB2312" w:hAnsi="宋体" w:cs="宋体" w:hint="eastAsia"/>
          <w:color w:val="000000" w:themeColor="text1"/>
          <w:kern w:val="0"/>
          <w:sz w:val="32"/>
          <w:szCs w:val="32"/>
        </w:rPr>
        <w:t>基本持平</w:t>
      </w:r>
      <w:r>
        <w:rPr>
          <w:rFonts w:ascii="仿宋_GB2312" w:eastAsia="仿宋_GB2312" w:hAnsi="宋体" w:cs="宋体" w:hint="eastAsia"/>
          <w:color w:val="000000" w:themeColor="text1"/>
          <w:kern w:val="0"/>
          <w:sz w:val="32"/>
          <w:szCs w:val="32"/>
        </w:rPr>
        <w:t xml:space="preserve">。                                    </w:t>
      </w:r>
    </w:p>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（二）效果</w:t>
      </w:r>
      <w:r>
        <w:rPr>
          <w:rFonts w:ascii="楷体_GB2312" w:eastAsia="楷体_GB2312"/>
          <w:color w:val="000000" w:themeColor="text1"/>
          <w:sz w:val="32"/>
          <w:szCs w:val="32"/>
        </w:rPr>
        <w:t>实现情况分析</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1.经济</w:t>
      </w:r>
      <w:r>
        <w:rPr>
          <w:rFonts w:ascii="仿宋_GB2312" w:eastAsia="仿宋_GB2312" w:hAnsi="宋体" w:cs="宋体"/>
          <w:color w:val="000000" w:themeColor="text1"/>
          <w:kern w:val="0"/>
          <w:sz w:val="32"/>
          <w:szCs w:val="32"/>
        </w:rPr>
        <w:t>效益：</w:t>
      </w:r>
      <w:r>
        <w:rPr>
          <w:rFonts w:ascii="仿宋_GB2312" w:eastAsia="仿宋_GB2312" w:hAnsi="宋体" w:cs="宋体" w:hint="eastAsia"/>
          <w:color w:val="000000" w:themeColor="text1"/>
          <w:kern w:val="0"/>
          <w:sz w:val="32"/>
          <w:szCs w:val="32"/>
        </w:rPr>
        <w:t>依法独立行使检察权。</w:t>
      </w:r>
    </w:p>
    <w:p w:rsidR="004822B7" w:rsidRDefault="000709E5">
      <w:pPr>
        <w:spacing w:line="600" w:lineRule="exact"/>
        <w:ind w:leftChars="50" w:left="105" w:firstLineChars="150" w:firstLine="480"/>
        <w:rPr>
          <w:rFonts w:ascii="仿宋_GB2312" w:eastAsia="仿宋_GB2312" w:hAnsi="宋体" w:cs="宋体"/>
          <w:color w:val="000000" w:themeColor="text1"/>
          <w:kern w:val="0"/>
          <w:sz w:val="32"/>
          <w:szCs w:val="32"/>
        </w:rPr>
      </w:pPr>
      <w:r w:rsidRPr="000709E5">
        <w:rPr>
          <w:rFonts w:ascii="仿宋_GB2312" w:eastAsia="仿宋_GB2312" w:hAnsi="宋体" w:cs="宋体" w:hint="eastAsia"/>
          <w:color w:val="000000" w:themeColor="text1"/>
          <w:kern w:val="0"/>
          <w:sz w:val="32"/>
          <w:szCs w:val="32"/>
        </w:rPr>
        <w:t>依法打击刑事犯罪</w:t>
      </w:r>
      <w:r>
        <w:rPr>
          <w:rFonts w:ascii="仿宋_GB2312" w:eastAsia="仿宋_GB2312" w:hAnsi="宋体" w:cs="宋体" w:hint="eastAsia"/>
          <w:color w:val="000000" w:themeColor="text1"/>
          <w:kern w:val="0"/>
          <w:sz w:val="32"/>
          <w:szCs w:val="32"/>
        </w:rPr>
        <w:t>，</w:t>
      </w:r>
      <w:r w:rsidRPr="000709E5">
        <w:rPr>
          <w:rFonts w:ascii="仿宋_GB2312" w:eastAsia="仿宋_GB2312" w:hAnsi="宋体" w:cs="宋体" w:hint="eastAsia"/>
          <w:color w:val="000000" w:themeColor="text1"/>
          <w:kern w:val="0"/>
          <w:sz w:val="32"/>
          <w:szCs w:val="32"/>
        </w:rPr>
        <w:t>维护首都安全稳定</w:t>
      </w:r>
      <w:r>
        <w:rPr>
          <w:rFonts w:ascii="仿宋_GB2312" w:eastAsia="仿宋_GB2312" w:hAnsi="宋体" w:cs="宋体" w:hint="eastAsia"/>
          <w:color w:val="000000" w:themeColor="text1"/>
          <w:kern w:val="0"/>
          <w:sz w:val="32"/>
          <w:szCs w:val="32"/>
        </w:rPr>
        <w:t>，</w:t>
      </w:r>
      <w:r w:rsidRPr="000709E5">
        <w:rPr>
          <w:rFonts w:ascii="仿宋_GB2312" w:eastAsia="仿宋_GB2312" w:hAnsi="宋体" w:cs="宋体" w:hint="eastAsia"/>
          <w:color w:val="000000" w:themeColor="text1"/>
          <w:kern w:val="0"/>
          <w:sz w:val="32"/>
          <w:szCs w:val="32"/>
        </w:rPr>
        <w:t>服务京津冀协同发展</w:t>
      </w:r>
      <w:r>
        <w:rPr>
          <w:rFonts w:ascii="仿宋_GB2312" w:eastAsia="仿宋_GB2312" w:hAnsi="宋体" w:cs="宋体" w:hint="eastAsia"/>
          <w:color w:val="000000" w:themeColor="text1"/>
          <w:kern w:val="0"/>
          <w:sz w:val="32"/>
          <w:szCs w:val="32"/>
        </w:rPr>
        <w:t>，</w:t>
      </w:r>
      <w:r w:rsidRPr="000709E5">
        <w:rPr>
          <w:rFonts w:ascii="仿宋_GB2312" w:eastAsia="仿宋_GB2312" w:hAnsi="宋体" w:cs="宋体" w:hint="eastAsia"/>
          <w:color w:val="000000" w:themeColor="text1"/>
          <w:kern w:val="0"/>
          <w:sz w:val="32"/>
          <w:szCs w:val="32"/>
        </w:rPr>
        <w:t>优化法治化营商环境</w:t>
      </w:r>
      <w:r>
        <w:rPr>
          <w:rFonts w:ascii="仿宋_GB2312" w:eastAsia="仿宋_GB2312" w:hAnsi="宋体" w:cs="宋体" w:hint="eastAsia"/>
          <w:color w:val="000000" w:themeColor="text1"/>
          <w:kern w:val="0"/>
          <w:sz w:val="32"/>
          <w:szCs w:val="32"/>
        </w:rPr>
        <w:t>，</w:t>
      </w:r>
      <w:r w:rsidRPr="000709E5">
        <w:rPr>
          <w:rFonts w:ascii="仿宋_GB2312" w:eastAsia="仿宋_GB2312" w:hAnsi="宋体" w:cs="宋体" w:hint="eastAsia"/>
          <w:color w:val="000000" w:themeColor="text1"/>
          <w:kern w:val="0"/>
          <w:sz w:val="32"/>
          <w:szCs w:val="32"/>
        </w:rPr>
        <w:t>构筑生态保护法治屏障</w:t>
      </w:r>
      <w:r>
        <w:rPr>
          <w:rFonts w:ascii="仿宋_GB2312" w:eastAsia="仿宋_GB2312" w:hAnsi="宋体" w:cs="宋体" w:hint="eastAsia"/>
          <w:color w:val="000000" w:themeColor="text1"/>
          <w:kern w:val="0"/>
          <w:sz w:val="32"/>
          <w:szCs w:val="32"/>
        </w:rPr>
        <w:t>，</w:t>
      </w:r>
      <w:r w:rsidRPr="000709E5">
        <w:rPr>
          <w:rFonts w:ascii="仿宋_GB2312" w:eastAsia="仿宋_GB2312" w:hAnsi="宋体" w:cs="宋体" w:hint="eastAsia"/>
          <w:color w:val="000000" w:themeColor="text1"/>
          <w:kern w:val="0"/>
          <w:sz w:val="32"/>
          <w:szCs w:val="32"/>
        </w:rPr>
        <w:t>护航未成年人健康成长</w:t>
      </w:r>
      <w:r w:rsidR="00B41C23">
        <w:rPr>
          <w:rFonts w:ascii="仿宋_GB2312" w:eastAsia="仿宋_GB2312" w:hAnsi="宋体" w:cs="宋体" w:hint="eastAsia"/>
          <w:color w:val="000000" w:themeColor="text1"/>
          <w:kern w:val="0"/>
          <w:sz w:val="32"/>
          <w:szCs w:val="32"/>
        </w:rPr>
        <w:t>。</w:t>
      </w:r>
    </w:p>
    <w:p w:rsidR="008C00CB"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2.社会效益：</w:t>
      </w:r>
    </w:p>
    <w:p w:rsidR="00A73121" w:rsidRDefault="00A73121">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发挥优势开展检察公益诉讼，首次召开互联网公益诉讼履职情况新闻发布会并发布白皮书，增进社会公众认知，进一步凝聚公益合力。</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对接落实“推动信访工作法治化、促进信访矛盾在法治轨道上解决”的要求，检察长包案化解重复信访积案。</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3.服务对象满意度：</w:t>
      </w:r>
      <w:r w:rsidR="00A73121" w:rsidRPr="00A73121">
        <w:rPr>
          <w:rFonts w:ascii="仿宋_GB2312" w:eastAsia="仿宋_GB2312" w:hAnsi="宋体" w:cs="宋体" w:hint="eastAsia"/>
          <w:color w:val="000000" w:themeColor="text1"/>
          <w:kern w:val="0"/>
          <w:sz w:val="32"/>
          <w:szCs w:val="32"/>
        </w:rPr>
        <w:t>增强检察工作影响力，让人民群众在每一个司法案件中感受公平正义。</w:t>
      </w:r>
    </w:p>
    <w:p w:rsidR="004822B7" w:rsidRDefault="00B41C23">
      <w:pPr>
        <w:spacing w:line="600" w:lineRule="exact"/>
        <w:ind w:leftChars="50" w:left="105" w:firstLineChars="150" w:firstLine="480"/>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四</w:t>
      </w:r>
      <w:r>
        <w:rPr>
          <w:rFonts w:ascii="黑体" w:eastAsia="黑体" w:hAnsi="黑体" w:cs="宋体"/>
          <w:color w:val="000000" w:themeColor="text1"/>
          <w:kern w:val="0"/>
          <w:sz w:val="32"/>
          <w:szCs w:val="32"/>
        </w:rPr>
        <w:t>、预算管理</w:t>
      </w:r>
      <w:r>
        <w:rPr>
          <w:rFonts w:ascii="黑体" w:eastAsia="黑体" w:hAnsi="黑体" w:cs="宋体" w:hint="eastAsia"/>
          <w:color w:val="000000" w:themeColor="text1"/>
          <w:kern w:val="0"/>
          <w:sz w:val="32"/>
          <w:szCs w:val="32"/>
        </w:rPr>
        <w:t>情况分</w:t>
      </w:r>
      <w:r>
        <w:rPr>
          <w:rFonts w:ascii="黑体" w:eastAsia="黑体" w:hAnsi="黑体" w:cs="宋体"/>
          <w:color w:val="000000" w:themeColor="text1"/>
          <w:kern w:val="0"/>
          <w:sz w:val="32"/>
          <w:szCs w:val="32"/>
        </w:rPr>
        <w:t>析</w:t>
      </w:r>
    </w:p>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（一）财务管理</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1.财务</w:t>
      </w:r>
      <w:r>
        <w:rPr>
          <w:rFonts w:ascii="仿宋_GB2312" w:eastAsia="仿宋_GB2312" w:hAnsi="宋体" w:cs="宋体"/>
          <w:color w:val="000000" w:themeColor="text1"/>
          <w:kern w:val="0"/>
          <w:sz w:val="32"/>
          <w:szCs w:val="32"/>
        </w:rPr>
        <w:t>管理制度健全性：</w:t>
      </w:r>
      <w:r>
        <w:rPr>
          <w:rFonts w:ascii="仿宋_GB2312" w:eastAsia="仿宋_GB2312" w:hAnsi="宋体" w:cs="宋体" w:hint="eastAsia"/>
          <w:color w:val="000000" w:themeColor="text1"/>
          <w:kern w:val="0"/>
          <w:sz w:val="32"/>
          <w:szCs w:val="32"/>
        </w:rPr>
        <w:t>①预算资金管理办法、绩效跟踪管理办法、资产管理办法等各项制度健全；②部门内部财务管理制度完整、合</w:t>
      </w:r>
      <w:proofErr w:type="gramStart"/>
      <w:r>
        <w:rPr>
          <w:rFonts w:ascii="仿宋_GB2312" w:eastAsia="仿宋_GB2312" w:hAnsi="宋体" w:cs="宋体" w:hint="eastAsia"/>
          <w:color w:val="000000" w:themeColor="text1"/>
          <w:kern w:val="0"/>
          <w:sz w:val="32"/>
          <w:szCs w:val="32"/>
        </w:rPr>
        <w:t>规</w:t>
      </w:r>
      <w:proofErr w:type="gramEnd"/>
      <w:r>
        <w:rPr>
          <w:rFonts w:ascii="仿宋_GB2312" w:eastAsia="仿宋_GB2312" w:hAnsi="宋体" w:cs="宋体" w:hint="eastAsia"/>
          <w:color w:val="000000" w:themeColor="text1"/>
          <w:kern w:val="0"/>
          <w:sz w:val="32"/>
          <w:szCs w:val="32"/>
        </w:rPr>
        <w:t>；③会计核算制度完整、合</w:t>
      </w:r>
      <w:proofErr w:type="gramStart"/>
      <w:r>
        <w:rPr>
          <w:rFonts w:ascii="仿宋_GB2312" w:eastAsia="仿宋_GB2312" w:hAnsi="宋体" w:cs="宋体" w:hint="eastAsia"/>
          <w:color w:val="000000" w:themeColor="text1"/>
          <w:kern w:val="0"/>
          <w:sz w:val="32"/>
          <w:szCs w:val="32"/>
        </w:rPr>
        <w:t>规</w:t>
      </w:r>
      <w:proofErr w:type="gramEnd"/>
      <w:r>
        <w:rPr>
          <w:rFonts w:ascii="仿宋_GB2312" w:eastAsia="仿宋_GB2312" w:hAnsi="宋体" w:cs="宋体" w:hint="eastAsia"/>
          <w:color w:val="000000" w:themeColor="text1"/>
          <w:kern w:val="0"/>
          <w:sz w:val="32"/>
          <w:szCs w:val="32"/>
        </w:rPr>
        <w:t>。</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2.资金使用合</w:t>
      </w:r>
      <w:proofErr w:type="gramStart"/>
      <w:r>
        <w:rPr>
          <w:rFonts w:ascii="仿宋_GB2312" w:eastAsia="仿宋_GB2312" w:hAnsi="宋体" w:cs="宋体" w:hint="eastAsia"/>
          <w:color w:val="000000" w:themeColor="text1"/>
          <w:kern w:val="0"/>
          <w:sz w:val="32"/>
          <w:szCs w:val="32"/>
        </w:rPr>
        <w:t>规</w:t>
      </w:r>
      <w:proofErr w:type="gramEnd"/>
      <w:r>
        <w:rPr>
          <w:rFonts w:ascii="仿宋_GB2312" w:eastAsia="仿宋_GB2312" w:hAnsi="宋体" w:cs="宋体" w:hint="eastAsia"/>
          <w:color w:val="000000" w:themeColor="text1"/>
          <w:kern w:val="0"/>
          <w:sz w:val="32"/>
          <w:szCs w:val="32"/>
        </w:rPr>
        <w:t>性</w:t>
      </w:r>
      <w:r>
        <w:rPr>
          <w:rFonts w:ascii="仿宋_GB2312" w:eastAsia="仿宋_GB2312" w:hAnsi="宋体" w:cs="宋体"/>
          <w:color w:val="000000" w:themeColor="text1"/>
          <w:kern w:val="0"/>
          <w:sz w:val="32"/>
          <w:szCs w:val="32"/>
        </w:rPr>
        <w:t>和安全性</w:t>
      </w:r>
      <w:r>
        <w:rPr>
          <w:rFonts w:ascii="仿宋_GB2312" w:eastAsia="仿宋_GB2312" w:hAnsi="宋体" w:cs="宋体" w:hint="eastAsia"/>
          <w:color w:val="000000" w:themeColor="text1"/>
          <w:kern w:val="0"/>
          <w:sz w:val="32"/>
          <w:szCs w:val="32"/>
        </w:rPr>
        <w:t>:</w:t>
      </w:r>
      <w:r>
        <w:rPr>
          <w:rFonts w:hint="eastAsia"/>
          <w:color w:val="000000" w:themeColor="text1"/>
        </w:rPr>
        <w:t xml:space="preserve"> </w:t>
      </w:r>
      <w:r>
        <w:rPr>
          <w:rFonts w:ascii="仿宋_GB2312" w:eastAsia="仿宋_GB2312" w:hAnsi="宋体" w:cs="宋体" w:hint="eastAsia"/>
          <w:color w:val="000000" w:themeColor="text1"/>
          <w:kern w:val="0"/>
          <w:sz w:val="32"/>
          <w:szCs w:val="32"/>
        </w:rPr>
        <w:t>①符合国家财经法规和财</w:t>
      </w:r>
      <w:r>
        <w:rPr>
          <w:rFonts w:ascii="仿宋_GB2312" w:eastAsia="仿宋_GB2312" w:hAnsi="宋体" w:cs="宋体" w:hint="eastAsia"/>
          <w:color w:val="000000" w:themeColor="text1"/>
          <w:kern w:val="0"/>
          <w:sz w:val="32"/>
          <w:szCs w:val="32"/>
        </w:rPr>
        <w:lastRenderedPageBreak/>
        <w:t>务管理制度规定以及有关专项资金管理办法的规定；②资金的拨付有完整的审批程序和手续；③项目的重大开支经过评估论证；④符合部门预算批复的用途；⑤不存在截留、挤占、挪用情况；⑥资金使用符合政府采购的程序和流程；⑦资金使用符合公务卡结算相关制度和规定。</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3.</w:t>
      </w:r>
      <w:r>
        <w:rPr>
          <w:rFonts w:ascii="仿宋_GB2312" w:eastAsia="仿宋_GB2312" w:hAnsi="宋体" w:cs="宋体" w:hint="eastAsia"/>
          <w:color w:val="000000" w:themeColor="text1"/>
          <w:kern w:val="0"/>
          <w:sz w:val="32"/>
          <w:szCs w:val="32"/>
        </w:rPr>
        <w:t>会计</w:t>
      </w:r>
      <w:r>
        <w:rPr>
          <w:rFonts w:ascii="仿宋_GB2312" w:eastAsia="仿宋_GB2312" w:hAnsi="宋体" w:cs="宋体"/>
          <w:color w:val="000000" w:themeColor="text1"/>
          <w:kern w:val="0"/>
          <w:sz w:val="32"/>
          <w:szCs w:val="32"/>
        </w:rPr>
        <w:t>基础信息完善性</w:t>
      </w:r>
      <w:r>
        <w:rPr>
          <w:rFonts w:ascii="仿宋_GB2312" w:eastAsia="仿宋_GB2312" w:hAnsi="宋体" w:cs="宋体" w:hint="eastAsia"/>
          <w:color w:val="000000" w:themeColor="text1"/>
          <w:kern w:val="0"/>
          <w:sz w:val="32"/>
          <w:szCs w:val="32"/>
        </w:rPr>
        <w:t>:</w:t>
      </w:r>
      <w:r>
        <w:rPr>
          <w:rFonts w:hint="eastAsia"/>
          <w:color w:val="000000" w:themeColor="text1"/>
        </w:rPr>
        <w:t xml:space="preserve"> </w:t>
      </w:r>
      <w:r>
        <w:rPr>
          <w:rFonts w:ascii="仿宋_GB2312" w:eastAsia="仿宋_GB2312" w:hAnsi="宋体" w:cs="宋体" w:hint="eastAsia"/>
          <w:color w:val="000000" w:themeColor="text1"/>
          <w:kern w:val="0"/>
          <w:sz w:val="32"/>
          <w:szCs w:val="32"/>
        </w:rPr>
        <w:t>①基础数据信息和会计信息资料真实；②基础数据信息和会计信息资料完整；③基础数据信息和会计信息资料准确。</w:t>
      </w:r>
    </w:p>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（二）资产管理</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资产管理规范性：①不存在因管理不当发生严重资产损失和丢失情况；②不存在超标准配置资产；③资产使用规范，不存在未经批准擅自出租、出借资产行为；④资产处置规范，不存在不按要求进行报批或资产不公开处置行为。</w:t>
      </w:r>
    </w:p>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（三）绩效</w:t>
      </w:r>
      <w:r>
        <w:rPr>
          <w:rFonts w:ascii="楷体_GB2312" w:eastAsia="楷体_GB2312"/>
          <w:color w:val="000000" w:themeColor="text1"/>
          <w:sz w:val="32"/>
          <w:szCs w:val="32"/>
        </w:rPr>
        <w:t>管理</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绩效管理情况：①</w:t>
      </w:r>
      <w:proofErr w:type="gramStart"/>
      <w:r>
        <w:rPr>
          <w:rFonts w:ascii="仿宋_GB2312" w:eastAsia="仿宋_GB2312" w:hAnsi="宋体" w:cs="宋体" w:hint="eastAsia"/>
          <w:color w:val="000000" w:themeColor="text1"/>
          <w:kern w:val="0"/>
          <w:sz w:val="32"/>
          <w:szCs w:val="32"/>
        </w:rPr>
        <w:t>铁检院</w:t>
      </w:r>
      <w:proofErr w:type="gramEnd"/>
      <w:r>
        <w:rPr>
          <w:rFonts w:ascii="仿宋_GB2312" w:eastAsia="仿宋_GB2312" w:hAnsi="宋体" w:cs="宋体" w:hint="eastAsia"/>
          <w:color w:val="000000" w:themeColor="text1"/>
          <w:kern w:val="0"/>
          <w:sz w:val="32"/>
          <w:szCs w:val="32"/>
        </w:rPr>
        <w:t>及时对绩效信息进行汇总分析整理；②</w:t>
      </w:r>
      <w:proofErr w:type="gramStart"/>
      <w:r>
        <w:rPr>
          <w:rFonts w:ascii="仿宋_GB2312" w:eastAsia="仿宋_GB2312" w:hAnsi="宋体" w:cs="宋体" w:hint="eastAsia"/>
          <w:color w:val="000000" w:themeColor="text1"/>
          <w:kern w:val="0"/>
          <w:sz w:val="32"/>
          <w:szCs w:val="32"/>
        </w:rPr>
        <w:t>铁检院</w:t>
      </w:r>
      <w:proofErr w:type="gramEnd"/>
      <w:r>
        <w:rPr>
          <w:rFonts w:ascii="仿宋_GB2312" w:eastAsia="仿宋_GB2312" w:hAnsi="宋体" w:cs="宋体" w:hint="eastAsia"/>
          <w:color w:val="000000" w:themeColor="text1"/>
          <w:kern w:val="0"/>
          <w:sz w:val="32"/>
          <w:szCs w:val="32"/>
        </w:rPr>
        <w:t>对绩效目标偏离情况未能及时进行矫正。</w:t>
      </w:r>
    </w:p>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（四）结转结余率</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2022年结转结余率=结转结余总额/支出预算数×100%=37.29万</w:t>
      </w:r>
      <w:r>
        <w:rPr>
          <w:rFonts w:ascii="仿宋_GB2312" w:eastAsia="仿宋_GB2312" w:hAnsi="宋体" w:cs="宋体"/>
          <w:color w:val="000000" w:themeColor="text1"/>
          <w:kern w:val="0"/>
          <w:sz w:val="32"/>
          <w:szCs w:val="32"/>
        </w:rPr>
        <w:t>元</w:t>
      </w:r>
      <w:r>
        <w:rPr>
          <w:rFonts w:ascii="仿宋_GB2312" w:eastAsia="仿宋_GB2312" w:hAnsi="宋体" w:cs="宋体" w:hint="eastAsia"/>
          <w:color w:val="000000" w:themeColor="text1"/>
          <w:kern w:val="0"/>
          <w:sz w:val="32"/>
          <w:szCs w:val="32"/>
        </w:rPr>
        <w:t>/2,890.00万</w:t>
      </w:r>
      <w:r>
        <w:rPr>
          <w:rFonts w:ascii="仿宋_GB2312" w:eastAsia="仿宋_GB2312" w:hAnsi="宋体" w:cs="宋体"/>
          <w:color w:val="000000" w:themeColor="text1"/>
          <w:kern w:val="0"/>
          <w:sz w:val="32"/>
          <w:szCs w:val="32"/>
        </w:rPr>
        <w:t>元</w:t>
      </w:r>
      <w:r>
        <w:rPr>
          <w:rFonts w:ascii="仿宋_GB2312" w:eastAsia="仿宋_GB2312" w:hAnsi="宋体" w:cs="宋体" w:hint="eastAsia"/>
          <w:color w:val="000000" w:themeColor="text1"/>
          <w:kern w:val="0"/>
          <w:sz w:val="32"/>
          <w:szCs w:val="32"/>
        </w:rPr>
        <w:t>×100%=</w:t>
      </w:r>
      <w:r>
        <w:rPr>
          <w:rFonts w:ascii="仿宋_GB2312" w:eastAsia="仿宋_GB2312" w:hAnsi="宋体" w:cs="宋体"/>
          <w:color w:val="000000" w:themeColor="text1"/>
          <w:kern w:val="0"/>
          <w:sz w:val="32"/>
          <w:szCs w:val="32"/>
        </w:rPr>
        <w:t>1.</w:t>
      </w:r>
      <w:r>
        <w:rPr>
          <w:rFonts w:ascii="仿宋_GB2312" w:eastAsia="仿宋_GB2312" w:hAnsi="宋体" w:cs="宋体" w:hint="eastAsia"/>
          <w:color w:val="000000" w:themeColor="text1"/>
          <w:kern w:val="0"/>
          <w:sz w:val="32"/>
          <w:szCs w:val="32"/>
        </w:rPr>
        <w:t>29</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2023年结转结余率=结转结余总额/支出预算数×100%=</w:t>
      </w:r>
      <w:r>
        <w:rPr>
          <w:rFonts w:ascii="仿宋_GB2312" w:eastAsia="仿宋_GB2312" w:hAnsi="宋体" w:cs="宋体"/>
          <w:color w:val="000000" w:themeColor="text1"/>
          <w:kern w:val="0"/>
          <w:sz w:val="32"/>
          <w:szCs w:val="32"/>
        </w:rPr>
        <w:t xml:space="preserve"> </w:t>
      </w:r>
      <w:r>
        <w:rPr>
          <w:rFonts w:ascii="仿宋_GB2312" w:eastAsia="仿宋_GB2312" w:hAnsi="宋体" w:cs="宋体" w:hint="eastAsia"/>
          <w:color w:val="000000" w:themeColor="text1"/>
          <w:kern w:val="0"/>
          <w:sz w:val="32"/>
          <w:szCs w:val="32"/>
        </w:rPr>
        <w:t>37</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0</w:t>
      </w:r>
      <w:r>
        <w:rPr>
          <w:rFonts w:ascii="仿宋_GB2312" w:eastAsia="仿宋_GB2312" w:hAnsi="宋体" w:cs="宋体"/>
          <w:color w:val="000000" w:themeColor="text1"/>
          <w:kern w:val="0"/>
          <w:sz w:val="32"/>
          <w:szCs w:val="32"/>
        </w:rPr>
        <w:t>0</w:t>
      </w:r>
      <w:r>
        <w:rPr>
          <w:rFonts w:ascii="仿宋_GB2312" w:eastAsia="仿宋_GB2312" w:hAnsi="宋体" w:cs="宋体" w:hint="eastAsia"/>
          <w:color w:val="000000" w:themeColor="text1"/>
          <w:kern w:val="0"/>
          <w:sz w:val="32"/>
          <w:szCs w:val="32"/>
        </w:rPr>
        <w:t>万</w:t>
      </w:r>
      <w:r>
        <w:rPr>
          <w:rFonts w:ascii="仿宋_GB2312" w:eastAsia="仿宋_GB2312" w:hAnsi="宋体" w:cs="宋体"/>
          <w:color w:val="000000" w:themeColor="text1"/>
          <w:kern w:val="0"/>
          <w:sz w:val="32"/>
          <w:szCs w:val="32"/>
        </w:rPr>
        <w:t>元</w:t>
      </w:r>
      <w:r>
        <w:rPr>
          <w:rFonts w:ascii="仿宋_GB2312" w:eastAsia="仿宋_GB2312" w:hAnsi="宋体" w:cs="宋体" w:hint="eastAsia"/>
          <w:color w:val="000000" w:themeColor="text1"/>
          <w:kern w:val="0"/>
          <w:sz w:val="32"/>
          <w:szCs w:val="32"/>
        </w:rPr>
        <w:t>/2,890.10万</w:t>
      </w:r>
      <w:r>
        <w:rPr>
          <w:rFonts w:ascii="仿宋_GB2312" w:eastAsia="仿宋_GB2312" w:hAnsi="宋体" w:cs="宋体"/>
          <w:color w:val="000000" w:themeColor="text1"/>
          <w:kern w:val="0"/>
          <w:sz w:val="32"/>
          <w:szCs w:val="32"/>
        </w:rPr>
        <w:t>元</w:t>
      </w:r>
      <w:r>
        <w:rPr>
          <w:rFonts w:ascii="仿宋_GB2312" w:eastAsia="仿宋_GB2312" w:hAnsi="宋体" w:cs="宋体" w:hint="eastAsia"/>
          <w:color w:val="000000" w:themeColor="text1"/>
          <w:kern w:val="0"/>
          <w:sz w:val="32"/>
          <w:szCs w:val="32"/>
        </w:rPr>
        <w:t>×100%=</w:t>
      </w:r>
      <w:r>
        <w:rPr>
          <w:rFonts w:ascii="仿宋_GB2312" w:eastAsia="仿宋_GB2312" w:hAnsi="宋体" w:cs="宋体"/>
          <w:color w:val="000000" w:themeColor="text1"/>
          <w:kern w:val="0"/>
          <w:sz w:val="32"/>
          <w:szCs w:val="32"/>
        </w:rPr>
        <w:t>1.</w:t>
      </w:r>
      <w:r>
        <w:rPr>
          <w:rFonts w:ascii="仿宋_GB2312" w:eastAsia="仿宋_GB2312" w:hAnsi="宋体" w:cs="宋体" w:hint="eastAsia"/>
          <w:color w:val="000000" w:themeColor="text1"/>
          <w:kern w:val="0"/>
          <w:sz w:val="32"/>
          <w:szCs w:val="32"/>
        </w:rPr>
        <w:t>28</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w:t>
      </w:r>
    </w:p>
    <w:p w:rsidR="004822B7" w:rsidRDefault="00B41C23">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2023年结转结余率比2022年结转结余率低0.01%。</w:t>
      </w:r>
    </w:p>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（五）部门</w:t>
      </w:r>
      <w:r>
        <w:rPr>
          <w:rFonts w:ascii="楷体_GB2312" w:eastAsia="楷体_GB2312"/>
          <w:color w:val="000000" w:themeColor="text1"/>
          <w:sz w:val="32"/>
          <w:szCs w:val="32"/>
        </w:rPr>
        <w:t>预决算差异率</w:t>
      </w:r>
    </w:p>
    <w:p w:rsidR="00C62117" w:rsidRDefault="00C62117" w:rsidP="00C62117">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lastRenderedPageBreak/>
        <w:t>部门预决算差异率=（年度部门决算-年初部门预算）/年初部门预算×100%=（2,853.10万元-3,043.01万元）/3,043.01万元×100%=</w:t>
      </w:r>
      <w:r w:rsidRPr="002F3F32">
        <w:rPr>
          <w:rFonts w:ascii="仿宋_GB2312" w:eastAsia="仿宋_GB2312" w:hAnsi="宋体" w:cs="宋体"/>
          <w:color w:val="000000" w:themeColor="text1"/>
          <w:kern w:val="0"/>
          <w:sz w:val="32"/>
          <w:szCs w:val="32"/>
        </w:rPr>
        <w:t>-</w:t>
      </w:r>
      <w:r w:rsidRPr="00C62117">
        <w:rPr>
          <w:rFonts w:ascii="仿宋_GB2312" w:eastAsia="仿宋_GB2312" w:hAnsi="宋体" w:cs="宋体"/>
          <w:color w:val="000000" w:themeColor="text1"/>
          <w:kern w:val="0"/>
          <w:sz w:val="32"/>
          <w:szCs w:val="32"/>
        </w:rPr>
        <w:t>6.24%</w:t>
      </w:r>
      <w:r>
        <w:rPr>
          <w:rFonts w:ascii="仿宋_GB2312" w:eastAsia="仿宋_GB2312" w:hAnsi="宋体" w:cs="宋体" w:hint="eastAsia"/>
          <w:color w:val="000000" w:themeColor="text1"/>
          <w:kern w:val="0"/>
          <w:sz w:val="32"/>
          <w:szCs w:val="32"/>
        </w:rPr>
        <w:t>。</w:t>
      </w:r>
      <w:r w:rsidRPr="002F3F32">
        <w:rPr>
          <w:rFonts w:ascii="仿宋_GB2312" w:eastAsia="仿宋_GB2312" w:hAnsi="宋体" w:cs="宋体" w:hint="eastAsia"/>
          <w:color w:val="000000" w:themeColor="text1"/>
          <w:kern w:val="0"/>
          <w:sz w:val="32"/>
          <w:szCs w:val="32"/>
        </w:rPr>
        <w:t>部门预决算差异率远低于市级平均差异率（28.3%），部门预决算差异率控制情况较好，预算管理水平不断提升。</w:t>
      </w:r>
    </w:p>
    <w:p w:rsidR="004822B7" w:rsidRDefault="00B41C23">
      <w:pPr>
        <w:spacing w:line="600" w:lineRule="exact"/>
        <w:ind w:leftChars="50" w:left="105" w:firstLineChars="150" w:firstLine="480"/>
        <w:rPr>
          <w:rFonts w:ascii="黑体" w:eastAsia="黑体" w:hAnsi="黑体"/>
          <w:color w:val="000000" w:themeColor="text1"/>
          <w:sz w:val="32"/>
          <w:szCs w:val="32"/>
        </w:rPr>
      </w:pPr>
      <w:r>
        <w:rPr>
          <w:rFonts w:ascii="黑体" w:eastAsia="黑体" w:hAnsi="黑体" w:hint="eastAsia"/>
          <w:color w:val="000000" w:themeColor="text1"/>
          <w:sz w:val="32"/>
          <w:szCs w:val="32"/>
        </w:rPr>
        <w:t>五、总体</w:t>
      </w:r>
      <w:r>
        <w:rPr>
          <w:rFonts w:ascii="黑体" w:eastAsia="黑体" w:hAnsi="黑体"/>
          <w:color w:val="000000" w:themeColor="text1"/>
          <w:sz w:val="32"/>
          <w:szCs w:val="32"/>
        </w:rPr>
        <w:t>评价结论</w:t>
      </w:r>
    </w:p>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（一）评价</w:t>
      </w:r>
      <w:r>
        <w:rPr>
          <w:rFonts w:ascii="楷体_GB2312" w:eastAsia="楷体_GB2312"/>
          <w:color w:val="000000" w:themeColor="text1"/>
          <w:sz w:val="32"/>
          <w:szCs w:val="32"/>
        </w:rPr>
        <w:t>得分</w:t>
      </w:r>
      <w:r>
        <w:rPr>
          <w:rFonts w:ascii="楷体_GB2312" w:eastAsia="楷体_GB2312" w:hint="eastAsia"/>
          <w:color w:val="000000" w:themeColor="text1"/>
          <w:sz w:val="32"/>
          <w:szCs w:val="32"/>
        </w:rPr>
        <w:t>情况</w:t>
      </w:r>
    </w:p>
    <w:tbl>
      <w:tblPr>
        <w:tblStyle w:val="a7"/>
        <w:tblW w:w="0" w:type="auto"/>
        <w:tblInd w:w="105" w:type="dxa"/>
        <w:tblLook w:val="04A0" w:firstRow="1" w:lastRow="0" w:firstColumn="1" w:lastColumn="0" w:noHBand="0" w:noVBand="1"/>
      </w:tblPr>
      <w:tblGrid>
        <w:gridCol w:w="3547"/>
        <w:gridCol w:w="2059"/>
        <w:gridCol w:w="2811"/>
      </w:tblGrid>
      <w:tr w:rsidR="004822B7">
        <w:tc>
          <w:tcPr>
            <w:tcW w:w="3547"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评价内容</w:t>
            </w:r>
          </w:p>
        </w:tc>
        <w:tc>
          <w:tcPr>
            <w:tcW w:w="2059"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分值</w:t>
            </w:r>
          </w:p>
        </w:tc>
        <w:tc>
          <w:tcPr>
            <w:tcW w:w="2811"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评价得分</w:t>
            </w:r>
          </w:p>
        </w:tc>
      </w:tr>
      <w:tr w:rsidR="004822B7">
        <w:tc>
          <w:tcPr>
            <w:tcW w:w="3547"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当年预算执行情况</w:t>
            </w:r>
          </w:p>
        </w:tc>
        <w:tc>
          <w:tcPr>
            <w:tcW w:w="2059"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w:t>
            </w:r>
          </w:p>
        </w:tc>
        <w:tc>
          <w:tcPr>
            <w:tcW w:w="2811"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19.</w:t>
            </w:r>
            <w:r>
              <w:rPr>
                <w:rFonts w:ascii="仿宋_GB2312" w:eastAsia="仿宋_GB2312" w:hAnsi="宋体" w:cs="宋体" w:hint="eastAsia"/>
                <w:color w:val="000000" w:themeColor="text1"/>
                <w:kern w:val="0"/>
                <w:sz w:val="32"/>
                <w:szCs w:val="32"/>
              </w:rPr>
              <w:t>74</w:t>
            </w:r>
          </w:p>
        </w:tc>
      </w:tr>
      <w:tr w:rsidR="004822B7">
        <w:tc>
          <w:tcPr>
            <w:tcW w:w="3547"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整体绩效目标实现情况</w:t>
            </w:r>
          </w:p>
        </w:tc>
        <w:tc>
          <w:tcPr>
            <w:tcW w:w="2059"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60</w:t>
            </w:r>
          </w:p>
        </w:tc>
        <w:tc>
          <w:tcPr>
            <w:tcW w:w="2811" w:type="dxa"/>
          </w:tcPr>
          <w:p w:rsidR="004822B7" w:rsidRDefault="00B41C23" w:rsidP="008C00CB">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5</w:t>
            </w:r>
            <w:r w:rsidR="008C00CB">
              <w:rPr>
                <w:rFonts w:ascii="仿宋_GB2312" w:eastAsia="仿宋_GB2312" w:hAnsi="宋体" w:cs="宋体" w:hint="eastAsia"/>
                <w:color w:val="000000" w:themeColor="text1"/>
                <w:kern w:val="0"/>
                <w:sz w:val="32"/>
                <w:szCs w:val="32"/>
              </w:rPr>
              <w:t>6</w:t>
            </w:r>
          </w:p>
        </w:tc>
      </w:tr>
      <w:tr w:rsidR="004822B7">
        <w:tc>
          <w:tcPr>
            <w:tcW w:w="3547"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预算管理情况</w:t>
            </w:r>
          </w:p>
        </w:tc>
        <w:tc>
          <w:tcPr>
            <w:tcW w:w="2059"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w:t>
            </w:r>
          </w:p>
        </w:tc>
        <w:tc>
          <w:tcPr>
            <w:tcW w:w="2811" w:type="dxa"/>
          </w:tcPr>
          <w:p w:rsidR="004822B7" w:rsidRDefault="00B41C23" w:rsidP="008C00CB">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w:t>
            </w:r>
            <w:r w:rsidR="008C00CB">
              <w:rPr>
                <w:rFonts w:ascii="仿宋_GB2312" w:eastAsia="仿宋_GB2312" w:hAnsi="宋体" w:cs="宋体" w:hint="eastAsia"/>
                <w:color w:val="000000" w:themeColor="text1"/>
                <w:kern w:val="0"/>
                <w:sz w:val="32"/>
                <w:szCs w:val="32"/>
              </w:rPr>
              <w:t>8</w:t>
            </w:r>
          </w:p>
        </w:tc>
      </w:tr>
      <w:tr w:rsidR="004822B7">
        <w:tc>
          <w:tcPr>
            <w:tcW w:w="3547"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综合得分</w:t>
            </w:r>
          </w:p>
        </w:tc>
        <w:tc>
          <w:tcPr>
            <w:tcW w:w="2059"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100</w:t>
            </w:r>
          </w:p>
        </w:tc>
        <w:tc>
          <w:tcPr>
            <w:tcW w:w="2811" w:type="dxa"/>
          </w:tcPr>
          <w:p w:rsidR="004822B7" w:rsidRDefault="008C00CB" w:rsidP="008C00CB">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fldChar w:fldCharType="begin"/>
            </w:r>
            <w:r>
              <w:rPr>
                <w:rFonts w:ascii="仿宋_GB2312" w:eastAsia="仿宋_GB2312" w:hAnsi="宋体" w:cs="宋体"/>
                <w:color w:val="000000" w:themeColor="text1"/>
                <w:kern w:val="0"/>
                <w:sz w:val="32"/>
                <w:szCs w:val="32"/>
              </w:rPr>
              <w:instrText xml:space="preserve"> =SUM(ABOVE) </w:instrText>
            </w:r>
            <w:r>
              <w:rPr>
                <w:rFonts w:ascii="仿宋_GB2312" w:eastAsia="仿宋_GB2312" w:hAnsi="宋体" w:cs="宋体"/>
                <w:color w:val="000000" w:themeColor="text1"/>
                <w:kern w:val="0"/>
                <w:sz w:val="32"/>
                <w:szCs w:val="32"/>
              </w:rPr>
              <w:fldChar w:fldCharType="separate"/>
            </w:r>
            <w:r>
              <w:rPr>
                <w:rFonts w:ascii="仿宋_GB2312" w:eastAsia="仿宋_GB2312" w:hAnsi="宋体" w:cs="宋体"/>
                <w:noProof/>
                <w:color w:val="000000" w:themeColor="text1"/>
                <w:kern w:val="0"/>
                <w:sz w:val="32"/>
                <w:szCs w:val="32"/>
              </w:rPr>
              <w:t>93.74</w:t>
            </w:r>
            <w:r>
              <w:rPr>
                <w:rFonts w:ascii="仿宋_GB2312" w:eastAsia="仿宋_GB2312" w:hAnsi="宋体" w:cs="宋体"/>
                <w:color w:val="000000" w:themeColor="text1"/>
                <w:kern w:val="0"/>
                <w:sz w:val="32"/>
                <w:szCs w:val="32"/>
              </w:rPr>
              <w:fldChar w:fldCharType="end"/>
            </w:r>
          </w:p>
        </w:tc>
      </w:tr>
      <w:tr w:rsidR="004822B7">
        <w:tc>
          <w:tcPr>
            <w:tcW w:w="3547" w:type="dxa"/>
          </w:tcPr>
          <w:p w:rsidR="004822B7" w:rsidRDefault="00B41C23">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绩效评定级别</w:t>
            </w:r>
          </w:p>
        </w:tc>
        <w:tc>
          <w:tcPr>
            <w:tcW w:w="4870" w:type="dxa"/>
            <w:gridSpan w:val="2"/>
          </w:tcPr>
          <w:p w:rsidR="004822B7" w:rsidRDefault="008C00CB">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优</w:t>
            </w:r>
          </w:p>
        </w:tc>
      </w:tr>
    </w:tbl>
    <w:p w:rsidR="004822B7" w:rsidRDefault="00B41C23">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（二）存在的问题及原因分析</w:t>
      </w:r>
    </w:p>
    <w:p w:rsidR="003D1EE2" w:rsidRDefault="003D1EE2" w:rsidP="003D1EE2">
      <w:pPr>
        <w:spacing w:line="600" w:lineRule="exact"/>
        <w:ind w:firstLineChars="200" w:firstLine="640"/>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sidR="003A7538">
        <w:rPr>
          <w:rFonts w:ascii="仿宋_GB2312" w:eastAsia="仿宋_GB2312" w:hAnsi="宋体" w:cs="宋体" w:hint="eastAsia"/>
          <w:color w:val="000000"/>
          <w:kern w:val="0"/>
          <w:sz w:val="32"/>
          <w:szCs w:val="32"/>
        </w:rPr>
        <w:t>个别</w:t>
      </w:r>
      <w:r>
        <w:rPr>
          <w:rFonts w:ascii="仿宋_GB2312" w:eastAsia="仿宋_GB2312" w:hAnsi="宋体" w:cs="宋体"/>
          <w:color w:val="000000"/>
          <w:kern w:val="0"/>
          <w:sz w:val="32"/>
          <w:szCs w:val="32"/>
        </w:rPr>
        <w:t>项目预算执行率较低。</w:t>
      </w:r>
    </w:p>
    <w:p w:rsidR="003D1EE2" w:rsidRDefault="003D1EE2" w:rsidP="003D1EE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r w:rsidR="003A7538" w:rsidRPr="003A7538">
        <w:rPr>
          <w:rFonts w:ascii="仿宋_GB2312" w:eastAsia="仿宋_GB2312" w:hAnsi="宋体" w:cs="宋体" w:hint="eastAsia"/>
          <w:color w:val="000000"/>
          <w:kern w:val="0"/>
          <w:sz w:val="32"/>
          <w:szCs w:val="32"/>
        </w:rPr>
        <w:t>部门整体绩效目标设置不够细化量化</w:t>
      </w:r>
      <w:r>
        <w:rPr>
          <w:rFonts w:ascii="仿宋_GB2312" w:eastAsia="仿宋_GB2312" w:hAnsi="仿宋_GB2312" w:cs="仿宋_GB2312" w:hint="eastAsia"/>
          <w:bCs/>
          <w:kern w:val="44"/>
          <w:sz w:val="32"/>
          <w:szCs w:val="32"/>
        </w:rPr>
        <w:t>。</w:t>
      </w:r>
    </w:p>
    <w:p w:rsidR="003D1EE2" w:rsidRDefault="003D1EE2" w:rsidP="003A7538">
      <w:pPr>
        <w:spacing w:line="600" w:lineRule="exact"/>
        <w:ind w:firstLineChars="200" w:firstLine="640"/>
        <w:rPr>
          <w:rFonts w:ascii="仿宋_GB2312" w:eastAsia="仿宋_GB2312" w:hAnsi="仿宋_GB2312" w:cs="仿宋_GB2312" w:hint="eastAsia"/>
          <w:bCs/>
          <w:kern w:val="44"/>
          <w:sz w:val="32"/>
          <w:szCs w:val="32"/>
        </w:rPr>
      </w:pPr>
      <w:r w:rsidRPr="003A7538">
        <w:rPr>
          <w:rFonts w:ascii="仿宋_GB2312" w:eastAsia="仿宋_GB2312" w:hAnsi="宋体" w:cs="宋体" w:hint="eastAsia"/>
          <w:color w:val="000000"/>
          <w:kern w:val="0"/>
          <w:sz w:val="32"/>
          <w:szCs w:val="32"/>
        </w:rPr>
        <w:t>3.</w:t>
      </w:r>
      <w:r w:rsidR="003A7538" w:rsidRPr="003A7538">
        <w:rPr>
          <w:rFonts w:ascii="仿宋_GB2312" w:eastAsia="仿宋_GB2312" w:hAnsi="宋体" w:cs="宋体" w:hint="eastAsia"/>
          <w:color w:val="000000"/>
          <w:kern w:val="0"/>
          <w:sz w:val="32"/>
          <w:szCs w:val="32"/>
        </w:rPr>
        <w:t>个别项目未制定项目实施方案，</w:t>
      </w:r>
      <w:r w:rsidR="003A7538" w:rsidRPr="003A7538">
        <w:rPr>
          <w:rFonts w:ascii="仿宋_GB2312" w:eastAsia="仿宋_GB2312" w:hAnsi="宋体" w:cs="宋体" w:hint="eastAsia"/>
          <w:color w:val="000000"/>
          <w:kern w:val="0"/>
          <w:sz w:val="32"/>
          <w:szCs w:val="32"/>
        </w:rPr>
        <w:t>缺少对项目的统筹管理，缺少项目实施主体对人员组织分工、实施节点、监管措施、考核要求及风险防控措施等内容，</w:t>
      </w:r>
      <w:bookmarkStart w:id="0" w:name="_GoBack"/>
      <w:bookmarkEnd w:id="0"/>
      <w:r w:rsidR="003A7538" w:rsidRPr="003A7538">
        <w:rPr>
          <w:rFonts w:ascii="仿宋_GB2312" w:eastAsia="仿宋_GB2312" w:hAnsi="宋体" w:cs="宋体" w:hint="eastAsia"/>
          <w:color w:val="000000"/>
          <w:kern w:val="0"/>
          <w:sz w:val="32"/>
          <w:szCs w:val="32"/>
        </w:rPr>
        <w:t>不利于项目的实施，事后对项目的考核或验收报告等资料不够充分，无法体现项目执行监督管理的效果，项目管理机制有待完善。</w:t>
      </w:r>
    </w:p>
    <w:p w:rsidR="008C00CB" w:rsidRPr="0093578B" w:rsidRDefault="008C00CB" w:rsidP="008C00CB">
      <w:pPr>
        <w:spacing w:line="600" w:lineRule="exact"/>
        <w:ind w:firstLineChars="200" w:firstLine="640"/>
        <w:rPr>
          <w:rFonts w:ascii="仿宋_GB2312" w:eastAsia="仿宋_GB2312" w:hAnsi="宋体" w:cs="宋体"/>
          <w:color w:val="000000" w:themeColor="text1"/>
          <w:kern w:val="0"/>
          <w:sz w:val="32"/>
          <w:szCs w:val="32"/>
        </w:rPr>
      </w:pPr>
      <w:r w:rsidRPr="0093578B">
        <w:rPr>
          <w:rFonts w:ascii="黑体" w:eastAsia="黑体" w:hAnsi="黑体" w:cs="宋体" w:hint="eastAsia"/>
          <w:color w:val="000000" w:themeColor="text1"/>
          <w:kern w:val="0"/>
          <w:sz w:val="32"/>
          <w:szCs w:val="32"/>
        </w:rPr>
        <w:t>六、措施建议</w:t>
      </w:r>
      <w:r w:rsidRPr="0093578B">
        <w:rPr>
          <w:rFonts w:ascii="仿宋_GB2312" w:eastAsia="仿宋_GB2312" w:hAnsi="宋体" w:cs="宋体" w:hint="eastAsia"/>
          <w:color w:val="000000" w:themeColor="text1"/>
          <w:kern w:val="0"/>
          <w:sz w:val="32"/>
          <w:szCs w:val="32"/>
        </w:rPr>
        <w:t>（整改措施、下一步工作举措）</w:t>
      </w:r>
    </w:p>
    <w:p w:rsidR="00D07D00" w:rsidRDefault="00D07D00" w:rsidP="00D07D00">
      <w:pPr>
        <w:spacing w:line="600" w:lineRule="exact"/>
        <w:ind w:leftChars="50" w:left="105" w:firstLineChars="150" w:firstLine="480"/>
        <w:rPr>
          <w:rFonts w:hint="eastAsia"/>
        </w:rPr>
      </w:pPr>
      <w:r w:rsidRPr="00C051A3">
        <w:rPr>
          <w:rFonts w:ascii="仿宋_GB2312" w:eastAsia="仿宋_GB2312" w:hAnsi="宋体" w:cs="宋体" w:hint="eastAsia"/>
          <w:color w:val="000000"/>
          <w:kern w:val="0"/>
          <w:sz w:val="32"/>
          <w:szCs w:val="32"/>
        </w:rPr>
        <w:lastRenderedPageBreak/>
        <w:t>1.</w:t>
      </w:r>
      <w:r w:rsidRPr="004833A6">
        <w:rPr>
          <w:rFonts w:ascii="仿宋_GB2312" w:eastAsia="仿宋_GB2312" w:hAnsi="仿宋_GB2312" w:cs="仿宋_GB2312" w:hint="eastAsia"/>
          <w:bCs/>
          <w:kern w:val="44"/>
          <w:sz w:val="32"/>
          <w:szCs w:val="32"/>
        </w:rPr>
        <w:t>加大预算的执行力度</w:t>
      </w:r>
    </w:p>
    <w:p w:rsidR="00D07D00" w:rsidRDefault="00D07D00" w:rsidP="00D07D00">
      <w:pPr>
        <w:spacing w:line="600" w:lineRule="exact"/>
        <w:ind w:leftChars="50" w:left="105" w:firstLineChars="150" w:firstLine="480"/>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在今后的</w:t>
      </w:r>
      <w:r w:rsidRPr="004833A6">
        <w:rPr>
          <w:rFonts w:ascii="仿宋_GB2312" w:eastAsia="仿宋_GB2312" w:hAnsi="宋体" w:cs="宋体" w:hint="eastAsia"/>
          <w:color w:val="000000"/>
          <w:kern w:val="0"/>
          <w:sz w:val="32"/>
          <w:szCs w:val="32"/>
        </w:rPr>
        <w:t>预算编制工作中，充分考虑各方面因素，提高</w:t>
      </w:r>
      <w:r w:rsidRPr="00E14EC6">
        <w:rPr>
          <w:rFonts w:ascii="仿宋_GB2312" w:eastAsia="仿宋_GB2312" w:hAnsi="宋体" w:cs="宋体" w:hint="eastAsia"/>
          <w:color w:val="000000"/>
          <w:kern w:val="0"/>
          <w:sz w:val="32"/>
          <w:szCs w:val="32"/>
        </w:rPr>
        <w:t>本单位</w:t>
      </w:r>
      <w:r w:rsidRPr="004833A6">
        <w:rPr>
          <w:rFonts w:ascii="仿宋_GB2312" w:eastAsia="仿宋_GB2312" w:hAnsi="宋体" w:cs="宋体" w:hint="eastAsia"/>
          <w:color w:val="000000"/>
          <w:kern w:val="0"/>
          <w:sz w:val="32"/>
          <w:szCs w:val="32"/>
        </w:rPr>
        <w:t>预算编制的质量，进一步加强预算编制的规范性、科学性，使各项预算支出更加符合工作实际。</w:t>
      </w:r>
      <w:r w:rsidRPr="00E14EC6">
        <w:rPr>
          <w:rFonts w:ascii="仿宋_GB2312" w:eastAsia="仿宋_GB2312" w:hAnsi="宋体" w:cs="宋体" w:hint="eastAsia"/>
          <w:color w:val="000000"/>
          <w:kern w:val="0"/>
          <w:sz w:val="32"/>
          <w:szCs w:val="32"/>
        </w:rPr>
        <w:t>加强对本单位预算执行过程的调度管理，大力推进项目进度和支出进度，促进预算的有效执行和支出的及时实现，从而促进预算执行率的提升。</w:t>
      </w:r>
    </w:p>
    <w:p w:rsidR="00D07D00" w:rsidRDefault="00D07D00" w:rsidP="00D07D00">
      <w:pPr>
        <w:spacing w:line="600" w:lineRule="exact"/>
        <w:ind w:leftChars="50" w:left="105" w:firstLineChars="150" w:firstLine="480"/>
        <w:rPr>
          <w:rFonts w:ascii="仿宋_GB2312" w:eastAsia="仿宋_GB2312" w:hAnsi="宋体" w:cs="宋体" w:hint="eastAsia"/>
          <w:color w:val="000000"/>
          <w:kern w:val="0"/>
          <w:sz w:val="32"/>
          <w:szCs w:val="32"/>
        </w:rPr>
      </w:pPr>
      <w:r w:rsidRPr="00C051A3">
        <w:rPr>
          <w:rFonts w:ascii="仿宋_GB2312" w:eastAsia="仿宋_GB2312" w:hAnsi="宋体" w:cs="宋体" w:hint="eastAsia"/>
          <w:color w:val="000000"/>
          <w:kern w:val="0"/>
          <w:sz w:val="32"/>
          <w:szCs w:val="32"/>
        </w:rPr>
        <w:t>2.</w:t>
      </w:r>
      <w:r w:rsidRPr="005843B2">
        <w:rPr>
          <w:rFonts w:ascii="仿宋_GB2312" w:eastAsia="仿宋_GB2312" w:hAnsi="宋体" w:cs="宋体" w:hint="eastAsia"/>
          <w:color w:val="000000"/>
          <w:kern w:val="0"/>
          <w:sz w:val="32"/>
          <w:szCs w:val="32"/>
        </w:rPr>
        <w:t>科学设置绩效目标</w:t>
      </w:r>
      <w:r>
        <w:rPr>
          <w:rFonts w:ascii="仿宋_GB2312" w:eastAsia="仿宋_GB2312" w:hAnsi="宋体" w:cs="宋体" w:hint="eastAsia"/>
          <w:color w:val="000000"/>
          <w:kern w:val="0"/>
          <w:sz w:val="32"/>
          <w:szCs w:val="32"/>
        </w:rPr>
        <w:t>，</w:t>
      </w:r>
      <w:r w:rsidRPr="005843B2">
        <w:rPr>
          <w:rFonts w:ascii="仿宋_GB2312" w:eastAsia="仿宋_GB2312" w:hAnsi="宋体" w:cs="宋体" w:hint="eastAsia"/>
          <w:color w:val="000000"/>
          <w:kern w:val="0"/>
          <w:sz w:val="32"/>
          <w:szCs w:val="32"/>
        </w:rPr>
        <w:t>提高预算绩效管理意识</w:t>
      </w:r>
      <w:r>
        <w:rPr>
          <w:rFonts w:ascii="仿宋_GB2312" w:eastAsia="仿宋_GB2312" w:hAnsi="宋体" w:cs="宋体" w:hint="eastAsia"/>
          <w:color w:val="000000"/>
          <w:kern w:val="0"/>
          <w:sz w:val="32"/>
          <w:szCs w:val="32"/>
        </w:rPr>
        <w:t>。</w:t>
      </w:r>
    </w:p>
    <w:p w:rsidR="00D07D00" w:rsidRDefault="00D07D00" w:rsidP="00D07D00">
      <w:pPr>
        <w:spacing w:line="600" w:lineRule="exact"/>
        <w:ind w:leftChars="50" w:left="105" w:firstLineChars="150" w:firstLine="480"/>
        <w:rPr>
          <w:rFonts w:ascii="仿宋_GB2312" w:eastAsia="仿宋_GB2312" w:hAnsi="宋体" w:cs="宋体" w:hint="eastAsia"/>
          <w:color w:val="000000"/>
          <w:kern w:val="0"/>
          <w:sz w:val="32"/>
          <w:szCs w:val="32"/>
        </w:rPr>
      </w:pPr>
      <w:r w:rsidRPr="005843B2">
        <w:rPr>
          <w:rFonts w:ascii="仿宋_GB2312" w:eastAsia="仿宋_GB2312" w:hAnsi="宋体" w:cs="宋体" w:hint="eastAsia"/>
          <w:color w:val="000000"/>
          <w:kern w:val="0"/>
          <w:sz w:val="32"/>
          <w:szCs w:val="32"/>
        </w:rPr>
        <w:t>建议科学、合理设置绩效目标及指标</w:t>
      </w:r>
      <w:r>
        <w:rPr>
          <w:rFonts w:ascii="仿宋_GB2312" w:eastAsia="仿宋_GB2312" w:hAnsi="宋体" w:cs="宋体" w:hint="eastAsia"/>
          <w:color w:val="000000"/>
          <w:kern w:val="0"/>
          <w:sz w:val="32"/>
          <w:szCs w:val="32"/>
        </w:rPr>
        <w:t>，提高</w:t>
      </w:r>
      <w:r w:rsidRPr="005843B2">
        <w:rPr>
          <w:rFonts w:ascii="仿宋_GB2312" w:eastAsia="仿宋_GB2312" w:hAnsi="宋体" w:cs="宋体" w:hint="eastAsia"/>
          <w:color w:val="000000"/>
          <w:kern w:val="0"/>
          <w:sz w:val="32"/>
          <w:szCs w:val="32"/>
        </w:rPr>
        <w:t>财政资金预算绩效管理意识。绩效指标应尽量采用量化指标，做到可衡量、可考核。</w:t>
      </w:r>
    </w:p>
    <w:p w:rsidR="00D07D00" w:rsidRDefault="00D07D00" w:rsidP="00D07D00">
      <w:pPr>
        <w:spacing w:line="600" w:lineRule="exact"/>
        <w:ind w:leftChars="50" w:left="105" w:firstLineChars="150" w:firstLine="480"/>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3</w:t>
      </w:r>
      <w:r w:rsidRPr="00C051A3">
        <w:rPr>
          <w:rFonts w:ascii="仿宋_GB2312" w:eastAsia="仿宋_GB2312" w:hAnsi="宋体" w:cs="宋体" w:hint="eastAsia"/>
          <w:color w:val="000000"/>
          <w:kern w:val="0"/>
          <w:sz w:val="32"/>
          <w:szCs w:val="32"/>
        </w:rPr>
        <w:t>.</w:t>
      </w:r>
      <w:r w:rsidRPr="00B16D7B">
        <w:rPr>
          <w:rFonts w:ascii="仿宋_GB2312" w:eastAsia="仿宋_GB2312" w:hAnsi="宋体" w:cs="宋体" w:hint="eastAsia"/>
          <w:color w:val="000000"/>
          <w:kern w:val="0"/>
          <w:sz w:val="32"/>
          <w:szCs w:val="32"/>
        </w:rPr>
        <w:t>完善</w:t>
      </w:r>
      <w:r w:rsidRPr="005843B2">
        <w:rPr>
          <w:rFonts w:ascii="仿宋_GB2312" w:eastAsia="仿宋_GB2312" w:hAnsi="宋体" w:cs="宋体" w:hint="eastAsia"/>
          <w:color w:val="000000"/>
          <w:kern w:val="0"/>
          <w:sz w:val="32"/>
          <w:szCs w:val="32"/>
        </w:rPr>
        <w:t>项目实施方案，规范</w:t>
      </w:r>
      <w:r>
        <w:rPr>
          <w:rFonts w:ascii="仿宋_GB2312" w:eastAsia="仿宋_GB2312" w:hAnsi="宋体" w:cs="宋体" w:hint="eastAsia"/>
          <w:color w:val="000000"/>
          <w:kern w:val="0"/>
          <w:sz w:val="32"/>
          <w:szCs w:val="32"/>
        </w:rPr>
        <w:t>项目过程</w:t>
      </w:r>
      <w:r w:rsidRPr="005843B2">
        <w:rPr>
          <w:rFonts w:ascii="仿宋_GB2312" w:eastAsia="仿宋_GB2312" w:hAnsi="宋体" w:cs="宋体" w:hint="eastAsia"/>
          <w:color w:val="000000"/>
          <w:kern w:val="0"/>
          <w:sz w:val="32"/>
          <w:szCs w:val="32"/>
        </w:rPr>
        <w:t>管理</w:t>
      </w:r>
      <w:r w:rsidRPr="00C051A3">
        <w:rPr>
          <w:rFonts w:ascii="仿宋_GB2312" w:eastAsia="仿宋_GB2312" w:hAnsi="宋体" w:cs="宋体" w:hint="eastAsia"/>
          <w:color w:val="000000"/>
          <w:kern w:val="0"/>
          <w:sz w:val="32"/>
          <w:szCs w:val="32"/>
        </w:rPr>
        <w:t>。</w:t>
      </w:r>
    </w:p>
    <w:p w:rsidR="00D07D00" w:rsidRDefault="00D07D00" w:rsidP="00D07D00">
      <w:pPr>
        <w:spacing w:line="56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楷体" w:hint="eastAsia"/>
          <w:bCs/>
          <w:kern w:val="0"/>
          <w:sz w:val="32"/>
          <w:szCs w:val="28"/>
        </w:rPr>
        <w:t>完善项目实施方案，明确项目组织机构、人员分工、执行进度安排、项目质量监控及验收程序等内容。开展日常抽查、绩效考核等，认真</w:t>
      </w:r>
      <w:r w:rsidRPr="00B16D7B">
        <w:rPr>
          <w:rFonts w:ascii="仿宋_GB2312" w:eastAsia="仿宋_GB2312" w:hAnsi="楷体" w:hint="eastAsia"/>
          <w:bCs/>
          <w:kern w:val="0"/>
          <w:sz w:val="32"/>
          <w:szCs w:val="28"/>
        </w:rPr>
        <w:t>收集项目效果资料</w:t>
      </w:r>
      <w:r>
        <w:rPr>
          <w:rFonts w:ascii="仿宋_GB2312" w:eastAsia="仿宋_GB2312" w:hAnsi="楷体" w:hint="eastAsia"/>
          <w:bCs/>
          <w:kern w:val="0"/>
          <w:sz w:val="32"/>
          <w:szCs w:val="28"/>
        </w:rPr>
        <w:t>并进一步整理分析</w:t>
      </w:r>
      <w:r w:rsidRPr="00B16D7B">
        <w:rPr>
          <w:rFonts w:ascii="仿宋_GB2312" w:eastAsia="仿宋_GB2312" w:hAnsi="楷体" w:hint="eastAsia"/>
          <w:bCs/>
          <w:kern w:val="0"/>
          <w:sz w:val="32"/>
          <w:szCs w:val="28"/>
        </w:rPr>
        <w:t>，充分反映项目实施绩效。</w:t>
      </w:r>
    </w:p>
    <w:p w:rsidR="008C00CB" w:rsidRDefault="008C00CB" w:rsidP="008C00CB">
      <w:pPr>
        <w:spacing w:line="600" w:lineRule="exact"/>
        <w:ind w:leftChars="50" w:left="105" w:firstLineChars="150" w:firstLine="480"/>
        <w:rPr>
          <w:rFonts w:ascii="仿宋_GB2312" w:eastAsia="仿宋_GB2312" w:hAnsi="宋体" w:cs="宋体"/>
          <w:color w:val="000000" w:themeColor="text1"/>
          <w:kern w:val="0"/>
          <w:sz w:val="32"/>
          <w:szCs w:val="32"/>
        </w:rPr>
      </w:pPr>
    </w:p>
    <w:p w:rsidR="004822B7" w:rsidRDefault="004822B7">
      <w:pPr>
        <w:spacing w:line="600" w:lineRule="exact"/>
        <w:ind w:firstLineChars="200" w:firstLine="640"/>
        <w:rPr>
          <w:rFonts w:ascii="仿宋_GB2312" w:eastAsia="仿宋_GB2312" w:hAnsi="宋体" w:cs="宋体"/>
          <w:color w:val="000000" w:themeColor="text1"/>
          <w:kern w:val="0"/>
          <w:sz w:val="32"/>
          <w:szCs w:val="32"/>
        </w:rPr>
      </w:pPr>
    </w:p>
    <w:p w:rsidR="004822B7" w:rsidRDefault="004822B7">
      <w:pPr>
        <w:spacing w:line="600" w:lineRule="exact"/>
        <w:ind w:firstLineChars="200" w:firstLine="640"/>
        <w:rPr>
          <w:rFonts w:ascii="仿宋_GB2312" w:eastAsia="仿宋_GB2312" w:hAnsi="宋体" w:cs="宋体"/>
          <w:color w:val="000000" w:themeColor="text1"/>
          <w:kern w:val="0"/>
          <w:sz w:val="32"/>
          <w:szCs w:val="32"/>
        </w:rPr>
      </w:pPr>
    </w:p>
    <w:p w:rsidR="004822B7" w:rsidRDefault="00B41C23">
      <w:pPr>
        <w:rPr>
          <w:color w:val="000000" w:themeColor="text1"/>
        </w:rPr>
      </w:pPr>
      <w:r>
        <w:rPr>
          <w:rFonts w:ascii="方正小标宋简体" w:eastAsia="方正小标宋简体" w:hint="eastAsia"/>
          <w:color w:val="000000" w:themeColor="text1"/>
          <w:sz w:val="36"/>
          <w:szCs w:val="36"/>
        </w:rPr>
        <w:t xml:space="preserve"> </w:t>
      </w:r>
    </w:p>
    <w:sectPr w:rsidR="004822B7">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5FE" w:rsidRDefault="000715FE">
      <w:r>
        <w:separator/>
      </w:r>
    </w:p>
  </w:endnote>
  <w:endnote w:type="continuationSeparator" w:id="0">
    <w:p w:rsidR="000715FE" w:rsidRDefault="0007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184F6CFA" w:usb2="00000012"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B7" w:rsidRDefault="00B41C23">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822B7" w:rsidRDefault="00B41C23">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07D00" w:rsidRPr="00D07D00">
                            <w:rPr>
                              <w:rFonts w:ascii="宋体" w:hAnsi="宋体"/>
                              <w:noProof/>
                              <w:sz w:val="28"/>
                              <w:szCs w:val="28"/>
                              <w:lang w:val="zh-CN"/>
                            </w:rPr>
                            <w:t>-</w:t>
                          </w:r>
                          <w:r w:rsidR="00D07D00">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4822B7" w:rsidRDefault="00B41C23">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07D00" w:rsidRPr="00D07D00">
                      <w:rPr>
                        <w:rFonts w:ascii="宋体" w:hAnsi="宋体"/>
                        <w:noProof/>
                        <w:sz w:val="28"/>
                        <w:szCs w:val="28"/>
                        <w:lang w:val="zh-CN"/>
                      </w:rPr>
                      <w:t>-</w:t>
                    </w:r>
                    <w:r w:rsidR="00D07D00">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4822B7" w:rsidRDefault="004822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5FE" w:rsidRDefault="000715FE">
      <w:r>
        <w:separator/>
      </w:r>
    </w:p>
  </w:footnote>
  <w:footnote w:type="continuationSeparator" w:id="0">
    <w:p w:rsidR="000715FE" w:rsidRDefault="000715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1MDE2YTI2YWQwYzljNTY3NjA0OTIyMjJiYTQ3ZjAifQ=="/>
  </w:docVars>
  <w:rsids>
    <w:rsidRoot w:val="F77F09F4"/>
    <w:rsid w:val="C36F37B1"/>
    <w:rsid w:val="CEFD3F3D"/>
    <w:rsid w:val="EA3F77F2"/>
    <w:rsid w:val="EEFE5989"/>
    <w:rsid w:val="EFCF3EAE"/>
    <w:rsid w:val="F5B764A2"/>
    <w:rsid w:val="F77F09F4"/>
    <w:rsid w:val="FFD7BFFC"/>
    <w:rsid w:val="00005F22"/>
    <w:rsid w:val="00062449"/>
    <w:rsid w:val="000709E5"/>
    <w:rsid w:val="000715FE"/>
    <w:rsid w:val="0007321F"/>
    <w:rsid w:val="000D6198"/>
    <w:rsid w:val="00137FA2"/>
    <w:rsid w:val="001C0AAE"/>
    <w:rsid w:val="001E1E9D"/>
    <w:rsid w:val="00217FCD"/>
    <w:rsid w:val="002202E6"/>
    <w:rsid w:val="0022708C"/>
    <w:rsid w:val="002350E7"/>
    <w:rsid w:val="00237FE6"/>
    <w:rsid w:val="00276818"/>
    <w:rsid w:val="002A302F"/>
    <w:rsid w:val="002A4DF4"/>
    <w:rsid w:val="002C6585"/>
    <w:rsid w:val="002E1394"/>
    <w:rsid w:val="003459C5"/>
    <w:rsid w:val="003A7538"/>
    <w:rsid w:val="003D1EE2"/>
    <w:rsid w:val="00425330"/>
    <w:rsid w:val="00477175"/>
    <w:rsid w:val="004822B7"/>
    <w:rsid w:val="00580F78"/>
    <w:rsid w:val="00594B68"/>
    <w:rsid w:val="005F0283"/>
    <w:rsid w:val="006314CB"/>
    <w:rsid w:val="006511FC"/>
    <w:rsid w:val="0068637A"/>
    <w:rsid w:val="006D0E52"/>
    <w:rsid w:val="007674D8"/>
    <w:rsid w:val="007A193D"/>
    <w:rsid w:val="007C25E9"/>
    <w:rsid w:val="008008A2"/>
    <w:rsid w:val="00865425"/>
    <w:rsid w:val="00870624"/>
    <w:rsid w:val="00870E1C"/>
    <w:rsid w:val="00881C7F"/>
    <w:rsid w:val="008C00CB"/>
    <w:rsid w:val="008E7D93"/>
    <w:rsid w:val="009027EC"/>
    <w:rsid w:val="00965354"/>
    <w:rsid w:val="009E3759"/>
    <w:rsid w:val="00A55FEE"/>
    <w:rsid w:val="00A73121"/>
    <w:rsid w:val="00A95AF4"/>
    <w:rsid w:val="00AB7FEC"/>
    <w:rsid w:val="00AC1BF8"/>
    <w:rsid w:val="00AE6276"/>
    <w:rsid w:val="00AF4463"/>
    <w:rsid w:val="00B124FA"/>
    <w:rsid w:val="00B1391D"/>
    <w:rsid w:val="00B31FEF"/>
    <w:rsid w:val="00B41C23"/>
    <w:rsid w:val="00B41FD1"/>
    <w:rsid w:val="00B56D4E"/>
    <w:rsid w:val="00BB2578"/>
    <w:rsid w:val="00BE49D8"/>
    <w:rsid w:val="00BF222A"/>
    <w:rsid w:val="00C06858"/>
    <w:rsid w:val="00C4171A"/>
    <w:rsid w:val="00C62117"/>
    <w:rsid w:val="00CF18F5"/>
    <w:rsid w:val="00D07D00"/>
    <w:rsid w:val="00D210EE"/>
    <w:rsid w:val="00D24C1E"/>
    <w:rsid w:val="00D67B52"/>
    <w:rsid w:val="00D80BFE"/>
    <w:rsid w:val="00DE0807"/>
    <w:rsid w:val="00E4585E"/>
    <w:rsid w:val="00ED1AAD"/>
    <w:rsid w:val="00F3126E"/>
    <w:rsid w:val="00F3653B"/>
    <w:rsid w:val="00F76AA3"/>
    <w:rsid w:val="00F934F2"/>
    <w:rsid w:val="00FF4437"/>
    <w:rsid w:val="00FF548F"/>
    <w:rsid w:val="0ECF9C51"/>
    <w:rsid w:val="1DF42B92"/>
    <w:rsid w:val="33636607"/>
    <w:rsid w:val="37173543"/>
    <w:rsid w:val="3FF76880"/>
    <w:rsid w:val="53D678A9"/>
    <w:rsid w:val="743C1B20"/>
    <w:rsid w:val="7AB7FF50"/>
    <w:rsid w:val="7BFEB0DB"/>
    <w:rsid w:val="7EC079C2"/>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First Indent 2"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20">
    <w:name w:val="heading 2"/>
    <w:basedOn w:val="a"/>
    <w:next w:val="a"/>
    <w:link w:val="2Char"/>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pPr>
      <w:ind w:leftChars="200" w:left="200" w:firstLine="420"/>
    </w:pPr>
  </w:style>
  <w:style w:type="paragraph" w:styleId="a3">
    <w:name w:val="Body Text Indent"/>
    <w:basedOn w:val="a"/>
    <w:next w:val="a4"/>
    <w:autoRedefine/>
    <w:qFormat/>
    <w:pPr>
      <w:spacing w:line="540" w:lineRule="exact"/>
      <w:ind w:firstLineChars="200" w:firstLine="640"/>
    </w:pPr>
    <w:rPr>
      <w:rFonts w:ascii="仿宋_GB2312" w:eastAsia="仿宋_GB2312"/>
      <w:sz w:val="32"/>
    </w:rPr>
  </w:style>
  <w:style w:type="paragraph" w:styleId="a4">
    <w:name w:val="Body Text"/>
    <w:basedOn w:val="a"/>
    <w:next w:val="a"/>
    <w:autoRedefine/>
    <w:uiPriority w:val="99"/>
    <w:unhideWhenUsed/>
    <w:qFormat/>
    <w:pPr>
      <w:jc w:val="center"/>
    </w:pPr>
    <w:rPr>
      <w:rFonts w:ascii="宋体"/>
      <w:b/>
      <w:sz w:val="44"/>
    </w:rPr>
  </w:style>
  <w:style w:type="paragraph" w:styleId="a5">
    <w:name w:val="footer"/>
    <w:basedOn w:val="a"/>
    <w:autoRedefine/>
    <w:uiPriority w:val="99"/>
    <w:qFormat/>
    <w:pPr>
      <w:tabs>
        <w:tab w:val="center" w:pos="4153"/>
        <w:tab w:val="right" w:pos="8306"/>
      </w:tabs>
      <w:snapToGrid w:val="0"/>
      <w:jc w:val="left"/>
    </w:pPr>
    <w:rPr>
      <w:sz w:val="18"/>
      <w:szCs w:val="20"/>
    </w:rPr>
  </w:style>
  <w:style w:type="paragraph" w:styleId="a6">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cs="黑体"/>
      <w:szCs w:val="22"/>
    </w:rPr>
  </w:style>
  <w:style w:type="character" w:customStyle="1" w:styleId="2Char">
    <w:name w:val="标题 2 Char"/>
    <w:basedOn w:val="a0"/>
    <w:link w:val="20"/>
    <w:rsid w:val="003D1EE2"/>
    <w:rPr>
      <w:rFonts w:ascii="Arial" w:eastAsia="黑体" w:hAnsi="Arial" w:cs="Times New Roman"/>
      <w:b/>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First Indent 2"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20">
    <w:name w:val="heading 2"/>
    <w:basedOn w:val="a"/>
    <w:next w:val="a"/>
    <w:link w:val="2Char"/>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pPr>
      <w:ind w:leftChars="200" w:left="200" w:firstLine="420"/>
    </w:pPr>
  </w:style>
  <w:style w:type="paragraph" w:styleId="a3">
    <w:name w:val="Body Text Indent"/>
    <w:basedOn w:val="a"/>
    <w:next w:val="a4"/>
    <w:autoRedefine/>
    <w:qFormat/>
    <w:pPr>
      <w:spacing w:line="540" w:lineRule="exact"/>
      <w:ind w:firstLineChars="200" w:firstLine="640"/>
    </w:pPr>
    <w:rPr>
      <w:rFonts w:ascii="仿宋_GB2312" w:eastAsia="仿宋_GB2312"/>
      <w:sz w:val="32"/>
    </w:rPr>
  </w:style>
  <w:style w:type="paragraph" w:styleId="a4">
    <w:name w:val="Body Text"/>
    <w:basedOn w:val="a"/>
    <w:next w:val="a"/>
    <w:autoRedefine/>
    <w:uiPriority w:val="99"/>
    <w:unhideWhenUsed/>
    <w:qFormat/>
    <w:pPr>
      <w:jc w:val="center"/>
    </w:pPr>
    <w:rPr>
      <w:rFonts w:ascii="宋体"/>
      <w:b/>
      <w:sz w:val="44"/>
    </w:rPr>
  </w:style>
  <w:style w:type="paragraph" w:styleId="a5">
    <w:name w:val="footer"/>
    <w:basedOn w:val="a"/>
    <w:autoRedefine/>
    <w:uiPriority w:val="99"/>
    <w:qFormat/>
    <w:pPr>
      <w:tabs>
        <w:tab w:val="center" w:pos="4153"/>
        <w:tab w:val="right" w:pos="8306"/>
      </w:tabs>
      <w:snapToGrid w:val="0"/>
      <w:jc w:val="left"/>
    </w:pPr>
    <w:rPr>
      <w:sz w:val="18"/>
      <w:szCs w:val="20"/>
    </w:rPr>
  </w:style>
  <w:style w:type="paragraph" w:styleId="a6">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cs="黑体"/>
      <w:szCs w:val="22"/>
    </w:rPr>
  </w:style>
  <w:style w:type="character" w:customStyle="1" w:styleId="2Char">
    <w:name w:val="标题 2 Char"/>
    <w:basedOn w:val="a0"/>
    <w:link w:val="20"/>
    <w:rsid w:val="003D1EE2"/>
    <w:rPr>
      <w:rFonts w:ascii="Arial" w:eastAsia="黑体" w:hAnsi="Arial" w:cs="Times New Roman"/>
      <w:b/>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51956">
      <w:bodyDiv w:val="1"/>
      <w:marLeft w:val="0"/>
      <w:marRight w:val="0"/>
      <w:marTop w:val="0"/>
      <w:marBottom w:val="0"/>
      <w:divBdr>
        <w:top w:val="none" w:sz="0" w:space="0" w:color="auto"/>
        <w:left w:val="none" w:sz="0" w:space="0" w:color="auto"/>
        <w:bottom w:val="none" w:sz="0" w:space="0" w:color="auto"/>
        <w:right w:val="none" w:sz="0" w:space="0" w:color="auto"/>
      </w:divBdr>
    </w:div>
    <w:div w:id="1036007282">
      <w:bodyDiv w:val="1"/>
      <w:marLeft w:val="0"/>
      <w:marRight w:val="0"/>
      <w:marTop w:val="0"/>
      <w:marBottom w:val="0"/>
      <w:divBdr>
        <w:top w:val="none" w:sz="0" w:space="0" w:color="auto"/>
        <w:left w:val="none" w:sz="0" w:space="0" w:color="auto"/>
        <w:bottom w:val="none" w:sz="0" w:space="0" w:color="auto"/>
        <w:right w:val="none" w:sz="0" w:space="0" w:color="auto"/>
      </w:divBdr>
    </w:div>
    <w:div w:id="2119640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D2DEBB-933D-4F99-8973-002AC76A8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11</Pages>
  <Words>866</Words>
  <Characters>4937</Characters>
  <Application>Microsoft Office Word</Application>
  <DocSecurity>0</DocSecurity>
  <Lines>41</Lines>
  <Paragraphs>11</Paragraphs>
  <ScaleCrop>false</ScaleCrop>
  <Company/>
  <LinksUpToDate>false</LinksUpToDate>
  <CharactersWithSpaces>5792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gyb1</cp:lastModifiedBy>
  <cp:revision>44</cp:revision>
  <dcterms:created xsi:type="dcterms:W3CDTF">2022-03-10T19:16:00Z</dcterms:created>
  <dcterms:modified xsi:type="dcterms:W3CDTF">2024-05-19T04:32:00Z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F6BB3E5B7E4A4668B20C41100412DDC2_12</vt:lpwstr>
  </property>
</Properties>
</file>